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76" w:before="16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March 28, 2024</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ans-serif" w:hAnsi="Times New Roman;sans-serif"/>
          <w:b/>
          <w:color w:val="000000"/>
          <w:sz w:val="48"/>
        </w:rPr>
      </w:pPr>
      <w:r>
        <w:rPr>
          <w:rFonts w:ascii="Times New Roman;sans-serif" w:hAnsi="Times New Roman;sans-serif"/>
          <w:b/>
          <w:color w:val="000000"/>
          <w:sz w:val="48"/>
        </w:rPr>
        <w:t>EMBECTA CORP.</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p>
      <w:pPr>
        <w:pStyle w:val="TextBody"/>
        <w:bidi w:val="0"/>
        <w:spacing w:before="0" w:after="0"/>
        <w:jc w:val="left"/>
        <w:rPr/>
      </w:pPr>
      <w:r>
        <w:rPr/>
      </w:r>
    </w:p>
    <w:tbl>
      <w:tblPr>
        <w:tblW w:w="2890" w:type="dxa"/>
        <w:jc w:val="center"/>
        <w:tblInd w:w="0" w:type="dxa"/>
        <w:tblLayout w:type="fixed"/>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001-41186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87-1583942</w:t>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0"/>
        <w:jc w:val="left"/>
        <w:rPr/>
      </w:pPr>
      <w:r>
        <w:rPr/>
      </w:r>
    </w:p>
    <w:tbl>
      <w:tblPr>
        <w:tblW w:w="5996" w:type="dxa"/>
        <w:jc w:val="center"/>
        <w:tblInd w:w="0" w:type="dxa"/>
        <w:tblLayout w:type="fixed"/>
        <w:tblCellMar>
          <w:top w:w="28" w:type="dxa"/>
          <w:left w:w="28" w:type="dxa"/>
          <w:bottom w:w="28" w:type="dxa"/>
          <w:right w:w="28" w:type="dxa"/>
        </w:tblCellMar>
      </w:tblPr>
      <w:tblGrid>
        <w:gridCol w:w="1716"/>
        <w:gridCol w:w="1509"/>
        <w:gridCol w:w="1515"/>
        <w:gridCol w:w="109"/>
        <w:gridCol w:w="109"/>
        <w:gridCol w:w="109"/>
        <w:gridCol w:w="272"/>
        <w:gridCol w:w="272"/>
        <w:gridCol w:w="38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300 Kimball Drive, Suite 300, Parsippany, New Jersey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07054</w:t>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(862) 401-0000</w:t>
      </w:r>
    </w:p>
    <w:p>
      <w:pPr>
        <w:pStyle w:val="TextBody"/>
        <w:bidi w:val="0"/>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76" w:before="0" w:after="16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EMBC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 (Nasdaq Global Select Market)</w:t>
            </w:r>
          </w:p>
        </w:tc>
      </w:tr>
    </w:tbl>
    <w:p>
      <w:pPr>
        <w:pStyle w:val="TextBody"/>
        <w:bidi w:val="0"/>
        <w:spacing w:lineRule="auto" w:line="276"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76"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ind w:left="0" w:right="0" w:hanging="1440"/>
        <w:jc w:val="both"/>
        <w:rPr/>
      </w:pPr>
      <w:r>
        <w:rPr>
          <w:rFonts w:ascii="Times New Roman;sans-serif" w:hAnsi="Times New Roman;sans-serif"/>
          <w:b/>
          <w:color w:val="000000"/>
          <w:sz w:val="20"/>
          <w:shd w:fill="FFFFFF" w:val="clear"/>
        </w:rPr>
        <w:t>Item 1.01    Entry into a Material Definitive Agreement</w:t>
      </w:r>
      <w:r>
        <w:rPr>
          <w:color w:val="000000"/>
          <w:shd w:fill="FFFFFF" w:val="clear"/>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28, 2024, Embecta Corp. (“Embecta”) entered into (i) a second amendment (the “TSA Amendment”) to the Transition Services Agreement (as amended, the “TSA”), dated as of March 31, 2022 and previously amended as of July 1, 2022 by and between Embecta and Becton, Dickinson and Company (“BD”), and (ii) a second amendment (the “LSA Amendment”) to the Logistics Services Agreement (as amended, the “LSA”), dated January 1, 2022 and previously amended as of November 20, 2023, by and between Embecta and BD. Pursuant to the TSA and the LSA, originally entered into in connection with the spin-off of the diabetes care business of BD into Embecta, a newly formed company, Embecta and BD and their respective affiliates provide each other, on an interim, transitional basis, various services, including, but not limited to, information technology, procurement, quality and regulatory affairs, medical affairs, tax and treasury services, distribution logistics, and shared services infrastructure support for order-to-cash, source-to-pay, and record-to-report (collectively, the “Interim Business Continuity Processes”). Under the TSA Amendment and the LSA Amendment, BD granted Embecta, among other things, a limited extension until November 1, 2024 of certain services in a limited set of markets to support the Interim Business Continuity Processes. </w:t>
      </w:r>
    </w:p>
    <w:p>
      <w:pPr>
        <w:pStyle w:val="TextBody"/>
        <w:bidi w:val="0"/>
        <w:spacing w:lineRule="auto" w:line="276"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description of the TSA Amendment and the LSA Amendment is a summary qualified in its entirety by reference to the full and complete terms of the TSA and LSA, filed as Exhibits 10.1, 10.2, 10.22 and 10.23, respectively, to Embecta’s Annual Report on Form 10-K for the fiscal year ended September 30, 2023, as filed with the Securities and Exchange Commission on November 29, 2023, and the TSA Amendment and LSA Amendment, which are filed hereto as Exhibits 10.1 and 10.2, respectively, and incorporated in this Item 1.01 by reference.</w:t>
      </w:r>
    </w:p>
    <w:p>
      <w:pPr>
        <w:pStyle w:val="TextBody"/>
        <w:bidi w:val="0"/>
        <w:spacing w:lineRule="auto" w:line="240" w:before="180" w:after="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9.01    Financial Statements and Exhibits.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u w:val="single"/>
          <w:shd w:fill="FFFFFF" w:val="clear"/>
        </w:rPr>
        <w:t>Exhibits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furnished as an exhibit to this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15"/>
        <w:gridCol w:w="2960"/>
        <w:gridCol w:w="296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rpserviceextensiontsaamen.htm">
              <w:r>
                <w:rPr>
                  <w:rStyle w:val="InternetLink"/>
                  <w:rFonts w:ascii="Times New Roman;sans-serif" w:hAnsi="Times New Roman;sans-serif"/>
                  <w:b w:val="false"/>
                  <w:color w:val="3051F2"/>
                  <w:sz w:val="20"/>
                  <w:u w:val="single"/>
                </w:rPr>
                <w:t>10.1</w:t>
              </w:r>
            </w:hyperlink>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Transition Services Agreement, dated as of March 28, 2024, by and between BD and Embecta*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rpserviceextensionlsaamen.htm">
              <w:r>
                <w:rPr>
                  <w:rStyle w:val="InternetLink"/>
                  <w:rFonts w:ascii="Times New Roman;sans-serif" w:hAnsi="Times New Roman;sans-serif"/>
                  <w:b w:val="false"/>
                  <w:color w:val="3051F2"/>
                  <w:sz w:val="20"/>
                  <w:u w:val="single"/>
                </w:rPr>
                <w:t>10.2</w:t>
              </w:r>
            </w:hyperlink>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Logistics Services Agreement, dated as of March 28, 2024, by and between BD and Embecta*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265"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omitted pursuant to Item 601(b)(2) of Regulation S-K. The Company agrees to furnish a supplemental copy of any omitted schedule to the Securities and Exchange Commission upon request.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593"/>
        <w:gridCol w:w="598"/>
        <w:gridCol w:w="172"/>
        <w:gridCol w:w="172"/>
        <w:gridCol w:w="172"/>
        <w:gridCol w:w="172"/>
        <w:gridCol w:w="172"/>
        <w:gridCol w:w="172"/>
        <w:gridCol w:w="2103"/>
        <w:gridCol w:w="2103"/>
        <w:gridCol w:w="3102"/>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EMBECTA CORP.</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Mann</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 Mann</w:t>
            </w:r>
          </w:p>
          <w:p>
            <w:pPr>
              <w:pStyle w:val="TableContents"/>
              <w:bidi w:val="0"/>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Head of Business Development and Corporate Secretary</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28, 2024</w:t>
            </w:r>
          </w:p>
        </w:tc>
        <w:tc>
          <w:tcPr>
            <w:tcW w:w="83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lineRule="auto" w:line="549"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Letter Agreement Providing for the ERP Extension Amendment to the TSA </w:t>
      </w:r>
    </w:p>
    <w:p>
      <w:pPr>
        <w:pStyle w:val="TextBody"/>
        <w:bidi w:val="0"/>
        <w:spacing w:lineRule="auto" w:line="276" w:before="240" w:after="283"/>
        <w:jc w:val="center"/>
        <w:rPr>
          <w:rFonts w:ascii="Times New Roman;sans-serif" w:hAnsi="Times New Roman;sans-serif"/>
          <w:b/>
          <w:color w:val="000000"/>
          <w:sz w:val="24"/>
        </w:rPr>
      </w:pPr>
      <w:r>
        <w:rPr>
          <w:rFonts w:ascii="Times New Roman;sans-serif" w:hAnsi="Times New Roman;sans-serif"/>
          <w:b/>
          <w:color w:val="000000"/>
          <w:sz w:val="24"/>
        </w:rPr>
        <w:t>Becton, Dickinson and Company</w:t>
      </w:r>
    </w:p>
    <w:p>
      <w:pPr>
        <w:pStyle w:val="TextBody"/>
        <w:bidi w:val="0"/>
        <w:spacing w:lineRule="auto" w:line="21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Becton Drive</w:t>
      </w:r>
    </w:p>
    <w:p>
      <w:pPr>
        <w:pStyle w:val="TextBody"/>
        <w:bidi w:val="0"/>
        <w:spacing w:lineRule="auto" w:line="480" w:before="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Franklin Lakes, New Jersey 07417</w:t>
      </w:r>
    </w:p>
    <w:p>
      <w:pPr>
        <w:pStyle w:val="TextBody"/>
        <w:bidi w:val="0"/>
        <w:spacing w:lineRule="auto" w:line="4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March 28, 2024</w:t>
      </w:r>
    </w:p>
    <w:tbl>
      <w:tblPr>
        <w:tblW w:w="4645" w:type="dxa"/>
        <w:jc w:val="left"/>
        <w:tblInd w:w="0" w:type="dxa"/>
        <w:tblLayout w:type="fixed"/>
        <w:tblCellMar>
          <w:top w:w="28" w:type="dxa"/>
          <w:left w:w="28" w:type="dxa"/>
          <w:bottom w:w="28" w:type="dxa"/>
          <w:right w:w="28" w:type="dxa"/>
        </w:tblCellMar>
      </w:tblPr>
      <w:tblGrid>
        <w:gridCol w:w="614"/>
        <w:gridCol w:w="539"/>
        <w:gridCol w:w="539"/>
        <w:gridCol w:w="1362"/>
        <w:gridCol w:w="674"/>
        <w:gridCol w:w="91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64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Embecta Corp. </w:t>
              <w:br/>
              <w:t>1 Becton Drive</w:t>
              <w:br/>
              <w:t xml:space="preserve">Franklin Lakes, New Jersey 07417 </w:t>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w:t>
            </w:r>
          </w:p>
        </w:tc>
        <w:tc>
          <w:tcPr>
            <w:tcW w:w="29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Jeffrey Mann</w:t>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Jeff.Mann@embecta.com</w:t>
            </w:r>
          </w:p>
        </w:tc>
      </w:tr>
    </w:tbl>
    <w:p>
      <w:pPr>
        <w:pStyle w:val="TextBody"/>
        <w:bidi w:val="0"/>
        <w:spacing w:before="0" w:after="0"/>
        <w:ind w:left="0" w:right="0" w:firstLine="839"/>
        <w:jc w:val="left"/>
        <w:rPr/>
      </w:pPr>
      <w:r>
        <w:rPr/>
      </w:r>
    </w:p>
    <w:p>
      <w:pPr>
        <w:pStyle w:val="TextBody"/>
        <w:bidi w:val="0"/>
        <w:spacing w:lineRule="auto" w:line="268" w:before="0" w:after="0"/>
        <w:ind w:left="0" w:right="0" w:firstLine="839"/>
        <w:jc w:val="left"/>
        <w:rPr>
          <w:rFonts w:ascii="Times New Roman;sans-serif" w:hAnsi="Times New Roman;sans-serif"/>
          <w:b/>
          <w:color w:val="000000"/>
          <w:sz w:val="24"/>
        </w:rPr>
      </w:pPr>
      <w:r>
        <w:rPr>
          <w:rFonts w:ascii="Times New Roman;sans-serif" w:hAnsi="Times New Roman;sans-serif"/>
          <w:b/>
          <w:color w:val="000000"/>
          <w:sz w:val="24"/>
        </w:rPr>
        <w:t>Re: Transition Services Agreement</w:t>
      </w:r>
    </w:p>
    <w:p>
      <w:pPr>
        <w:pStyle w:val="TextBody"/>
        <w:bidi w:val="0"/>
        <w:spacing w:before="0" w:after="0"/>
        <w:ind w:left="0" w:right="0" w:firstLine="839"/>
        <w:jc w:val="left"/>
        <w:rPr/>
      </w:pPr>
      <w:r>
        <w:rPr/>
      </w:r>
    </w:p>
    <w:p>
      <w:pPr>
        <w:pStyle w:val="TextBody"/>
        <w:bidi w:val="0"/>
        <w:spacing w:lineRule="auto" w:line="268" w:before="0" w:after="0"/>
        <w:ind w:left="0" w:right="0" w:firstLine="119"/>
        <w:jc w:val="left"/>
        <w:rPr>
          <w:rFonts w:ascii="Times New Roman;sans-serif" w:hAnsi="Times New Roman;sans-serif"/>
          <w:b w:val="false"/>
          <w:color w:val="000000"/>
          <w:sz w:val="24"/>
        </w:rPr>
      </w:pPr>
      <w:r>
        <w:rPr>
          <w:rFonts w:ascii="Times New Roman;sans-serif" w:hAnsi="Times New Roman;sans-serif"/>
          <w:b w:val="false"/>
          <w:color w:val="000000"/>
          <w:sz w:val="24"/>
        </w:rPr>
        <w:t>Dear Mr. Mann:</w:t>
      </w:r>
    </w:p>
    <w:p>
      <w:pPr>
        <w:pStyle w:val="TextBody"/>
        <w:bidi w:val="0"/>
        <w:spacing w:before="0" w:after="0"/>
        <w:ind w:left="0" w:right="0" w:firstLine="119"/>
        <w:jc w:val="left"/>
        <w:rPr/>
      </w:pPr>
      <w:r>
        <w:rPr/>
      </w:r>
    </w:p>
    <w:p>
      <w:pPr>
        <w:pStyle w:val="TextBody"/>
        <w:bidi w:val="0"/>
        <w:spacing w:lineRule="auto" w:line="268" w:before="0" w:after="0"/>
        <w:ind w:left="0" w:right="0" w:firstLine="840"/>
        <w:jc w:val="left"/>
        <w:rPr/>
      </w:pPr>
      <w:r>
        <w:rPr>
          <w:rFonts w:ascii="Times New Roman;sans-serif" w:hAnsi="Times New Roman;sans-serif"/>
          <w:b w:val="false"/>
          <w:color w:val="000000"/>
          <w:sz w:val="24"/>
        </w:rPr>
        <w:t>Reference is made to the Transition Services Agreement, dated as of March 31, 2022 (the “</w:t>
      </w:r>
      <w:r>
        <w:rPr>
          <w:rFonts w:ascii="Times New Roman;sans-serif" w:hAnsi="Times New Roman;sans-serif"/>
          <w:b w:val="false"/>
          <w:color w:val="000000"/>
          <w:sz w:val="24"/>
          <w:u w:val="single"/>
        </w:rPr>
        <w:t>TSA</w:t>
      </w:r>
      <w:r>
        <w:rPr>
          <w:color w:val="000000"/>
        </w:rPr>
        <w:t>”</w:t>
      </w:r>
      <w:r>
        <w:rPr>
          <w:rFonts w:ascii="Times New Roman;sans-serif" w:hAnsi="Times New Roman;sans-serif"/>
          <w:b w:val="false"/>
          <w:color w:val="000000"/>
          <w:sz w:val="24"/>
        </w:rPr>
        <w:t>), by and between Becton, Dickinson and Company (“</w:t>
      </w:r>
      <w:r>
        <w:rPr>
          <w:rFonts w:ascii="Times New Roman;sans-serif" w:hAnsi="Times New Roman;sans-serif"/>
          <w:b w:val="false"/>
          <w:color w:val="000000"/>
          <w:sz w:val="24"/>
          <w:u w:val="single"/>
        </w:rPr>
        <w:t>BD</w:t>
      </w:r>
      <w:r>
        <w:rPr>
          <w:color w:val="000000"/>
        </w:rPr>
        <w:t>”</w:t>
      </w:r>
      <w:r>
        <w:rPr>
          <w:rFonts w:ascii="Times New Roman;sans-serif" w:hAnsi="Times New Roman;sans-serif"/>
          <w:b w:val="false"/>
          <w:color w:val="000000"/>
          <w:sz w:val="24"/>
        </w:rPr>
        <w:t>) and Embecta Corp. (together with BD,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Capitalized terms used but not otherwise defined herein shall have the meanings ascribed to such terms in the TSA.</w:t>
      </w:r>
    </w:p>
    <w:p>
      <w:pPr>
        <w:pStyle w:val="TextBody"/>
        <w:bidi w:val="0"/>
        <w:spacing w:before="0" w:after="0"/>
        <w:jc w:val="left"/>
        <w:rPr/>
      </w:pPr>
      <w:r>
        <w:rPr/>
      </w:r>
    </w:p>
    <w:p>
      <w:pPr>
        <w:pStyle w:val="TextBody"/>
        <w:bidi w:val="0"/>
        <w:spacing w:lineRule="auto" w:line="268" w:before="0" w:after="0"/>
        <w:ind w:left="0" w:right="0" w:firstLine="840"/>
        <w:jc w:val="left"/>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promises and covenants contained herein, and for other good and valuable consideration, the receipt and adequacy of which are hereby acknowledged, the Parties agree to the following:</w:t>
      </w:r>
    </w:p>
    <w:p>
      <w:pPr>
        <w:pStyle w:val="TextBody"/>
        <w:bidi w:val="0"/>
        <w:spacing w:before="0" w:after="0"/>
        <w:jc w:val="left"/>
        <w:rPr/>
      </w:pPr>
      <w:r>
        <w:rPr/>
      </w:r>
    </w:p>
    <w:p>
      <w:pPr>
        <w:pStyle w:val="TextBody"/>
        <w:bidi w:val="0"/>
        <w:spacing w:lineRule="auto" w:line="268"/>
        <w:ind w:left="0" w:right="0" w:hanging="360"/>
        <w:jc w:val="left"/>
        <w:rPr/>
      </w:pPr>
      <w:r>
        <w:rPr>
          <w:rFonts w:ascii="Arial;sans-serif" w:hAnsi="Arial;sans-serif"/>
          <w:b w:val="false"/>
          <w:color w:val="000000"/>
          <w:sz w:val="22"/>
        </w:rPr>
        <w:t>1.</w:t>
      </w:r>
      <w:r>
        <w:rPr>
          <w:rFonts w:ascii="Times New Roman;sans-serif" w:hAnsi="Times New Roman;sans-serif"/>
          <w:b w:val="false"/>
          <w:color w:val="000000"/>
          <w:sz w:val="24"/>
          <w:u w:val="single"/>
        </w:rPr>
        <w:t>TSA Extension</w:t>
      </w:r>
      <w:r>
        <w:rPr>
          <w:rFonts w:ascii="Times New Roman;sans-serif" w:hAnsi="Times New Roman;sans-serif"/>
          <w:b w:val="false"/>
          <w:color w:val="000000"/>
          <w:sz w:val="24"/>
        </w:rPr>
        <w:t xml:space="preserve">. (1) The Term under the TSA and the Service Period under the TSA with respect to a subset of the 119 Services set forth on </w:t>
      </w:r>
      <w:r>
        <w:rPr>
          <w:rFonts w:ascii="Times New Roman;sans-serif" w:hAnsi="Times New Roman;sans-serif"/>
          <w:b w:val="false"/>
          <w:color w:val="000000"/>
          <w:sz w:val="24"/>
          <w:u w:val="single"/>
        </w:rPr>
        <w:t>Exhibit 1</w:t>
      </w:r>
      <w:r>
        <w:rPr>
          <w:color w:val="000000"/>
        </w:rPr>
        <w:t xml:space="preserve"> </w:t>
      </w:r>
      <w:r>
        <w:rPr>
          <w:rFonts w:ascii="Times New Roman;sans-serif" w:hAnsi="Times New Roman;sans-serif"/>
          <w:b w:val="false"/>
          <w:color w:val="000000"/>
          <w:sz w:val="24"/>
        </w:rPr>
        <w:t>hereto and which have the label TSA in Column E, solely to the extent such Services are used in the LATAM region (including Mexico), China, Hong Kong, Macau, and Taiwan (the “</w:t>
      </w:r>
      <w:r>
        <w:rPr>
          <w:rFonts w:ascii="Times New Roman;sans-serif" w:hAnsi="Times New Roman;sans-serif"/>
          <w:b w:val="false"/>
          <w:color w:val="000000"/>
          <w:sz w:val="24"/>
          <w:u w:val="single"/>
        </w:rPr>
        <w:t>Selected TSA ERP Services</w:t>
      </w:r>
      <w:r>
        <w:rPr>
          <w:color w:val="000000"/>
        </w:rPr>
        <w:t>”</w:t>
      </w:r>
      <w:r>
        <w:rPr>
          <w:rFonts w:ascii="Times New Roman;sans-serif" w:hAnsi="Times New Roman;sans-serif"/>
          <w:b w:val="false"/>
          <w:color w:val="000000"/>
          <w:sz w:val="24"/>
        </w:rPr>
        <w:t>) is extended until November 1, 2024 (such extension, the “</w:t>
      </w:r>
      <w:r>
        <w:rPr>
          <w:rFonts w:ascii="Times New Roman;sans-serif" w:hAnsi="Times New Roman;sans-serif"/>
          <w:b w:val="false"/>
          <w:color w:val="000000"/>
          <w:sz w:val="24"/>
          <w:u w:val="single"/>
        </w:rPr>
        <w:t>TSA ERP Service Extension</w:t>
      </w:r>
      <w:r>
        <w:rPr>
          <w:color w:val="000000"/>
        </w:rPr>
        <w:t>”</w:t>
      </w:r>
      <w:r>
        <w:rPr>
          <w:rFonts w:ascii="Times New Roman;sans-serif" w:hAnsi="Times New Roman;sans-serif"/>
          <w:b w:val="false"/>
          <w:color w:val="000000"/>
          <w:sz w:val="24"/>
        </w:rPr>
        <w:t>); (2) the Charge for each of the Selected TSA ERP Services during the TSA ERP Service Extension period shall be equal to one hundred twenty-five percent (125%) of the Charge for such Service during the term of the TSA prior to such extension; and (3) the Selected TSA ERP Services provided pursuant to such TSA ERP Service Extension shall be deemed “Services” provided under the TSA, in each case subject to the terms and conditions of the TSA, including that, in accordance with Section 2.04 of the TSA, Service Recipient shall continue to reimburse Service Provider for reasonable out-of-pocket costs and expenses incurred by Service Provider or any of its Subsidiaries in connection with providing the Selected TSA ERP Services (including reasonable travel-related expenses) to the extent that such costs and expenses are not reflected in the Charges for such Services.</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2.</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Except as expressly set forth in this letter agreement, no amendment, alteration or modification of the TSA is otherwise made.</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has caused this letter agreement to be duly executed on its behalf by its officer thereunto duly authorized as of the day and year first above written.</w:t>
      </w:r>
    </w:p>
    <w:p>
      <w:pPr>
        <w:pStyle w:val="TextBody"/>
        <w:bidi w:val="0"/>
        <w:spacing w:before="0" w:after="0"/>
        <w:ind w:left="0" w:right="0" w:firstLine="4440"/>
        <w:jc w:val="left"/>
        <w:rPr/>
      </w:pPr>
      <w:r>
        <w:rPr/>
      </w:r>
    </w:p>
    <w:p>
      <w:pPr>
        <w:pStyle w:val="TextBody"/>
        <w:bidi w:val="0"/>
        <w:spacing w:before="0" w:after="0"/>
        <w:ind w:left="0" w:right="0" w:firstLine="4440"/>
        <w:jc w:val="left"/>
        <w:rPr/>
      </w:pPr>
      <w:r>
        <w:rPr/>
      </w:r>
    </w:p>
    <w:p>
      <w:pPr>
        <w:pStyle w:val="TextBody"/>
        <w:bidi w:val="0"/>
        <w:spacing w:before="0" w:after="0"/>
        <w:ind w:left="0" w:right="0" w:firstLine="4440"/>
        <w:jc w:val="left"/>
        <w:rPr/>
      </w:pPr>
      <w:r>
        <w:rPr/>
      </w:r>
    </w:p>
    <w:tbl>
      <w:tblPr>
        <w:tblW w:w="10205" w:type="dxa"/>
        <w:jc w:val="left"/>
        <w:tblInd w:w="0" w:type="dxa"/>
        <w:tblLayout w:type="fixed"/>
        <w:tblCellMar>
          <w:top w:w="28" w:type="dxa"/>
          <w:left w:w="28" w:type="dxa"/>
          <w:bottom w:w="28" w:type="dxa"/>
          <w:right w:w="28" w:type="dxa"/>
        </w:tblCellMar>
      </w:tblPr>
      <w:tblGrid>
        <w:gridCol w:w="687"/>
        <w:gridCol w:w="604"/>
        <w:gridCol w:w="606"/>
        <w:gridCol w:w="398"/>
        <w:gridCol w:w="398"/>
        <w:gridCol w:w="398"/>
        <w:gridCol w:w="398"/>
        <w:gridCol w:w="398"/>
        <w:gridCol w:w="398"/>
        <w:gridCol w:w="1755"/>
        <w:gridCol w:w="1755"/>
        <w:gridCol w:w="241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BECTON, DICKINSON AND COMPANY</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Gary DeFazio</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Gary DeFazio</w:t>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Corporate Secretary &amp; Associate General Counsel</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888" w:type="dxa"/>
        <w:jc w:val="left"/>
        <w:tblInd w:w="0" w:type="dxa"/>
        <w:tblLayout w:type="fixed"/>
        <w:tblCellMar>
          <w:top w:w="28" w:type="dxa"/>
          <w:left w:w="28" w:type="dxa"/>
          <w:bottom w:w="28" w:type="dxa"/>
          <w:right w:w="28" w:type="dxa"/>
        </w:tblCellMar>
      </w:tblPr>
      <w:tblGrid>
        <w:gridCol w:w="842"/>
        <w:gridCol w:w="740"/>
        <w:gridCol w:w="743"/>
        <w:gridCol w:w="233"/>
        <w:gridCol w:w="233"/>
        <w:gridCol w:w="233"/>
        <w:gridCol w:w="233"/>
        <w:gridCol w:w="233"/>
        <w:gridCol w:w="233"/>
        <w:gridCol w:w="1910"/>
        <w:gridCol w:w="1910"/>
        <w:gridCol w:w="2345"/>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EMBECTA CORP.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tc>
        <w:tc>
          <w:tcPr>
            <w:tcW w:w="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Jeff Mann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Jeff Mann</w:t>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 General Counsel &amp; Head of Business Development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lineRule="auto" w:line="549"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Letter Agreement Providing for the ERP Extension Amendment to the LSA </w:t>
      </w:r>
    </w:p>
    <w:p>
      <w:pPr>
        <w:pStyle w:val="TextBody"/>
        <w:bidi w:val="0"/>
        <w:spacing w:lineRule="auto" w:line="276" w:before="240" w:after="283"/>
        <w:jc w:val="center"/>
        <w:rPr>
          <w:rFonts w:ascii="Times New Roman;sans-serif" w:hAnsi="Times New Roman;sans-serif"/>
          <w:b/>
          <w:color w:val="000000"/>
          <w:sz w:val="24"/>
        </w:rPr>
      </w:pPr>
      <w:r>
        <w:rPr>
          <w:rFonts w:ascii="Times New Roman;sans-serif" w:hAnsi="Times New Roman;sans-serif"/>
          <w:b/>
          <w:color w:val="000000"/>
          <w:sz w:val="24"/>
        </w:rPr>
        <w:t>Becton, Dickinson and Company</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Becton Drive</w:t>
      </w:r>
    </w:p>
    <w:p>
      <w:pPr>
        <w:pStyle w:val="TextBody"/>
        <w:bidi w:val="0"/>
        <w:spacing w:lineRule="auto" w:line="4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Franklin Lakes, New Jersey 07417 </w:t>
      </w:r>
    </w:p>
    <w:p>
      <w:pPr>
        <w:pStyle w:val="TextBody"/>
        <w:bidi w:val="0"/>
        <w:spacing w:lineRule="auto" w:line="4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March 28, 2024</w:t>
      </w:r>
    </w:p>
    <w:tbl>
      <w:tblPr>
        <w:tblW w:w="4645" w:type="dxa"/>
        <w:jc w:val="left"/>
        <w:tblInd w:w="0" w:type="dxa"/>
        <w:tblLayout w:type="fixed"/>
        <w:tblCellMar>
          <w:top w:w="28" w:type="dxa"/>
          <w:left w:w="28" w:type="dxa"/>
          <w:bottom w:w="28" w:type="dxa"/>
          <w:right w:w="28" w:type="dxa"/>
        </w:tblCellMar>
      </w:tblPr>
      <w:tblGrid>
        <w:gridCol w:w="614"/>
        <w:gridCol w:w="539"/>
        <w:gridCol w:w="539"/>
        <w:gridCol w:w="1362"/>
        <w:gridCol w:w="674"/>
        <w:gridCol w:w="91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64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Embecta Corp. </w:t>
              <w:br/>
              <w:t>1 Becton Drive</w:t>
              <w:br/>
              <w:t xml:space="preserve">Franklin Lakes, New Jersey 07417 </w:t>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w:t>
            </w:r>
          </w:p>
        </w:tc>
        <w:tc>
          <w:tcPr>
            <w:tcW w:w="29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Jeffrey Mann</w:t>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Jeff.Mann@embecta.com</w:t>
            </w:r>
          </w:p>
        </w:tc>
      </w:tr>
    </w:tbl>
    <w:p>
      <w:pPr>
        <w:pStyle w:val="TextBody"/>
        <w:bidi w:val="0"/>
        <w:spacing w:before="0" w:after="0"/>
        <w:ind w:left="0" w:right="0" w:firstLine="119"/>
        <w:jc w:val="left"/>
        <w:rPr/>
      </w:pPr>
      <w:r>
        <w:rPr/>
      </w:r>
    </w:p>
    <w:p>
      <w:pPr>
        <w:pStyle w:val="TextBody"/>
        <w:bidi w:val="0"/>
        <w:spacing w:lineRule="auto" w:line="268" w:before="0" w:after="0"/>
        <w:ind w:left="0" w:right="0" w:firstLine="839"/>
        <w:jc w:val="left"/>
        <w:rPr>
          <w:rFonts w:ascii="Times New Roman;sans-serif" w:hAnsi="Times New Roman;sans-serif"/>
          <w:b/>
          <w:color w:val="000000"/>
          <w:sz w:val="24"/>
        </w:rPr>
      </w:pPr>
      <w:r>
        <w:rPr>
          <w:rFonts w:ascii="Times New Roman;sans-serif" w:hAnsi="Times New Roman;sans-serif"/>
          <w:b/>
          <w:color w:val="000000"/>
          <w:sz w:val="24"/>
        </w:rPr>
        <w:t>Re: Logistics Services Agreement</w:t>
      </w:r>
    </w:p>
    <w:p>
      <w:pPr>
        <w:pStyle w:val="TextBody"/>
        <w:bidi w:val="0"/>
        <w:spacing w:before="0" w:after="0"/>
        <w:jc w:val="left"/>
        <w:rPr/>
      </w:pPr>
      <w:r>
        <w:rPr/>
      </w:r>
    </w:p>
    <w:p>
      <w:pPr>
        <w:pStyle w:val="TextBody"/>
        <w:bidi w:val="0"/>
        <w:spacing w:lineRule="auto" w:line="268" w:before="0" w:after="0"/>
        <w:ind w:left="0" w:right="0" w:firstLine="119"/>
        <w:jc w:val="left"/>
        <w:rPr>
          <w:rFonts w:ascii="Times New Roman;sans-serif" w:hAnsi="Times New Roman;sans-serif"/>
          <w:b w:val="false"/>
          <w:color w:val="000000"/>
          <w:sz w:val="24"/>
        </w:rPr>
      </w:pPr>
      <w:r>
        <w:rPr>
          <w:rFonts w:ascii="Times New Roman;sans-serif" w:hAnsi="Times New Roman;sans-serif"/>
          <w:b w:val="false"/>
          <w:color w:val="000000"/>
          <w:sz w:val="24"/>
        </w:rPr>
        <w:t>Dear Mr. Mann:</w:t>
      </w:r>
    </w:p>
    <w:p>
      <w:pPr>
        <w:pStyle w:val="TextBody"/>
        <w:bidi w:val="0"/>
        <w:spacing w:before="0" w:after="0"/>
        <w:jc w:val="left"/>
        <w:rPr/>
      </w:pPr>
      <w:r>
        <w:rPr/>
      </w:r>
    </w:p>
    <w:p>
      <w:pPr>
        <w:pStyle w:val="TextBody"/>
        <w:bidi w:val="0"/>
        <w:spacing w:lineRule="auto" w:line="268" w:before="0" w:after="0"/>
        <w:ind w:left="0" w:right="0" w:firstLine="839"/>
        <w:jc w:val="left"/>
        <w:rPr/>
      </w:pPr>
      <w:r>
        <w:rPr>
          <w:rFonts w:ascii="Times New Roman;sans-serif" w:hAnsi="Times New Roman;sans-serif"/>
          <w:b w:val="false"/>
          <w:color w:val="000000"/>
          <w:sz w:val="24"/>
        </w:rPr>
        <w:t>Reference is made to the Logistics Services Agreement, dated as of January 1, 2022 (the “</w:t>
      </w:r>
      <w:r>
        <w:rPr>
          <w:rFonts w:ascii="Times New Roman;sans-serif" w:hAnsi="Times New Roman;sans-serif"/>
          <w:b w:val="false"/>
          <w:color w:val="000000"/>
          <w:sz w:val="24"/>
          <w:u w:val="single"/>
        </w:rPr>
        <w:t>LSA</w:t>
      </w:r>
      <w:r>
        <w:rPr>
          <w:color w:val="000000"/>
        </w:rPr>
        <w:t>”</w:t>
      </w:r>
      <w:r>
        <w:rPr>
          <w:rFonts w:ascii="Times New Roman;sans-serif" w:hAnsi="Times New Roman;sans-serif"/>
          <w:b w:val="false"/>
          <w:color w:val="000000"/>
          <w:sz w:val="24"/>
        </w:rPr>
        <w:t>), by and between Embecta Corp. (“</w:t>
      </w:r>
      <w:r>
        <w:rPr>
          <w:rFonts w:ascii="Times New Roman;sans-serif" w:hAnsi="Times New Roman;sans-serif"/>
          <w:b w:val="false"/>
          <w:color w:val="000000"/>
          <w:sz w:val="24"/>
          <w:u w:val="single"/>
        </w:rPr>
        <w:t>Embecta</w:t>
      </w:r>
      <w:r>
        <w:rPr>
          <w:color w:val="000000"/>
        </w:rPr>
        <w:t>”</w:t>
      </w:r>
      <w:r>
        <w:rPr>
          <w:rFonts w:ascii="Times New Roman;sans-serif" w:hAnsi="Times New Roman;sans-serif"/>
          <w:b w:val="false"/>
          <w:color w:val="000000"/>
          <w:sz w:val="24"/>
        </w:rPr>
        <w:t>) and Becton, Dickinson and Company (together with Embecta,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Capitalized terms used but not otherwise defined herein shall have the meanings ascribed to such terms in the LSA.</w:t>
      </w:r>
    </w:p>
    <w:p>
      <w:pPr>
        <w:pStyle w:val="TextBody"/>
        <w:bidi w:val="0"/>
        <w:spacing w:before="0" w:after="0"/>
        <w:jc w:val="left"/>
        <w:rPr/>
      </w:pPr>
      <w:r>
        <w:rPr/>
      </w:r>
    </w:p>
    <w:p>
      <w:pPr>
        <w:pStyle w:val="TextBody"/>
        <w:bidi w:val="0"/>
        <w:spacing w:lineRule="auto" w:line="268" w:before="0" w:after="0"/>
        <w:ind w:left="0" w:right="0" w:firstLine="840"/>
        <w:jc w:val="left"/>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promises and covenants contained herein, and for other good and valuable consideration, the receipt and adequacy of which are hereby acknowledged, the Parties agree to the following:</w:t>
      </w:r>
    </w:p>
    <w:p>
      <w:pPr>
        <w:pStyle w:val="TextBody"/>
        <w:bidi w:val="0"/>
        <w:spacing w:before="0" w:after="0"/>
        <w:jc w:val="left"/>
        <w:rPr/>
      </w:pPr>
      <w:r>
        <w:rPr/>
      </w:r>
    </w:p>
    <w:p>
      <w:pPr>
        <w:pStyle w:val="TextBody"/>
        <w:bidi w:val="0"/>
        <w:spacing w:lineRule="auto" w:line="268"/>
        <w:ind w:left="0" w:right="0" w:hanging="360"/>
        <w:jc w:val="left"/>
        <w:rPr/>
      </w:pPr>
      <w:r>
        <w:rPr>
          <w:rFonts w:ascii="Arial;sans-serif" w:hAnsi="Arial;sans-serif"/>
          <w:b w:val="false"/>
          <w:color w:val="000000"/>
          <w:sz w:val="22"/>
        </w:rPr>
        <w:t>1.</w:t>
      </w:r>
      <w:r>
        <w:rPr>
          <w:rFonts w:ascii="Times New Roman;sans-serif" w:hAnsi="Times New Roman;sans-serif"/>
          <w:b w:val="false"/>
          <w:color w:val="000000"/>
          <w:sz w:val="24"/>
          <w:u w:val="single"/>
        </w:rPr>
        <w:t>LSA Extension</w:t>
      </w:r>
      <w:r>
        <w:rPr>
          <w:rFonts w:ascii="Times New Roman;sans-serif" w:hAnsi="Times New Roman;sans-serif"/>
          <w:b w:val="false"/>
          <w:color w:val="000000"/>
          <w:sz w:val="24"/>
        </w:rPr>
        <w:t xml:space="preserve">. (1) the Term under the LSA with respect to a subset of the 119 Services set forth on </w:t>
      </w:r>
      <w:r>
        <w:rPr>
          <w:rFonts w:ascii="Times New Roman;sans-serif" w:hAnsi="Times New Roman;sans-serif"/>
          <w:b w:val="false"/>
          <w:color w:val="000000"/>
          <w:sz w:val="24"/>
          <w:u w:val="single"/>
        </w:rPr>
        <w:t>Exhibit 1</w:t>
      </w:r>
      <w:r>
        <w:rPr>
          <w:color w:val="000000"/>
        </w:rPr>
        <w:t xml:space="preserve"> </w:t>
      </w:r>
      <w:r>
        <w:rPr>
          <w:rFonts w:ascii="Times New Roman;sans-serif" w:hAnsi="Times New Roman;sans-serif"/>
          <w:b w:val="false"/>
          <w:color w:val="000000"/>
          <w:sz w:val="24"/>
        </w:rPr>
        <w:t>hereto and which have the label LSA in Column E, solely to the extent such Services are used in the LATAM region (including Mexico), China, Hong Kong, Macau and Taiwan (the “</w:t>
      </w:r>
      <w:r>
        <w:rPr>
          <w:rFonts w:ascii="Times New Roman;sans-serif" w:hAnsi="Times New Roman;sans-serif"/>
          <w:b w:val="false"/>
          <w:color w:val="000000"/>
          <w:sz w:val="24"/>
          <w:u w:val="single"/>
        </w:rPr>
        <w:t>Selected LSA ERP Services</w:t>
      </w:r>
      <w:r>
        <w:rPr>
          <w:color w:val="000000"/>
        </w:rPr>
        <w:t>”</w:t>
      </w:r>
      <w:r>
        <w:rPr>
          <w:rFonts w:ascii="Times New Roman;sans-serif" w:hAnsi="Times New Roman;sans-serif"/>
          <w:b w:val="false"/>
          <w:color w:val="000000"/>
          <w:sz w:val="24"/>
        </w:rPr>
        <w:t>) is extended until November 1, 2024 (such extension, the “</w:t>
      </w:r>
      <w:r>
        <w:rPr>
          <w:rFonts w:ascii="Times New Roman;sans-serif" w:hAnsi="Times New Roman;sans-serif"/>
          <w:b w:val="false"/>
          <w:color w:val="000000"/>
          <w:sz w:val="24"/>
          <w:u w:val="single"/>
        </w:rPr>
        <w:t>LSA ERP Service Extension</w:t>
      </w:r>
      <w:r>
        <w:rPr>
          <w:color w:val="000000"/>
        </w:rPr>
        <w:t>”</w:t>
      </w:r>
      <w:r>
        <w:rPr>
          <w:rFonts w:ascii="Times New Roman;sans-serif" w:hAnsi="Times New Roman;sans-serif"/>
          <w:b w:val="false"/>
          <w:color w:val="000000"/>
          <w:sz w:val="24"/>
        </w:rPr>
        <w:t xml:space="preserve">); (2) the monthly Administrative Fee for each of the Selected LSA ERP Services during the LSA ERP Service Extension period shall be equal to one and one quarter percent (1.25%) of New Revenue for such Selected LSA ERP Service; (3) each of the Factoring Fee and the Servicing Fee for each of the Selected LSA ERP Services during the LSA ERP Service Extension period shall be equal to one hundred twenty- five percent (125%) of the Factoring Fee or the Servicing Fee, respectively, for such Selected LSA ERP Services during the term of the LSA prior to January 1, 2024 and (4) the Selected LSA ERP Services provided pursuant to such LSA ERP Service Extension shall be deemed “Services” provided under the LSA, in each case subject to the terms and conditions of the LSA, including that, in accordance with Section 11.2.2 of the LSA, Service Recipient </w:t>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shall continue to reimburse Service Provider for all Reimbursable Costs, in each case without any mark-up.</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2.</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Except as expressly set forth in this letter agreement, no amendment, alteration or modification of the LSA is otherwise made.</w:t>
      </w:r>
    </w:p>
    <w:p>
      <w:pPr>
        <w:pStyle w:val="TextBody"/>
        <w:bidi w:val="0"/>
        <w:spacing w:before="0" w:after="0"/>
        <w:jc w:val="left"/>
        <w:rPr/>
      </w:pPr>
      <w:r>
        <w:rPr/>
      </w:r>
    </w:p>
    <w:p>
      <w:pPr>
        <w:pStyle w:val="TextBody"/>
        <w:bidi w:val="0"/>
        <w:spacing w:lineRule="auto" w:line="268" w:before="120" w:after="283"/>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has caused this letter agreement to be duly executed on its behalf by its officer thereunto duly authorized as of the day and year first above written.</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687"/>
        <w:gridCol w:w="604"/>
        <w:gridCol w:w="606"/>
        <w:gridCol w:w="398"/>
        <w:gridCol w:w="398"/>
        <w:gridCol w:w="398"/>
        <w:gridCol w:w="398"/>
        <w:gridCol w:w="398"/>
        <w:gridCol w:w="398"/>
        <w:gridCol w:w="1755"/>
        <w:gridCol w:w="1755"/>
        <w:gridCol w:w="241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BECTON, DICKINSON AND COMPANY</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Gary DeFazio</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Gary DeFazio</w:t>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Corporate Secretary &amp; Associate General Counsel</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88" w:type="dxa"/>
        <w:jc w:val="left"/>
        <w:tblInd w:w="0" w:type="dxa"/>
        <w:tblLayout w:type="fixed"/>
        <w:tblCellMar>
          <w:top w:w="28" w:type="dxa"/>
          <w:left w:w="28" w:type="dxa"/>
          <w:bottom w:w="28" w:type="dxa"/>
          <w:right w:w="28" w:type="dxa"/>
        </w:tblCellMar>
      </w:tblPr>
      <w:tblGrid>
        <w:gridCol w:w="842"/>
        <w:gridCol w:w="740"/>
        <w:gridCol w:w="743"/>
        <w:gridCol w:w="233"/>
        <w:gridCol w:w="233"/>
        <w:gridCol w:w="233"/>
        <w:gridCol w:w="233"/>
        <w:gridCol w:w="233"/>
        <w:gridCol w:w="233"/>
        <w:gridCol w:w="1910"/>
        <w:gridCol w:w="1910"/>
        <w:gridCol w:w="2345"/>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EMBECTA CORP.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28, 2024</w:t>
            </w:r>
          </w:p>
        </w:tc>
        <w:tc>
          <w:tcPr>
            <w:tcW w:w="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Jeff Mann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Jeff Mann</w:t>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 General Counsel &amp; Head of Business Development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1699</Words>
  <Characters>9010</Characters>
  <CharactersWithSpaces>10589</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