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February 2, 2024 was 57,578,921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920" w:type="dxa"/>
            <w:vAlign w:val="bottom"/>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0"/>
        </w:trPr>
        <w:tc>
          <w:tcPr>
            <w:tcW w:w="7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33"/>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33"/>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4"/>
        </w:trPr>
        <w:tc>
          <w:tcPr>
            <w:tcW w:w="7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33"/>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4"/>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33"/>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4"/>
        </w:trPr>
        <w:tc>
          <w:tcPr>
            <w:tcW w:w="792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33"/>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7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10"/>
        </w:trPr>
        <w:tc>
          <w:tcPr>
            <w:tcW w:w="7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0"/>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0" w:type="dxa"/>
            <w:vAlign w:val="bottom"/>
          </w:tcPr>
          <w:p>
            <w:pPr>
              <w:spacing w:after="0"/>
              <w:rPr>
                <w:sz w:val="1"/>
                <w:szCs w:val="1"/>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$1.2 million and $1.0 million as of</w:t>
            </w:r>
          </w:p>
        </w:tc>
        <w:tc>
          <w:tcPr>
            <w:tcW w:w="200" w:type="dxa"/>
            <w:vAlign w:val="bottom"/>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20"/>
        </w:trPr>
        <w:tc>
          <w:tcPr>
            <w:tcW w:w="7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December 31, 2023 and September 30, 2023, respectively)</w:t>
            </w: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1,217.8</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0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700"/>
              <w:spacing w:after="0" w:line="175" w:lineRule="exact"/>
              <w:rPr>
                <w:sz w:val="20"/>
                <w:szCs w:val="20"/>
                <w:color w:val="auto"/>
              </w:rPr>
            </w:pPr>
            <w:r>
              <w:rPr>
                <w:rFonts w:ascii="Times New Roman" w:cs="Times New Roman" w:eastAsia="Times New Roman" w:hAnsi="Times New Roman"/>
                <w:sz w:val="16"/>
                <w:szCs w:val="16"/>
                <w:color w:val="auto"/>
              </w:rPr>
              <w:t>Issued and outstanding - 57,573,497 as of December 31, 2023 and 57,333,353 as of September 30,</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158,430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57,213,757</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240,144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57,573,497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Provided by Operating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9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31"/>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cash equivalents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November 2023, the Financial Account Standard Board issued Accounting Standards Update ASU 2023-07, Segment Reporting (Topic 280): Improvements to Reportable Segment Disclosures, which modifies the disclosure and presentation requirements of reportable segments. This update is effective for annual periods beginning after December 15, 2023, and interim periods within fiscal years beginning after December 15, 2024 with early adoption permitted. The Company is currently evaluating the impact that this guidance will have on the presentation of its condensed consolidated financial statements and accompanying notes.</w:t>
      </w:r>
    </w:p>
    <w:p>
      <w:pPr>
        <w:spacing w:after="0" w:line="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2023-09, Income Taxes (Topic 740): Improvements to Income Tax Disclosures, to enhance the transparency and decision usefulness of income tax disclosures. This update is effective for annual periods beginning after December 15, 2024 with early adoption permitted. The Company is currently evaluating the impact that this guidance will have on the presentation of its condensed consolidated financial statements and accompanying notes.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governing Embecta’s and BD’s obligations and allocations of liabilities with respect to ongoing litigation matters that may implicate each of BD’s business and Embecta’s business.</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Agreements that Embecta entered into with BD that govern aspects of Embecta's relationship with BD following the Separation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employee matters agreement, an intellectual property matters agreement, local support services agreements, certain other manufacturing arrangements and a process services agreement and lease agreement for a manufacturing facility located in Holdrege, Nebraska. For details on the rights and responsibilities of the parties under these agreements refer to Note 4 to the audited Consolidated Financial Statements in Embecta’s Annual Report on Form 10-K for the year ended September 30, 2023 filed with the Securities and Exchange Commission on November 29, 2023 (the “2023 Form 10-K”).</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a portion of the Factoring Agreement between Embecta and BD for services to the U.S. for the Company’s U.S. subsidiary expired and terminated as a result of our implementation and onboarding of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planning (“ERP”) systems (“Business Continuity Processes”) in North America.</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$110.3 million at December 31, 2023 and is included in </w:t>
      </w:r>
      <w:r>
        <w:rPr>
          <w:rFonts w:ascii="Times New Roman" w:cs="Times New Roman" w:eastAsia="Times New Roman" w:hAnsi="Times New Roman"/>
          <w:sz w:val="18"/>
          <w:szCs w:val="18"/>
          <w:i w:val="1"/>
          <w:iCs w:val="1"/>
          <w:color w:val="auto"/>
        </w:rPr>
        <w:t>Amounts due from Becton, Dickinson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Company</w:t>
      </w:r>
      <w:r>
        <w:rPr>
          <w:rFonts w:ascii="Times New Roman" w:cs="Times New Roman" w:eastAsia="Times New Roman" w:hAnsi="Times New Roman"/>
          <w:sz w:val="18"/>
          <w:szCs w:val="18"/>
          <w:color w:val="auto"/>
        </w:rPr>
        <w:t>. The amount due to BD under these agreements was $57.6 million at December 31, 2023 and is included in</w:t>
      </w:r>
      <w:r>
        <w:rPr>
          <w:rFonts w:ascii="Times New Roman" w:cs="Times New Roman" w:eastAsia="Times New Roman" w:hAnsi="Times New Roman"/>
          <w:sz w:val="18"/>
          <w:szCs w:val="18"/>
          <w:i w:val="1"/>
          <w:iCs w:val="1"/>
          <w:color w:val="auto"/>
        </w:rPr>
        <w:t xml:space="preserve"> Amounts due to Becton, Dickinson and Company</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closing of the transfers of certain assets and liabilities related to the Diabetes Care Business in certain jurisdictions, including China, Mexico, and Italy, as contemplated by the Separation and Distribution Agreement did not occur at Separation. The transfers of the relevant local assets and liabilities for these deferred countries are expected to close at a future date. As of December 31, 2023, the Company estimates that amounts due to BD related to certain assets and liabilities in deferred close jurisdictions is $13.5 million and are reflected 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As of December 31, 2023, the Company estimates that amounts due from BD related to certain assets and liabilities in deferred close jurisdictions are $7.4 million and is reflected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Collaboration Agreement</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Upon successful commercialization of the iAGC, the Company will be responsible for the sales and marketing effort and would pay a royalty to the third-party based on future product sales to customers. The Company expects that it will be the principal in the end customer sale and 100% of product sales will be included in Revenues and any royalty payments and continued project costs after commercialization will be included in Cost of products sold as they are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of approximately $26.4 million and $9.9 million during the three months ended December 31, 2023 and 2022, respectively. The costs incurred primarily consist of costs associated with accounting, auditing, legal services, supply chain, employee retention, the implementation of the Company's new ERP system, and certain other costs to establish certain Business Continuity Processes and stand-alone functions to assist with the transition to being a stand-alone entity.</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recorded approximately $1.9 million of severance costs related to the optimization of certain business functions. These costs were primarily recorded in the U.S. Severance costs related to the optimization of certain business functions were not material in the comparable prior year period. Liabilities for costs associated with these activities were not material to any period presented.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December 31, 2023 or September 30, 2023, nor is it a party to any material legal proceedings as of the date of issuance of these Condensed Consolidated Financial Statements.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sales have not changed from those described in the 2023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December 31, 2023 and September 30, 2023 was $118.0 million and $36.4 million, respectively. Sales deductions recorded as a reduction of gross revenues for the three months ended December 31, 2023 and 2022 were $126.7 million and $92.6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Condensed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both December 31, 2023 and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7"/>
                <w:szCs w:val="17"/>
                <w:color w:val="auto"/>
              </w:rPr>
            </w:pPr>
          </w:p>
        </w:tc>
      </w:tr>
      <w:tr>
        <w:trPr>
          <w:trHeight w:val="31"/>
        </w:trPr>
        <w:tc>
          <w:tcPr>
            <w:tcW w:w="12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149.3</w:t>
            </w:r>
          </w:p>
        </w:tc>
      </w:tr>
      <w:tr>
        <w:trPr>
          <w:trHeight w:val="243"/>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62"/>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275.7</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20" w:type="dxa"/>
            <w:vAlign w:val="bottom"/>
            <w:tcBorders>
              <w:bottom w:val="single" w:sz="8" w:color="auto"/>
            </w:tcBorders>
          </w:tcPr>
          <w:p>
            <w:pPr>
              <w:spacing w:after="0"/>
              <w:rPr>
                <w:sz w:val="23"/>
                <w:szCs w:val="23"/>
                <w:color w:val="auto"/>
              </w:rPr>
            </w:pPr>
          </w:p>
        </w:tc>
        <w:tc>
          <w:tcPr>
            <w:tcW w:w="6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62" w:lineRule="exact"/>
        <w:rPr>
          <w:sz w:val="20"/>
          <w:szCs w:val="20"/>
          <w:color w:val="auto"/>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December 31, 2023 and 2022, no individual country outside of the United States generated net revenues that represented more than 10.0% of total revenues.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direct and allocated stock-based compensation expense for the three months ended December 31, 2023 and 2022 and the respective income tax benefits recognized by the Company in the Condensed Consolidated Statements of Income are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r>
      <w:tr>
        <w:trPr>
          <w:trHeight w:val="33"/>
        </w:trPr>
        <w:tc>
          <w:tcPr>
            <w:tcW w:w="7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6"/>
        </w:trPr>
        <w:tc>
          <w:tcPr>
            <w:tcW w:w="784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rPr>
                <w:sz w:val="17"/>
                <w:szCs w:val="17"/>
                <w:color w:val="auto"/>
              </w:rPr>
            </w:pPr>
          </w:p>
        </w:tc>
      </w:tr>
      <w:tr>
        <w:trPr>
          <w:trHeight w:val="31"/>
        </w:trPr>
        <w:tc>
          <w:tcPr>
            <w:tcW w:w="7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7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7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7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Awards</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7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months ended December 31, 2023 and 2022:</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3"/>
        </w:trPr>
        <w:tc>
          <w:tcPr>
            <w:tcW w:w="7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three </w:t>
      </w:r>
      <w:r>
        <w:rPr>
          <w:rFonts w:ascii="Times New Roman" w:cs="Times New Roman" w:eastAsia="Times New Roman" w:hAnsi="Times New Roman"/>
          <w:sz w:val="18"/>
          <w:szCs w:val="18"/>
          <w:color w:val="000000"/>
        </w:rPr>
        <w:t>months ended December 31, 2023</w:t>
      </w:r>
      <w:r>
        <w:rPr>
          <w:rFonts w:ascii="Times New Roman" w:cs="Times New Roman" w:eastAsia="Times New Roman" w:hAnsi="Times New Roman"/>
          <w:sz w:val="18"/>
          <w:szCs w:val="18"/>
          <w:color w:val="2B2A29"/>
        </w:rPr>
        <w:t>, Embecta granted 1,277,644 restricted stock units ("RSUs") in the form of TVUs to employees which vest ratably over three years, subject to continued employment of the recipients. These awards accumulate dividend equivalents, which are provided as additional units and are subject to the same vesting requirements as the underlying grant.</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December 31, 2023 and changes during the three months ended December 31,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RSUs (in thousands)</w:t>
            </w:r>
          </w:p>
        </w:tc>
        <w:tc>
          <w:tcPr>
            <w:tcW w:w="22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December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December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1,970.9</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RSUs distributed include shares withheld for taxes that are not formally issued to the market.</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three months ended December 31, 2023 is $17.52 and the total fair value of TVUs vested during the three months ended December 31, 2023 is $10.8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weighted average remaining vesting term of TVUs is 2.3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 December 31, 2023</w:t>
      </w:r>
      <w:r>
        <w:rPr>
          <w:rFonts w:ascii="Times New Roman" w:cs="Times New Roman" w:eastAsia="Times New Roman" w:hAnsi="Times New Roman"/>
          <w:sz w:val="18"/>
          <w:szCs w:val="18"/>
          <w:color w:val="2B2A29"/>
        </w:rPr>
        <w:t>, Embecta awarded 531,253 RSUs in the form of PSUs to certain executive officers and employees which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These awards accumulate dividend equivalents, which are provided as additional units and are subject to the same vesting requirements as the underlying grant. As of December 31, 2023, there were 709,112 RSUs in the form of PSUs that have been awarded for which a grant date has not yet been established.</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there were approximately 57.8 thousand nonvested PSUs with a weighted average grant date fair value of $30.24. As of December 31, 2023, there were approximately 54.6 thousand nonvested PSUs expected to vest with a weighted average grant date fair value of $30.24.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weighted average remaining vesting term of PSUs is 1.9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December 31, 2023 and changes during the three months ended December 31, 2023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60" w:type="dxa"/>
            <w:vAlign w:val="bottom"/>
          </w:tcPr>
          <w:p>
            <w:pPr>
              <w:spacing w:after="0"/>
              <w:rPr>
                <w:sz w:val="16"/>
                <w:szCs w:val="16"/>
                <w:color w:val="auto"/>
              </w:rPr>
            </w:pPr>
          </w:p>
        </w:tc>
        <w:tc>
          <w:tcPr>
            <w:tcW w:w="14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December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December 31</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SARs were exercised during the three months ended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December 31, 2023, is approximately $49.8 million which is expected to be recognized over a weighted-average remaining life of approximately 2.3 years. At December 31, 2023, 2.6 million shares were authorized for future grants under the 2022 Employee and Director Equity Based Compensation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Intangible Assets, and Cloud Computing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The total balance of capitalized costs associated with these arrangements as of December 31, 2023 and September 30, 2023 is $50.4 million and $38.0 million, respectively, which primarily relates to the implementation of the Company's new ERP system. These capitalized costs are included in </w:t>
      </w:r>
      <w:r>
        <w:rPr>
          <w:rFonts w:ascii="Times New Roman" w:cs="Times New Roman" w:eastAsia="Times New Roman" w:hAnsi="Times New Roman"/>
          <w:sz w:val="18"/>
          <w:szCs w:val="18"/>
          <w:i w:val="1"/>
          <w:iCs w:val="1"/>
          <w:color w:val="auto"/>
        </w:rPr>
        <w:t xml:space="preserve">Deferred Income Taxes and Other Assets. </w:t>
      </w:r>
      <w:r>
        <w:rPr>
          <w:rFonts w:ascii="Times New Roman" w:cs="Times New Roman" w:eastAsia="Times New Roman" w:hAnsi="Times New Roman"/>
          <w:sz w:val="18"/>
          <w:szCs w:val="18"/>
          <w:color w:val="auto"/>
        </w:rPr>
        <w:t>Costs amortized during the three months ended December 31, 2023 were $0.4 million and are included in</w:t>
      </w:r>
      <w:r>
        <w:rPr>
          <w:rFonts w:ascii="Times New Roman" w:cs="Times New Roman" w:eastAsia="Times New Roman" w:hAnsi="Times New Roman"/>
          <w:sz w:val="18"/>
          <w:szCs w:val="18"/>
          <w:i w:val="1"/>
          <w:iCs w:val="1"/>
          <w:color w:val="auto"/>
        </w:rPr>
        <w:t xml:space="preserve"> Other operating expenses</w:t>
      </w:r>
      <w:r>
        <w:rPr>
          <w:rFonts w:ascii="Times New Roman" w:cs="Times New Roman" w:eastAsia="Times New Roman" w:hAnsi="Times New Roman"/>
          <w:sz w:val="18"/>
          <w:szCs w:val="18"/>
          <w:color w:val="auto"/>
        </w:rPr>
        <w:t>. Costs amortized during the three months ended December 31, 2022 were not material to the Company's condensed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results. As of December 31, 2023, cloud computing arrangement assets in-service have useful lives which range from approximately three to nine years.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17" w:lineRule="exact"/>
        <w:rPr>
          <w:sz w:val="20"/>
          <w:szCs w:val="20"/>
          <w:color w:val="auto"/>
        </w:rPr>
      </w:pPr>
    </w:p>
    <w:p>
      <w:pPr>
        <w:jc w:val="both"/>
        <w:ind w:left="900" w:hanging="568"/>
        <w:spacing w:after="0" w:line="250"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69" w:lineRule="exact"/>
        <w:rPr>
          <w:rFonts w:ascii="Times New Roman" w:cs="Times New Roman" w:eastAsia="Times New Roman" w:hAnsi="Times New Roman"/>
          <w:sz w:val="18"/>
          <w:szCs w:val="18"/>
          <w:color w:val="2B2A29"/>
        </w:rPr>
      </w:pPr>
    </w:p>
    <w:p>
      <w:pPr>
        <w:jc w:val="both"/>
        <w:ind w:left="900" w:hanging="568"/>
        <w:spacing w:after="0" w:line="247" w:lineRule="auto"/>
        <w:tabs>
          <w:tab w:leader="none" w:pos="895" w:val="left"/>
        </w:tabs>
        <w:numPr>
          <w:ilvl w:val="0"/>
          <w:numId w:val="4"/>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December 31, 2023,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933.4</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7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1,633.4</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1,592.9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1,585.9</w:t>
            </w:r>
          </w:p>
        </w:tc>
      </w:tr>
    </w:tbl>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December 31, 2023 was $1,510.5 million compared with a carrying value (which includes a reduction for unamortized debt issuance costs and discounts) of $1,602.4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three months ended December 31, 2023 and 2023 was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attributable to Embecta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Earnings per common share - Basic</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Earnings per common share - Diluted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405"/>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57,113</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43"/>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57,484</w:t>
            </w:r>
          </w:p>
        </w:tc>
      </w:tr>
      <w:tr>
        <w:trPr>
          <w:trHeight w:val="405"/>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43"/>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r>
    </w:tbl>
    <w:p>
      <w:pPr>
        <w:spacing w:after="0" w:line="200" w:lineRule="exact"/>
        <w:rPr>
          <w:sz w:val="20"/>
          <w:szCs w:val="20"/>
          <w:color w:val="auto"/>
        </w:rPr>
      </w:pPr>
    </w:p>
    <w:p>
      <w:pPr>
        <w:sectPr>
          <w:pgSz w:w="11900" w:h="16838" w:orient="portrait"/>
          <w:cols w:equalWidth="0" w:num="2">
            <w:col w:w="7260" w:space="720"/>
            <w:col w:w="3260"/>
          </w:cols>
          <w:pgMar w:left="320" w:top="226" w:right="339" w:bottom="1440" w:gutter="0" w:footer="0" w:header="0"/>
          <w:type w:val="continuous"/>
        </w:sectPr>
      </w:pPr>
    </w:p>
    <w:p>
      <w:pPr>
        <w:spacing w:after="0" w:line="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For the </w:t>
      </w:r>
      <w:r>
        <w:rPr>
          <w:rFonts w:ascii="Times New Roman" w:cs="Times New Roman" w:eastAsia="Times New Roman" w:hAnsi="Times New Roman"/>
          <w:sz w:val="18"/>
          <w:szCs w:val="18"/>
          <w:color w:val="2B2A29"/>
        </w:rPr>
        <w:t>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months ended December 31, 2023</w:t>
      </w:r>
      <w:r>
        <w:rPr>
          <w:rFonts w:ascii="Times New Roman" w:cs="Times New Roman" w:eastAsia="Times New Roman" w:hAnsi="Times New Roman"/>
          <w:sz w:val="18"/>
          <w:szCs w:val="18"/>
          <w:color w:val="000000"/>
        </w:rPr>
        <w:t>, and 2022, 3.2 million and 2.0 million of dilutive share equivalents issuable under stock-based compensation plans were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excluded from the diluted shares outstanding calculation because the result would have been antidilutive.</w:t>
      </w:r>
    </w:p>
    <w:p>
      <w:pPr>
        <w:sectPr>
          <w:pgSz w:w="11900" w:h="16838" w:orient="portrait"/>
          <w:cols w:equalWidth="0" w:num="1">
            <w:col w:w="11240"/>
          </w:cols>
          <w:pgMar w:left="320" w:top="226"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vary from quarter to quarter because of changes in the global pretax income or geographical mix of the Company's earnings, changes in tax laws and matters related to tax audits.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(40.6)% and 37.3% for the three months ended December 31, 2023 and 2022, respectively. The decrease in the Company’s effective tax rate from the prior comparative period is primarily due to a tax benefit of approximately $17.1 million for the establishment of a deferred tax asset related to tax law changes in Switzerland. The tax law changes instituted a higher cantonal tax rate and additional tax basis that is amortizable for income tax purposes over a period of seven years.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Financial Instruments and Fair Value Measurements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reported within the Condensed Consolidated Balance Sheets as of December 31, 2023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to the total amounts shown in the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Cash and cash equivalents as of December 31, 2023 includes cash held in money market funds and other cash equivalents. All cash and cash equivalents are Level 1 in the fair value hierarchy. Interest income on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was $3.4 million and $1.1 million for the three months ended December 31, 2023 and 2022, respectively, and is included as a component of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December 31, 2023 and September 30, 2023, respectively: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bl>
    <w:p>
      <w:pPr>
        <w:spacing w:after="0" w:line="238" w:lineRule="exact"/>
        <w:rPr>
          <w:sz w:val="20"/>
          <w:szCs w:val="20"/>
          <w:color w:val="auto"/>
        </w:rPr>
      </w:pPr>
    </w:p>
    <w:p>
      <w:pPr>
        <w:jc w:val="both"/>
        <w:ind w:left="660" w:hanging="328"/>
        <w:spacing w:after="0" w:line="250"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40.8% for the three months ended December 31, 2023.</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Four of the Company's customers represented at least 10.0% of total gross trade receivables individually and, in the aggregate, represented approximately 60.9% as of December 31, 2023.</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04"/>
        </w:trPr>
        <w:tc>
          <w:tcPr>
            <w:tcW w:w="6380" w:type="dxa"/>
            <w:vAlign w:val="bottom"/>
          </w:tcPr>
          <w:p>
            <w:pPr>
              <w:spacing w:after="0"/>
              <w:rPr>
                <w:sz w:val="17"/>
                <w:szCs w:val="17"/>
                <w:color w:val="auto"/>
              </w:rPr>
            </w:pP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747.9</w:t>
            </w:r>
          </w:p>
        </w:tc>
      </w:tr>
      <w:tr>
        <w:trPr>
          <w:trHeight w:val="33"/>
        </w:trPr>
        <w:tc>
          <w:tcPr>
            <w:tcW w:w="6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r>
      <w:tr>
        <w:trPr>
          <w:trHeight w:val="20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33"/>
        </w:trPr>
        <w:tc>
          <w:tcPr>
            <w:tcW w:w="63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0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33"/>
        </w:trPr>
        <w:tc>
          <w:tcPr>
            <w:tcW w:w="6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920" w:type="dxa"/>
            <w:vAlign w:val="bottom"/>
          </w:tcPr>
          <w:p>
            <w:pPr>
              <w:spacing w:after="0"/>
              <w:rPr>
                <w:sz w:val="18"/>
                <w:szCs w:val="18"/>
                <w:color w:val="auto"/>
              </w:rPr>
            </w:pP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2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920" w:type="dxa"/>
            <w:vAlign w:val="bottom"/>
            <w:tcBorders>
              <w:bottom w:val="single" w:sz="8" w:color="CCEEFF"/>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920" w:type="dxa"/>
            <w:vAlign w:val="bottom"/>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920" w:type="dxa"/>
            <w:vAlign w:val="bottom"/>
            <w:tcBorders>
              <w:top w:val="single" w:sz="8" w:color="auto"/>
            </w:tcBorders>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r>
      <w:tr>
        <w:trPr>
          <w:trHeight w:val="33"/>
        </w:trPr>
        <w:tc>
          <w:tcPr>
            <w:tcW w:w="6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2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33"/>
        </w:trPr>
        <w:tc>
          <w:tcPr>
            <w:tcW w:w="6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33"/>
        </w:trPr>
        <w:tc>
          <w:tcPr>
            <w:tcW w:w="6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December 31, 2023 and 2022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both the three months ended December 31, 2023 and 2022, right of use assets obtained in exchange for lease liabilities were not material.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8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8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2022, cash used for amounts included in the measurement of lease liabilities was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December 31, 2023 by fiscal year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1"/>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our 100-year history of our business, we believe that our products have become some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1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r>
        <w:rPr>
          <w:rFonts w:ascii="Times New Roman" w:cs="Times New Roman" w:eastAsia="Times New Roman" w:hAnsi="Times New Roman"/>
          <w:sz w:val="18"/>
          <w:szCs w:val="18"/>
          <w:color w:val="70AD47"/>
        </w:rPr>
        <w:t>.</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anti-diabetic drugs (e.g., SGLT-2s), GLP-1s and GLP-1 combination products have delayed initiation of insulin therapy and contributed to less demand for our products. New drug therapies in development are targeted to challenge the current diabetes treatment paradigm, including the frequency of insulin use. Insulin therapy in developed markets continues to transition to infusion pumps.</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physicians and longer wait times for patients. Healthcare delivery for non-emergency diabetes care is expected to continue shifting outside of hospitals to primary care providers, which could have a material impact on our results of operations.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continuing to work with BD on the process to obtain a supplemental private letter ruling to the private letter ruling BD received in connection with the Separation and the distribution in order to finalize the conditional limited extension granted by BD to the Company until November 1, 2024 of certain services under the TSA, the Logistic Services Agreement (“LSA”) and other transaction documents in a limited set of markets to support various services provided by BD to the Company, including, but not limited to, information technology, procurement, quality and regulatory affairs, medical affairs, tax and treasury services, distribution logistics, and shared services infrastructure support for order-to-cash, source-to-pay, and record-to-report (“Interim Business Continuity Processes”).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monitor and respond to the conflict in Ukraine and the associated sanctions and other restrictions. We also are monitoring the Israel-Hamas war and Houthi attacks on commercial shipping vessels and other naval vessels. As of February 9, 2024,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20" w:type="dxa"/>
            <w:vAlign w:val="bottom"/>
            <w:tcBorders>
              <w:bottom w:val="single" w:sz="8" w:color="auto"/>
            </w:tcBorders>
          </w:tcPr>
          <w:p>
            <w:pPr>
              <w:spacing w:after="0"/>
              <w:rPr>
                <w:sz w:val="18"/>
                <w:szCs w:val="18"/>
                <w:color w:val="auto"/>
              </w:rPr>
            </w:pPr>
          </w:p>
        </w:tc>
      </w:tr>
      <w:tr>
        <w:trPr>
          <w:trHeight w:val="209"/>
        </w:trPr>
        <w:tc>
          <w:tcPr>
            <w:tcW w:w="70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277.3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190.3</w:t>
            </w:r>
          </w:p>
        </w:tc>
      </w:tr>
      <w:tr>
        <w:trPr>
          <w:trHeight w:val="204"/>
        </w:trPr>
        <w:tc>
          <w:tcPr>
            <w:tcW w:w="7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40.4</w:t>
            </w:r>
          </w:p>
        </w:tc>
      </w:tr>
      <w:tr>
        <w:trPr>
          <w:trHeight w:val="33"/>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(48.8)</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(50.7)</w:t>
            </w: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(74.5)</w:t>
            </w: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(127.8)</w:t>
            </w: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r>
      <w:tr>
        <w:trPr>
          <w:trHeight w:val="33"/>
        </w:trPr>
        <w:tc>
          <w:tcPr>
            <w:tcW w:w="7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0"/>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2023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December 31, 2023 were as follows:</w:t>
      </w:r>
    </w:p>
    <w:p>
      <w:pPr>
        <w:spacing w:after="0" w:line="144"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$1.6 million to $277.3 million from $275.7 million;</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$2.9 million to $185.9 million from $188.8 million. Gross profit as a percent of revenue was 67.0%, as compared to 68.5%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$43.3 million to $45.5 million from $88.8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$15.1 million to $20.1 million from $35.2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increased by $1.6 million, or 0.6%, to $277.3 million for the three months ended December 31, 2023 as compared to revenues of $275.7 million for the three months ended December 31, 2022. Changes in our revenues are driven by the volume of goods that we sell, the prices we negotiate</w:t>
      </w: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with customers and changes in foreign exchange rates. </w:t>
      </w:r>
      <w:r>
        <w:rPr>
          <w:rFonts w:ascii="Times New Roman" w:cs="Times New Roman" w:eastAsia="Times New Roman" w:hAnsi="Times New Roman"/>
          <w:sz w:val="17"/>
          <w:szCs w:val="17"/>
          <w:color w:val="auto"/>
        </w:rPr>
        <w:t>The increase in revenues was driven by $2.3 million associated with the positive impact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currency translation primarily due to the weakening of the U.S. dollar and $3.4 million of favorable changes in price. This was partially offset by a $2.1 million decrease in contract manufacturing related to sales of non-diabetes products to BD and $2.0 million of unfavorable changes in volume.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6"/>
        </w:trPr>
        <w:tc>
          <w:tcPr>
            <w:tcW w:w="79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7"/>
                <w:szCs w:val="17"/>
                <w:color w:val="auto"/>
              </w:rPr>
            </w:pPr>
          </w:p>
        </w:tc>
      </w:tr>
      <w:tr>
        <w:trPr>
          <w:trHeight w:val="31"/>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275.7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Cost of products sold increased by $4.5 million, or 5.2%, to $91.4 million for the three months ended December 31, 2023 as compared to $86.9 million for the three months ended December 31, 2022. Cost of products sold as a percentage of revenues was 33.0% for the three months ended December 31, 2023 as compared to 31.5% for the three months ended December 31, 2022. The increase in cost of products sold for the three month comparative period was primarily driven by the negative impact of foreign currency translation primarily due to the weakening of the U.S. dollar, the impact of inflation on the costs of certain raw materials (including freight), direct labor, and overhead, and the impact of negative year-over-year manufacturing variances primarily attributable to the planned temporary shutdown of our Suzhou, China facility as it relates to production for the domestic Chinese market. We intend to continue to work to improve productivity to help partially offset these increased costs.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increased by $17.5 million, or 24.0%, to $90.3 million for the three months ended December 31, 2023 as compared to $72.8 million for the three months ended December 31, 2022. The increase for the three month comparative period was primarily driven by an increase in compensation and benefit costs due to increased headcount.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$3.3 million, or 19.5%, to $20.2 million for the three months ended December 31, 2023 as compared to $16.9 million for the three months ended December 31, 2022. The increase for the three month comparative period was primarily driven by increased spending on our insulin patch pump platform. In December 2023, we submitted our first 510(k) premarket filing to the U.S. Food and Drug Administration ("FDA") for our proprietary disposable insulin delivery system.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incurred other operating expenses of $29.9 million and $10.3 million for the three months ended December 31, 2023 and 2022, respectively, driven by costs related to the Separation. The costs incurred primarily relate to accounting, auditing, legal services, supply chain, employee retention, increased costs associated with the implementation of our new ERP system and other Business Continuity Processes, and certain other costs to establish certain stand-alone functions to assist with the transition to being a stand-alone entity. As we continue to stand-up various corporate functions as a stand-alone publicly-traded company, we expect to incur similar costs associated with the same type of activities in the current year.</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recorded approximately $1.9 million of severance costs related to the optimization of certain business functions. These costs were primarily recorded in the U.S. Severance costs related to the optimization of certain business functions were not material in the comparable prior year period. Liabilities for costs associated with these activities were not material to any period presented.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Interest expense, net increased by $2.1 million to $27.7 million for the three months ended December 31, 2023 as compared to $25.6 million for the three months ended December 31, 2022. The increase for the three month comparative period is primarily a result of higher interest rates on our variable rate debt, primarily as a result of increases in SOFR that impacted our Term Loan, which was partially offset by an increase in interest income from amounts held in interest bearing accounts and money market funds. If the United States Federal Reserve resumes raising the benchmark interest rate, then we would expect the interest expense on our variable rate debt to increase during the remainder of fiscal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(expense), net, was $(3.5) million and $(7.1) million for the three months ended December 31, 2023 and 2022, respectively. The costs incurred primarily relate to amounts due to BD for income taxes payable incurred in deferred jurisdictions where BD is considered the primary obligor.</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(40.6)% and 37.3% for the three months ended December 31, 2023 and 2022, respectively. The decrease in the Company’s effective tax rate from the prior comparative period is primarily due to a tax benefit of approximately $17.1 million for the establishment of a deferred tax asset related to tax law changes in Switzerland. The tax law changes instituted a higher cantonal tax rate and additional tax basis that is amortizable for income tax purposes over a period of seven years.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share repurchases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933.4</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1,633.4</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1,592.9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0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1,585.9</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December 31, 2023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1,602.4</w:t>
            </w:r>
          </w:p>
        </w:tc>
      </w:tr>
      <w:tr>
        <w:trPr>
          <w:trHeight w:val="148"/>
        </w:trPr>
        <w:tc>
          <w:tcPr>
            <w:tcW w:w="5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5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bl>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December 31, 2023, we were in compliance with all of such covenants. The credit agreement and the senior secured are secured by substantially all assets of Embecta and each subsidiary guarantor, subject to certain exceptions.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11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December 31, 2023 by fiscal year are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16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Factoring Agreements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owes BD a service fee calculated as 0.1% of annual revenues related to countries subject to the agreement, in exchange for the services provided by BD pursuant to the Factoring Agreements.</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2023, the portion of the Factoring Agreement between Embecta and BD for services to the U.S. for the Company’s U.S. subsidiary expired and terminated as a result of our implementation and onboarding of certain Business Continuity Processes in North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2023 and June 2023, Moody’s Investor Services and Standard &amp; Poor’s Ratings Services published updates to our credit ratings of Ba3 and B+, respectively. These ratings remain unchanged from the initial published ratings from January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$298.7 million as of December 31, 2023 as compared to $326.5 million as of September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sources and uses of cash that contributed to the $27.8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2023 Cash and cash equivalents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2023 Cash and cash equivalents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w:t>
            </w: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 related to depreciation and amortization, stock-based compensation, and deferred income taxes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due to timing attributable to payments to vendors in the first quarter of fiscal 2024.</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of our implementation of certain Business Continuity Processes in North America, including our ERP system, that went live in November 2023, and the expiration and termination of a portion of the Factoring Agreement between Embecta and BD for services to the U.S. subsidiary, we are now responsible for the collection of any outstanding trade receivables in the U.S. The increase in trade receivables is a direct result of this impact, and we expect to convert these outstanding receivables due from customers into cash during fiscal 2024 in line with contractual payment terms.</w:t>
      </w:r>
    </w:p>
    <w:p>
      <w:pPr>
        <w:spacing w:after="0" w:line="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change in inventories is driven by product sales of certain inventory levels that had been built up at the end of fiscal 2023 in anticipation of our North America ERP system and other Business Continuity Processes that went live in November 2023</w:t>
      </w:r>
      <w:r>
        <w:rPr>
          <w:rFonts w:ascii="Times New Roman" w:cs="Times New Roman" w:eastAsia="Times New Roman" w:hAnsi="Times New Roman"/>
          <w:sz w:val="21"/>
          <w:szCs w:val="21"/>
          <w:color w:val="auto"/>
        </w:rPr>
        <w: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primarily relates to the termination of the portion of the Factoring Agreement between Embecta and BD for services to the U.S. subsidiary as we are now responsible for the collection of any outstanding trade receivables in the U.S.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change in prepaid expenses and other are primarily driven by a reduction in payments during the first quarter of fiscal 2024 to BD for future payments made to third parties on our behalf as a result of our implementation of certain Business Continuity Processes in North America, including our ERP system, that went live in November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was primarily due to the timing of required tax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due to costs capitalized associated with the implementation of our ERP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primarily comprised of capital expenditures of $2.7 million and $4.7 million during the three months ended December 31, 2023 and 2022, respectively, to support further expansion of our business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contractual obligations as of December 31, 2023,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significant costs associated with information technology infrastructure as we transition to our own systems. Lease obligations include lease agreements for which a contract has been signed even if the lease has not yet commenced. Refer to "Management's Discussion and Analysis of Financial Condition and Results of Operations" in our 2023 Form 10-K for further details. As of December 31, 2023, there have been no material changes to our contractual obligations outside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3 to the Consolidated Financial Statements included in our 2023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Embecta's 2023 Form 10-K. There have been no changes to our critical accounting policies as of December 31, 2023.</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18" w:lineRule="exact"/>
        <w:rPr>
          <w:sz w:val="20"/>
          <w:szCs w:val="20"/>
          <w:color w:val="auto"/>
        </w:rPr>
      </w:pPr>
    </w:p>
    <w:p>
      <w:pPr>
        <w:jc w:val="both"/>
        <w:ind w:left="660" w:right="38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extend the TSA, the LSA, and other transaction agreements or replace the services, including the Interim Business Continuity Processes, that BD currently provides to it on substantially similar terms as the terms on which BD is providing these services or that BD terminates such services.</w:t>
      </w:r>
    </w:p>
    <w:p>
      <w:pPr>
        <w:spacing w:after="0" w:line="10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FDA of any product, to market and sell such products successfully, to anticipate the needs of people with diabetes, and future business decisions by Embecta and its competitors.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impact of the COVID-19 pandemic or geopolitical instability on Embecta’s business, including disruptions in its operations and supply chains.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ERP, procedures and controls, diversion of management’s attention and the impact on relationships with customers, suppliers, employees and other business counterparties.</w:t>
      </w:r>
    </w:p>
    <w:p>
      <w:pPr>
        <w:spacing w:after="0" w:line="10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2023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Company's 2023 Form 10-K except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spacing w:after="0" w:line="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14,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December 31, 2023, a 100 basis points change in interest rates would have impacted interest expense on the Term Loan by $9.3 million on an annualized basis. To the extent we borrow on our revolving credit facility, we will be subject to risks related to changes in SOFR.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December 31, 2023.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TSA period, we will continue to rely on certain material processes and internal control over financial reporting performed by BD. There were no changes in our internal control over financial reporting during the fiscal quarter ended December 31, 2023 that have materially affected, or are reasonably likely to materially affect, Embecta’s internal control over financial reporting.</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2022, the Company commenced on the process of building a new ERP system and other Business Continuity Processes to replace the existing systems provided by BD. The ERP system is designed to accurately maintain the Company's financial records used to report operating results. The implementation of the Business Continuity Processes will occur in phases. The first phase of the implementation began in the fourth quarter of fiscal year 2023. The second phase began in the first quarter of fiscal year 2024 with the remaining phases expected to commence throughout the current calendar year. A standardized internal control framework is implemented with each phase as we move away from relying on BD’s systems and controls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Company will evaluate each quarter whether there are changes that materially affect, or are reasonably likely to materially affect our internal control over financial reporting.</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2023 Form 10-K, except for the addition of the following risk factor:</w:t>
      </w:r>
    </w:p>
    <w:p>
      <w:pPr>
        <w:spacing w:after="0" w:line="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first quarter of Embecta’s fiscal year 2024, Embecta submitted its first 510(k) premarket filing to the FDA for its proprietary disposable insulin delivery system. We cannot predict when, if ever, such submission will be cleared by the FDA, as the FDA can refuse to grant a 510(k) clearance for many reasons, including the system may not be deemed by the FDA to be substantially equivalent to appropriate predicate devices under the 510(k) pathway, the system may not satisfy the FDA’s safety or effectiveness requirements, or changes in FDA clearance policies or adoption of new regulations may require additional data. Even if cleared by the FDA or foreign regulatory agencies, future generations of our systems, expanded indications for use of future systems, our software platforms or any other system under development, may not be cleared for the indications that are necessary or desirable for successful commercialization.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6"/>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Amendment No. 1 to the Embecta Corp. 2022 Employee and Director Equity-Based Compensation Plan</w:t>
            </w: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2200" w:type="dxa"/>
            <w:vAlign w:val="bottom"/>
            <w:tcBorders>
              <w:top w:val="single" w:sz="8" w:color="0000FF"/>
            </w:tcBorders>
          </w:tcPr>
          <w:p>
            <w:pPr>
              <w:spacing w:after="0"/>
              <w:rPr>
                <w:sz w:val="24"/>
                <w:szCs w:val="24"/>
                <w:color w:val="auto"/>
              </w:rPr>
            </w:pPr>
          </w:p>
        </w:tc>
        <w:tc>
          <w:tcPr>
            <w:tcW w:w="2300" w:type="dxa"/>
            <w:vAlign w:val="bottom"/>
            <w:gridSpan w:val="3"/>
          </w:tcPr>
          <w:p>
            <w:pPr>
              <w:spacing w:after="0"/>
              <w:rPr>
                <w:sz w:val="24"/>
                <w:szCs w:val="24"/>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51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38" w:lineRule="exact"/>
        <w:rPr>
          <w:sz w:val="20"/>
          <w:szCs w:val="20"/>
          <w:color w:val="auto"/>
        </w:rPr>
      </w:pPr>
    </w:p>
    <w:p>
      <w:pPr>
        <w:ind w:left="560" w:hanging="534"/>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9" w:lineRule="exact"/>
        <w:rPr>
          <w:sz w:val="20"/>
          <w:szCs w:val="20"/>
          <w:color w:val="auto"/>
        </w:rPr>
      </w:pPr>
    </w:p>
    <w:p>
      <w:pPr>
        <w:ind w:left="560" w:hanging="534"/>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Capone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2024</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Capone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40"/>
          </w:cols>
          <w:pgMar w:left="320" w:top="22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u w:val="single" w:color="auto"/>
          <w:color w:val="auto"/>
        </w:rPr>
        <w:t>Amendment No. 1 to the Embecta Corp. 2022 Employee and Director Equity-Based Compensation Plan</w:t>
      </w:r>
    </w:p>
    <w:p>
      <w:pPr>
        <w:spacing w:after="0" w:line="116" w:lineRule="exact"/>
        <w:rPr>
          <w:sz w:val="20"/>
          <w:szCs w:val="20"/>
          <w:color w:val="auto"/>
        </w:rPr>
      </w:pPr>
    </w:p>
    <w:p>
      <w:pPr>
        <w:ind w:right="340"/>
        <w:spacing w:after="0" w:line="230" w:lineRule="auto"/>
        <w:rPr>
          <w:sz w:val="20"/>
          <w:szCs w:val="20"/>
          <w:color w:val="auto"/>
        </w:rPr>
      </w:pPr>
      <w:r>
        <w:rPr>
          <w:rFonts w:ascii="Verdana" w:cs="Verdana" w:eastAsia="Verdana" w:hAnsi="Verdana"/>
          <w:sz w:val="16"/>
          <w:szCs w:val="16"/>
          <w:color w:val="auto"/>
        </w:rPr>
        <w:t>This Amendment (the “Amendment”) to the Embecta Corp. 2022 Employee and Director Equity-Based Compensation Plan (the “2022 Plan”), is made effective as of the 7th day of February, 2024, by Embecta Corporation, a Delaware corporation (the “Company”).</w:t>
      </w:r>
    </w:p>
    <w:p>
      <w:pPr>
        <w:spacing w:after="0" w:line="86" w:lineRule="exact"/>
        <w:rPr>
          <w:sz w:val="20"/>
          <w:szCs w:val="20"/>
          <w:color w:val="auto"/>
        </w:rPr>
      </w:pPr>
    </w:p>
    <w:p>
      <w:pPr>
        <w:spacing w:after="0"/>
        <w:rPr>
          <w:sz w:val="20"/>
          <w:szCs w:val="20"/>
          <w:color w:val="auto"/>
        </w:rPr>
      </w:pPr>
      <w:r>
        <w:rPr>
          <w:rFonts w:ascii="Verdana" w:cs="Verdana" w:eastAsia="Verdana" w:hAnsi="Verdana"/>
          <w:sz w:val="16"/>
          <w:szCs w:val="16"/>
          <w:color w:val="auto"/>
        </w:rPr>
        <w:t>1. Amendment to Section 5(a) of the 2022 Plan. Section 5(a) of the 2022 Plan is deleted in its entirety and replaced with the following:</w:t>
      </w:r>
    </w:p>
    <w:p>
      <w:pPr>
        <w:spacing w:after="0" w:line="116" w:lineRule="exact"/>
        <w:rPr>
          <w:sz w:val="20"/>
          <w:szCs w:val="20"/>
          <w:color w:val="auto"/>
        </w:rPr>
      </w:pPr>
    </w:p>
    <w:p>
      <w:pPr>
        <w:ind w:left="660" w:right="40"/>
        <w:spacing w:after="0" w:line="209" w:lineRule="auto"/>
        <w:rPr>
          <w:sz w:val="20"/>
          <w:szCs w:val="20"/>
          <w:color w:val="auto"/>
        </w:rPr>
      </w:pPr>
      <w:r>
        <w:rPr>
          <w:rFonts w:ascii="Verdana" w:cs="Verdana" w:eastAsia="Verdana" w:hAnsi="Verdana"/>
          <w:sz w:val="16"/>
          <w:szCs w:val="16"/>
          <w:color w:val="auto"/>
        </w:rPr>
        <w:t>The number of Shares available for issuance under the Plan is 10,189,000 shares, which includes Shares subject to all Assumed Spin-Off Awards, subject to adjustment as provided below. Notwithstanding the foregoing and subject to adjustment as provided in Sections 5(e) and 5(f), the maximum number of Shares that may be granted pursuant to Stock Options intended to be Incentive Stock Options shall be 10,189,000 Shares. The maximum number of Shares available to be granted pursuant to Awards to any non-employee director under the Plan in any fiscal year of the Company shall be equal to $500,000 as of the applicable date of grant.</w:t>
      </w:r>
    </w:p>
    <w:p>
      <w:pPr>
        <w:spacing w:after="0" w:line="104" w:lineRule="exact"/>
        <w:rPr>
          <w:sz w:val="20"/>
          <w:szCs w:val="20"/>
          <w:color w:val="auto"/>
        </w:rPr>
      </w:pPr>
    </w:p>
    <w:p>
      <w:pPr>
        <w:ind w:right="300" w:firstLine="8"/>
        <w:spacing w:after="0" w:line="230" w:lineRule="auto"/>
        <w:tabs>
          <w:tab w:leader="none" w:pos="219" w:val="left"/>
        </w:tabs>
        <w:numPr>
          <w:ilvl w:val="0"/>
          <w:numId w:val="11"/>
        </w:numPr>
        <w:rPr>
          <w:rFonts w:ascii="Verdana" w:cs="Verdana" w:eastAsia="Verdana" w:hAnsi="Verdana"/>
          <w:sz w:val="16"/>
          <w:szCs w:val="16"/>
          <w:color w:val="auto"/>
        </w:rPr>
      </w:pPr>
      <w:r>
        <w:rPr>
          <w:rFonts w:ascii="Verdana" w:cs="Verdana" w:eastAsia="Verdana" w:hAnsi="Verdana"/>
          <w:sz w:val="16"/>
          <w:szCs w:val="16"/>
          <w:color w:val="auto"/>
        </w:rPr>
        <w:t>Amendment to Section 13(b) of the 2022 Plan. The second sentence of Section 13(b) of the 2022 Plan is deleted in its entirety and replaced with the following:</w:t>
      </w:r>
    </w:p>
    <w:p>
      <w:pPr>
        <w:spacing w:after="0" w:line="86" w:lineRule="exact"/>
        <w:rPr>
          <w:sz w:val="20"/>
          <w:szCs w:val="20"/>
          <w:color w:val="auto"/>
        </w:rPr>
      </w:pPr>
    </w:p>
    <w:p>
      <w:pPr>
        <w:ind w:left="660"/>
        <w:spacing w:after="0" w:line="220" w:lineRule="auto"/>
        <w:rPr>
          <w:sz w:val="20"/>
          <w:szCs w:val="20"/>
          <w:color w:val="auto"/>
        </w:rPr>
      </w:pPr>
      <w:r>
        <w:rPr>
          <w:rFonts w:ascii="Verdana" w:cs="Verdana" w:eastAsia="Verdana" w:hAnsi="Verdana"/>
          <w:sz w:val="16"/>
          <w:szCs w:val="16"/>
          <w:color w:val="auto"/>
        </w:rPr>
        <w:t>In no event shall an outstanding Option or Stock Appreciation Right for which the exercise price is less than the Fair Market Value of a Share be cancelled in exchange for cash or any other Award (including, except as provided in Sections 5(e) and 5(f), a new Option or Stock Appreciation Right with a lower exercise price), without approval of the Company’s shareholders.</w:t>
      </w:r>
    </w:p>
    <w:p>
      <w:pPr>
        <w:spacing w:after="0" w:line="100" w:lineRule="exact"/>
        <w:rPr>
          <w:sz w:val="20"/>
          <w:szCs w:val="20"/>
          <w:color w:val="auto"/>
        </w:rPr>
      </w:pPr>
    </w:p>
    <w:p>
      <w:pPr>
        <w:spacing w:after="0"/>
        <w:rPr>
          <w:sz w:val="20"/>
          <w:szCs w:val="20"/>
          <w:color w:val="auto"/>
        </w:rPr>
      </w:pPr>
      <w:r>
        <w:rPr>
          <w:rFonts w:ascii="Verdana" w:cs="Verdana" w:eastAsia="Verdana" w:hAnsi="Verdana"/>
          <w:sz w:val="16"/>
          <w:szCs w:val="16"/>
          <w:color w:val="auto"/>
        </w:rPr>
        <w:t>3. Addition of a new Section 17 to the 2022 Plan. The following new Section should be added to the 2022 Plan:</w:t>
      </w:r>
    </w:p>
    <w:p>
      <w:pPr>
        <w:spacing w:after="0" w:line="116" w:lineRule="exact"/>
        <w:rPr>
          <w:sz w:val="20"/>
          <w:szCs w:val="20"/>
          <w:color w:val="auto"/>
        </w:rPr>
      </w:pPr>
    </w:p>
    <w:p>
      <w:pPr>
        <w:ind w:left="660"/>
        <w:spacing w:after="0"/>
        <w:rPr>
          <w:sz w:val="20"/>
          <w:szCs w:val="20"/>
          <w:color w:val="auto"/>
        </w:rPr>
      </w:pPr>
      <w:r>
        <w:rPr>
          <w:rFonts w:ascii="Verdana" w:cs="Verdana" w:eastAsia="Verdana" w:hAnsi="Verdana"/>
          <w:sz w:val="16"/>
          <w:szCs w:val="16"/>
          <w:color w:val="auto"/>
        </w:rPr>
        <w:t xml:space="preserve">Section 15. </w:t>
      </w:r>
      <w:r>
        <w:rPr>
          <w:rFonts w:ascii="Verdana" w:cs="Verdana" w:eastAsia="Verdana" w:hAnsi="Verdana"/>
          <w:sz w:val="16"/>
          <w:szCs w:val="16"/>
          <w:i w:val="1"/>
          <w:iCs w:val="1"/>
          <w:color w:val="auto"/>
        </w:rPr>
        <w:t>Dividend Rights and Dividend Equivalents.</w:t>
      </w:r>
    </w:p>
    <w:p>
      <w:pPr>
        <w:spacing w:after="0" w:line="103" w:lineRule="exact"/>
        <w:rPr>
          <w:sz w:val="20"/>
          <w:szCs w:val="20"/>
          <w:color w:val="auto"/>
        </w:rPr>
      </w:pPr>
    </w:p>
    <w:p>
      <w:pPr>
        <w:ind w:left="660" w:right="20"/>
        <w:spacing w:after="0" w:line="208" w:lineRule="auto"/>
        <w:rPr>
          <w:sz w:val="20"/>
          <w:szCs w:val="20"/>
          <w:color w:val="auto"/>
        </w:rPr>
      </w:pPr>
      <w:r>
        <w:rPr>
          <w:rFonts w:ascii="Verdana" w:cs="Verdana" w:eastAsia="Verdana" w:hAnsi="Verdana"/>
          <w:sz w:val="16"/>
          <w:szCs w:val="16"/>
          <w:color w:val="auto"/>
        </w:rPr>
        <w:t>The Committee may provide that an Award other than an Option or a Stock Appreciation Right include dividend rights and dividend equivalents. Dividend equivalents may also be granted to Participants at such time or times as shall be determined by the Committee, in tandem with other Awards, in addition to other Awards, or freestanding and unrelated to other Awards. Dividend equivalents may, at the discretion of the Committee, be fully vested and nonforfeitable when granted or subject to such vesting conditions as determined by the Committee; provided that dividend rights, dividend equivalents or other distributions on Awards that are subject to vesting criteria shall not be fully vested until the Awards have been earned and shall be forfeited if the related Award is forfeited.</w:t>
      </w:r>
    </w:p>
    <w:p>
      <w:pPr>
        <w:spacing w:after="0" w:line="103" w:lineRule="exact"/>
        <w:rPr>
          <w:sz w:val="20"/>
          <w:szCs w:val="20"/>
          <w:color w:val="auto"/>
        </w:rPr>
      </w:pPr>
    </w:p>
    <w:p>
      <w:pPr>
        <w:spacing w:after="0"/>
        <w:rPr>
          <w:sz w:val="20"/>
          <w:szCs w:val="20"/>
          <w:color w:val="auto"/>
        </w:rPr>
      </w:pPr>
      <w:r>
        <w:rPr>
          <w:rFonts w:ascii="Verdana" w:cs="Verdana" w:eastAsia="Verdana" w:hAnsi="Verdana"/>
          <w:sz w:val="16"/>
          <w:szCs w:val="16"/>
          <w:color w:val="auto"/>
        </w:rPr>
        <w:t>4. Continued Effect. Except as set forth herein, the 2022 Plan shall remain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60" w:hanging="332"/>
        <w:spacing w:after="0" w:line="24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15d-15(e)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60" w:hanging="332"/>
        <w:spacing w:after="0" w:line="24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15d-15(e)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as filed with the Securities and Exchange Commission (the “Report”).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2024-02-09T11:35:59Z</dcterms:created>
  <dcterms:modified xsi:type="dcterms:W3CDTF">2024-02-09T11:35:59Z</dcterms:modified>
</cp:coreProperties>
</file>