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  <w:w w:val="99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9"/>
                </w:rPr>
                <w:t>BECTON DICKINSON &amp; CO</w:t>
              </w:r>
            </w:hyperlink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Embecta Corp.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EMBC WI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ONE BECTON DRIVE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FRANKLIN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NJ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07417</w:t>
            </w:r>
          </w:p>
        </w:tc>
      </w:tr>
      <w:tr>
        <w:trPr>
          <w:trHeight w:val="248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LAKES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Stock, par value $0.01 per share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1,000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Gregory Rodetis,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Senior Vice President &amp;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jc w:val="right"/>
              <w:ind w:right="12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02/10/2022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3"/>
              </w:rPr>
              <w:t>Treasurer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0010795" TargetMode="External"/><Relationship Id="rId11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2022-02-12T00:03:56Z</dcterms:created>
  <dcterms:modified xsi:type="dcterms:W3CDTF">2022-02-12T00:03:56Z</dcterms:modified>
</cp:coreProperties>
</file>