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241935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82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82"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001-41186</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w w:val="98"/>
              </w:rPr>
              <w:t>87-1583942</w:t>
            </w:r>
          </w:p>
        </w:tc>
      </w:tr>
      <w:tr>
        <w:trPr>
          <w:trHeight w:val="191"/>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20" w:type="dxa"/>
            <w:vAlign w:val="bottom"/>
          </w:tcPr>
          <w:p>
            <w:pPr>
              <w:jc w:val="center"/>
              <w:ind w:left="14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31"/>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(862) 401-0000</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82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ectPr>
          <w:pgSz w:w="11900" w:h="16838" w:orient="portrait"/>
          <w:cols w:equalWidth="0" w:num="1">
            <w:col w:w="11240"/>
          </w:cols>
          <w:pgMar w:left="320" w:top="1440" w:right="339" w:bottom="0" w:gutter="0" w:footer="0" w:header="0"/>
          <w:type w:val="continuous"/>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On August 9, 2024, Embecta Corp. issued a press release (the “Press Release”) regarding its results for the quarter ended June 30, 2024. The Press Release is furnished as Exhibit 99.1 to this report.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8"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furnished as an exhibit to this report:</w:t>
      </w:r>
    </w:p>
    <w:p>
      <w:pPr>
        <w:spacing w:after="0" w:line="306"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August 9, 2024.</w:t>
      </w:r>
    </w:p>
    <w:p>
      <w:pPr>
        <w:spacing w:after="0" w:line="320"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p>
      <w:pPr>
        <w:ind w:left="20"/>
        <w:spacing w:after="0"/>
        <w:tabs>
          <w:tab w:leader="none" w:pos="5320" w:val="left"/>
          <w:tab w:leader="none" w:pos="5900" w:val="left"/>
        </w:tabs>
        <w:rPr>
          <w:sz w:val="20"/>
          <w:szCs w:val="20"/>
          <w:color w:val="auto"/>
        </w:rPr>
      </w:pPr>
      <w:r>
        <w:rPr>
          <w:rFonts w:ascii="Times New Roman" w:cs="Times New Roman" w:eastAsia="Times New Roman" w:hAnsi="Times New Roman"/>
          <w:sz w:val="18"/>
          <w:szCs w:val="18"/>
          <w:color w:val="auto"/>
        </w:rPr>
        <w:t>Dated: 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Jacob Elguicze</w:t>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2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114871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1435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Embecta Corp. Reports Third Quarter Fiscal 2024 Financial Results</w:t>
      </w:r>
    </w:p>
    <w:p>
      <w:pPr>
        <w:spacing w:after="0" w:line="283"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color w:val="auto"/>
        </w:rPr>
        <w:t xml:space="preserve">PARSIPPANY, N.J., </w:t>
      </w:r>
      <w:r>
        <w:rPr>
          <w:rFonts w:ascii="Arial" w:cs="Arial" w:eastAsia="Arial" w:hAnsi="Arial"/>
          <w:sz w:val="17"/>
          <w:szCs w:val="17"/>
          <w:color w:val="auto"/>
        </w:rPr>
        <w:t>Aug 9, 2024 (GLOBE NEWSWIRE) – Embecta Corp. (“embecta” or the "Company") (Nasdaq: EMBC),</w:t>
      </w:r>
      <w:r>
        <w:rPr>
          <w:rFonts w:ascii="Arial" w:cs="Arial" w:eastAsia="Arial" w:hAnsi="Arial"/>
          <w:sz w:val="17"/>
          <w:szCs w:val="17"/>
          <w:b w:val="1"/>
          <w:bCs w:val="1"/>
          <w:color w:val="auto"/>
        </w:rPr>
        <w:t xml:space="preserve"> </w:t>
      </w:r>
      <w:r>
        <w:rPr>
          <w:rFonts w:ascii="Arial" w:cs="Arial" w:eastAsia="Arial" w:hAnsi="Arial"/>
          <w:sz w:val="17"/>
          <w:szCs w:val="17"/>
          <w:color w:val="auto"/>
        </w:rPr>
        <w:t>a global diabetes care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today reported financial results for the three and nine month periods ended June 30, 2024.</w:t>
      </w:r>
    </w:p>
    <w:p>
      <w:pPr>
        <w:spacing w:after="0" w:line="8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"During the third quarter our business performed in alignment with our expectations. We generated strong gross, operating and EBITDA margins even as revenue was impacted by the expected timing of customer orders that had positively impacted our second quarter results," said Devdatt (Dev) Kurdikar, Chief Executive Officer of embecta. "From a year-to-date perspective, our financial results demonstrated the continued resilience and stability of our business."</w:t>
      </w:r>
    </w:p>
    <w:p>
      <w:pPr>
        <w:spacing w:after="0" w:line="123"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"Additionally, I’m proud of the significant strides we have made as an organization in advancing our strategic priorities, including the transition to our own enterprise resource planning (“ERP”) system, shared service capability and distribution infrastructure, which is now complete in most regions of the world. Furthermore, we made progress on our 510(k) application for the open-loop patch pump program. Lastly, given the strong year-to-date performance, coupled with our outlook for the remainder of the year, we are once again tightening and raising our fiscal 2024 outlook for certain financial metrics."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Third Quarter Fiscal Year 2024 Financial Highlights</w:t>
      </w:r>
      <w:r>
        <w:rPr>
          <w:rFonts w:ascii="Arial" w:cs="Arial" w:eastAsia="Arial" w:hAnsi="Arial"/>
          <w:sz w:val="17"/>
          <w:szCs w:val="17"/>
          <w:b w:val="1"/>
          <w:bCs w:val="1"/>
          <w:color w:val="auto"/>
        </w:rPr>
        <w:t>:</w:t>
      </w:r>
    </w:p>
    <w:p>
      <w:pPr>
        <w:spacing w:after="0" w:line="169"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Revenues of $272.5 million, down 4.8% on a reported basis; down 3.9% on a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U.S. revenues decreased 6.7% on both a reported and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International revenues decreased 2.5% on a reported basis, and 0.6% on a constant currency basis</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profit and margin of $190.1 million and 69.8%, compared to $189.5 million and 66.2% in the prior year period</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gross profit and margin of $190.3 million and 69.8%, compared to $189.6 million and 66.3%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income and margin of $55.9 million and 20.5%, compared to $51.3 million and 17.9%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operating income and margin of $83.3 million and 30.6%, compared to $79.8 million and 27.9%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and earnings per diluted share of $14.7 million and $0.25, compared to $15.2 million and $0.26 in the prior year period</w:t>
      </w:r>
    </w:p>
    <w:p>
      <w:pPr>
        <w:spacing w:after="0" w:line="155"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net income and adjusted earnings per diluted share of $43.0 million and $0.74, compared to $39.8 million and $0.69 in the prior year period</w:t>
      </w:r>
    </w:p>
    <w:p>
      <w:pPr>
        <w:spacing w:after="0" w:line="90"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and margin of $99.2 million and 36.4%, compared to $92.2 million and 32.2%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Announced a dividend of $0.15 per share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auto"/>
        </w:rPr>
        <w:t>Nine Months Ended June 30 2024 Financial Highlights</w:t>
      </w:r>
      <w:r>
        <w:rPr>
          <w:rFonts w:ascii="Arial" w:cs="Arial" w:eastAsia="Arial" w:hAnsi="Arial"/>
          <w:sz w:val="17"/>
          <w:szCs w:val="17"/>
          <w:b w:val="1"/>
          <w:bCs w:val="1"/>
          <w:color w:val="auto"/>
        </w:rPr>
        <w:t>:</w:t>
      </w:r>
    </w:p>
    <w:p>
      <w:pPr>
        <w:spacing w:after="0" w:line="169"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Revenues of $837.0 million, down 0.2% on a reported basis; up 0.1% on a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U.S. revenues decreased 2.2% on both a reported and constant currency basis</w:t>
      </w:r>
    </w:p>
    <w:p>
      <w:pPr>
        <w:spacing w:after="0" w:line="209"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International revenues increased 2.0% on a reported basis, and 2.7% on a constant currency basis</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Gross profit and margin of $561.4 million and 67.1%, compared to $568.1 million and 67.7%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gross profit and margin of $562.4 million and 67.2%, compared to $568.6 million and 67.8% in the prior year period</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income and margin of $140.6 million and 16.8%, compared to $195.7 million and 23.3%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operating income and margin of $235.7 million and 28.2%, compared to $266.3 million and 31.7%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Net income and earnings per diluted share of $63.7 million and $1.10, compared to $64.4 million and $1.12 in the prior year period</w:t>
      </w:r>
    </w:p>
    <w:p>
      <w:pPr>
        <w:spacing w:after="0" w:line="169" w:lineRule="exact"/>
        <w:rPr>
          <w:rFonts w:ascii="Arial" w:cs="Arial" w:eastAsia="Arial" w:hAnsi="Arial"/>
          <w:sz w:val="17"/>
          <w:szCs w:val="17"/>
          <w:color w:val="auto"/>
        </w:rPr>
      </w:pPr>
    </w:p>
    <w:p>
      <w:pPr>
        <w:ind w:left="660" w:hanging="328"/>
        <w:spacing w:after="0" w:line="267"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net income and adjusted earnings per diluted share of $117.2 million and $2.02, compared to $138.5 million and $2.40 in the prior year period</w:t>
      </w:r>
    </w:p>
    <w:p>
      <w:pPr>
        <w:spacing w:after="0" w:line="118"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EBITDA and margin of $280.4 million and 33.5%, compared to $299.1 million and 35.7% in the prior year period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Strategic Highlights</w:t>
      </w:r>
      <w:r>
        <w:rPr>
          <w:rFonts w:ascii="Arial" w:cs="Arial" w:eastAsia="Arial" w:hAnsi="Arial"/>
          <w:sz w:val="17"/>
          <w:szCs w:val="17"/>
          <w:b w:val="1"/>
          <w:bCs w:val="1"/>
          <w:color w:val="auto"/>
        </w:rPr>
        <w:t>:</w:t>
      </w:r>
    </w:p>
    <w:p>
      <w:pPr>
        <w:spacing w:after="0" w:line="19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7"/>
          <w:szCs w:val="17"/>
          <w:i w:val="1"/>
          <w:iCs w:val="1"/>
          <w:color w:val="auto"/>
        </w:rPr>
        <w:t>Strengthen the base business</w:t>
      </w:r>
    </w:p>
    <w:p>
      <w:pPr>
        <w:spacing w:after="0" w:line="180" w:lineRule="exact"/>
        <w:rPr>
          <w:rFonts w:ascii="Arial" w:cs="Arial" w:eastAsia="Arial" w:hAnsi="Arial"/>
          <w:sz w:val="22"/>
          <w:szCs w:val="22"/>
          <w:color w:val="auto"/>
        </w:rPr>
      </w:pPr>
    </w:p>
    <w:p>
      <w:pPr>
        <w:ind w:left="1300" w:hanging="320"/>
        <w:spacing w:after="0" w:line="228" w:lineRule="auto"/>
        <w:tabs>
          <w:tab w:leader="none" w:pos="1296" w:val="left"/>
        </w:tabs>
        <w:numPr>
          <w:ilvl w:val="1"/>
          <w:numId w:val="5"/>
        </w:numPr>
        <w:rPr>
          <w:rFonts w:ascii="Arial" w:cs="Arial" w:eastAsia="Arial" w:hAnsi="Arial"/>
          <w:sz w:val="22"/>
          <w:szCs w:val="22"/>
          <w:color w:val="auto"/>
        </w:rPr>
      </w:pPr>
      <w:r>
        <w:rPr>
          <w:rFonts w:ascii="Arial" w:cs="Arial" w:eastAsia="Arial" w:hAnsi="Arial"/>
          <w:sz w:val="17"/>
          <w:szCs w:val="17"/>
          <w:color w:val="auto"/>
        </w:rPr>
        <w:t>Initiated a program with the objective of introducing a new small-pack pen needle product in Germany, to address unmet needs of growing number of customers using GLP-1</w:t>
      </w:r>
    </w:p>
    <w:p>
      <w:pPr>
        <w:spacing w:after="0" w:line="15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7"/>
          <w:szCs w:val="17"/>
          <w:i w:val="1"/>
          <w:iCs w:val="1"/>
          <w:color w:val="auto"/>
        </w:rPr>
        <w:t>Separate and stand-up</w:t>
      </w:r>
    </w:p>
    <w:p>
      <w:pPr>
        <w:spacing w:after="0" w:line="180" w:lineRule="exact"/>
        <w:rPr>
          <w:rFonts w:ascii="Arial" w:cs="Arial" w:eastAsia="Arial" w:hAnsi="Arial"/>
          <w:sz w:val="22"/>
          <w:szCs w:val="22"/>
          <w:color w:val="auto"/>
        </w:rPr>
      </w:pPr>
    </w:p>
    <w:p>
      <w:pPr>
        <w:ind w:left="1300" w:hanging="320"/>
        <w:spacing w:after="0" w:line="235" w:lineRule="auto"/>
        <w:tabs>
          <w:tab w:leader="none" w:pos="1350" w:val="left"/>
        </w:tabs>
        <w:numPr>
          <w:ilvl w:val="1"/>
          <w:numId w:val="5"/>
        </w:numPr>
        <w:rPr>
          <w:rFonts w:ascii="Arial" w:cs="Arial" w:eastAsia="Arial" w:hAnsi="Arial"/>
          <w:sz w:val="22"/>
          <w:szCs w:val="22"/>
          <w:color w:val="auto"/>
        </w:rPr>
      </w:pPr>
      <w:r>
        <w:rPr>
          <w:rFonts w:ascii="Arial" w:cs="Arial" w:eastAsia="Arial" w:hAnsi="Arial"/>
          <w:sz w:val="17"/>
          <w:szCs w:val="17"/>
          <w:color w:val="auto"/>
        </w:rPr>
        <w:t>Completed implementation of ERP, operationalization of shared service capability and distribution network in China; now approximately 93% of our global revenue is operating on our systems and processes</w:t>
      </w:r>
    </w:p>
    <w:p>
      <w:pPr>
        <w:spacing w:after="0" w:line="15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7"/>
          <w:szCs w:val="17"/>
          <w:i w:val="1"/>
          <w:iCs w:val="1"/>
          <w:color w:val="auto"/>
        </w:rPr>
        <w:t>Invest for growth</w:t>
      </w:r>
    </w:p>
    <w:p>
      <w:pPr>
        <w:spacing w:after="0" w:line="139" w:lineRule="exact"/>
        <w:rPr>
          <w:rFonts w:ascii="Arial" w:cs="Arial" w:eastAsia="Arial" w:hAnsi="Arial"/>
          <w:sz w:val="22"/>
          <w:szCs w:val="22"/>
          <w:color w:val="auto"/>
        </w:rPr>
      </w:pPr>
    </w:p>
    <w:p>
      <w:pPr>
        <w:ind w:left="1300" w:hanging="320"/>
        <w:spacing w:after="0"/>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Progressed the U.S. Food and Drug Administration (“FDA”) 510(k) premarket filing of our open-loop insulin delivery system</w:t>
      </w:r>
    </w:p>
    <w:p>
      <w:pPr>
        <w:spacing w:after="0" w:line="169" w:lineRule="exact"/>
        <w:rPr>
          <w:rFonts w:ascii="Arial" w:cs="Arial" w:eastAsia="Arial" w:hAnsi="Arial"/>
          <w:sz w:val="17"/>
          <w:szCs w:val="17"/>
          <w:color w:val="auto"/>
        </w:rPr>
      </w:pPr>
    </w:p>
    <w:p>
      <w:pPr>
        <w:ind w:left="1300" w:hanging="320"/>
        <w:spacing w:after="0" w:line="267" w:lineRule="auto"/>
        <w:tabs>
          <w:tab w:leader="none" w:pos="1307" w:val="left"/>
        </w:tabs>
        <w:numPr>
          <w:ilvl w:val="1"/>
          <w:numId w:val="5"/>
        </w:numPr>
        <w:rPr>
          <w:rFonts w:ascii="Arial" w:cs="Arial" w:eastAsia="Arial" w:hAnsi="Arial"/>
          <w:sz w:val="17"/>
          <w:szCs w:val="17"/>
          <w:color w:val="auto"/>
        </w:rPr>
      </w:pPr>
      <w:r>
        <w:rPr>
          <w:rFonts w:ascii="Arial" w:cs="Arial" w:eastAsia="Arial" w:hAnsi="Arial"/>
          <w:sz w:val="17"/>
          <w:szCs w:val="17"/>
          <w:color w:val="auto"/>
        </w:rPr>
        <w:t>Advanced the development of a type 2 closed loop insulin delivery system utilizing embecta’s proprietary patch pump system, which carries Breakthrough Device Designation from the FDA</w:t>
      </w:r>
    </w:p>
    <w:p>
      <w:pPr>
        <w:spacing w:after="0" w:line="118" w:lineRule="exact"/>
        <w:rPr>
          <w:rFonts w:ascii="Arial" w:cs="Arial" w:eastAsia="Arial" w:hAnsi="Arial"/>
          <w:sz w:val="17"/>
          <w:szCs w:val="17"/>
          <w:color w:val="auto"/>
        </w:rPr>
      </w:pPr>
    </w:p>
    <w:p>
      <w:pPr>
        <w:ind w:left="1300" w:right="20" w:hanging="320"/>
        <w:spacing w:after="0" w:line="267" w:lineRule="auto"/>
        <w:tabs>
          <w:tab w:leader="none" w:pos="1307" w:val="left"/>
        </w:tabs>
        <w:numPr>
          <w:ilvl w:val="1"/>
          <w:numId w:val="5"/>
        </w:numPr>
        <w:rPr>
          <w:rFonts w:ascii="Arial" w:cs="Arial" w:eastAsia="Arial" w:hAnsi="Arial"/>
          <w:sz w:val="17"/>
          <w:szCs w:val="17"/>
          <w:color w:val="auto"/>
        </w:rPr>
      </w:pPr>
      <w:r>
        <w:rPr>
          <w:rFonts w:ascii="Arial" w:cs="Arial" w:eastAsia="Arial" w:hAnsi="Arial"/>
          <w:sz w:val="17"/>
          <w:szCs w:val="17"/>
          <w:color w:val="auto"/>
        </w:rPr>
        <w:t>Presented embecta-sponsored abstracts at American Diabetes Association’s 84th scientific sessions highlighting unmet need for patch pumps with 300 unit insulin reservoir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076"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t>Third Quarter Fiscal Year 2024 Results: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Revenues by geographic region are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Increase/(decrease)</w:t>
            </w:r>
          </w:p>
        </w:tc>
        <w:tc>
          <w:tcPr>
            <w:tcW w:w="1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As Reported</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c>
          <w:tcPr>
            <w:tcW w:w="0" w:type="dxa"/>
            <w:vAlign w:val="bottom"/>
          </w:tcPr>
          <w:p>
            <w:pPr>
              <w:spacing w:after="0"/>
              <w:rPr>
                <w:sz w:val="1"/>
                <w:szCs w:val="1"/>
                <w:color w:val="auto"/>
              </w:rPr>
            </w:pPr>
          </w:p>
        </w:tc>
      </w:tr>
      <w:tr>
        <w:trPr>
          <w:trHeight w:val="242"/>
        </w:trPr>
        <w:tc>
          <w:tcPr>
            <w:tcW w:w="18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90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92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18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128.9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900" w:type="dxa"/>
            <w:vAlign w:val="bottom"/>
          </w:tcPr>
          <w:p>
            <w:pPr>
              <w:ind w:left="140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920" w:type="dxa"/>
            <w:vAlign w:val="bottom"/>
          </w:tcPr>
          <w:p>
            <w:pPr>
              <w:ind w:left="14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8"/>
        </w:trPr>
        <w:tc>
          <w:tcPr>
            <w:tcW w:w="1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Our revenues decreased by $13.6 million, or 4.8%, to $272.5 million for the three months ended June 30, 2024 as compared to revenues of $286.1 million for the three months ended June 30, 2023. Changes in revenues are driven by the volume of goods that the Company sells, the prices it negotiates with customers, and changes in foreign exchange rates. The decrease in revenues was driven by $24.4 million of unfavorable changes in volume and $2.5 million associated with the negative impact of foreign currency translation primarily due to the strengthening of the U.S. dollar. This was partially offset by $7.8 million of favorable gross-to-net adjustments resulting from changes in estimates, $4.9 million of favorable changes in price, and a $0.6 million increase in contract manufacturing revenues related to sales of non-diabetes products to BD.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Nine Months Ended June 30, 2024 Results: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Revenues by geographic region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2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Nine months ended June 30,</w:t>
            </w: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Increase/(decrease)</w:t>
            </w:r>
          </w:p>
        </w:tc>
        <w:tc>
          <w:tcPr>
            <w:tcW w:w="1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ind w:left="460"/>
              <w:spacing w:after="0"/>
              <w:rPr>
                <w:sz w:val="20"/>
                <w:szCs w:val="20"/>
                <w:color w:val="auto"/>
              </w:rPr>
            </w:pPr>
            <w:r>
              <w:rPr>
                <w:rFonts w:ascii="Arial" w:cs="Arial" w:eastAsia="Arial" w:hAnsi="Arial"/>
                <w:sz w:val="16"/>
                <w:szCs w:val="16"/>
                <w:b w:val="1"/>
                <w:bCs w:val="1"/>
                <w:color w:val="auto"/>
              </w:rPr>
              <w:t>As Reported</w:t>
            </w:r>
          </w:p>
        </w:tc>
        <w:tc>
          <w:tcPr>
            <w:tcW w:w="1920" w:type="dxa"/>
            <w:vAlign w:val="bottom"/>
          </w:tcPr>
          <w:p>
            <w:pPr>
              <w:jc w:val="right"/>
              <w:ind w:right="139"/>
              <w:spacing w:after="0"/>
              <w:rPr>
                <w:sz w:val="20"/>
                <w:szCs w:val="20"/>
                <w:color w:val="auto"/>
              </w:rPr>
            </w:pPr>
            <w:r>
              <w:rPr>
                <w:rFonts w:ascii="Arial" w:cs="Arial" w:eastAsia="Arial" w:hAnsi="Arial"/>
                <w:sz w:val="16"/>
                <w:szCs w:val="16"/>
                <w:b w:val="1"/>
                <w:bCs w:val="1"/>
                <w:color w:val="auto"/>
              </w:rPr>
              <w:t>Constant Currency</w:t>
            </w:r>
          </w:p>
        </w:tc>
        <w:tc>
          <w:tcPr>
            <w:tcW w:w="0" w:type="dxa"/>
            <w:vAlign w:val="bottom"/>
          </w:tcPr>
          <w:p>
            <w:pPr>
              <w:spacing w:after="0"/>
              <w:rPr>
                <w:sz w:val="1"/>
                <w:szCs w:val="1"/>
                <w:color w:val="auto"/>
              </w:rPr>
            </w:pPr>
          </w:p>
        </w:tc>
      </w:tr>
      <w:tr>
        <w:trPr>
          <w:trHeight w:val="242"/>
        </w:trPr>
        <w:tc>
          <w:tcPr>
            <w:tcW w:w="19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90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92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19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439.8</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center"/>
              <w:ind w:left="739"/>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397.2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389.3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center"/>
              <w:ind w:left="75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920" w:type="dxa"/>
            <w:vAlign w:val="bottom"/>
          </w:tcPr>
          <w:p>
            <w:pPr>
              <w:jc w:val="right"/>
              <w:ind w:right="1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8"/>
        </w:trPr>
        <w:tc>
          <w:tcPr>
            <w:tcW w:w="19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center"/>
              <w:ind w:left="7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Our revenues decreased by $1.9 million, or 0.2%, to $837.0 million for the nine months ended June 30, 2024 as compared to revenues of $838.9 million for the nine months ended June 30, 2023. The decrease in revenues was driven by $11.4 million of unfavorable changes in volume, $2.7 million associated with the negative impact of foreign currency translation primarily due to the strengthening of the U.S. dollar, and a $2.5 million decrease in contract manufacturing revenues related to sales of non-diabetes products to BD. This was partially offset by $14.0 million of favorable changes in price and $0.7 million of favorable gross-to-net adjustments resulting from changes in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062" w:right="339" w:bottom="1440" w:gutter="0" w:footer="0" w:header="0"/>
        </w:sectPr>
      </w:pPr>
    </w:p>
    <w:bookmarkStart w:id="6" w:name="page7"/>
    <w:bookmarkEnd w:id="6"/>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Fiscal Year 2024 Updated Financial Guidance: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2024, the Company now expects: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80" w:type="dxa"/>
            <w:vAlign w:val="bottom"/>
            <w:gridSpan w:val="2"/>
          </w:tcPr>
          <w:p>
            <w:pPr>
              <w:ind w:left="20"/>
              <w:spacing w:after="0"/>
              <w:rPr>
                <w:sz w:val="20"/>
                <w:szCs w:val="20"/>
                <w:color w:val="auto"/>
              </w:rPr>
            </w:pPr>
            <w:r>
              <w:rPr>
                <w:rFonts w:ascii="Arial" w:cs="Arial" w:eastAsia="Arial" w:hAnsi="Arial"/>
                <w:sz w:val="16"/>
                <w:szCs w:val="16"/>
                <w:b w:val="1"/>
                <w:bCs w:val="1"/>
                <w:color w:val="auto"/>
              </w:rPr>
              <w:t>Dollars in millions, except percentages and per share data</w:t>
            </w:r>
          </w:p>
        </w:tc>
        <w:tc>
          <w:tcPr>
            <w:tcW w:w="2160" w:type="dxa"/>
            <w:vAlign w:val="bottom"/>
            <w:gridSpan w:val="3"/>
          </w:tcPr>
          <w:p>
            <w:pPr>
              <w:ind w:left="700"/>
              <w:spacing w:after="0"/>
              <w:rPr>
                <w:sz w:val="20"/>
                <w:szCs w:val="20"/>
                <w:color w:val="auto"/>
              </w:rPr>
            </w:pPr>
            <w:r>
              <w:rPr>
                <w:rFonts w:ascii="Arial" w:cs="Arial" w:eastAsia="Arial" w:hAnsi="Arial"/>
                <w:sz w:val="16"/>
                <w:szCs w:val="16"/>
                <w:b w:val="1"/>
                <w:bCs w:val="1"/>
                <w:color w:val="auto"/>
              </w:rPr>
              <w:t>Current</w:t>
            </w:r>
          </w:p>
        </w:tc>
        <w:tc>
          <w:tcPr>
            <w:tcW w:w="200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 xml:space="preserve">Previous </w:t>
            </w:r>
            <w:r>
              <w:rPr>
                <w:rFonts w:ascii="Arial" w:cs="Arial" w:eastAsia="Arial" w:hAnsi="Arial"/>
                <w:sz w:val="21"/>
                <w:szCs w:val="21"/>
                <w:b w:val="1"/>
                <w:bCs w:val="1"/>
                <w:color w:val="auto"/>
                <w:vertAlign w:val="superscript"/>
              </w:rPr>
              <w:t>(1)</w:t>
            </w:r>
          </w:p>
        </w:tc>
      </w:tr>
      <w:tr>
        <w:trPr>
          <w:trHeight w:val="209"/>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8"/>
              </w:rPr>
              <w:t>$1,111 - $1,116</w:t>
            </w:r>
          </w:p>
        </w:tc>
        <w:tc>
          <w:tcPr>
            <w:tcW w:w="1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8"/>
              </w:rPr>
              <w:t>$1,111 - $1,116</w:t>
            </w:r>
          </w:p>
        </w:tc>
      </w:tr>
      <w:tr>
        <w:trPr>
          <w:trHeight w:val="215"/>
        </w:trPr>
        <w:tc>
          <w:tcPr>
            <w:tcW w:w="7080" w:type="dxa"/>
            <w:vAlign w:val="bottom"/>
            <w:gridSpan w:val="2"/>
          </w:tcPr>
          <w:p>
            <w:pPr>
              <w:ind w:left="140"/>
              <w:spacing w:after="0"/>
              <w:rPr>
                <w:sz w:val="20"/>
                <w:szCs w:val="20"/>
                <w:color w:val="auto"/>
              </w:rPr>
            </w:pPr>
            <w:r>
              <w:rPr>
                <w:rFonts w:ascii="Arial" w:cs="Arial" w:eastAsia="Arial" w:hAnsi="Arial"/>
                <w:sz w:val="16"/>
                <w:szCs w:val="16"/>
                <w:i w:val="1"/>
                <w:iCs w:val="1"/>
                <w:color w:val="auto"/>
              </w:rPr>
              <w:t>As Reported (%)</w:t>
            </w: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(0.9%)</w:t>
            </w:r>
          </w:p>
        </w:tc>
        <w:tc>
          <w:tcPr>
            <w:tcW w:w="1040" w:type="dxa"/>
            <w:vAlign w:val="bottom"/>
          </w:tcPr>
          <w:p>
            <w:pPr>
              <w:ind w:left="20"/>
              <w:spacing w:after="0"/>
              <w:rPr>
                <w:sz w:val="20"/>
                <w:szCs w:val="20"/>
                <w:color w:val="auto"/>
              </w:rPr>
            </w:pPr>
            <w:r>
              <w:rPr>
                <w:rFonts w:ascii="Arial" w:cs="Arial" w:eastAsia="Arial" w:hAnsi="Arial"/>
                <w:sz w:val="16"/>
                <w:szCs w:val="16"/>
                <w:i w:val="1"/>
                <w:iCs w:val="1"/>
                <w:color w:val="auto"/>
              </w:rPr>
              <w:t>- (0.4%)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(0.9%)</w:t>
            </w:r>
          </w:p>
        </w:tc>
        <w:tc>
          <w:tcPr>
            <w:tcW w:w="1040" w:type="dxa"/>
            <w:vAlign w:val="bottom"/>
          </w:tcPr>
          <w:p>
            <w:pPr>
              <w:ind w:left="20"/>
              <w:spacing w:after="0"/>
              <w:rPr>
                <w:sz w:val="20"/>
                <w:szCs w:val="20"/>
                <w:color w:val="auto"/>
              </w:rPr>
            </w:pPr>
            <w:r>
              <w:rPr>
                <w:rFonts w:ascii="Arial" w:cs="Arial" w:eastAsia="Arial" w:hAnsi="Arial"/>
                <w:sz w:val="16"/>
                <w:szCs w:val="16"/>
                <w:i w:val="1"/>
                <w:iCs w:val="1"/>
                <w:color w:val="auto"/>
              </w:rPr>
              <w:t>- (0.4%)</w:t>
            </w:r>
          </w:p>
        </w:tc>
      </w:tr>
      <w:tr>
        <w:trPr>
          <w:trHeight w:val="217"/>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Constant Currency (%)</w:t>
            </w:r>
          </w:p>
        </w:tc>
        <w:tc>
          <w:tcPr>
            <w:tcW w:w="20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i w:val="1"/>
                <w:iCs w:val="1"/>
                <w:color w:val="auto"/>
              </w:rPr>
              <w:t>(0.5%) - 0.0%</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i w:val="1"/>
                <w:iCs w:val="1"/>
                <w:color w:val="auto"/>
              </w:rPr>
              <w:t>(0.5%) - 0.0%</w:t>
            </w:r>
          </w:p>
        </w:tc>
      </w:tr>
      <w:tr>
        <w:trPr>
          <w:trHeight w:val="215"/>
        </w:trPr>
        <w:tc>
          <w:tcPr>
            <w:tcW w:w="7080" w:type="dxa"/>
            <w:vAlign w:val="bottom"/>
            <w:gridSpan w:val="2"/>
          </w:tcPr>
          <w:p>
            <w:pPr>
              <w:ind w:left="140"/>
              <w:spacing w:after="0"/>
              <w:rPr>
                <w:sz w:val="20"/>
                <w:szCs w:val="20"/>
                <w:color w:val="auto"/>
              </w:rPr>
            </w:pPr>
            <w:r>
              <w:rPr>
                <w:rFonts w:ascii="Arial" w:cs="Arial" w:eastAsia="Arial" w:hAnsi="Arial"/>
                <w:sz w:val="16"/>
                <w:szCs w:val="16"/>
                <w:i w:val="1"/>
                <w:iCs w:val="1"/>
                <w:color w:val="auto"/>
              </w:rPr>
              <w:t>F/X (%)</w:t>
            </w:r>
          </w:p>
        </w:tc>
        <w:tc>
          <w:tcPr>
            <w:tcW w:w="2000" w:type="dxa"/>
            <w:vAlign w:val="bottom"/>
            <w:gridSpan w:val="2"/>
          </w:tcPr>
          <w:p>
            <w:pPr>
              <w:jc w:val="center"/>
              <w:spacing w:after="0"/>
              <w:rPr>
                <w:sz w:val="20"/>
                <w:szCs w:val="20"/>
                <w:color w:val="auto"/>
              </w:rPr>
            </w:pPr>
            <w:r>
              <w:rPr>
                <w:rFonts w:ascii="Arial" w:cs="Arial" w:eastAsia="Arial" w:hAnsi="Arial"/>
                <w:sz w:val="16"/>
                <w:szCs w:val="16"/>
                <w:i w:val="1"/>
                <w:iCs w:val="1"/>
                <w:color w:val="auto"/>
              </w:rPr>
              <w:t>(0.4)%</w:t>
            </w:r>
          </w:p>
        </w:tc>
        <w:tc>
          <w:tcPr>
            <w:tcW w:w="160" w:type="dxa"/>
            <w:vAlign w:val="bottom"/>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Arial" w:cs="Arial" w:eastAsia="Arial" w:hAnsi="Arial"/>
                <w:sz w:val="16"/>
                <w:szCs w:val="16"/>
                <w:i w:val="1"/>
                <w:iCs w:val="1"/>
                <w:color w:val="auto"/>
              </w:rPr>
              <w:t>(0.4)%</w:t>
            </w:r>
          </w:p>
        </w:tc>
      </w:tr>
      <w:tr>
        <w:trPr>
          <w:trHeight w:val="217"/>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Contract Manufacturing</w:t>
            </w:r>
          </w:p>
        </w:tc>
        <w:tc>
          <w:tcPr>
            <w:tcW w:w="2000" w:type="dxa"/>
            <w:vAlign w:val="bottom"/>
            <w:gridSpan w:val="2"/>
            <w:shd w:val="clear" w:color="auto" w:fill="CCEEFF"/>
          </w:tcPr>
          <w:p>
            <w:pPr>
              <w:jc w:val="center"/>
              <w:spacing w:after="0"/>
              <w:rPr>
                <w:sz w:val="20"/>
                <w:szCs w:val="20"/>
                <w:color w:val="auto"/>
              </w:rPr>
            </w:pPr>
            <w:r>
              <w:rPr>
                <w:rFonts w:ascii="Arial" w:cs="Arial" w:eastAsia="Arial" w:hAnsi="Arial"/>
                <w:sz w:val="16"/>
                <w:szCs w:val="16"/>
                <w:i w:val="1"/>
                <w:iCs w:val="1"/>
                <w:color w:val="auto"/>
              </w:rPr>
              <w:t>$8</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spacing w:after="0"/>
              <w:rPr>
                <w:sz w:val="20"/>
                <w:szCs w:val="20"/>
                <w:color w:val="auto"/>
              </w:rPr>
            </w:pPr>
            <w:r>
              <w:rPr>
                <w:rFonts w:ascii="Arial" w:cs="Arial" w:eastAsia="Arial" w:hAnsi="Arial"/>
                <w:sz w:val="16"/>
                <w:szCs w:val="16"/>
                <w:i w:val="1"/>
                <w:iCs w:val="1"/>
                <w:color w:val="auto"/>
              </w:rPr>
              <w:t>$5</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Adjusted Gross Margin (%)</w:t>
            </w:r>
          </w:p>
        </w:tc>
        <w:tc>
          <w:tcPr>
            <w:tcW w:w="960" w:type="dxa"/>
            <w:vAlign w:val="bottom"/>
          </w:tcPr>
          <w:p>
            <w:pPr>
              <w:jc w:val="right"/>
              <w:spacing w:after="0"/>
              <w:rPr>
                <w:sz w:val="20"/>
                <w:szCs w:val="20"/>
                <w:color w:val="auto"/>
              </w:rPr>
            </w:pPr>
            <w:r>
              <w:rPr>
                <w:rFonts w:ascii="Arial" w:cs="Arial" w:eastAsia="Arial" w:hAnsi="Arial"/>
                <w:sz w:val="16"/>
                <w:szCs w:val="16"/>
                <w:color w:val="auto"/>
              </w:rPr>
              <w:t>65.25%</w:t>
            </w:r>
          </w:p>
        </w:tc>
        <w:tc>
          <w:tcPr>
            <w:tcW w:w="1040" w:type="dxa"/>
            <w:vAlign w:val="bottom"/>
          </w:tcPr>
          <w:p>
            <w:pPr>
              <w:ind w:left="20"/>
              <w:spacing w:after="0"/>
              <w:rPr>
                <w:sz w:val="20"/>
                <w:szCs w:val="20"/>
                <w:color w:val="auto"/>
              </w:rPr>
            </w:pPr>
            <w:r>
              <w:rPr>
                <w:rFonts w:ascii="Arial" w:cs="Arial" w:eastAsia="Arial" w:hAnsi="Arial"/>
                <w:sz w:val="16"/>
                <w:szCs w:val="16"/>
                <w:color w:val="auto"/>
              </w:rPr>
              <w:t>- 65.50%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64.5%</w:t>
            </w:r>
          </w:p>
        </w:tc>
        <w:tc>
          <w:tcPr>
            <w:tcW w:w="1040" w:type="dxa"/>
            <w:vAlign w:val="bottom"/>
          </w:tcPr>
          <w:p>
            <w:pPr>
              <w:ind w:left="20"/>
              <w:spacing w:after="0"/>
              <w:rPr>
                <w:sz w:val="20"/>
                <w:szCs w:val="20"/>
                <w:color w:val="auto"/>
              </w:rPr>
            </w:pPr>
            <w:r>
              <w:rPr>
                <w:rFonts w:ascii="Arial" w:cs="Arial" w:eastAsia="Arial" w:hAnsi="Arial"/>
                <w:sz w:val="16"/>
                <w:szCs w:val="16"/>
                <w:color w:val="auto"/>
              </w:rPr>
              <w:t>- 65.0%</w:t>
            </w:r>
          </w:p>
        </w:tc>
      </w:tr>
      <w:tr>
        <w:trPr>
          <w:trHeight w:val="21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Operating Margin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- 26.00%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- 25.75%</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Adjusted Earnings per Diluted Share</w:t>
            </w:r>
          </w:p>
        </w:tc>
        <w:tc>
          <w:tcPr>
            <w:tcW w:w="960" w:type="dxa"/>
            <w:vAlign w:val="bottom"/>
          </w:tcPr>
          <w:p>
            <w:pPr>
              <w:jc w:val="right"/>
              <w:spacing w:after="0"/>
              <w:rPr>
                <w:sz w:val="20"/>
                <w:szCs w:val="20"/>
                <w:color w:val="auto"/>
              </w:rPr>
            </w:pPr>
            <w:r>
              <w:rPr>
                <w:rFonts w:ascii="Arial" w:cs="Arial" w:eastAsia="Arial" w:hAnsi="Arial"/>
                <w:sz w:val="16"/>
                <w:szCs w:val="16"/>
                <w:color w:val="auto"/>
              </w:rPr>
              <w:t>$2.30</w:t>
            </w:r>
          </w:p>
        </w:tc>
        <w:tc>
          <w:tcPr>
            <w:tcW w:w="1040" w:type="dxa"/>
            <w:vAlign w:val="bottom"/>
          </w:tcPr>
          <w:p>
            <w:pPr>
              <w:ind w:left="20"/>
              <w:spacing w:after="0"/>
              <w:rPr>
                <w:sz w:val="20"/>
                <w:szCs w:val="20"/>
                <w:color w:val="auto"/>
              </w:rPr>
            </w:pPr>
            <w:r>
              <w:rPr>
                <w:rFonts w:ascii="Arial" w:cs="Arial" w:eastAsia="Arial" w:hAnsi="Arial"/>
                <w:sz w:val="16"/>
                <w:szCs w:val="16"/>
                <w:color w:val="auto"/>
              </w:rPr>
              <w:t>- $2.35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w:t>
            </w:r>
          </w:p>
        </w:tc>
        <w:tc>
          <w:tcPr>
            <w:tcW w:w="1040" w:type="dxa"/>
            <w:vAlign w:val="bottom"/>
          </w:tcPr>
          <w:p>
            <w:pPr>
              <w:ind w:left="20"/>
              <w:spacing w:after="0"/>
              <w:rPr>
                <w:sz w:val="20"/>
                <w:szCs w:val="20"/>
                <w:color w:val="auto"/>
              </w:rPr>
            </w:pPr>
            <w:r>
              <w:rPr>
                <w:rFonts w:ascii="Arial" w:cs="Arial" w:eastAsia="Arial" w:hAnsi="Arial"/>
                <w:sz w:val="16"/>
                <w:szCs w:val="16"/>
                <w:color w:val="auto"/>
              </w:rPr>
              <w:t>- $2.30</w:t>
            </w:r>
          </w:p>
        </w:tc>
      </w:tr>
      <w:tr>
        <w:trPr>
          <w:trHeight w:val="21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EBITDA Margin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- 31.50%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- 31.5%</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(1) Previous guidance was issued on May 9, 2024.</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unable to present a quantitative reconciliation of our expected adjusted gross margin, expected adjusted operating margin, expected adjusted earnings per diluted share, expected adjusted EBITDA and our expected adjusted EBITDA margin as we are unable to predict with reasonable certainty, and without unreasonable effort the impact and timing of any one-time items. The financial impact of these one-time items is uncertain and is dependent on various factors, including timing, and could be material to our Condensed Consolidated Statements of Income.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Balance sheet, Liquidity and Other Updates</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As of June 30, 2024, the Company had approximately $281.8 million in cash and equivalents and restricted cash and $1.629 billion of debt principal outstanding, and no amount drawn on its $500 million Revolving Credit Facility.</w:t>
      </w:r>
    </w:p>
    <w:p>
      <w:pPr>
        <w:spacing w:after="0" w:line="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Company’s Board of Directors declared a quarterly cash dividend of $0.15 for each issued and outstanding share of the Company’s common stock. The dividend is payable on September 13, 2024 to stockholders of record at the close of business on August 27, 2024.</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Third Quarter Fiscal Year 2024 Earnings Conference Call:</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Management will host a conference call at 8:00 a.m. Eastern Time (ET) on August 9, 2024 to discuss the results of the quarter, provide an update on its business, and host a question and answer session. Those who would like to participate may access the live webcast </w:t>
      </w:r>
      <w:r>
        <w:rPr>
          <w:rFonts w:ascii="Arial" w:cs="Arial" w:eastAsia="Arial" w:hAnsi="Arial"/>
          <w:sz w:val="17"/>
          <w:szCs w:val="17"/>
          <w:color w:val="0000FF"/>
        </w:rPr>
        <w:t>here</w:t>
      </w:r>
      <w:r>
        <w:rPr>
          <w:rFonts w:ascii="Arial" w:cs="Arial" w:eastAsia="Arial" w:hAnsi="Arial"/>
          <w:sz w:val="17"/>
          <w:szCs w:val="17"/>
          <w:color w:val="auto"/>
        </w:rPr>
        <w:t xml:space="preserve">, or access the teleconference </w:t>
      </w:r>
      <w:r>
        <w:rPr>
          <w:rFonts w:ascii="Arial" w:cs="Arial" w:eastAsia="Arial" w:hAnsi="Arial"/>
          <w:sz w:val="17"/>
          <w:szCs w:val="17"/>
          <w:color w:val="0000FF"/>
        </w:rPr>
        <w:t>here</w:t>
      </w:r>
      <w:r>
        <w:rPr>
          <w:rFonts w:ascii="Arial" w:cs="Arial" w:eastAsia="Arial" w:hAnsi="Arial"/>
          <w:sz w:val="17"/>
          <w:szCs w:val="17"/>
          <w:color w:val="auto"/>
        </w:rPr>
        <w:t xml:space="preserve">. The live webcast can also be accessed via the company’s website at </w:t>
      </w:r>
      <w:r>
        <w:rPr>
          <w:rFonts w:ascii="Arial" w:cs="Arial" w:eastAsia="Arial" w:hAnsi="Arial"/>
          <w:sz w:val="17"/>
          <w:szCs w:val="17"/>
          <w:color w:val="0000FF"/>
        </w:rPr>
        <w:t>investors.embecta.com.</w:t>
      </w:r>
    </w:p>
    <w:p>
      <w:pPr>
        <w:spacing w:after="0" w:line="13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 webcast replay of the call will be available beginning at 11:00 a.m. ET on August 9, 2024, via the embecta investor relations website and archived on the website for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ind w:left="3580"/>
        <w:spacing w:after="0"/>
        <w:rPr>
          <w:sz w:val="20"/>
          <w:szCs w:val="20"/>
          <w:color w:val="auto"/>
        </w:rPr>
      </w:pPr>
      <w:r>
        <w:rPr>
          <w:rFonts w:ascii="Arial" w:cs="Arial" w:eastAsia="Arial" w:hAnsi="Arial"/>
          <w:sz w:val="18"/>
          <w:szCs w:val="18"/>
          <w:b w:val="1"/>
          <w:bCs w:val="1"/>
          <w:color w:val="auto"/>
        </w:rPr>
        <w:t>Condensed Consolidated Statements of Income</w:t>
      </w:r>
    </w:p>
    <w:p>
      <w:pPr>
        <w:ind w:left="4980"/>
        <w:spacing w:after="0" w:line="234" w:lineRule="auto"/>
        <w:rPr>
          <w:sz w:val="20"/>
          <w:szCs w:val="20"/>
          <w:color w:val="auto"/>
        </w:rPr>
      </w:pPr>
      <w:r>
        <w:rPr>
          <w:rFonts w:ascii="Arial" w:cs="Arial" w:eastAsia="Arial" w:hAnsi="Arial"/>
          <w:sz w:val="18"/>
          <w:szCs w:val="18"/>
          <w:b w:val="1"/>
          <w:bCs w:val="1"/>
          <w:color w:val="auto"/>
        </w:rPr>
        <w:t>Embecta Corp.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48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5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June 30,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0"/>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5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272.5</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838.9</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Cost of products sold</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270.8</w:t>
            </w:r>
          </w:p>
        </w:tc>
      </w:tr>
      <w:tr>
        <w:trPr>
          <w:trHeight w:val="28"/>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190.1</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568.1</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245.6</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61.6</w:t>
            </w:r>
          </w:p>
        </w:tc>
      </w:tr>
      <w:tr>
        <w:trPr>
          <w:trHeight w:val="28"/>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w:t>
            </w:r>
          </w:p>
        </w:tc>
      </w:tr>
      <w:tr>
        <w:trPr>
          <w:trHeight w:val="208"/>
        </w:trPr>
        <w:tc>
          <w:tcPr>
            <w:tcW w:w="5120" w:type="dxa"/>
            <w:vAlign w:val="bottom"/>
          </w:tcPr>
          <w:p>
            <w:pPr>
              <w:ind w:left="34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134.2</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420.8</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372.4</w:t>
            </w:r>
          </w:p>
        </w:tc>
      </w:tr>
      <w:tr>
        <w:trPr>
          <w:trHeight w:val="28"/>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1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Operating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195.7</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(79.4)</w:t>
            </w:r>
          </w:p>
        </w:tc>
      </w:tr>
      <w:tr>
        <w:trPr>
          <w:trHeight w:val="28"/>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08"/>
        </w:trPr>
        <w:tc>
          <w:tcPr>
            <w:tcW w:w="51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100.7</w:t>
            </w:r>
          </w:p>
        </w:tc>
      </w:tr>
      <w:tr>
        <w:trPr>
          <w:trHeight w:val="28"/>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08"/>
        </w:trPr>
        <w:tc>
          <w:tcPr>
            <w:tcW w:w="5120" w:type="dxa"/>
            <w:vAlign w:val="bottom"/>
          </w:tcPr>
          <w:p>
            <w:pPr>
              <w:ind w:left="1060"/>
              <w:spacing w:after="0"/>
              <w:rPr>
                <w:sz w:val="20"/>
                <w:szCs w:val="20"/>
                <w:color w:val="auto"/>
              </w:rPr>
            </w:pPr>
            <w:r>
              <w:rPr>
                <w:rFonts w:ascii="Arial" w:cs="Arial" w:eastAsia="Arial" w:hAnsi="Arial"/>
                <w:sz w:val="16"/>
                <w:szCs w:val="16"/>
                <w:color w:val="auto"/>
              </w:rPr>
              <w:t>Net Income</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64.4</w:t>
            </w:r>
          </w:p>
        </w:tc>
      </w:tr>
      <w:tr>
        <w:trPr>
          <w:trHeight w:val="28"/>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5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Net Income per common share:</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15"/>
        </w:trPr>
        <w:tc>
          <w:tcPr>
            <w:tcW w:w="5120" w:type="dxa"/>
            <w:vAlign w:val="bottom"/>
          </w:tcPr>
          <w:p>
            <w:pPr>
              <w:ind w:left="14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255" w:right="339" w:bottom="1440" w:gutter="0" w:footer="0" w:header="0"/>
        </w:sectPr>
      </w:pPr>
    </w:p>
    <w:bookmarkStart w:id="8" w:name="page9"/>
    <w:bookmarkEnd w:id="8"/>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ind w:left="498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2024</w:t>
            </w:r>
          </w:p>
        </w:tc>
        <w:tc>
          <w:tcPr>
            <w:tcW w:w="140" w:type="dxa"/>
            <w:vAlign w:val="bottom"/>
          </w:tcPr>
          <w:p>
            <w:pPr>
              <w:spacing w:after="0"/>
              <w:rPr>
                <w:sz w:val="18"/>
                <w:szCs w:val="18"/>
                <w:color w:val="auto"/>
              </w:rPr>
            </w:pPr>
          </w:p>
        </w:tc>
        <w:tc>
          <w:tcPr>
            <w:tcW w:w="174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 2023</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3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Cash and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326.3</w:t>
            </w:r>
          </w:p>
        </w:tc>
        <w:tc>
          <w:tcPr>
            <w:tcW w:w="0" w:type="dxa"/>
            <w:vAlign w:val="bottom"/>
          </w:tcPr>
          <w:p>
            <w:pPr>
              <w:spacing w:after="0"/>
              <w:rPr>
                <w:sz w:val="1"/>
                <w:szCs w:val="1"/>
                <w:color w:val="auto"/>
              </w:rPr>
            </w:pPr>
          </w:p>
        </w:tc>
      </w:tr>
      <w:tr>
        <w:trPr>
          <w:trHeight w:val="215"/>
        </w:trPr>
        <w:tc>
          <w:tcPr>
            <w:tcW w:w="7380" w:type="dxa"/>
            <w:vAlign w:val="bottom"/>
          </w:tcPr>
          <w:p>
            <w:pPr>
              <w:ind w:left="68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73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Trade receivables, net (net of allowance for doubtful accounts of $2.4 million and $1.0 million</w:t>
            </w:r>
          </w:p>
        </w:tc>
        <w:tc>
          <w:tcPr>
            <w:tcW w:w="260" w:type="dxa"/>
            <w:vAlign w:val="bottom"/>
            <w:shd w:val="clear" w:color="auto" w:fill="CCEEFF"/>
          </w:tcPr>
          <w:p>
            <w:pPr>
              <w:spacing w:after="0"/>
              <w:rPr>
                <w:sz w:val="16"/>
                <w:szCs w:val="16"/>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as of June 30, 2024 and September 30, 2023, respectively)</w:t>
            </w:r>
          </w:p>
        </w:tc>
        <w:tc>
          <w:tcPr>
            <w:tcW w:w="260" w:type="dxa"/>
            <w:vAlign w:val="bottom"/>
            <w:shd w:val="clear" w:color="auto" w:fill="CCEEFF"/>
          </w:tcPr>
          <w:p>
            <w:pPr>
              <w:spacing w:after="0"/>
              <w:rPr>
                <w:sz w:val="20"/>
                <w:szCs w:val="20"/>
                <w:color w:val="auto"/>
              </w:rPr>
            </w:pPr>
          </w:p>
        </w:tc>
        <w:tc>
          <w:tcPr>
            <w:tcW w:w="16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Materials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5"/>
        </w:trPr>
        <w:tc>
          <w:tcPr>
            <w:tcW w:w="7380" w:type="dxa"/>
            <w:vAlign w:val="bottom"/>
          </w:tcPr>
          <w:p>
            <w:pPr>
              <w:ind w:left="1060"/>
              <w:spacing w:after="0"/>
              <w:rPr>
                <w:sz w:val="20"/>
                <w:szCs w:val="20"/>
                <w:color w:val="auto"/>
              </w:rPr>
            </w:pPr>
            <w:r>
              <w:rPr>
                <w:rFonts w:ascii="Arial" w:cs="Arial" w:eastAsia="Arial" w:hAnsi="Arial"/>
                <w:sz w:val="16"/>
                <w:szCs w:val="16"/>
                <w:color w:val="auto"/>
              </w:rPr>
              <w:t>Work in process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Finished products</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08"/>
        </w:trPr>
        <w:tc>
          <w:tcPr>
            <w:tcW w:w="7380" w:type="dxa"/>
            <w:vAlign w:val="bottom"/>
          </w:tcPr>
          <w:p>
            <w:pPr>
              <w:ind w:left="1060"/>
              <w:spacing w:after="0"/>
              <w:rPr>
                <w:sz w:val="20"/>
                <w:szCs w:val="20"/>
                <w:color w:val="auto"/>
              </w:rPr>
            </w:pPr>
            <w:r>
              <w:rPr>
                <w:rFonts w:ascii="Arial" w:cs="Arial" w:eastAsia="Arial" w:hAnsi="Arial"/>
                <w:sz w:val="16"/>
                <w:szCs w:val="16"/>
                <w:color w:val="auto"/>
              </w:rPr>
              <w:t>Total Inventories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Amounts due from Becton, Dickinson and Company</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Prepaid expenses and other</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749.1</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300.2</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and Intangible Assets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Deferred Income Taxes and Other Assets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1,214.4</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Accrued expenses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Amounts due to Becton, Dickinson and Company</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Salaries, wages and related items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Current debt obligations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Current finance lease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353.5</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Deferred Income Taxes and Other Liabilities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1,593.9</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Non Current Finance Lease Liabilities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Embecta Corp. Equity</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Common stock, $0.01 par value</w:t>
            </w:r>
          </w:p>
        </w:tc>
        <w:tc>
          <w:tcPr>
            <w:tcW w:w="2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Authorized - 250,000,000</w:t>
            </w:r>
          </w:p>
        </w:tc>
        <w:tc>
          <w:tcPr>
            <w:tcW w:w="2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80" w:type="dxa"/>
            <w:vAlign w:val="bottom"/>
            <w:shd w:val="clear" w:color="auto" w:fill="CCEEFF"/>
          </w:tcPr>
          <w:p>
            <w:pPr>
              <w:ind w:left="700"/>
              <w:spacing w:after="0" w:line="175" w:lineRule="exact"/>
              <w:rPr>
                <w:sz w:val="20"/>
                <w:szCs w:val="20"/>
                <w:color w:val="auto"/>
              </w:rPr>
            </w:pPr>
            <w:r>
              <w:rPr>
                <w:rFonts w:ascii="Arial" w:cs="Arial" w:eastAsia="Arial" w:hAnsi="Arial"/>
                <w:sz w:val="16"/>
                <w:szCs w:val="16"/>
                <w:color w:val="auto"/>
              </w:rPr>
              <w:t>Issued and outstanding - 57,676,467 as of June 30, 2024 and 57,333,353 as of</w:t>
            </w:r>
          </w:p>
        </w:tc>
        <w:tc>
          <w:tcPr>
            <w:tcW w:w="2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3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September 30, 2023</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Accumulated deficit</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(541.1)</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(309.1)</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Equity</w:t>
            </w: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(821.7)</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1,267.5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1,214.4</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012" w:right="339" w:bottom="1440" w:gutter="0" w:footer="0" w:header="0"/>
          <w:type w:val="continuous"/>
        </w:sectPr>
      </w:pPr>
    </w:p>
    <w:bookmarkStart w:id="9" w:name="page10"/>
    <w:bookmarkEnd w:id="9"/>
    <w:p>
      <w:pPr>
        <w:ind w:left="3380"/>
        <w:spacing w:after="0"/>
        <w:rPr>
          <w:sz w:val="20"/>
          <w:szCs w:val="20"/>
          <w:color w:val="auto"/>
        </w:rPr>
      </w:pPr>
      <w:r>
        <w:rPr>
          <w:rFonts w:ascii="Arial" w:cs="Arial" w:eastAsia="Arial" w:hAnsi="Arial"/>
          <w:sz w:val="18"/>
          <w:szCs w:val="18"/>
          <w:b w:val="1"/>
          <w:bCs w:val="1"/>
          <w:color w:val="auto"/>
        </w:rPr>
        <w:t>Condensed Consolidated Statements of Cash Flows</w:t>
      </w:r>
    </w:p>
    <w:p>
      <w:pPr>
        <w:ind w:left="496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Nine Months Ended</w:t>
      </w:r>
    </w:p>
    <w:p>
      <w:pPr>
        <w:jc w:val="center"/>
        <w:ind w:left="814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5178425</wp:posOffset>
            </wp:positionH>
            <wp:positionV relativeFrom="paragraph">
              <wp:posOffset>10795</wp:posOffset>
            </wp:positionV>
            <wp:extent cx="19373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2"/>
        </w:trPr>
        <w:tc>
          <w:tcPr>
            <w:tcW w:w="816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15"/>
        </w:trPr>
        <w:tc>
          <w:tcPr>
            <w:tcW w:w="8160" w:type="dxa"/>
            <w:vAlign w:val="bottom"/>
          </w:tcPr>
          <w:p>
            <w:pPr>
              <w:ind w:left="340"/>
              <w:spacing w:after="0"/>
              <w:rPr>
                <w:sz w:val="20"/>
                <w:szCs w:val="20"/>
                <w:color w:val="auto"/>
              </w:rPr>
            </w:pPr>
            <w:r>
              <w:rPr>
                <w:rFonts w:ascii="Arial" w:cs="Arial" w:eastAsia="Arial" w:hAnsi="Arial"/>
                <w:sz w:val="16"/>
                <w:szCs w:val="16"/>
                <w:color w:val="auto"/>
              </w:rPr>
              <w:t>Adjustments to net income to derive net cash provided by operating activities: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Depreciation and amortization</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Amortization of debt issuance costs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Amortization of cloud computing arrangements</w:t>
            </w:r>
          </w:p>
        </w:tc>
        <w:tc>
          <w:tcPr>
            <w:tcW w:w="9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Stock-based compensation</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income taxes</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Change in operating assets and liabilities: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Trade receivables, net</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(156.2)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Inventories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Due from/due to Becton, Dickinson and Company</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Prepaid expenses and other</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Accounts payable, accrued expenses and other current liabilities</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Income and other net taxes payable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Other assets and liabilities, net</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Capital expenditures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used for investing activities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Payments on long-term debt</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Payments related to tax withholding for stock-based compensation</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Payments on finance lease</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Dividend payments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used for financing activities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Effect of exchange rate changes on cash and equivalents and restricted cash</w:t>
            </w: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Change in Cash and equivalents and restricted cash</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5"/>
        </w:trPr>
        <w:tc>
          <w:tcPr>
            <w:tcW w:w="8160" w:type="dxa"/>
            <w:vAlign w:val="bottom"/>
          </w:tcPr>
          <w:p>
            <w:pPr>
              <w:ind w:left="340"/>
              <w:spacing w:after="0"/>
              <w:rPr>
                <w:sz w:val="20"/>
                <w:szCs w:val="20"/>
                <w:color w:val="auto"/>
              </w:rPr>
            </w:pPr>
            <w:r>
              <w:rPr>
                <w:rFonts w:ascii="Arial" w:cs="Arial" w:eastAsia="Arial" w:hAnsi="Arial"/>
                <w:sz w:val="16"/>
                <w:szCs w:val="16"/>
                <w:color w:val="auto"/>
              </w:rPr>
              <w:t>Opening Cash and equivalents and restricted cash</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330.9</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Closing Cash and equivalents and restricted cash</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00"/>
          </w:cols>
          <w:pgMar w:left="340" w:top="1012"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u w:val="single" w:color="auto"/>
          <w:color w:val="auto"/>
        </w:rPr>
        <w:t>About Non-GAAP financial measures</w:t>
      </w:r>
    </w:p>
    <w:p>
      <w:pPr>
        <w:spacing w:after="0" w:line="4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evaluating our operating performance, we supplement the reporting of our financial information determined under GAAP with certain non-GAAP financial measures including (i) earnings before interest, taxes, depreciation, and amortization (“EBITDA”), (ii) Adjusted EBITDA and Adjusted EBITDA Margin, (iii) Adjusted Gross Profit and Adjusted Gross Profit Margin, (iv) Constant Currency revenue growth, (v) Adjusted Operating Income and Adjusted Operating Income Margin, and (vi) Adjusted Net Income and Adjusted earnings per diluted share.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However,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The Company uses non-GAAP financial measures in its operational and financial decision making, and believes that it is useful to exclude certain items in order to focus on what it regards to be a meaningful alternative representation of the underlying operating performance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184" w:right="339" w:bottom="1440" w:gutter="0" w:footer="0" w:header="0"/>
        </w:sectPr>
      </w:pPr>
    </w:p>
    <w:bookmarkStart w:id="11" w:name="page12"/>
    <w:bookmarkEnd w:id="11"/>
    <w:p>
      <w:pPr>
        <w:spacing w:after="0" w:line="251" w:lineRule="auto"/>
        <w:rPr>
          <w:sz w:val="20"/>
          <w:szCs w:val="20"/>
          <w:color w:val="auto"/>
        </w:rPr>
      </w:pPr>
      <w:r>
        <w:rPr>
          <w:rFonts w:ascii="Arial" w:cs="Arial" w:eastAsia="Arial" w:hAnsi="Arial"/>
          <w:sz w:val="17"/>
          <w:szCs w:val="17"/>
          <w:color w:val="auto"/>
        </w:rPr>
        <w:t>For the three and nine month periods ended June 30, 2024 and 2023, the reconciliation of GAAP net income to EBITDA and adjusted EBITDA was as follows (unaudited,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5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8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310"/>
        </w:trPr>
        <w:tc>
          <w:tcPr>
            <w:tcW w:w="48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1"/>
        </w:trPr>
        <w:tc>
          <w:tcPr>
            <w:tcW w:w="48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Net Income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14.7</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15.2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63.7</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64.4</w:t>
            </w: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79.4</w:t>
            </w:r>
          </w:p>
        </w:tc>
      </w:tr>
      <w:tr>
        <w:trPr>
          <w:trHeight w:val="28"/>
        </w:trPr>
        <w:tc>
          <w:tcPr>
            <w:tcW w:w="4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9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8"/>
        </w:trPr>
        <w:tc>
          <w:tcPr>
            <w:tcW w:w="48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63.7</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161.2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203.4</w:t>
            </w:r>
          </w:p>
        </w:tc>
      </w:tr>
      <w:tr>
        <w:trPr>
          <w:trHeight w:val="237"/>
        </w:trPr>
        <w:tc>
          <w:tcPr>
            <w:tcW w:w="4820" w:type="dxa"/>
            <w:vAlign w:val="bottom"/>
          </w:tcPr>
          <w:p>
            <w:pPr>
              <w:ind w:left="20"/>
              <w:spacing w:after="0" w:line="237"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(1)</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r>
      <w:tr>
        <w:trPr>
          <w:trHeight w:val="243"/>
        </w:trPr>
        <w:tc>
          <w:tcPr>
            <w:tcW w:w="4820" w:type="dxa"/>
            <w:vAlign w:val="bottom"/>
          </w:tcPr>
          <w:p>
            <w:pPr>
              <w:ind w:left="20"/>
              <w:spacing w:after="0"/>
              <w:rPr>
                <w:sz w:val="20"/>
                <w:szCs w:val="20"/>
                <w:color w:val="auto"/>
              </w:rPr>
            </w:pPr>
            <w:r>
              <w:rPr>
                <w:rFonts w:ascii="Arial" w:cs="Arial" w:eastAsia="Arial" w:hAnsi="Arial"/>
                <w:sz w:val="16"/>
                <w:szCs w:val="16"/>
                <w:color w:val="auto"/>
              </w:rPr>
              <w:t xml:space="preserve">European regulatory initiative-related costs ("EU MDR") </w:t>
            </w:r>
            <w:r>
              <w:rPr>
                <w:rFonts w:ascii="Arial" w:cs="Arial" w:eastAsia="Arial" w:hAnsi="Arial"/>
                <w:sz w:val="21"/>
                <w:szCs w:val="21"/>
                <w:color w:val="auto"/>
                <w:vertAlign w:val="superscript"/>
              </w:rPr>
              <w:t>(3)</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(4)</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175"/>
        </w:trPr>
        <w:tc>
          <w:tcPr>
            <w:tcW w:w="4820" w:type="dxa"/>
            <w:vAlign w:val="bottom"/>
          </w:tcPr>
          <w:p>
            <w:pPr>
              <w:ind w:left="20"/>
              <w:spacing w:after="0" w:line="175" w:lineRule="exact"/>
              <w:rPr>
                <w:sz w:val="20"/>
                <w:szCs w:val="20"/>
                <w:color w:val="auto"/>
              </w:rPr>
            </w:pPr>
            <w:r>
              <w:rPr>
                <w:rFonts w:ascii="Arial" w:cs="Arial" w:eastAsia="Arial" w:hAnsi="Arial"/>
                <w:sz w:val="16"/>
                <w:szCs w:val="16"/>
                <w:color w:val="auto"/>
              </w:rPr>
              <w:t>Deferred jurisdiction adjustments in Other income (expense), net</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57"/>
        </w:trPr>
        <w:tc>
          <w:tcPr>
            <w:tcW w:w="4820" w:type="dxa"/>
            <w:vAlign w:val="bottom"/>
          </w:tcPr>
          <w:p>
            <w:pPr>
              <w:ind w:left="200"/>
              <w:spacing w:after="0"/>
              <w:rPr>
                <w:sz w:val="20"/>
                <w:szCs w:val="20"/>
                <w:color w:val="auto"/>
              </w:rPr>
            </w:pPr>
            <w:r>
              <w:rPr>
                <w:rFonts w:ascii="Arial" w:cs="Arial" w:eastAsia="Arial" w:hAnsi="Arial"/>
                <w:sz w:val="16"/>
                <w:szCs w:val="16"/>
                <w:color w:val="auto"/>
              </w:rPr>
              <w:t xml:space="preserve">for taxes </w:t>
            </w:r>
            <w:r>
              <w:rPr>
                <w:rFonts w:ascii="Arial" w:cs="Arial" w:eastAsia="Arial" w:hAnsi="Arial"/>
                <w:sz w:val="21"/>
                <w:szCs w:val="21"/>
                <w:color w:val="auto"/>
                <w:vertAlign w:val="superscript"/>
              </w:rPr>
              <w:t>(5)</w:t>
            </w:r>
          </w:p>
        </w:tc>
        <w:tc>
          <w:tcPr>
            <w:tcW w:w="9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cloud computing arrangements </w:t>
            </w:r>
            <w:r>
              <w:rPr>
                <w:rFonts w:ascii="Arial" w:cs="Arial" w:eastAsia="Arial" w:hAnsi="Arial"/>
                <w:sz w:val="21"/>
                <w:szCs w:val="21"/>
                <w:color w:val="auto"/>
                <w:vertAlign w:val="superscript"/>
              </w:rPr>
              <w:t>(6)</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99.2</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92.2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280.4</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299.1</w:t>
            </w:r>
          </w:p>
        </w:tc>
      </w:tr>
      <w:tr>
        <w:trPr>
          <w:trHeight w:val="20"/>
        </w:trPr>
        <w:tc>
          <w:tcPr>
            <w:tcW w:w="4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EBITDA Margin</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36.4 %</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32.2 %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33.5 %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35.7 %</w:t>
            </w:r>
          </w:p>
        </w:tc>
      </w:tr>
      <w:tr>
        <w:trPr>
          <w:trHeight w:val="21"/>
        </w:trPr>
        <w:tc>
          <w:tcPr>
            <w:tcW w:w="48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ind w:left="500" w:hanging="388"/>
        <w:spacing w:after="0" w:line="224" w:lineRule="auto"/>
        <w:tabs>
          <w:tab w:leader="none" w:pos="497"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stock-based compensation expense incurred during the three and nine months ended June 30, 2024 and 2023, respectively. For the three months ended, June 30, 2024, $5.3 million is recorded in Selling and administrative expense, $0.6 million is recorded in Cost of products sold, and $0.6 million is recorded in Research and development expense. For the three months ended, June 30, 2023, $4.6 million is recorded in Selling and administrative expense, $0.6 million is recorded in Cost of products sold, and $0.5 million is recorded in Research and development expense. For the nine months ended June 30, 2024, $16.1 million is recorded in Selling and administrative expense, $2.6 million is recorded in Cost of products sold, and $1.7 million is recorded in Research and development expense. For the nine months ended June 30, 2023, $14.0 million is recorded in Selling and administrative expense, $1.7 million is recorded in Cost of products sold, and $1.3 million is recorded in Research and development expense.</w:t>
      </w:r>
    </w:p>
    <w:p>
      <w:pPr>
        <w:spacing w:after="0" w:line="14" w:lineRule="exact"/>
        <w:rPr>
          <w:rFonts w:ascii="Arial" w:cs="Arial" w:eastAsia="Arial" w:hAnsi="Arial"/>
          <w:sz w:val="14"/>
          <w:szCs w:val="14"/>
          <w:color w:val="auto"/>
        </w:rPr>
      </w:pPr>
    </w:p>
    <w:p>
      <w:pPr>
        <w:jc w:val="both"/>
        <w:ind w:left="500" w:hanging="388"/>
        <w:spacing w:after="0" w:line="224" w:lineRule="auto"/>
        <w:tabs>
          <w:tab w:leader="none" w:pos="497" w:val="left"/>
        </w:tabs>
        <w:numPr>
          <w:ilvl w:val="0"/>
          <w:numId w:val="6"/>
        </w:numPr>
        <w:rPr>
          <w:rFonts w:ascii="Arial" w:cs="Arial" w:eastAsia="Arial" w:hAnsi="Arial"/>
          <w:sz w:val="14"/>
          <w:szCs w:val="14"/>
          <w:color w:val="auto"/>
        </w:rPr>
      </w:pPr>
      <w:r>
        <w:rPr>
          <w:rFonts w:ascii="Arial" w:cs="Arial" w:eastAsia="Arial" w:hAnsi="Arial"/>
          <w:sz w:val="14"/>
          <w:szCs w:val="14"/>
          <w:color w:val="auto"/>
        </w:rPr>
        <w:t>One-time stand-up costs incurred primarily include: (i) product registration and labeling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June 30, 2024, approximately $23.0 million is recorded in Other operating expenses and $0.1 million is recorded in Selling and administrative expense. For the three months ended June 30, 2023, approximately $25.5 million is recorded in Other operating expenses. For the nine months ended June 30, 2024, approximately $83.9 million is recorded in Other operating expenses and $1.1 million is recorded in Selling and administrative expense. For the nine months ended June 30, 2023, approximately $61.1 million is recorded in Other operating expenses and $0.8 million is recorded in Selling and administrative expense.</w:t>
      </w:r>
    </w:p>
    <w:p>
      <w:pPr>
        <w:spacing w:after="0" w:line="2" w:lineRule="exact"/>
        <w:rPr>
          <w:rFonts w:ascii="Arial" w:cs="Arial" w:eastAsia="Arial" w:hAnsi="Arial"/>
          <w:sz w:val="14"/>
          <w:szCs w:val="14"/>
          <w:color w:val="auto"/>
        </w:rPr>
      </w:pPr>
    </w:p>
    <w:p>
      <w:pPr>
        <w:jc w:val="both"/>
        <w:ind w:left="500" w:hanging="388"/>
        <w:spacing w:after="0" w:line="241" w:lineRule="auto"/>
        <w:tabs>
          <w:tab w:leader="none" w:pos="497"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General Data Protection Regulation ("GDPR") which represent a significant, unusual change to the existing regulatory framework. We consider these costs to be duplicative of previously incurred costs and/or one-off costs, which are limited to a specific period of time. These costs are recorded in Research and development expense.</w:t>
      </w:r>
    </w:p>
    <w:p>
      <w:pPr>
        <w:spacing w:after="0" w:line="1" w:lineRule="exact"/>
        <w:rPr>
          <w:rFonts w:ascii="Arial" w:cs="Arial" w:eastAsia="Arial" w:hAnsi="Arial"/>
          <w:sz w:val="14"/>
          <w:szCs w:val="14"/>
          <w:color w:val="auto"/>
        </w:rPr>
      </w:pPr>
    </w:p>
    <w:p>
      <w:pPr>
        <w:ind w:left="500" w:hanging="388"/>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business optimization and severance related costs associated with standing up the organization recorded in Other operating expenses.</w:t>
      </w:r>
    </w:p>
    <w:p>
      <w:pPr>
        <w:spacing w:after="0" w:line="40" w:lineRule="exact"/>
        <w:rPr>
          <w:rFonts w:ascii="Arial" w:cs="Arial" w:eastAsia="Arial" w:hAnsi="Arial"/>
          <w:sz w:val="14"/>
          <w:szCs w:val="14"/>
          <w:color w:val="auto"/>
        </w:rPr>
      </w:pPr>
    </w:p>
    <w:p>
      <w:pPr>
        <w:ind w:left="500" w:hanging="388"/>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closing jurisdictions where BD is considered the primary obligor.</w:t>
      </w:r>
    </w:p>
    <w:p>
      <w:pPr>
        <w:spacing w:after="0" w:line="41" w:lineRule="exact"/>
        <w:rPr>
          <w:rFonts w:ascii="Arial" w:cs="Arial" w:eastAsia="Arial" w:hAnsi="Arial"/>
          <w:sz w:val="14"/>
          <w:szCs w:val="14"/>
          <w:color w:val="auto"/>
        </w:rPr>
      </w:pPr>
    </w:p>
    <w:p>
      <w:pPr>
        <w:ind w:left="500" w:hanging="388"/>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amortization of implementation costs associated with cloud computing arrangements recognized in Other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170" w:right="3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7"/>
          <w:szCs w:val="17"/>
          <w:color w:val="auto"/>
        </w:rPr>
        <w:t>For the three and nine month periods ended June 30, 2024 and 2023, the reconciliations of (1) GAAP Gross Profit and Gross Margin to Adjusted Gross Profit and Adjusted Gross Margin, (2) GAAP Operating Income and Operating Margin to Adjusted Operating Income and Adjusted Operating Income Margin and (3) GAAP Net Income to Adjusted Net Income and calculations of GAAP Net Income per Diluted share and Adjusted Net Income per Diluted share are as follows (unaudited in millions, except per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96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4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Gross Profit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190.1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189.5</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561.4</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568.1</w:t>
            </w:r>
          </w:p>
        </w:tc>
        <w:tc>
          <w:tcPr>
            <w:tcW w:w="0" w:type="dxa"/>
            <w:vAlign w:val="bottom"/>
          </w:tcPr>
          <w:p>
            <w:pPr>
              <w:spacing w:after="0"/>
              <w:rPr>
                <w:sz w:val="1"/>
                <w:szCs w:val="1"/>
                <w:color w:val="auto"/>
              </w:rPr>
            </w:pPr>
          </w:p>
        </w:tc>
      </w:tr>
      <w:tr>
        <w:trPr>
          <w:trHeight w:val="222"/>
        </w:trPr>
        <w:tc>
          <w:tcPr>
            <w:tcW w:w="44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Gross Profit Margin</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69.8 %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66.2 %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67.1 %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67.7 %</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5"/>
        </w:trPr>
        <w:tc>
          <w:tcPr>
            <w:tcW w:w="44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8"/>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Gross Profit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190.3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189.6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562.4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568.6</w:t>
            </w:r>
          </w:p>
        </w:tc>
        <w:tc>
          <w:tcPr>
            <w:tcW w:w="0" w:type="dxa"/>
            <w:vAlign w:val="bottom"/>
          </w:tcPr>
          <w:p>
            <w:pPr>
              <w:spacing w:after="0"/>
              <w:rPr>
                <w:sz w:val="1"/>
                <w:szCs w:val="1"/>
                <w:color w:val="auto"/>
              </w:rPr>
            </w:pPr>
          </w:p>
        </w:tc>
      </w:tr>
      <w:tr>
        <w:trPr>
          <w:trHeight w:val="222"/>
        </w:trPr>
        <w:tc>
          <w:tcPr>
            <w:tcW w:w="44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Adjusted Gross Profit Margin</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69.8 %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66.3 %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67.2 %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67.8 %</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GAAP Operating Income</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55.9</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51.3</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140.6</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195.7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GAAP Operating Income Margin</w:t>
            </w:r>
          </w:p>
        </w:tc>
        <w:tc>
          <w:tcPr>
            <w:tcW w:w="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20.5 %</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17.9 %</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16.8 %</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23.3 %</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38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38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(5)</w:t>
            </w:r>
          </w:p>
        </w:tc>
        <w:tc>
          <w:tcPr>
            <w:tcW w:w="38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6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79.8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235.7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266.3</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Adjusted Operating Income Margin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30.6 %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27.9 %</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28.2 %</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31.7 %</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GAAP Net Income</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14.7</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15.2</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63.7</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64.4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Adjustments:</w:t>
            </w:r>
          </w:p>
        </w:tc>
        <w:tc>
          <w:tcPr>
            <w:tcW w:w="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40" w:type="dxa"/>
            <w:vAlign w:val="bottom"/>
          </w:tcPr>
          <w:p>
            <w:pPr>
              <w:ind w:left="240"/>
              <w:spacing w:after="0"/>
              <w:rPr>
                <w:sz w:val="20"/>
                <w:szCs w:val="20"/>
                <w:color w:val="auto"/>
              </w:rPr>
            </w:pPr>
            <w:r>
              <w:rPr>
                <w:rFonts w:ascii="Arial" w:cs="Arial" w:eastAsia="Arial" w:hAnsi="Arial"/>
                <w:sz w:val="16"/>
                <w:szCs w:val="16"/>
                <w:color w:val="auto"/>
              </w:rPr>
              <w:t>GAAP Income tax provision (benefit)</w:t>
            </w:r>
          </w:p>
        </w:tc>
        <w:tc>
          <w:tcPr>
            <w:tcW w:w="38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8"/>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3"/>
        </w:trPr>
        <w:tc>
          <w:tcPr>
            <w:tcW w:w="4440" w:type="dxa"/>
            <w:vAlign w:val="bottom"/>
          </w:tcPr>
          <w:p>
            <w:pPr>
              <w:ind w:left="24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38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43"/>
        </w:trPr>
        <w:tc>
          <w:tcPr>
            <w:tcW w:w="4440" w:type="dxa"/>
            <w:vAlign w:val="bottom"/>
          </w:tcPr>
          <w:p>
            <w:pPr>
              <w:ind w:left="24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38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(5)</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8"/>
        </w:trPr>
        <w:tc>
          <w:tcPr>
            <w:tcW w:w="4440" w:type="dxa"/>
            <w:vAlign w:val="bottom"/>
          </w:tcPr>
          <w:p>
            <w:pPr>
              <w:ind w:left="240"/>
              <w:spacing w:after="0"/>
              <w:rPr>
                <w:sz w:val="20"/>
                <w:szCs w:val="20"/>
                <w:color w:val="auto"/>
              </w:rPr>
            </w:pPr>
            <w:r>
              <w:rPr>
                <w:rFonts w:ascii="Arial" w:cs="Arial" w:eastAsia="Arial" w:hAnsi="Arial"/>
                <w:sz w:val="16"/>
                <w:szCs w:val="16"/>
                <w:color w:val="auto"/>
              </w:rPr>
              <w:t>Deferred jurisdiction adjustments in Other income</w:t>
            </w:r>
          </w:p>
        </w:tc>
        <w:tc>
          <w:tcPr>
            <w:tcW w:w="380" w:type="dxa"/>
            <w:vAlign w:val="bottom"/>
          </w:tcPr>
          <w:p>
            <w:pPr>
              <w:spacing w:after="0"/>
              <w:rPr>
                <w:sz w:val="16"/>
                <w:szCs w:val="16"/>
                <w:color w:val="auto"/>
              </w:rPr>
            </w:pPr>
          </w:p>
        </w:tc>
        <w:tc>
          <w:tcPr>
            <w:tcW w:w="1340" w:type="dxa"/>
            <w:vAlign w:val="bottom"/>
            <w:vMerge w:val="restart"/>
          </w:tcPr>
          <w:p>
            <w:pPr>
              <w:jc w:val="right"/>
              <w:ind w:right="1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vMerge w:val="restart"/>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30"/>
        </w:trPr>
        <w:tc>
          <w:tcPr>
            <w:tcW w:w="4440" w:type="dxa"/>
            <w:vAlign w:val="bottom"/>
          </w:tcPr>
          <w:p>
            <w:pPr>
              <w:ind w:left="420"/>
              <w:spacing w:after="0" w:line="230" w:lineRule="exact"/>
              <w:rPr>
                <w:sz w:val="20"/>
                <w:szCs w:val="20"/>
                <w:color w:val="auto"/>
              </w:rPr>
            </w:pPr>
            <w:r>
              <w:rPr>
                <w:rFonts w:ascii="Arial" w:cs="Arial" w:eastAsia="Arial" w:hAnsi="Arial"/>
                <w:sz w:val="16"/>
                <w:szCs w:val="16"/>
                <w:color w:val="auto"/>
              </w:rPr>
              <w:t xml:space="preserve">(expense), net for taxes </w:t>
            </w:r>
            <w:r>
              <w:rPr>
                <w:rFonts w:ascii="Arial" w:cs="Arial" w:eastAsia="Arial" w:hAnsi="Arial"/>
                <w:sz w:val="21"/>
                <w:szCs w:val="21"/>
                <w:color w:val="auto"/>
                <w:vertAlign w:val="superscript"/>
              </w:rPr>
              <w:t>(6)</w:t>
            </w:r>
          </w:p>
        </w:tc>
        <w:tc>
          <w:tcPr>
            <w:tcW w:w="38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Non-GAAP Income tax provision </w:t>
            </w:r>
            <w:r>
              <w:rPr>
                <w:rFonts w:ascii="Arial" w:cs="Arial" w:eastAsia="Arial" w:hAnsi="Arial"/>
                <w:sz w:val="21"/>
                <w:szCs w:val="21"/>
                <w:color w:val="auto"/>
                <w:vertAlign w:val="superscript"/>
              </w:rPr>
              <w:t>(7)</w:t>
            </w: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(33.1)</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43.0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39.8</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117.2</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138.5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4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Net Income per Diluted share</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i w:val="1"/>
                <w:iCs w:val="1"/>
                <w:color w:val="auto"/>
                <w:w w:val="89"/>
              </w:rPr>
              <w:t>$</w:t>
            </w: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i w:val="1"/>
                <w:iCs w:val="1"/>
                <w:color w:val="auto"/>
              </w:rPr>
              <w:t>0.25</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i w:val="1"/>
                <w:iCs w:val="1"/>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0.26</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i w:val="1"/>
                <w:iCs w:val="1"/>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1.10</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i w:val="1"/>
                <w:iCs w:val="1"/>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1.12</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Net Income per Diluted share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i w:val="1"/>
                <w:iCs w:val="1"/>
                <w:color w:val="auto"/>
                <w:w w:val="8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i w:val="1"/>
                <w:iCs w:val="1"/>
                <w:color w:val="auto"/>
              </w:rPr>
              <w:t>0.74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i w:val="1"/>
                <w:iCs w:val="1"/>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0.69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i w:val="1"/>
                <w:i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2.02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i w:val="1"/>
                <w:iCs w:val="1"/>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2.40</w:t>
            </w:r>
          </w:p>
        </w:tc>
        <w:tc>
          <w:tcPr>
            <w:tcW w:w="0" w:type="dxa"/>
            <w:vAlign w:val="bottom"/>
          </w:tcPr>
          <w:p>
            <w:pPr>
              <w:spacing w:after="0"/>
              <w:rPr>
                <w:sz w:val="1"/>
                <w:szCs w:val="1"/>
                <w:color w:val="auto"/>
              </w:rPr>
            </w:pPr>
          </w:p>
        </w:tc>
      </w:tr>
      <w:tr>
        <w:trPr>
          <w:trHeight w:val="95"/>
        </w:trPr>
        <w:tc>
          <w:tcPr>
            <w:tcW w:w="4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weighted-average shares outstanding (in</w:t>
            </w:r>
          </w:p>
        </w:tc>
        <w:tc>
          <w:tcPr>
            <w:tcW w:w="38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57,842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57,582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58,143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57,714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thousands)</w:t>
            </w:r>
          </w:p>
        </w:tc>
        <w:tc>
          <w:tcPr>
            <w:tcW w:w="38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500" w:hanging="388"/>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pacing w:after="0" w:line="41" w:lineRule="exact"/>
        <w:rPr>
          <w:rFonts w:ascii="Arial" w:cs="Arial" w:eastAsia="Arial" w:hAnsi="Arial"/>
          <w:sz w:val="14"/>
          <w:szCs w:val="14"/>
          <w:color w:val="auto"/>
        </w:rPr>
      </w:pPr>
    </w:p>
    <w:p>
      <w:pPr>
        <w:jc w:val="both"/>
        <w:ind w:left="500" w:hanging="388"/>
        <w:spacing w:after="0" w:line="224"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One-time stand-up costs incurred primarily include: (i) product registration and labeling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June 30, 2024, approximately $23.0 million is recorded in Other operating expenses and $0.1 million is recorded in Selling and administrative expense. For the three months ended June 30, 2023, approximately $25.5 million is recorded in Other operating expenses. For the nine months ended June 30, 2024, approximately $83.9 million is recorded in Other operating expenses and $1.1 million is recorded in Selling and administrative expense. For the nine months ended June 30, 2023, approximately $61.1 million is recorded in Other operating expenses and $0.8 million is recorded in Selling and administrative expense.</w:t>
      </w:r>
    </w:p>
    <w:p>
      <w:pPr>
        <w:sectPr>
          <w:pgSz w:w="11900" w:h="16838" w:orient="portrait"/>
          <w:cols w:equalWidth="0" w:num="1">
            <w:col w:w="11240"/>
          </w:cols>
          <w:pgMar w:left="320" w:top="10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076" w:right="339" w:bottom="1440" w:gutter="0" w:footer="0" w:header="0"/>
          <w:type w:val="continuous"/>
        </w:sectPr>
      </w:pPr>
    </w:p>
    <w:bookmarkStart w:id="13" w:name="page14"/>
    <w:bookmarkEnd w:id="13"/>
    <w:p>
      <w:pPr>
        <w:jc w:val="both"/>
        <w:ind w:left="500" w:hanging="388"/>
        <w:spacing w:after="0" w:line="242" w:lineRule="auto"/>
        <w:tabs>
          <w:tab w:leader="none" w:pos="497"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GDPR which represent a significant, unusual change to the existing regulatory framework. We consider these costs to be duplicative of previously incurred costs and/or one-off costs, which are limited to a specific period of time. These costs are recorded in Research and development expense.</w:t>
      </w:r>
    </w:p>
    <w:p>
      <w:pPr>
        <w:jc w:val="both"/>
        <w:ind w:left="500" w:hanging="388"/>
        <w:spacing w:after="0" w:line="224" w:lineRule="auto"/>
        <w:tabs>
          <w:tab w:leader="none" w:pos="497"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stock-based compensation expense recognized during the period associated with the incremental value of converted legacy BD share-based awards and one-time sign-on equity awards granted to certain members of the Embecta leadership team in connection with the separation from BD. For the three months ended June 30, 2024, $1.2 million is recorded in Selling and administrative expense. For the three months ended June 30, 2023, $1.3 million is recorded in Selling and administrative expense. For the nine months ended June 30, 2024, $3.0 million is recorded in Selling and administrative expense, $0.2 million is recorded in Cost of products sold and $0.1 million is recorded in Research and development expense. For the nine months ended June 30, 2023, $4.4 million is recorded in Selling and administrative expense, $0.1 million is recorded in Cost of products sold, and $0.1 million is recorded in Research and development expense.</w:t>
      </w:r>
    </w:p>
    <w:p>
      <w:pPr>
        <w:spacing w:after="0" w:line="15" w:lineRule="exact"/>
        <w:rPr>
          <w:rFonts w:ascii="Arial" w:cs="Arial" w:eastAsia="Arial" w:hAnsi="Arial"/>
          <w:sz w:val="14"/>
          <w:szCs w:val="14"/>
          <w:color w:val="auto"/>
        </w:rPr>
      </w:pPr>
    </w:p>
    <w:p>
      <w:pPr>
        <w:ind w:left="500" w:hanging="388"/>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business optimization and severance related costs associated with standing up the organization recorded in Other operating expenses.</w:t>
      </w:r>
    </w:p>
    <w:p>
      <w:pPr>
        <w:spacing w:after="0" w:line="41" w:lineRule="exact"/>
        <w:rPr>
          <w:rFonts w:ascii="Arial" w:cs="Arial" w:eastAsia="Arial" w:hAnsi="Arial"/>
          <w:sz w:val="14"/>
          <w:szCs w:val="14"/>
          <w:color w:val="auto"/>
        </w:rPr>
      </w:pPr>
    </w:p>
    <w:p>
      <w:pPr>
        <w:ind w:left="500" w:hanging="388"/>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jurisdictions where BD is considered the primary obligor.</w:t>
      </w:r>
    </w:p>
    <w:p>
      <w:pPr>
        <w:spacing w:after="0" w:line="29" w:lineRule="exact"/>
        <w:rPr>
          <w:rFonts w:ascii="Arial" w:cs="Arial" w:eastAsia="Arial" w:hAnsi="Arial"/>
          <w:sz w:val="14"/>
          <w:szCs w:val="14"/>
          <w:color w:val="auto"/>
        </w:rPr>
      </w:pPr>
    </w:p>
    <w:p>
      <w:pPr>
        <w:jc w:val="both"/>
        <w:ind w:left="500" w:hanging="388"/>
        <w:spacing w:after="0" w:line="242" w:lineRule="auto"/>
        <w:tabs>
          <w:tab w:leader="none" w:pos="497"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the amount of tax expense that the Company estimates that it would record if it used non-GAAP results instead of GAAP results in the calculation of its tax provision. The non-GAAP effective tax rates for the three and nine months ended June 30, 2024 were 22.1% and 22.0%, respectively. The non-GAAP effective tax rates for the three and nine months ended June 30, 2023 were 24.6% and 24.9%, respectively.</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17"/>
          <w:szCs w:val="17"/>
          <w:color w:val="auto"/>
        </w:rPr>
        <w:t>Each reporting period, we face currency exposure that arises from translating the results of our worldwide operations to the U.S. dollar at exchange rates that fluctuate from the beginning of such period. A stronger U.S. dollar, compared to the prior-year period, resulted in an unfavorable foreign currency translation impact to our revenues as compared to the prior-year period. We evaluate our results of operations on both a reported and a Constant Currency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Constant Currency basis in addition to reported results helps improve investors’ ability to understand our operating results and evaluate our performance in comparison to prior periods. We calculate Constant Currency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nine month periods ended June 30, 2024 and 2023, the reconciliation of revenue growth to Constant Currency was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6"/>
                <w:szCs w:val="16"/>
                <w:b w:val="1"/>
                <w:bCs w:val="1"/>
                <w:color w:val="auto"/>
              </w:rPr>
              <w:t>Three months ended June 30,</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Total</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Estimated FX</w:t>
            </w:r>
          </w:p>
        </w:tc>
        <w:tc>
          <w:tcPr>
            <w:tcW w:w="13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40"/>
        </w:trPr>
        <w:tc>
          <w:tcPr>
            <w:tcW w:w="43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Change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Impact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65"/>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6"/>
                <w:szCs w:val="16"/>
                <w:b w:val="1"/>
                <w:bCs w:val="1"/>
                <w:color w:val="auto"/>
              </w:rPr>
              <w:t>Nine months ended June 30,</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Total</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Estimated FX</w:t>
            </w:r>
          </w:p>
        </w:tc>
        <w:tc>
          <w:tcPr>
            <w:tcW w:w="13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175"/>
        </w:trPr>
        <w:tc>
          <w:tcPr>
            <w:tcW w:w="43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15"/>
                <w:szCs w:val="15"/>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Change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Impact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838.9</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075"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About Embecta</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embecta is a global diabetes care company that is leveraging its nearly 100-year legacy in insulin delivery to empower people with diabetes to live</w:t>
      </w:r>
    </w:p>
    <w:p>
      <w:pPr>
        <w:spacing w:after="0" w:line="20"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 xml:space="preserve">their best life through innovative solutions, partnerships and the passion of approximately 2,000 employees around the globe. For more information, visit </w:t>
      </w:r>
      <w:r>
        <w:rPr>
          <w:rFonts w:ascii="Arial" w:cs="Arial" w:eastAsia="Arial" w:hAnsi="Arial"/>
          <w:sz w:val="17"/>
          <w:szCs w:val="17"/>
          <w:color w:val="0000FF"/>
        </w:rPr>
        <w:t>embecta.com</w:t>
      </w:r>
      <w:r>
        <w:rPr>
          <w:rFonts w:ascii="Arial" w:cs="Arial" w:eastAsia="Arial" w:hAnsi="Arial"/>
          <w:sz w:val="17"/>
          <w:szCs w:val="17"/>
          <w:color w:val="auto"/>
        </w:rPr>
        <w:t xml:space="preserve"> or follow our social channels on </w:t>
      </w:r>
      <w:r>
        <w:rPr>
          <w:rFonts w:ascii="Arial" w:cs="Arial" w:eastAsia="Arial" w:hAnsi="Arial"/>
          <w:sz w:val="17"/>
          <w:szCs w:val="17"/>
          <w:color w:val="0000FF"/>
        </w:rPr>
        <w:t>LinkedIn</w:t>
      </w:r>
      <w:r>
        <w:rPr>
          <w:rFonts w:ascii="Arial" w:cs="Arial" w:eastAsia="Arial" w:hAnsi="Arial"/>
          <w:sz w:val="17"/>
          <w:szCs w:val="17"/>
          <w:color w:val="auto"/>
        </w:rPr>
        <w:t xml:space="preserve">, </w:t>
      </w:r>
      <w:r>
        <w:rPr>
          <w:rFonts w:ascii="Arial" w:cs="Arial" w:eastAsia="Arial" w:hAnsi="Arial"/>
          <w:sz w:val="17"/>
          <w:szCs w:val="17"/>
          <w:color w:val="0000FF"/>
        </w:rPr>
        <w:t>Facebook</w:t>
      </w:r>
      <w:r>
        <w:rPr>
          <w:rFonts w:ascii="Arial" w:cs="Arial" w:eastAsia="Arial" w:hAnsi="Arial"/>
          <w:sz w:val="17"/>
          <w:szCs w:val="17"/>
          <w:color w:val="auto"/>
        </w:rPr>
        <w:t xml:space="preserve">, </w:t>
      </w:r>
      <w:r>
        <w:rPr>
          <w:rFonts w:ascii="Arial" w:cs="Arial" w:eastAsia="Arial" w:hAnsi="Arial"/>
          <w:sz w:val="17"/>
          <w:szCs w:val="17"/>
          <w:color w:val="0000FF"/>
        </w:rPr>
        <w:t>Instagram</w:t>
      </w:r>
      <w:r>
        <w:rPr>
          <w:rFonts w:ascii="Arial" w:cs="Arial" w:eastAsia="Arial" w:hAnsi="Arial"/>
          <w:sz w:val="17"/>
          <w:szCs w:val="17"/>
          <w:color w:val="auto"/>
        </w:rPr>
        <w:t xml:space="preserve"> and </w:t>
      </w:r>
      <w:r>
        <w:rPr>
          <w:rFonts w:ascii="Arial" w:cs="Arial" w:eastAsia="Arial" w:hAnsi="Arial"/>
          <w:sz w:val="17"/>
          <w:szCs w:val="17"/>
          <w:color w:val="0000FF"/>
        </w:rPr>
        <w:t>Twitter</w:t>
      </w:r>
      <w:r>
        <w:rPr>
          <w:rFonts w:ascii="Arial" w:cs="Arial" w:eastAsia="Arial" w:hAnsi="Arial"/>
          <w:sz w:val="17"/>
          <w:szCs w:val="17"/>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 Regarding Forward-Looking Statements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achievements, and anticipated product clearances, approvals and launches.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“intends,” “plans,” “pursue,” “will” or similar expressions, we are making forward-looking statements. For example, embecta is using forward-looking statements when it discusses its fiscal 2024 financial guidance, standing embecta up as independent company, maintaining stability with its core injection business and investing in growth, including with respect to working with the FDA to obtain clearance for new and anticipated products and launches, advancing the development of its closed loop insulin delivery system, and its intention to commercialize new product pacts for non-insulin diabetes drugs.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inability to replace the services provided by BD under the Transition Services Agreement, the Logistics Services Agreement and other transaction documents; (iii) any failure by BD to perform its obligations under the various separation agreements entered into in connection with the separation and distribution; (iv) any events that adversely affect the sale or profitability of embecta’s products or the revenues delivered from sales to its customers; (v) increases in operating costs, including fluctuations in the cost and availability of raw materials or components used in its products, the ability to maintain favorable supplier arrangements and relationships, and the potential adverse effects of any disruption in the availability of such items; (vi) changes in reimbursement practices of governments or private payers or other cost containment measures; (vii) the adverse financial impact resulting from unfavorable changes in foreign currency exchange rates, as well as regional, national and foreign economic factors, including inflation, deflation, and fluctuations in interest rates; (viii) the impact of changes in U.S. federal laws and policy that could affect fiscal and tax policies, healthcare and international trade, including import and export regulation and international trade agreements; (ix) any new pandemic, such as the COVID-19 pandemic, or any geopolitical instability, including disruptions in its operations and supply chains; (x) new or changing laws and regulations, or changes in enforcement practices, including laws relating to healthcare, environmental protection, trade, monetary and fiscal policies, taxation and licensing and regulatory requirements for products; (xi) the expected benefits of the separation from BD; (xii) risks associated with embecta’s indebtedness; (xiii) the risk that ongoing dis-synergy costs, costs of restructuring and other costs incurred in connection with the separation from BD will exceed our estimates of these costs; (xiv) the risk that it will be more difficult than expected to effect embecta’s full separation from BD; (xv) risks associated with not completing strategic collaborative partnerships and acquisitions for innovative technologies, complementary product lines, and new markets; (xvi) embecta’s ability to obtain clearance from the FDA of any product; (xvii) its ability to market and sell such products successfully; (xviii) its ability to anticipate the needs of people with diabetes; (xix) its ability to successfully complete clinical trials, obtain regulatory clearance and obtain approvals for its products; (xx) its ability to manufacture such products in a cost-effective manner, obtain appropriate intellectual property protection for such products, gain and maintain market acceptance of such products, secure distribution channels, and obtain access, coverage and reimbursement for such products; (xxi) future business decisions made by embecta and its competitors; and (xxii) the other risks described in our periodic reports filed with the Securities and Exchange Commission,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CONTACTS</w:t>
      </w:r>
    </w:p>
    <w:p>
      <w:pPr>
        <w:spacing w:after="0" w:line="232" w:lineRule="auto"/>
        <w:rPr>
          <w:sz w:val="20"/>
          <w:szCs w:val="20"/>
          <w:color w:val="auto"/>
        </w:rPr>
      </w:pPr>
      <w:r>
        <w:rPr>
          <w:rFonts w:ascii="Arial" w:cs="Arial" w:eastAsia="Arial" w:hAnsi="Arial"/>
          <w:sz w:val="17"/>
          <w:szCs w:val="17"/>
          <w:b w:val="1"/>
          <w:bCs w:val="1"/>
          <w:color w:val="auto"/>
        </w:rPr>
        <w:t>Investors:</w:t>
      </w:r>
    </w:p>
    <w:p>
      <w:pPr>
        <w:spacing w:after="0" w:line="232" w:lineRule="auto"/>
        <w:rPr>
          <w:sz w:val="20"/>
          <w:szCs w:val="20"/>
          <w:color w:val="auto"/>
        </w:rPr>
      </w:pPr>
      <w:r>
        <w:rPr>
          <w:rFonts w:ascii="Arial" w:cs="Arial" w:eastAsia="Arial" w:hAnsi="Arial"/>
          <w:sz w:val="17"/>
          <w:szCs w:val="17"/>
          <w:color w:val="auto"/>
        </w:rPr>
        <w:t>Pravesh Khandelwal</w:t>
      </w:r>
    </w:p>
    <w:p>
      <w:pPr>
        <w:spacing w:after="0" w:line="232" w:lineRule="auto"/>
        <w:rPr>
          <w:sz w:val="20"/>
          <w:szCs w:val="20"/>
          <w:color w:val="auto"/>
        </w:rPr>
      </w:pPr>
      <w:r>
        <w:rPr>
          <w:rFonts w:ascii="Arial" w:cs="Arial" w:eastAsia="Arial" w:hAnsi="Arial"/>
          <w:sz w:val="17"/>
          <w:szCs w:val="17"/>
          <w:color w:val="auto"/>
        </w:rPr>
        <w:t>VP, Head of Investor Relations</w:t>
      </w:r>
    </w:p>
    <w:p>
      <w:pPr>
        <w:spacing w:after="0" w:line="232" w:lineRule="auto"/>
        <w:rPr>
          <w:sz w:val="20"/>
          <w:szCs w:val="20"/>
          <w:color w:val="auto"/>
        </w:rPr>
      </w:pPr>
      <w:r>
        <w:rPr>
          <w:rFonts w:ascii="Arial" w:cs="Arial" w:eastAsia="Arial" w:hAnsi="Arial"/>
          <w:sz w:val="17"/>
          <w:szCs w:val="17"/>
          <w:color w:val="auto"/>
        </w:rPr>
        <w:t>551-264-6547</w:t>
      </w:r>
    </w:p>
    <w:p>
      <w:pPr>
        <w:spacing w:after="0"/>
        <w:rPr>
          <w:sz w:val="20"/>
          <w:szCs w:val="20"/>
          <w:color w:val="auto"/>
        </w:rPr>
      </w:pPr>
      <w:r>
        <w:rPr>
          <w:rFonts w:ascii="Arial" w:cs="Arial" w:eastAsia="Arial" w:hAnsi="Arial"/>
          <w:sz w:val="17"/>
          <w:szCs w:val="17"/>
          <w:color w:val="0000FF"/>
        </w:rPr>
        <w:t>Contact IR</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Christian Glazar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Sr. Director, Corporate Communications</w:t>
      </w:r>
    </w:p>
    <w:p>
      <w:pPr>
        <w:spacing w:after="0" w:line="232" w:lineRule="auto"/>
        <w:rPr>
          <w:sz w:val="20"/>
          <w:szCs w:val="20"/>
          <w:color w:val="auto"/>
        </w:rPr>
      </w:pPr>
      <w:r>
        <w:rPr>
          <w:rFonts w:ascii="Arial" w:cs="Arial" w:eastAsia="Arial" w:hAnsi="Arial"/>
          <w:sz w:val="17"/>
          <w:szCs w:val="17"/>
          <w:color w:val="auto"/>
        </w:rPr>
        <w:t>908-821-6922</w:t>
      </w:r>
    </w:p>
    <w:p>
      <w:pPr>
        <w:spacing w:after="0"/>
        <w:rPr>
          <w:sz w:val="20"/>
          <w:szCs w:val="20"/>
          <w:color w:val="auto"/>
        </w:rPr>
      </w:pPr>
      <w:r>
        <w:rPr>
          <w:rFonts w:ascii="Arial" w:cs="Arial" w:eastAsia="Arial" w:hAnsi="Arial"/>
          <w:sz w:val="17"/>
          <w:szCs w:val="17"/>
          <w:color w:val="0000FF"/>
        </w:rPr>
        <w:t>Contact Media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2024-08-09T06:05:50Z</dcterms:created>
  <dcterms:modified xsi:type="dcterms:W3CDTF">2024-08-09T06:05:50Z</dcterms:modified>
</cp:coreProperties>
</file>