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509270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694055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UNITED STATES</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SECURITIES AND EXCHANGE COMMISSION</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140335</wp:posOffset>
            </wp:positionV>
            <wp:extent cx="1494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168275</wp:posOffset>
            </wp:positionV>
            <wp:extent cx="1494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5" w:lineRule="exact"/>
        <w:rPr>
          <w:sz w:val="24"/>
          <w:szCs w:val="24"/>
          <w:color w:val="auto"/>
        </w:rPr>
      </w:pPr>
    </w:p>
    <w:p>
      <w:pPr>
        <w:ind w:left="480" w:hanging="457"/>
        <w:spacing w:after="0"/>
        <w:tabs>
          <w:tab w:leader="none" w:pos="48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3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480" w:hanging="457"/>
        <w:spacing w:after="0"/>
        <w:tabs>
          <w:tab w:leader="none" w:pos="48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3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2882900</wp:posOffset>
            </wp:positionH>
            <wp:positionV relativeFrom="paragraph">
              <wp:posOffset>81915</wp:posOffset>
            </wp:positionV>
            <wp:extent cx="1376680" cy="56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6680" cy="56261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820420</wp:posOffset>
            </wp:positionV>
            <wp:extent cx="1494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2823845</wp:posOffset>
            </wp:positionH>
            <wp:positionV relativeFrom="paragraph">
              <wp:posOffset>132080</wp:posOffset>
            </wp:positionV>
            <wp:extent cx="1494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4155"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78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88"/>
              </w:rPr>
              <w:t>Delaware</w:t>
            </w:r>
          </w:p>
        </w:tc>
        <w:tc>
          <w:tcPr>
            <w:tcW w:w="3420" w:type="dxa"/>
            <w:vAlign w:val="bottom"/>
          </w:tcPr>
          <w:p>
            <w:pPr>
              <w:jc w:val="right"/>
              <w:ind w:right="1782"/>
              <w:spacing w:after="0"/>
              <w:rPr>
                <w:sz w:val="20"/>
                <w:szCs w:val="20"/>
                <w:color w:val="auto"/>
              </w:rPr>
            </w:pPr>
            <w:r>
              <w:rPr>
                <w:rFonts w:ascii="Arial" w:cs="Arial" w:eastAsia="Arial" w:hAnsi="Arial"/>
                <w:sz w:val="18"/>
                <w:szCs w:val="18"/>
                <w:b w:val="1"/>
                <w:bCs w:val="1"/>
                <w:color w:val="auto"/>
              </w:rPr>
              <w:t>87-1583942</w:t>
            </w:r>
          </w:p>
        </w:tc>
      </w:tr>
      <w:tr>
        <w:trPr>
          <w:trHeight w:val="177"/>
        </w:trPr>
        <w:tc>
          <w:tcPr>
            <w:tcW w:w="78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0"/>
              </w:rPr>
              <w:t>(State or other jurisdiction of</w:t>
            </w:r>
          </w:p>
        </w:tc>
        <w:tc>
          <w:tcPr>
            <w:tcW w:w="3420" w:type="dxa"/>
            <w:vAlign w:val="bottom"/>
          </w:tcPr>
          <w:p>
            <w:pPr>
              <w:jc w:val="center"/>
              <w:ind w:right="1082"/>
              <w:spacing w:after="0"/>
              <w:rPr>
                <w:sz w:val="20"/>
                <w:szCs w:val="20"/>
                <w:color w:val="auto"/>
              </w:rPr>
            </w:pPr>
            <w:r>
              <w:rPr>
                <w:rFonts w:ascii="Arial" w:cs="Arial" w:eastAsia="Arial" w:hAnsi="Arial"/>
                <w:sz w:val="14"/>
                <w:szCs w:val="14"/>
                <w:b w:val="1"/>
                <w:bCs w:val="1"/>
                <w:color w:val="auto"/>
                <w:w w:val="92"/>
              </w:rPr>
              <w:t>(I.R.S. employer</w:t>
            </w:r>
          </w:p>
        </w:tc>
      </w:tr>
      <w:tr>
        <w:trPr>
          <w:trHeight w:val="184"/>
        </w:trPr>
        <w:tc>
          <w:tcPr>
            <w:tcW w:w="78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91"/>
              </w:rPr>
              <w:t>incorporation or organization)</w:t>
            </w:r>
          </w:p>
        </w:tc>
        <w:tc>
          <w:tcPr>
            <w:tcW w:w="3420" w:type="dxa"/>
            <w:vAlign w:val="bottom"/>
          </w:tcPr>
          <w:p>
            <w:pPr>
              <w:jc w:val="center"/>
              <w:ind w:right="1082"/>
              <w:spacing w:after="0"/>
              <w:rPr>
                <w:sz w:val="20"/>
                <w:szCs w:val="20"/>
                <w:color w:val="auto"/>
              </w:rPr>
            </w:pPr>
            <w:r>
              <w:rPr>
                <w:rFonts w:ascii="Arial" w:cs="Arial" w:eastAsia="Arial" w:hAnsi="Arial"/>
                <w:sz w:val="14"/>
                <w:szCs w:val="14"/>
                <w:b w:val="1"/>
                <w:bCs w:val="1"/>
                <w:color w:val="auto"/>
                <w:w w:val="90"/>
              </w:rPr>
              <w:t>identification no.)</w:t>
            </w:r>
          </w:p>
        </w:tc>
      </w:tr>
      <w:tr>
        <w:trPr>
          <w:trHeight w:val="539"/>
        </w:trPr>
        <w:tc>
          <w:tcPr>
            <w:tcW w:w="782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89"/>
              </w:rPr>
              <w:t>300 Kimball Drive, Suite 300, Parsippany, New Jersey</w:t>
            </w:r>
          </w:p>
        </w:tc>
        <w:tc>
          <w:tcPr>
            <w:tcW w:w="3420" w:type="dxa"/>
            <w:vAlign w:val="bottom"/>
          </w:tcPr>
          <w:p>
            <w:pPr>
              <w:jc w:val="right"/>
              <w:ind w:right="2002"/>
              <w:spacing w:after="0"/>
              <w:rPr>
                <w:sz w:val="20"/>
                <w:szCs w:val="20"/>
                <w:color w:val="auto"/>
              </w:rPr>
            </w:pPr>
            <w:r>
              <w:rPr>
                <w:rFonts w:ascii="Arial" w:cs="Arial" w:eastAsia="Arial" w:hAnsi="Arial"/>
                <w:sz w:val="18"/>
                <w:szCs w:val="18"/>
                <w:b w:val="1"/>
                <w:bCs w:val="1"/>
                <w:color w:val="auto"/>
              </w:rPr>
              <w:t>07054</w:t>
            </w:r>
          </w:p>
        </w:tc>
      </w:tr>
      <w:tr>
        <w:trPr>
          <w:trHeight w:val="202"/>
        </w:trPr>
        <w:tc>
          <w:tcPr>
            <w:tcW w:w="782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(Address of principal executive offices)</w:t>
            </w:r>
          </w:p>
        </w:tc>
        <w:tc>
          <w:tcPr>
            <w:tcW w:w="3420" w:type="dxa"/>
            <w:vAlign w:val="bottom"/>
          </w:tcPr>
          <w:p>
            <w:pPr>
              <w:jc w:val="center"/>
              <w:ind w:right="1082"/>
              <w:spacing w:after="0"/>
              <w:rPr>
                <w:sz w:val="20"/>
                <w:szCs w:val="20"/>
                <w:color w:val="auto"/>
              </w:rPr>
            </w:pPr>
            <w:r>
              <w:rPr>
                <w:rFonts w:ascii="Arial" w:cs="Arial" w:eastAsia="Arial" w:hAnsi="Arial"/>
                <w:sz w:val="14"/>
                <w:szCs w:val="14"/>
                <w:b w:val="1"/>
                <w:bCs w:val="1"/>
                <w:color w:val="auto"/>
                <w:w w:val="92"/>
              </w:rPr>
              <w:t>(Zip code)</w:t>
            </w:r>
          </w:p>
        </w:tc>
      </w:tr>
      <w:tr>
        <w:trPr>
          <w:trHeight w:val="539"/>
        </w:trPr>
        <w:tc>
          <w:tcPr>
            <w:tcW w:w="6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54"/>
        </w:trPr>
        <w:tc>
          <w:tcPr>
            <w:tcW w:w="7820" w:type="dxa"/>
            <w:vAlign w:val="bottom"/>
            <w:gridSpan w:val="3"/>
          </w:tcPr>
          <w:p>
            <w:pPr>
              <w:jc w:val="center"/>
              <w:ind w:left="3362"/>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3420" w:type="dxa"/>
            <w:vAlign w:val="bottom"/>
          </w:tcPr>
          <w:p>
            <w:pPr>
              <w:spacing w:after="0"/>
              <w:rPr>
                <w:sz w:val="22"/>
                <w:szCs w:val="22"/>
                <w:color w:val="auto"/>
              </w:rPr>
            </w:pPr>
          </w:p>
        </w:tc>
      </w:tr>
      <w:tr>
        <w:trPr>
          <w:trHeight w:val="196"/>
        </w:trPr>
        <w:tc>
          <w:tcPr>
            <w:tcW w:w="4440" w:type="dxa"/>
            <w:vAlign w:val="bottom"/>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18"/>
        </w:trPr>
        <w:tc>
          <w:tcPr>
            <w:tcW w:w="44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93"/>
              </w:rPr>
              <w:t>Trading</w:t>
            </w:r>
          </w:p>
        </w:tc>
        <w:tc>
          <w:tcPr>
            <w:tcW w:w="120" w:type="dxa"/>
            <w:vAlign w:val="bottom"/>
          </w:tcPr>
          <w:p>
            <w:pPr>
              <w:spacing w:after="0"/>
              <w:rPr>
                <w:sz w:val="15"/>
                <w:szCs w:val="15"/>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r>
      <w:tr>
        <w:trPr>
          <w:trHeight w:val="198"/>
        </w:trPr>
        <w:tc>
          <w:tcPr>
            <w:tcW w:w="4640" w:type="dxa"/>
            <w:vAlign w:val="bottom"/>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1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7"/>
              </w:rPr>
              <w:t>symbol(s)</w:t>
            </w:r>
          </w:p>
        </w:tc>
        <w:tc>
          <w:tcPr>
            <w:tcW w:w="120" w:type="dxa"/>
            <w:vAlign w:val="bottom"/>
          </w:tcPr>
          <w:p>
            <w:pPr>
              <w:spacing w:after="0"/>
              <w:rPr>
                <w:sz w:val="17"/>
                <w:szCs w:val="17"/>
                <w:color w:val="auto"/>
              </w:rPr>
            </w:pPr>
          </w:p>
        </w:tc>
        <w:tc>
          <w:tcPr>
            <w:tcW w:w="4340" w:type="dxa"/>
            <w:vAlign w:val="bottom"/>
          </w:tcPr>
          <w:p>
            <w:pPr>
              <w:jc w:val="center"/>
              <w:spacing w:after="0"/>
              <w:rPr>
                <w:sz w:val="20"/>
                <w:szCs w:val="20"/>
                <w:color w:val="auto"/>
              </w:rPr>
            </w:pPr>
            <w:r>
              <w:rPr>
                <w:rFonts w:ascii="Arial" w:cs="Arial" w:eastAsia="Arial" w:hAnsi="Arial"/>
                <w:sz w:val="14"/>
                <w:szCs w:val="14"/>
                <w:b w:val="1"/>
                <w:bCs w:val="1"/>
                <w:color w:val="auto"/>
                <w:w w:val="89"/>
              </w:rPr>
              <w:t>on which registered</w:t>
            </w:r>
          </w:p>
        </w:tc>
      </w:tr>
      <w:tr>
        <w:trPr>
          <w:trHeight w:val="37"/>
        </w:trPr>
        <w:tc>
          <w:tcPr>
            <w:tcW w:w="4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340" w:type="dxa"/>
            <w:vAlign w:val="bottom"/>
            <w:tcBorders>
              <w:bottom w:val="single" w:sz="8" w:color="auto"/>
            </w:tcBorders>
          </w:tcPr>
          <w:p>
            <w:pPr>
              <w:spacing w:after="0"/>
              <w:rPr>
                <w:sz w:val="3"/>
                <w:szCs w:val="3"/>
                <w:color w:val="auto"/>
              </w:rPr>
            </w:pPr>
          </w:p>
        </w:tc>
      </w:tr>
      <w:tr>
        <w:trPr>
          <w:trHeight w:val="200"/>
        </w:trPr>
        <w:tc>
          <w:tcPr>
            <w:tcW w:w="464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88"/>
              </w:rPr>
              <w:t>Common Stock, par value $0.01 per share</w:t>
            </w:r>
          </w:p>
        </w:tc>
        <w:tc>
          <w:tcPr>
            <w:tcW w:w="100" w:type="dxa"/>
            <w:vAlign w:val="bottom"/>
          </w:tcPr>
          <w:p>
            <w:pPr>
              <w:spacing w:after="0"/>
              <w:rPr>
                <w:sz w:val="17"/>
                <w:szCs w:val="17"/>
                <w:color w:val="auto"/>
              </w:rPr>
            </w:pPr>
          </w:p>
        </w:tc>
        <w:tc>
          <w:tcPr>
            <w:tcW w:w="200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rPr>
              <w:t>EMBC</w:t>
            </w:r>
          </w:p>
        </w:tc>
        <w:tc>
          <w:tcPr>
            <w:tcW w:w="120" w:type="dxa"/>
            <w:vAlign w:val="bottom"/>
          </w:tcPr>
          <w:p>
            <w:pPr>
              <w:spacing w:after="0"/>
              <w:rPr>
                <w:sz w:val="17"/>
                <w:szCs w:val="17"/>
                <w:color w:val="auto"/>
              </w:rPr>
            </w:pPr>
          </w:p>
        </w:tc>
        <w:tc>
          <w:tcPr>
            <w:tcW w:w="4340" w:type="dxa"/>
            <w:vAlign w:val="bottom"/>
          </w:tcPr>
          <w:p>
            <w:pPr>
              <w:jc w:val="center"/>
              <w:spacing w:after="0" w:line="200" w:lineRule="exact"/>
              <w:rPr>
                <w:sz w:val="20"/>
                <w:szCs w:val="20"/>
                <w:color w:val="auto"/>
              </w:rPr>
            </w:pPr>
            <w:r>
              <w:rPr>
                <w:rFonts w:ascii="Arial" w:cs="Arial" w:eastAsia="Arial" w:hAnsi="Arial"/>
                <w:sz w:val="18"/>
                <w:szCs w:val="18"/>
                <w:b w:val="1"/>
                <w:bCs w:val="1"/>
                <w:color w:val="auto"/>
                <w:w w:val="90"/>
              </w:rPr>
              <w:t>The Nasdaq Stock Market LLC (Nasdaq Global Select</w:t>
            </w:r>
          </w:p>
        </w:tc>
      </w:tr>
      <w:tr>
        <w:trPr>
          <w:trHeight w:val="229"/>
        </w:trPr>
        <w:tc>
          <w:tcPr>
            <w:tcW w:w="4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96"/>
              </w:rPr>
              <w:t>Market)</w:t>
            </w:r>
          </w:p>
        </w:tc>
      </w:tr>
    </w:tbl>
    <w:p>
      <w:pPr>
        <w:spacing w:after="0" w:line="306"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1"/>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96"/>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720" w:type="dxa"/>
            <w:vAlign w:val="bottom"/>
          </w:tcPr>
          <w:p>
            <w:pPr>
              <w:ind w:left="2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5" w:lineRule="exact"/>
        <w:rPr>
          <w:sz w:val="20"/>
          <w:szCs w:val="20"/>
          <w:color w:val="auto"/>
        </w:rPr>
      </w:pPr>
    </w:p>
    <w:p>
      <w:pPr>
        <w:spacing w:after="0" w:line="225"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Embecta Corp. common stock outstanding as of August 2, 2023 was 57,303,556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963295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128270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321310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4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rPr>
              <w:t>Page</w:t>
            </w:r>
          </w:p>
        </w:tc>
      </w:tr>
      <w:tr>
        <w:trPr>
          <w:trHeight w:val="24"/>
        </w:trPr>
        <w:tc>
          <w:tcPr>
            <w:tcW w:w="740" w:type="dxa"/>
            <w:vAlign w:val="bottom"/>
          </w:tcPr>
          <w:p>
            <w:pPr>
              <w:spacing w:after="0"/>
              <w:rPr>
                <w:sz w:val="2"/>
                <w:szCs w:val="2"/>
                <w:color w:val="auto"/>
              </w:rPr>
            </w:pPr>
          </w:p>
        </w:tc>
        <w:tc>
          <w:tcPr>
            <w:tcW w:w="1080" w:type="dxa"/>
            <w:vAlign w:val="bottom"/>
            <w:gridSpan w:val="3"/>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2"/>
        </w:trPr>
        <w:tc>
          <w:tcPr>
            <w:tcW w:w="2020" w:type="dxa"/>
            <w:vAlign w:val="bottom"/>
            <w:tcBorders>
              <w:bottom w:val="single" w:sz="8" w:color="0000FF"/>
            </w:tcBorders>
            <w:gridSpan w:val="5"/>
          </w:tcPr>
          <w:p>
            <w:pPr>
              <w:spacing w:after="0" w:line="192" w:lineRule="exact"/>
              <w:rPr>
                <w:sz w:val="20"/>
                <w:szCs w:val="20"/>
                <w:color w:val="auto"/>
              </w:rPr>
            </w:pPr>
            <w:r>
              <w:rPr>
                <w:rFonts w:ascii="Arial" w:cs="Arial" w:eastAsia="Arial" w:hAnsi="Arial"/>
                <w:sz w:val="18"/>
                <w:szCs w:val="18"/>
                <w:color w:val="0000FF"/>
                <w:w w:val="90"/>
              </w:rPr>
              <w:t>Part I. Financial Information</w:t>
            </w:r>
          </w:p>
        </w:tc>
        <w:tc>
          <w:tcPr>
            <w:tcW w:w="8440" w:type="dxa"/>
            <w:vAlign w:val="bottom"/>
            <w:gridSpan w:val="13"/>
          </w:tcPr>
          <w:p>
            <w:pPr>
              <w:spacing w:after="0"/>
              <w:rPr>
                <w:sz w:val="16"/>
                <w:szCs w:val="16"/>
                <w:color w:val="auto"/>
              </w:rPr>
            </w:pPr>
          </w:p>
        </w:tc>
        <w:tc>
          <w:tcPr>
            <w:tcW w:w="760" w:type="dxa"/>
            <w:vAlign w:val="bottom"/>
          </w:tcPr>
          <w:p>
            <w:pPr>
              <w:jc w:val="right"/>
              <w:spacing w:after="0" w:line="192" w:lineRule="exact"/>
              <w:rPr>
                <w:sz w:val="20"/>
                <w:szCs w:val="20"/>
                <w:color w:val="auto"/>
              </w:rPr>
            </w:pPr>
            <w:r>
              <w:rPr>
                <w:rFonts w:ascii="Arial" w:cs="Arial" w:eastAsia="Arial" w:hAnsi="Arial"/>
                <w:sz w:val="18"/>
                <w:szCs w:val="18"/>
                <w:color w:val="auto"/>
              </w:rPr>
              <w:t>1</w:t>
            </w:r>
          </w:p>
        </w:tc>
      </w:tr>
      <w:tr>
        <w:trPr>
          <w:trHeight w:val="244"/>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Item</w:t>
            </w:r>
          </w:p>
        </w:tc>
        <w:tc>
          <w:tcPr>
            <w:tcW w:w="940" w:type="dxa"/>
            <w:vAlign w:val="bottom"/>
          </w:tcPr>
          <w:p>
            <w:pPr>
              <w:ind w:left="20"/>
              <w:spacing w:after="0"/>
              <w:rPr>
                <w:sz w:val="20"/>
                <w:szCs w:val="20"/>
                <w:color w:val="auto"/>
              </w:rPr>
            </w:pPr>
            <w:r>
              <w:rPr>
                <w:rFonts w:ascii="Arial" w:cs="Arial" w:eastAsia="Arial" w:hAnsi="Arial"/>
                <w:sz w:val="18"/>
                <w:szCs w:val="18"/>
                <w:color w:val="auto"/>
              </w:rPr>
              <w:t>1.</w:t>
            </w:r>
          </w:p>
        </w:tc>
        <w:tc>
          <w:tcPr>
            <w:tcW w:w="8740" w:type="dxa"/>
            <w:vAlign w:val="bottom"/>
            <w:gridSpan w:val="15"/>
          </w:tcPr>
          <w:p>
            <w:pPr>
              <w:spacing w:after="0"/>
              <w:rPr>
                <w:sz w:val="20"/>
                <w:szCs w:val="20"/>
                <w:color w:val="auto"/>
              </w:rPr>
            </w:pPr>
            <w:r>
              <w:rPr>
                <w:rFonts w:ascii="Arial" w:cs="Arial" w:eastAsia="Arial" w:hAnsi="Arial"/>
                <w:sz w:val="18"/>
                <w:szCs w:val="18"/>
                <w:color w:val="0000FF"/>
              </w:rPr>
              <w:t>Financial Statements and Supplementary Data (Unaudited)</w:t>
            </w: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1"/>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86"/>
              </w:rPr>
              <w:t>Condensed Consolidated Statements of Income</w:t>
            </w:r>
          </w:p>
        </w:tc>
        <w:tc>
          <w:tcPr>
            <w:tcW w:w="800" w:type="dxa"/>
            <w:vAlign w:val="bottom"/>
            <w:tcBorders>
              <w:top w:val="single" w:sz="8" w:color="0000FF"/>
            </w:tcBorders>
            <w:gridSpan w:val="3"/>
          </w:tcPr>
          <w:p>
            <w:pPr>
              <w:spacing w:after="0"/>
              <w:rPr>
                <w:sz w:val="20"/>
                <w:szCs w:val="20"/>
                <w:color w:val="auto"/>
              </w:rPr>
            </w:pPr>
          </w:p>
        </w:tc>
        <w:tc>
          <w:tcPr>
            <w:tcW w:w="4600" w:type="dxa"/>
            <w:vAlign w:val="bottom"/>
            <w:gridSpan w:val="4"/>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1"/>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4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Comprehensive Income</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1"/>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8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Condensed Consolidated Balance Sheets</w:t>
            </w:r>
          </w:p>
        </w:tc>
        <w:tc>
          <w:tcPr>
            <w:tcW w:w="4260" w:type="dxa"/>
            <w:vAlign w:val="bottom"/>
            <w:gridSpan w:val="2"/>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1"/>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8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7"/>
              </w:rPr>
              <w:t>Condensed Consolidated Statements of Equity</w:t>
            </w:r>
          </w:p>
        </w:tc>
        <w:tc>
          <w:tcPr>
            <w:tcW w:w="5460" w:type="dxa"/>
            <w:vAlign w:val="bottom"/>
            <w:gridSpan w:val="8"/>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4"/>
        </w:trPr>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740" w:type="dxa"/>
            <w:vAlign w:val="bottom"/>
            <w:gridSpan w:val="15"/>
          </w:tcPr>
          <w:p>
            <w:pPr>
              <w:spacing w:after="0"/>
              <w:rPr>
                <w:sz w:val="20"/>
                <w:szCs w:val="20"/>
                <w:color w:val="auto"/>
              </w:rPr>
            </w:pPr>
            <w:r>
              <w:rPr>
                <w:rFonts w:ascii="Arial" w:cs="Arial" w:eastAsia="Arial" w:hAnsi="Arial"/>
                <w:sz w:val="18"/>
                <w:szCs w:val="18"/>
                <w:color w:val="0000FF"/>
              </w:rPr>
              <w:t>Condensed Consolidated Statements of Cash Flows</w:t>
            </w: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90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1"/>
        </w:trPr>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4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1"/>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Item</w:t>
            </w:r>
          </w:p>
        </w:tc>
        <w:tc>
          <w:tcPr>
            <w:tcW w:w="940" w:type="dxa"/>
            <w:vAlign w:val="bottom"/>
          </w:tcPr>
          <w:p>
            <w:pPr>
              <w:ind w:left="20"/>
              <w:spacing w:after="0"/>
              <w:rPr>
                <w:sz w:val="20"/>
                <w:szCs w:val="20"/>
                <w:color w:val="auto"/>
              </w:rPr>
            </w:pPr>
            <w:r>
              <w:rPr>
                <w:rFonts w:ascii="Arial" w:cs="Arial" w:eastAsia="Arial" w:hAnsi="Arial"/>
                <w:sz w:val="18"/>
                <w:szCs w:val="18"/>
                <w:color w:val="auto"/>
              </w:rPr>
              <w:t>2.</w:t>
            </w:r>
          </w:p>
        </w:tc>
        <w:tc>
          <w:tcPr>
            <w:tcW w:w="8740" w:type="dxa"/>
            <w:vAlign w:val="bottom"/>
            <w:gridSpan w:val="15"/>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1"/>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Item</w:t>
            </w:r>
          </w:p>
        </w:tc>
        <w:tc>
          <w:tcPr>
            <w:tcW w:w="940" w:type="dxa"/>
            <w:vAlign w:val="bottom"/>
          </w:tcPr>
          <w:p>
            <w:pPr>
              <w:ind w:left="20"/>
              <w:spacing w:after="0"/>
              <w:rPr>
                <w:sz w:val="20"/>
                <w:szCs w:val="20"/>
                <w:color w:val="auto"/>
              </w:rPr>
            </w:pPr>
            <w:r>
              <w:rPr>
                <w:rFonts w:ascii="Arial" w:cs="Arial" w:eastAsia="Arial" w:hAnsi="Arial"/>
                <w:sz w:val="18"/>
                <w:szCs w:val="18"/>
                <w:color w:val="auto"/>
              </w:rPr>
              <w:t>3.</w:t>
            </w:r>
          </w:p>
        </w:tc>
        <w:tc>
          <w:tcPr>
            <w:tcW w:w="42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Quantitative and Qualitative Disclosures About Market Risk</w:t>
            </w:r>
          </w:p>
        </w:tc>
        <w:tc>
          <w:tcPr>
            <w:tcW w:w="2040" w:type="dxa"/>
            <w:vAlign w:val="bottom"/>
            <w:tcBorders>
              <w:top w:val="single" w:sz="8" w:color="0000FF"/>
            </w:tcBorders>
            <w:gridSpan w:val="2"/>
          </w:tcPr>
          <w:p>
            <w:pPr>
              <w:spacing w:after="0"/>
              <w:rPr>
                <w:sz w:val="20"/>
                <w:szCs w:val="20"/>
                <w:color w:val="auto"/>
              </w:rPr>
            </w:pPr>
          </w:p>
        </w:tc>
        <w:tc>
          <w:tcPr>
            <w:tcW w:w="2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1"/>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Item</w:t>
            </w:r>
          </w:p>
        </w:tc>
        <w:tc>
          <w:tcPr>
            <w:tcW w:w="940" w:type="dxa"/>
            <w:vAlign w:val="bottom"/>
          </w:tcPr>
          <w:p>
            <w:pPr>
              <w:ind w:left="20"/>
              <w:spacing w:after="0"/>
              <w:rPr>
                <w:sz w:val="20"/>
                <w:szCs w:val="20"/>
                <w:color w:val="auto"/>
              </w:rPr>
            </w:pPr>
            <w:r>
              <w:rPr>
                <w:rFonts w:ascii="Arial" w:cs="Arial" w:eastAsia="Arial" w:hAnsi="Arial"/>
                <w:sz w:val="18"/>
                <w:szCs w:val="18"/>
                <w:color w:val="auto"/>
              </w:rPr>
              <w:t>4.</w:t>
            </w:r>
          </w:p>
        </w:tc>
        <w:tc>
          <w:tcPr>
            <w:tcW w:w="8740" w:type="dxa"/>
            <w:vAlign w:val="bottom"/>
            <w:gridSpan w:val="15"/>
          </w:tcPr>
          <w:p>
            <w:pPr>
              <w:spacing w:after="0"/>
              <w:rPr>
                <w:sz w:val="20"/>
                <w:szCs w:val="20"/>
                <w:color w:val="auto"/>
              </w:rPr>
            </w:pPr>
            <w:r>
              <w:rPr>
                <w:rFonts w:ascii="Arial" w:cs="Arial" w:eastAsia="Arial" w:hAnsi="Arial"/>
                <w:sz w:val="18"/>
                <w:szCs w:val="18"/>
                <w:color w:val="0000FF"/>
              </w:rPr>
              <w:t>Controls and Procedures</w:t>
            </w: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44"/>
        </w:trPr>
        <w:tc>
          <w:tcPr>
            <w:tcW w:w="10460" w:type="dxa"/>
            <w:vAlign w:val="bottom"/>
            <w:gridSpan w:val="18"/>
          </w:tcPr>
          <w:p>
            <w:pPr>
              <w:spacing w:after="0"/>
              <w:rPr>
                <w:sz w:val="20"/>
                <w:szCs w:val="20"/>
                <w:color w:val="auto"/>
              </w:rPr>
            </w:pPr>
            <w:r>
              <w:rPr>
                <w:rFonts w:ascii="Arial" w:cs="Arial" w:eastAsia="Arial" w:hAnsi="Arial"/>
                <w:sz w:val="18"/>
                <w:szCs w:val="18"/>
                <w:color w:val="0000FF"/>
              </w:rPr>
              <w:t>Part II. Other Information</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1"/>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1"/>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Item</w:t>
            </w:r>
          </w:p>
        </w:tc>
        <w:tc>
          <w:tcPr>
            <w:tcW w:w="940" w:type="dxa"/>
            <w:vAlign w:val="bottom"/>
          </w:tcPr>
          <w:p>
            <w:pPr>
              <w:ind w:left="20"/>
              <w:spacing w:after="0"/>
              <w:rPr>
                <w:sz w:val="20"/>
                <w:szCs w:val="20"/>
                <w:color w:val="auto"/>
              </w:rPr>
            </w:pPr>
            <w:r>
              <w:rPr>
                <w:rFonts w:ascii="Arial" w:cs="Arial" w:eastAsia="Arial" w:hAnsi="Arial"/>
                <w:sz w:val="18"/>
                <w:szCs w:val="18"/>
                <w:color w:val="auto"/>
              </w:rPr>
              <w:t>1A.</w:t>
            </w:r>
          </w:p>
        </w:tc>
        <w:tc>
          <w:tcPr>
            <w:tcW w:w="8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5"/>
              </w:rPr>
              <w:t>Risk Factors</w:t>
            </w:r>
          </w:p>
        </w:tc>
        <w:tc>
          <w:tcPr>
            <w:tcW w:w="7860" w:type="dxa"/>
            <w:vAlign w:val="bottom"/>
            <w:gridSpan w:val="11"/>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1"/>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Item</w:t>
            </w:r>
          </w:p>
        </w:tc>
        <w:tc>
          <w:tcPr>
            <w:tcW w:w="940" w:type="dxa"/>
            <w:vAlign w:val="bottom"/>
          </w:tcPr>
          <w:p>
            <w:pPr>
              <w:ind w:left="20"/>
              <w:spacing w:after="0"/>
              <w:rPr>
                <w:sz w:val="20"/>
                <w:szCs w:val="20"/>
                <w:color w:val="auto"/>
              </w:rPr>
            </w:pPr>
            <w:r>
              <w:rPr>
                <w:rFonts w:ascii="Arial" w:cs="Arial" w:eastAsia="Arial" w:hAnsi="Arial"/>
                <w:sz w:val="18"/>
                <w:szCs w:val="18"/>
                <w:color w:val="auto"/>
              </w:rPr>
              <w:t>6.</w:t>
            </w:r>
          </w:p>
        </w:tc>
        <w:tc>
          <w:tcPr>
            <w:tcW w:w="8740" w:type="dxa"/>
            <w:vAlign w:val="bottom"/>
            <w:gridSpan w:val="15"/>
          </w:tcPr>
          <w:p>
            <w:pPr>
              <w:spacing w:after="0"/>
              <w:rPr>
                <w:sz w:val="20"/>
                <w:szCs w:val="20"/>
                <w:color w:val="auto"/>
              </w:rPr>
            </w:pPr>
            <w:r>
              <w:rPr>
                <w:rFonts w:ascii="Arial" w:cs="Arial" w:eastAsia="Arial" w:hAnsi="Arial"/>
                <w:sz w:val="18"/>
                <w:szCs w:val="18"/>
                <w:color w:val="0000FF"/>
              </w:rPr>
              <w:t>Exhibits</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1"/>
        </w:trPr>
        <w:tc>
          <w:tcPr>
            <w:tcW w:w="780" w:type="dxa"/>
            <w:vAlign w:val="bottom"/>
            <w:gridSpan w:val="2"/>
          </w:tcPr>
          <w:p>
            <w:pPr>
              <w:jc w:val="right"/>
              <w:ind w:right="40"/>
              <w:spacing w:after="0"/>
              <w:rPr>
                <w:sz w:val="20"/>
                <w:szCs w:val="20"/>
                <w:color w:val="auto"/>
              </w:rPr>
            </w:pPr>
            <w:r>
              <w:rPr>
                <w:rFonts w:ascii="Arial" w:cs="Arial" w:eastAsia="Arial" w:hAnsi="Arial"/>
                <w:sz w:val="18"/>
                <w:szCs w:val="18"/>
                <w:color w:val="0000FF"/>
                <w:w w:val="83"/>
              </w:rPr>
              <w:t>Signatures</w:t>
            </w:r>
          </w:p>
        </w:tc>
        <w:tc>
          <w:tcPr>
            <w:tcW w:w="94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123825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PART I. FINANCIAL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and Supplementary Data.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306"/>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6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40" w:type="dxa"/>
            <w:vAlign w:val="bottom"/>
          </w:tcPr>
          <w:p>
            <w:pPr>
              <w:spacing w:after="0"/>
              <w:rPr>
                <w:sz w:val="16"/>
                <w:szCs w:val="16"/>
                <w:color w:val="auto"/>
              </w:rPr>
            </w:pPr>
          </w:p>
        </w:tc>
      </w:tr>
      <w:tr>
        <w:trPr>
          <w:trHeight w:val="208"/>
        </w:trPr>
        <w:tc>
          <w:tcPr>
            <w:tcW w:w="46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46"/>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1"/>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14"/>
        </w:trPr>
        <w:tc>
          <w:tcPr>
            <w:tcW w:w="4600" w:type="dxa"/>
            <w:vAlign w:val="bottom"/>
          </w:tcPr>
          <w:p>
            <w:pPr>
              <w:spacing w:after="0"/>
              <w:rPr>
                <w:sz w:val="18"/>
                <w:szCs w:val="18"/>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b w:val="1"/>
                <w:bCs w:val="1"/>
                <w:color w:val="auto"/>
              </w:rPr>
              <w:t>2023</w:t>
            </w:r>
          </w:p>
        </w:tc>
        <w:tc>
          <w:tcPr>
            <w:tcW w:w="520" w:type="dxa"/>
            <w:vAlign w:val="bottom"/>
          </w:tcPr>
          <w:p>
            <w:pPr>
              <w:spacing w:after="0"/>
              <w:rPr>
                <w:sz w:val="18"/>
                <w:szCs w:val="18"/>
                <w:color w:val="auto"/>
              </w:rPr>
            </w:pPr>
          </w:p>
        </w:tc>
        <w:tc>
          <w:tcPr>
            <w:tcW w:w="1160" w:type="dxa"/>
            <w:vAlign w:val="bottom"/>
            <w:gridSpan w:val="2"/>
          </w:tcPr>
          <w:p>
            <w:pPr>
              <w:jc w:val="right"/>
              <w:ind w:right="26"/>
              <w:spacing w:after="0"/>
              <w:rPr>
                <w:sz w:val="20"/>
                <w:szCs w:val="20"/>
                <w:color w:val="auto"/>
              </w:rPr>
            </w:pPr>
            <w:r>
              <w:rPr>
                <w:rFonts w:ascii="Arial" w:cs="Arial" w:eastAsia="Arial" w:hAnsi="Arial"/>
                <w:sz w:val="16"/>
                <w:szCs w:val="16"/>
                <w:b w:val="1"/>
                <w:bCs w:val="1"/>
                <w:color w:val="auto"/>
              </w:rPr>
              <w:t>2022</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6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jc w:val="right"/>
              <w:ind w:right="541"/>
              <w:spacing w:after="0"/>
              <w:rPr>
                <w:sz w:val="20"/>
                <w:szCs w:val="20"/>
                <w:color w:val="auto"/>
              </w:rPr>
            </w:pPr>
            <w:r>
              <w:rPr>
                <w:rFonts w:ascii="Arial" w:cs="Arial" w:eastAsia="Arial" w:hAnsi="Arial"/>
                <w:sz w:val="16"/>
                <w:szCs w:val="16"/>
                <w:b w:val="1"/>
                <w:bCs w:val="1"/>
                <w:color w:val="auto"/>
                <w:w w:val="84"/>
              </w:rPr>
              <w:t>2022</w:t>
            </w:r>
          </w:p>
        </w:tc>
      </w:tr>
      <w:tr>
        <w:trPr>
          <w:trHeight w:val="225"/>
        </w:trPr>
        <w:tc>
          <w:tcPr>
            <w:tcW w:w="46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r>
      <w:tr>
        <w:trPr>
          <w:trHeight w:val="21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160" w:type="dxa"/>
            <w:vAlign w:val="bottom"/>
            <w:tcBorders>
              <w:bottom w:val="single" w:sz="8" w:color="CCEEFF"/>
            </w:tcBorders>
            <w:gridSpan w:val="2"/>
            <w:shd w:val="clear" w:color="auto" w:fill="CCEEFF"/>
          </w:tcPr>
          <w:p>
            <w:pPr>
              <w:jc w:val="right"/>
              <w:ind w:right="88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291.1</w:t>
            </w:r>
          </w:p>
        </w:tc>
        <w:tc>
          <w:tcPr>
            <w:tcW w:w="46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838.9</w:t>
            </w:r>
          </w:p>
        </w:tc>
        <w:tc>
          <w:tcPr>
            <w:tcW w:w="740" w:type="dxa"/>
            <w:vAlign w:val="bottom"/>
            <w:tcBorders>
              <w:bottom w:val="single" w:sz="8" w:color="CCEEFF"/>
            </w:tcBorders>
            <w:gridSpan w:val="2"/>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r>
      <w:tr>
        <w:trPr>
          <w:trHeight w:val="23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r>
              <w:rPr>
                <w:rFonts w:ascii="Arial" w:cs="Arial" w:eastAsia="Arial" w:hAnsi="Arial"/>
                <w:sz w:val="20"/>
                <w:szCs w:val="20"/>
                <w:color w:val="auto"/>
                <w:vertAlign w:val="superscript"/>
              </w:rPr>
              <w:t>(1)</w:t>
            </w: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88.2</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270.8</w:t>
            </w: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w:t>
            </w:r>
          </w:p>
        </w:tc>
      </w:tr>
      <w:tr>
        <w:trPr>
          <w:trHeight w:val="211"/>
        </w:trPr>
        <w:tc>
          <w:tcPr>
            <w:tcW w:w="4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Gross Profit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1160" w:type="dxa"/>
            <w:vAlign w:val="bottom"/>
            <w:tcBorders>
              <w:bottom w:val="single" w:sz="8" w:color="CCEEFF"/>
            </w:tcBorders>
            <w:gridSpan w:val="2"/>
            <w:shd w:val="clear" w:color="auto" w:fill="CCEEFF"/>
          </w:tcPr>
          <w:p>
            <w:pPr>
              <w:jc w:val="right"/>
              <w:ind w:right="88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202.9</w:t>
            </w:r>
          </w:p>
        </w:tc>
        <w:tc>
          <w:tcPr>
            <w:tcW w:w="46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568.1</w:t>
            </w:r>
          </w:p>
        </w:tc>
        <w:tc>
          <w:tcPr>
            <w:tcW w:w="740" w:type="dxa"/>
            <w:vAlign w:val="bottom"/>
            <w:tcBorders>
              <w:bottom w:val="single" w:sz="8" w:color="CCEEFF"/>
            </w:tcBorders>
            <w:gridSpan w:val="2"/>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598.0</w:t>
            </w:r>
          </w:p>
        </w:tc>
      </w:tr>
      <w:tr>
        <w:trPr>
          <w:trHeight w:val="205"/>
        </w:trPr>
        <w:tc>
          <w:tcPr>
            <w:tcW w:w="46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245.6</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r>
      <w:tr>
        <w:trPr>
          <w:trHeight w:val="205"/>
        </w:trPr>
        <w:tc>
          <w:tcPr>
            <w:tcW w:w="460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61.6</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33"/>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65.2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r>
      <w:tr>
        <w:trPr>
          <w:trHeight w:val="198"/>
        </w:trPr>
        <w:tc>
          <w:tcPr>
            <w:tcW w:w="4600" w:type="dxa"/>
            <w:vAlign w:val="bottom"/>
            <w:tcBorders>
              <w:top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138.2</w:t>
            </w: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105.8</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372.4</w:t>
            </w: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ind w:right="46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285.4</w:t>
            </w:r>
          </w:p>
        </w:tc>
      </w:tr>
      <w:tr>
        <w:trPr>
          <w:trHeight w:val="33"/>
        </w:trPr>
        <w:tc>
          <w:tcPr>
            <w:tcW w:w="4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1"/>
        </w:trPr>
        <w:tc>
          <w:tcPr>
            <w:tcW w:w="46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Operating Income</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160" w:type="dxa"/>
            <w:vAlign w:val="bottom"/>
            <w:tcBorders>
              <w:bottom w:val="single" w:sz="8" w:color="CCEEFF"/>
            </w:tcBorders>
            <w:gridSpan w:val="2"/>
            <w:shd w:val="clear" w:color="auto" w:fill="CCEEFF"/>
          </w:tcPr>
          <w:p>
            <w:pPr>
              <w:jc w:val="right"/>
              <w:ind w:right="88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97.1</w:t>
            </w:r>
          </w:p>
        </w:tc>
        <w:tc>
          <w:tcPr>
            <w:tcW w:w="46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195.7</w:t>
            </w:r>
          </w:p>
        </w:tc>
        <w:tc>
          <w:tcPr>
            <w:tcW w:w="740" w:type="dxa"/>
            <w:vAlign w:val="bottom"/>
            <w:tcBorders>
              <w:bottom w:val="single" w:sz="8" w:color="CCEEFF"/>
            </w:tcBorders>
            <w:gridSpan w:val="2"/>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r>
      <w:tr>
        <w:trPr>
          <w:trHeight w:val="205"/>
        </w:trPr>
        <w:tc>
          <w:tcPr>
            <w:tcW w:w="46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0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(79.4)</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20"/>
        </w:trPr>
        <w:tc>
          <w:tcPr>
            <w:tcW w:w="4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198"/>
        </w:trPr>
        <w:tc>
          <w:tcPr>
            <w:tcW w:w="46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1040" w:type="dxa"/>
            <w:vAlign w:val="bottom"/>
            <w:tcBorders>
              <w:top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73.6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100.7</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6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284.1</w:t>
            </w:r>
          </w:p>
        </w:tc>
      </w:tr>
      <w:tr>
        <w:trPr>
          <w:trHeight w:val="33"/>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0"/>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r>
      <w:tr>
        <w:trPr>
          <w:trHeight w:val="198"/>
        </w:trPr>
        <w:tc>
          <w:tcPr>
            <w:tcW w:w="4600" w:type="dxa"/>
            <w:vAlign w:val="bottom"/>
            <w:tcBorders>
              <w:top w:val="single" w:sz="8" w:color="CCEEFF"/>
            </w:tcBorders>
          </w:tcPr>
          <w:p>
            <w:pPr>
              <w:ind w:left="1040"/>
              <w:spacing w:after="0"/>
              <w:rPr>
                <w:sz w:val="20"/>
                <w:szCs w:val="20"/>
                <w:color w:val="auto"/>
              </w:rPr>
            </w:pPr>
            <w:r>
              <w:rPr>
                <w:rFonts w:ascii="Arial" w:cs="Arial" w:eastAsia="Arial" w:hAnsi="Arial"/>
                <w:sz w:val="16"/>
                <w:szCs w:val="16"/>
                <w:color w:val="auto"/>
              </w:rPr>
              <w:t>Net Income</w:t>
            </w:r>
          </w:p>
        </w:tc>
        <w:tc>
          <w:tcPr>
            <w:tcW w:w="1060" w:type="dxa"/>
            <w:vAlign w:val="bottom"/>
            <w:tcBorders>
              <w:top w:val="single" w:sz="8" w:color="auto"/>
            </w:tcBorders>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tcBorders>
          </w:tcPr>
          <w:p>
            <w:pPr>
              <w:spacing w:after="0"/>
              <w:rPr>
                <w:sz w:val="17"/>
                <w:szCs w:val="17"/>
                <w:color w:val="auto"/>
              </w:rPr>
            </w:pPr>
          </w:p>
        </w:tc>
        <w:tc>
          <w:tcPr>
            <w:tcW w:w="1040" w:type="dxa"/>
            <w:vAlign w:val="bottom"/>
            <w:tcBorders>
              <w:top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62.4</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64.4</w:t>
            </w:r>
          </w:p>
        </w:tc>
        <w:tc>
          <w:tcPr>
            <w:tcW w:w="100" w:type="dxa"/>
            <w:vAlign w:val="bottom"/>
            <w:tcBorders>
              <w:top w:val="single" w:sz="8" w:color="CCEEFF"/>
            </w:tcBorders>
          </w:tcPr>
          <w:p>
            <w:pPr>
              <w:spacing w:after="0"/>
              <w:rPr>
                <w:sz w:val="17"/>
                <w:szCs w:val="17"/>
                <w:color w:val="auto"/>
              </w:rPr>
            </w:pPr>
          </w:p>
        </w:tc>
        <w:tc>
          <w:tcPr>
            <w:tcW w:w="640" w:type="dxa"/>
            <w:vAlign w:val="bottom"/>
            <w:tcBorders>
              <w:top w:val="single" w:sz="8" w:color="auto"/>
            </w:tcBorders>
          </w:tcPr>
          <w:p>
            <w:pPr>
              <w:jc w:val="right"/>
              <w:ind w:right="46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240.8</w:t>
            </w:r>
          </w:p>
        </w:tc>
      </w:tr>
      <w:tr>
        <w:trPr>
          <w:trHeight w:val="33"/>
        </w:trPr>
        <w:tc>
          <w:tcPr>
            <w:tcW w:w="4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2"/>
        </w:trPr>
        <w:tc>
          <w:tcPr>
            <w:tcW w:w="46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5"/>
        </w:trPr>
        <w:tc>
          <w:tcPr>
            <w:tcW w:w="460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3"/>
        </w:trPr>
        <w:tc>
          <w:tcPr>
            <w:tcW w:w="4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18"/>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1160" w:type="dxa"/>
            <w:vAlign w:val="bottom"/>
            <w:tcBorders>
              <w:bottom w:val="single" w:sz="8" w:color="CCEEFF"/>
            </w:tcBorders>
            <w:gridSpan w:val="2"/>
            <w:shd w:val="clear" w:color="auto" w:fill="CCEEFF"/>
          </w:tcPr>
          <w:p>
            <w:pPr>
              <w:jc w:val="right"/>
              <w:ind w:right="88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46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1.13</w:t>
            </w:r>
          </w:p>
        </w:tc>
        <w:tc>
          <w:tcPr>
            <w:tcW w:w="740" w:type="dxa"/>
            <w:vAlign w:val="bottom"/>
            <w:tcBorders>
              <w:bottom w:val="single" w:sz="8" w:color="CCEEFF"/>
            </w:tcBorders>
            <w:gridSpan w:val="2"/>
            <w:shd w:val="clear" w:color="auto" w:fill="CCEEFF"/>
          </w:tcPr>
          <w:p>
            <w:pPr>
              <w:jc w:val="right"/>
              <w:ind w:right="46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05"/>
        </w:trPr>
        <w:tc>
          <w:tcPr>
            <w:tcW w:w="4600" w:type="dxa"/>
            <w:vAlign w:val="bottom"/>
          </w:tcPr>
          <w:p>
            <w:pPr>
              <w:ind w:left="120"/>
              <w:spacing w:after="0"/>
              <w:rPr>
                <w:sz w:val="20"/>
                <w:szCs w:val="20"/>
                <w:color w:val="auto"/>
              </w:rPr>
            </w:pPr>
            <w:r>
              <w:rPr>
                <w:rFonts w:ascii="Arial" w:cs="Arial" w:eastAsia="Arial" w:hAnsi="Arial"/>
                <w:sz w:val="16"/>
                <w:szCs w:val="16"/>
                <w:color w:val="auto"/>
              </w:rPr>
              <w:t>Diluted</w:t>
            </w:r>
          </w:p>
        </w:tc>
        <w:tc>
          <w:tcPr>
            <w:tcW w:w="1060" w:type="dxa"/>
            <w:vAlign w:val="bottom"/>
          </w:tcPr>
          <w:p>
            <w:pPr>
              <w:jc w:val="right"/>
              <w:ind w:right="881"/>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0.26</w:t>
            </w:r>
          </w:p>
        </w:tc>
        <w:tc>
          <w:tcPr>
            <w:tcW w:w="1160" w:type="dxa"/>
            <w:vAlign w:val="bottom"/>
            <w:gridSpan w:val="2"/>
          </w:tcPr>
          <w:p>
            <w:pPr>
              <w:jc w:val="right"/>
              <w:ind w:right="886"/>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1.07</w:t>
            </w:r>
          </w:p>
        </w:tc>
        <w:tc>
          <w:tcPr>
            <w:tcW w:w="460" w:type="dxa"/>
            <w:vAlign w:val="bottom"/>
            <w:gridSpan w:val="2"/>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1.12</w:t>
            </w:r>
          </w:p>
        </w:tc>
        <w:tc>
          <w:tcPr>
            <w:tcW w:w="740" w:type="dxa"/>
            <w:vAlign w:val="bottom"/>
            <w:gridSpan w:val="2"/>
          </w:tcPr>
          <w:p>
            <w:pPr>
              <w:jc w:val="right"/>
              <w:ind w:right="46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197485</wp:posOffset>
            </wp:positionV>
            <wp:extent cx="7804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04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20" w:hanging="314"/>
        <w:spacing w:after="0" w:line="210" w:lineRule="auto"/>
        <w:tabs>
          <w:tab w:leader="none" w:pos="320"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For periods prior to the Separation, this income statement line includes cost of products sold from related party inventory purchases. For the nine month period ended June 30, 2022, cost of products sold from related party inventory purchases were $22.1 million.</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Embecta Corp.</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20" w:type="dxa"/>
            <w:vAlign w:val="bottom"/>
          </w:tcPr>
          <w:p>
            <w:pPr>
              <w:spacing w:after="0"/>
              <w:rPr>
                <w:sz w:val="16"/>
                <w:szCs w:val="16"/>
                <w:color w:val="auto"/>
              </w:rPr>
            </w:pPr>
          </w:p>
        </w:tc>
        <w:tc>
          <w:tcPr>
            <w:tcW w:w="2740" w:type="dxa"/>
            <w:vAlign w:val="bottom"/>
            <w:gridSpan w:val="4"/>
          </w:tcPr>
          <w:p>
            <w:pPr>
              <w:jc w:val="right"/>
              <w:ind w:right="380"/>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4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960" w:type="dxa"/>
            <w:vAlign w:val="bottom"/>
          </w:tcPr>
          <w:p>
            <w:pPr>
              <w:spacing w:after="0"/>
              <w:rPr>
                <w:sz w:val="16"/>
                <w:szCs w:val="16"/>
                <w:color w:val="auto"/>
              </w:rPr>
            </w:pPr>
          </w:p>
        </w:tc>
      </w:tr>
      <w:tr>
        <w:trPr>
          <w:trHeight w:val="208"/>
        </w:trPr>
        <w:tc>
          <w:tcPr>
            <w:tcW w:w="45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2"/>
        </w:trPr>
        <w:tc>
          <w:tcPr>
            <w:tcW w:w="452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b w:val="1"/>
                <w:bCs w:val="1"/>
                <w:color w:val="auto"/>
              </w:rPr>
              <w:t>2023</w:t>
            </w:r>
          </w:p>
        </w:tc>
        <w:tc>
          <w:tcPr>
            <w:tcW w:w="48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2022</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6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ind w:left="20"/>
              <w:spacing w:after="0"/>
              <w:rPr>
                <w:sz w:val="20"/>
                <w:szCs w:val="20"/>
                <w:color w:val="auto"/>
              </w:rPr>
            </w:pPr>
            <w:r>
              <w:rPr>
                <w:rFonts w:ascii="Arial" w:cs="Arial" w:eastAsia="Arial" w:hAnsi="Arial"/>
                <w:sz w:val="16"/>
                <w:szCs w:val="16"/>
                <w:b w:val="1"/>
                <w:bCs w:val="1"/>
                <w:color w:val="auto"/>
              </w:rPr>
              <w:t>2022</w:t>
            </w:r>
          </w:p>
        </w:tc>
      </w:tr>
      <w:tr>
        <w:trPr>
          <w:trHeight w:val="33"/>
        </w:trPr>
        <w:tc>
          <w:tcPr>
            <w:tcW w:w="4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4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8"/>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18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6"/>
                <w:szCs w:val="16"/>
                <w:color w:val="auto"/>
                <w:w w:val="89"/>
              </w:rPr>
              <w:t>62.4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64.4</w:t>
            </w:r>
          </w:p>
        </w:tc>
        <w:tc>
          <w:tcPr>
            <w:tcW w:w="7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240.8</w:t>
            </w:r>
          </w:p>
        </w:tc>
      </w:tr>
      <w:tr>
        <w:trPr>
          <w:trHeight w:val="205"/>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10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4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18"/>
        </w:trPr>
        <w:tc>
          <w:tcPr>
            <w:tcW w:w="45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center"/>
              <w:ind w:left="21"/>
              <w:spacing w:after="0"/>
              <w:rPr>
                <w:sz w:val="20"/>
                <w:szCs w:val="20"/>
                <w:color w:val="auto"/>
              </w:rPr>
            </w:pPr>
            <w:r>
              <w:rPr>
                <w:rFonts w:ascii="Arial" w:cs="Arial" w:eastAsia="Arial" w:hAnsi="Arial"/>
                <w:sz w:val="16"/>
                <w:szCs w:val="16"/>
                <w:color w:val="auto"/>
                <w:w w:val="90"/>
              </w:rPr>
              <w:t>(21.4)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5"/>
              </w:rPr>
              <w:t>(37.3)</w:t>
            </w:r>
          </w:p>
        </w:tc>
      </w:tr>
      <w:tr>
        <w:trPr>
          <w:trHeight w:val="205"/>
        </w:trPr>
        <w:tc>
          <w:tcPr>
            <w:tcW w:w="452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1080" w:type="dxa"/>
            <w:vAlign w:val="bottom"/>
          </w:tcPr>
          <w:p>
            <w:pPr>
              <w:jc w:val="right"/>
              <w:ind w:right="901"/>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1.5</w:t>
            </w:r>
          </w:p>
        </w:tc>
        <w:tc>
          <w:tcPr>
            <w:tcW w:w="118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520" w:type="dxa"/>
            <w:vAlign w:val="bottom"/>
          </w:tcPr>
          <w:p>
            <w:pPr>
              <w:jc w:val="center"/>
              <w:ind w:left="21"/>
              <w:spacing w:after="0"/>
              <w:rPr>
                <w:sz w:val="20"/>
                <w:szCs w:val="20"/>
                <w:color w:val="auto"/>
              </w:rPr>
            </w:pPr>
            <w:r>
              <w:rPr>
                <w:rFonts w:ascii="Arial" w:cs="Arial" w:eastAsia="Arial" w:hAnsi="Arial"/>
                <w:sz w:val="16"/>
                <w:szCs w:val="16"/>
                <w:color w:val="auto"/>
                <w:w w:val="90"/>
              </w:rPr>
              <w:t>(21.4)</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
              <w:spacing w:after="0"/>
              <w:rPr>
                <w:sz w:val="20"/>
                <w:szCs w:val="20"/>
                <w:color w:val="auto"/>
              </w:rPr>
            </w:pPr>
            <w:r>
              <w:rPr>
                <w:rFonts w:ascii="Arial" w:cs="Arial" w:eastAsia="Arial" w:hAnsi="Arial"/>
                <w:sz w:val="16"/>
                <w:szCs w:val="16"/>
                <w:color w:val="auto"/>
              </w:rPr>
              <w:t>30.2</w:t>
            </w:r>
          </w:p>
        </w:tc>
        <w:tc>
          <w:tcPr>
            <w:tcW w:w="72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Pr>
          <w:p>
            <w:pPr>
              <w:ind w:left="540"/>
              <w:spacing w:after="0"/>
              <w:rPr>
                <w:sz w:val="20"/>
                <w:szCs w:val="20"/>
                <w:color w:val="auto"/>
              </w:rPr>
            </w:pPr>
            <w:r>
              <w:rPr>
                <w:rFonts w:ascii="Arial" w:cs="Arial" w:eastAsia="Arial" w:hAnsi="Arial"/>
                <w:sz w:val="16"/>
                <w:szCs w:val="16"/>
                <w:color w:val="auto"/>
                <w:w w:val="95"/>
              </w:rPr>
              <w:t>(37.3)</w:t>
            </w:r>
          </w:p>
        </w:tc>
      </w:tr>
      <w:tr>
        <w:trPr>
          <w:trHeight w:val="33"/>
        </w:trPr>
        <w:tc>
          <w:tcPr>
            <w:tcW w:w="45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80" w:type="dxa"/>
            <w:vAlign w:val="bottom"/>
            <w:tcBorders>
              <w:bottom w:val="single" w:sz="8" w:color="CCEEFF"/>
            </w:tcBorders>
            <w:shd w:val="clear" w:color="auto" w:fill="CCEEFF"/>
          </w:tcPr>
          <w:p>
            <w:pPr>
              <w:jc w:val="right"/>
              <w:ind w:right="9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180" w:type="dxa"/>
            <w:vAlign w:val="bottom"/>
            <w:tcBorders>
              <w:bottom w:val="single" w:sz="8" w:color="CCEEFF"/>
            </w:tcBorders>
            <w:gridSpan w:val="2"/>
            <w:shd w:val="clear" w:color="auto" w:fill="CCEEFF"/>
          </w:tcPr>
          <w:p>
            <w:pPr>
              <w:jc w:val="right"/>
              <w:ind w:right="960"/>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center"/>
              <w:ind w:left="41"/>
              <w:spacing w:after="0"/>
              <w:rPr>
                <w:sz w:val="20"/>
                <w:szCs w:val="20"/>
                <w:color w:val="auto"/>
              </w:rPr>
            </w:pPr>
            <w:r>
              <w:rPr>
                <w:rFonts w:ascii="Arial" w:cs="Arial" w:eastAsia="Arial" w:hAnsi="Arial"/>
                <w:sz w:val="16"/>
                <w:szCs w:val="16"/>
                <w:color w:val="auto"/>
                <w:w w:val="89"/>
              </w:rPr>
              <w:t>41.0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94.6</w:t>
            </w:r>
          </w:p>
        </w:tc>
        <w:tc>
          <w:tcPr>
            <w:tcW w:w="720" w:type="dxa"/>
            <w:vAlign w:val="bottom"/>
            <w:tcBorders>
              <w:bottom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w w:val="99"/>
              </w:rPr>
              <w:t>203.5</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227"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June 30, 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3"/>
              </w:rPr>
              <w:t>September 30, 2022</w:t>
            </w:r>
          </w:p>
        </w:tc>
      </w:tr>
      <w:tr>
        <w:trPr>
          <w:trHeight w:val="202"/>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0" w:type="dxa"/>
            <w:vAlign w:val="bottom"/>
          </w:tcPr>
          <w:p>
            <w:pPr>
              <w:jc w:val="right"/>
              <w:ind w:right="461"/>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25"/>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r>
      <w:tr>
        <w:trPr>
          <w:trHeight w:val="205"/>
        </w:trPr>
        <w:tc>
          <w:tcPr>
            <w:tcW w:w="7400" w:type="dxa"/>
            <w:vAlign w:val="bottom"/>
          </w:tcPr>
          <w:p>
            <w:pPr>
              <w:ind w:left="3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Cash and cash equivalents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317.4</w:t>
            </w:r>
          </w:p>
        </w:tc>
        <w:tc>
          <w:tcPr>
            <w:tcW w:w="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175"/>
        </w:trPr>
        <w:tc>
          <w:tcPr>
            <w:tcW w:w="7400" w:type="dxa"/>
            <w:vAlign w:val="bottom"/>
          </w:tcPr>
          <w:p>
            <w:pPr>
              <w:ind w:left="680"/>
              <w:spacing w:after="0" w:line="175" w:lineRule="exact"/>
              <w:rPr>
                <w:sz w:val="20"/>
                <w:szCs w:val="20"/>
                <w:color w:val="auto"/>
              </w:rPr>
            </w:pPr>
            <w:r>
              <w:rPr>
                <w:rFonts w:ascii="Arial" w:cs="Arial" w:eastAsia="Arial" w:hAnsi="Arial"/>
                <w:sz w:val="16"/>
                <w:szCs w:val="16"/>
                <w:color w:val="auto"/>
                <w:w w:val="96"/>
              </w:rPr>
              <w:t>Trade receivables, net (net of allowance for doubtful accounts of $1.1 million and $1.3 million as of</w:t>
            </w:r>
          </w:p>
        </w:tc>
        <w:tc>
          <w:tcPr>
            <w:tcW w:w="2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1"/>
        </w:trPr>
        <w:tc>
          <w:tcPr>
            <w:tcW w:w="7400" w:type="dxa"/>
            <w:vAlign w:val="bottom"/>
          </w:tcPr>
          <w:p>
            <w:pPr>
              <w:ind w:left="860"/>
              <w:spacing w:after="0"/>
              <w:rPr>
                <w:sz w:val="20"/>
                <w:szCs w:val="20"/>
                <w:color w:val="auto"/>
              </w:rPr>
            </w:pPr>
            <w:r>
              <w:rPr>
                <w:rFonts w:ascii="Arial" w:cs="Arial" w:eastAsia="Arial" w:hAnsi="Arial"/>
                <w:sz w:val="16"/>
                <w:szCs w:val="16"/>
                <w:color w:val="auto"/>
              </w:rPr>
              <w:t>June 30, 2023 and September 30, 2022, respectively)</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205"/>
        </w:trPr>
        <w:tc>
          <w:tcPr>
            <w:tcW w:w="7400" w:type="dxa"/>
            <w:vAlign w:val="bottom"/>
          </w:tcPr>
          <w:p>
            <w:pPr>
              <w:ind w:left="1040"/>
              <w:spacing w:after="0"/>
              <w:rPr>
                <w:sz w:val="20"/>
                <w:szCs w:val="20"/>
                <w:color w:val="auto"/>
              </w:rPr>
            </w:pPr>
            <w:r>
              <w:rPr>
                <w:rFonts w:ascii="Arial" w:cs="Arial" w:eastAsia="Arial" w:hAnsi="Arial"/>
                <w:sz w:val="16"/>
                <w:szCs w:val="16"/>
                <w:color w:val="auto"/>
              </w:rPr>
              <w:t>Materials</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23.4</w:t>
            </w: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8"/>
        </w:trPr>
        <w:tc>
          <w:tcPr>
            <w:tcW w:w="7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Work in process</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5"/>
        </w:trPr>
        <w:tc>
          <w:tcPr>
            <w:tcW w:w="7400" w:type="dxa"/>
            <w:vAlign w:val="bottom"/>
          </w:tcPr>
          <w:p>
            <w:pPr>
              <w:ind w:left="1040"/>
              <w:spacing w:after="0"/>
              <w:rPr>
                <w:sz w:val="20"/>
                <w:szCs w:val="20"/>
                <w:color w:val="auto"/>
              </w:rPr>
            </w:pPr>
            <w:r>
              <w:rPr>
                <w:rFonts w:ascii="Arial" w:cs="Arial" w:eastAsia="Arial" w:hAnsi="Arial"/>
                <w:sz w:val="16"/>
                <w:szCs w:val="16"/>
                <w:color w:val="auto"/>
              </w:rPr>
              <w:t>Finished products</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130.7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93.8</w:t>
            </w: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198"/>
        </w:trPr>
        <w:tc>
          <w:tcPr>
            <w:tcW w:w="740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Total Inventories</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170.3</w:t>
            </w:r>
          </w:p>
        </w:tc>
        <w:tc>
          <w:tcPr>
            <w:tcW w:w="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w:t>
            </w:r>
          </w:p>
        </w:tc>
      </w:tr>
      <w:tr>
        <w:trPr>
          <w:trHeight w:val="205"/>
        </w:trPr>
        <w:tc>
          <w:tcPr>
            <w:tcW w:w="7400" w:type="dxa"/>
            <w:vAlign w:val="bottom"/>
          </w:tcPr>
          <w:p>
            <w:pPr>
              <w:ind w:left="680"/>
              <w:spacing w:after="0"/>
              <w:rPr>
                <w:sz w:val="20"/>
                <w:szCs w:val="20"/>
                <w:color w:val="auto"/>
              </w:rPr>
            </w:pPr>
            <w:r>
              <w:rPr>
                <w:rFonts w:ascii="Arial" w:cs="Arial" w:eastAsia="Arial" w:hAnsi="Arial"/>
                <w:sz w:val="16"/>
                <w:szCs w:val="16"/>
                <w:color w:val="auto"/>
              </w:rPr>
              <w:t>Amounts due from Becton, Dickinson and Company</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110.9</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Prepaid expenses and other</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109.7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77.9</w:t>
            </w:r>
          </w:p>
        </w:tc>
      </w:tr>
      <w:tr>
        <w:trPr>
          <w:trHeight w:val="198"/>
        </w:trPr>
        <w:tc>
          <w:tcPr>
            <w:tcW w:w="7400" w:type="dxa"/>
            <w:vAlign w:val="bottom"/>
          </w:tcPr>
          <w:p>
            <w:pPr>
              <w:ind w:left="10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787.5</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664.7</w:t>
            </w: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308.7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301.6</w:t>
            </w:r>
          </w:p>
        </w:tc>
      </w:tr>
      <w:tr>
        <w:trPr>
          <w:trHeight w:val="205"/>
        </w:trPr>
        <w:tc>
          <w:tcPr>
            <w:tcW w:w="7400" w:type="dxa"/>
            <w:vAlign w:val="bottom"/>
          </w:tcPr>
          <w:p>
            <w:pPr>
              <w:ind w:left="20"/>
              <w:spacing w:after="0"/>
              <w:rPr>
                <w:sz w:val="20"/>
                <w:szCs w:val="20"/>
                <w:color w:val="auto"/>
              </w:rPr>
            </w:pPr>
            <w:r>
              <w:rPr>
                <w:rFonts w:ascii="Arial" w:cs="Arial" w:eastAsia="Arial" w:hAnsi="Arial"/>
                <w:sz w:val="16"/>
                <w:szCs w:val="16"/>
                <w:color w:val="auto"/>
              </w:rPr>
              <w:t>Goodwill and Other Intangible Assets</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Assets</w:t>
            </w:r>
          </w:p>
        </w:tc>
        <w:tc>
          <w:tcPr>
            <w:tcW w:w="28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95.5</w:t>
            </w:r>
          </w:p>
        </w:tc>
      </w:tr>
      <w:tr>
        <w:trPr>
          <w:trHeight w:val="198"/>
        </w:trPr>
        <w:tc>
          <w:tcPr>
            <w:tcW w:w="74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1,252.1</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1,086.4</w:t>
            </w:r>
          </w:p>
        </w:tc>
      </w:tr>
      <w:tr>
        <w:trPr>
          <w:trHeight w:val="33"/>
        </w:trPr>
        <w:tc>
          <w:tcPr>
            <w:tcW w:w="7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7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84"/>
        </w:trPr>
        <w:tc>
          <w:tcPr>
            <w:tcW w:w="7400" w:type="dxa"/>
            <w:vAlign w:val="bottom"/>
            <w:tcBorders>
              <w:bottom w:val="single" w:sz="8" w:color="CCEEFF"/>
            </w:tcBorders>
            <w:shd w:val="clear" w:color="auto" w:fill="CCEEFF"/>
          </w:tcPr>
          <w:p>
            <w:pPr>
              <w:ind w:left="20"/>
              <w:spacing w:after="0" w:line="172" w:lineRule="exact"/>
              <w:rPr>
                <w:sz w:val="20"/>
                <w:szCs w:val="20"/>
                <w:color w:val="auto"/>
              </w:rPr>
            </w:pPr>
            <w:r>
              <w:rPr>
                <w:rFonts w:ascii="Arial" w:cs="Arial" w:eastAsia="Arial" w:hAnsi="Arial"/>
                <w:sz w:val="16"/>
                <w:szCs w:val="16"/>
                <w:b w:val="1"/>
                <w:bCs w:val="1"/>
                <w:color w:val="auto"/>
              </w:rPr>
              <w:t>Liabilities and Equity</w:t>
            </w:r>
          </w:p>
        </w:tc>
        <w:tc>
          <w:tcPr>
            <w:tcW w:w="280" w:type="dxa"/>
            <w:vAlign w:val="bottom"/>
            <w:tcBorders>
              <w:bottom w:val="single" w:sz="8" w:color="CCEEFF"/>
            </w:tcBorders>
            <w:shd w:val="clear" w:color="auto" w:fill="CCEEFF"/>
          </w:tcPr>
          <w:p>
            <w:pPr>
              <w:spacing w:after="0"/>
              <w:rPr>
                <w:sz w:val="16"/>
                <w:szCs w:val="16"/>
                <w:color w:val="auto"/>
              </w:rPr>
            </w:pPr>
          </w:p>
        </w:tc>
        <w:tc>
          <w:tcPr>
            <w:tcW w:w="1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r>
      <w:tr>
        <w:trPr>
          <w:trHeight w:val="205"/>
        </w:trPr>
        <w:tc>
          <w:tcPr>
            <w:tcW w:w="7400" w:type="dxa"/>
            <w:vAlign w:val="bottom"/>
          </w:tcPr>
          <w:p>
            <w:pPr>
              <w:ind w:left="360"/>
              <w:spacing w:after="0"/>
              <w:rPr>
                <w:sz w:val="20"/>
                <w:szCs w:val="20"/>
                <w:color w:val="auto"/>
              </w:rPr>
            </w:pPr>
            <w:r>
              <w:rPr>
                <w:rFonts w:ascii="Arial" w:cs="Arial" w:eastAsia="Arial" w:hAnsi="Arial"/>
                <w:sz w:val="16"/>
                <w:szCs w:val="16"/>
                <w:color w:val="auto"/>
              </w:rPr>
              <w:t>Current Liabilities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56.1</w:t>
            </w:r>
          </w:p>
        </w:tc>
        <w:tc>
          <w:tcPr>
            <w:tcW w:w="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05"/>
        </w:trPr>
        <w:tc>
          <w:tcPr>
            <w:tcW w:w="7400" w:type="dxa"/>
            <w:vAlign w:val="bottom"/>
          </w:tcPr>
          <w:p>
            <w:pPr>
              <w:ind w:left="680"/>
              <w:spacing w:after="0"/>
              <w:rPr>
                <w:sz w:val="20"/>
                <w:szCs w:val="20"/>
                <w:color w:val="auto"/>
              </w:rPr>
            </w:pPr>
            <w:r>
              <w:rPr>
                <w:rFonts w:ascii="Arial" w:cs="Arial" w:eastAsia="Arial" w:hAnsi="Arial"/>
                <w:sz w:val="16"/>
                <w:szCs w:val="16"/>
                <w:color w:val="auto"/>
              </w:rPr>
              <w:t>Accrued expenses</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160.2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104.3</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5"/>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Amounts due to Becton, Dickinson and Company</w:t>
            </w:r>
          </w:p>
        </w:tc>
        <w:tc>
          <w:tcPr>
            <w:tcW w:w="2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66.5</w:t>
            </w:r>
          </w:p>
        </w:tc>
      </w:tr>
      <w:tr>
        <w:trPr>
          <w:trHeight w:val="205"/>
        </w:trPr>
        <w:tc>
          <w:tcPr>
            <w:tcW w:w="7400" w:type="dxa"/>
            <w:vAlign w:val="bottom"/>
          </w:tcPr>
          <w:p>
            <w:pPr>
              <w:ind w:left="680"/>
              <w:spacing w:after="0"/>
              <w:rPr>
                <w:sz w:val="20"/>
                <w:szCs w:val="20"/>
                <w:color w:val="auto"/>
              </w:rPr>
            </w:pPr>
            <w:r>
              <w:rPr>
                <w:rFonts w:ascii="Arial" w:cs="Arial" w:eastAsia="Arial" w:hAnsi="Arial"/>
                <w:sz w:val="16"/>
                <w:szCs w:val="16"/>
                <w:color w:val="auto"/>
              </w:rPr>
              <w:t>Salaries, wages and related items</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48.5</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Current debt obligations</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5"/>
        </w:trPr>
        <w:tc>
          <w:tcPr>
            <w:tcW w:w="7400" w:type="dxa"/>
            <w:vAlign w:val="bottom"/>
          </w:tcPr>
          <w:p>
            <w:pPr>
              <w:ind w:left="680"/>
              <w:spacing w:after="0"/>
              <w:rPr>
                <w:sz w:val="20"/>
                <w:szCs w:val="20"/>
                <w:color w:val="auto"/>
              </w:rPr>
            </w:pPr>
            <w:r>
              <w:rPr>
                <w:rFonts w:ascii="Arial" w:cs="Arial" w:eastAsia="Arial" w:hAnsi="Arial"/>
                <w:sz w:val="16"/>
                <w:szCs w:val="16"/>
                <w:color w:val="auto"/>
              </w:rPr>
              <w:t>Current finance lease liabilities</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198"/>
        </w:trPr>
        <w:tc>
          <w:tcPr>
            <w:tcW w:w="7400" w:type="dxa"/>
            <w:vAlign w:val="bottom"/>
            <w:tcBorders>
              <w:top w:val="single" w:sz="8" w:color="CCEEFF"/>
            </w:tcBorders>
          </w:tcPr>
          <w:p>
            <w:pPr>
              <w:ind w:left="10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385.8</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301.0</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5"/>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2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48.9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46.1</w:t>
            </w:r>
          </w:p>
        </w:tc>
      </w:tr>
      <w:tr>
        <w:trPr>
          <w:trHeight w:val="205"/>
        </w:trPr>
        <w:tc>
          <w:tcPr>
            <w:tcW w:w="7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1,595.0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1,598.1</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 Current Finance Lease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31.8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r>
      <w:tr>
        <w:trPr>
          <w:trHeight w:val="205"/>
        </w:trPr>
        <w:tc>
          <w:tcPr>
            <w:tcW w:w="74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8"/>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Embecta Corp. Equity</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spacing w:after="0"/>
              <w:rPr>
                <w:sz w:val="18"/>
                <w:szCs w:val="18"/>
                <w:color w:val="auto"/>
              </w:rPr>
            </w:pPr>
          </w:p>
        </w:tc>
      </w:tr>
      <w:tr>
        <w:trPr>
          <w:trHeight w:val="188"/>
        </w:trPr>
        <w:tc>
          <w:tcPr>
            <w:tcW w:w="7400" w:type="dxa"/>
            <w:vAlign w:val="bottom"/>
          </w:tcPr>
          <w:p>
            <w:pPr>
              <w:ind w:left="680"/>
              <w:spacing w:after="0"/>
              <w:rPr>
                <w:sz w:val="20"/>
                <w:szCs w:val="20"/>
                <w:color w:val="auto"/>
              </w:rPr>
            </w:pPr>
            <w:r>
              <w:rPr>
                <w:rFonts w:ascii="Arial" w:cs="Arial" w:eastAsia="Arial" w:hAnsi="Arial"/>
                <w:sz w:val="16"/>
                <w:szCs w:val="16"/>
                <w:color w:val="auto"/>
              </w:rPr>
              <w:t>Common stock, $0.01 par value</w:t>
            </w:r>
          </w:p>
        </w:tc>
        <w:tc>
          <w:tcPr>
            <w:tcW w:w="2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72"/>
        </w:trPr>
        <w:tc>
          <w:tcPr>
            <w:tcW w:w="7400" w:type="dxa"/>
            <w:vAlign w:val="bottom"/>
          </w:tcPr>
          <w:p>
            <w:pPr>
              <w:ind w:left="680"/>
              <w:spacing w:after="0" w:line="172" w:lineRule="exact"/>
              <w:rPr>
                <w:sz w:val="20"/>
                <w:szCs w:val="20"/>
                <w:color w:val="auto"/>
              </w:rPr>
            </w:pPr>
            <w:r>
              <w:rPr>
                <w:rFonts w:ascii="Arial" w:cs="Arial" w:eastAsia="Arial" w:hAnsi="Arial"/>
                <w:sz w:val="16"/>
                <w:szCs w:val="16"/>
                <w:color w:val="auto"/>
              </w:rPr>
              <w:t>Authorized - 250,000,000</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1"/>
        </w:trPr>
        <w:tc>
          <w:tcPr>
            <w:tcW w:w="7400" w:type="dxa"/>
            <w:vAlign w:val="bottom"/>
          </w:tcPr>
          <w:p>
            <w:pPr>
              <w:ind w:left="680"/>
              <w:spacing w:after="0"/>
              <w:rPr>
                <w:sz w:val="20"/>
                <w:szCs w:val="20"/>
                <w:color w:val="auto"/>
              </w:rPr>
            </w:pPr>
            <w:r>
              <w:rPr>
                <w:rFonts w:ascii="Arial" w:cs="Arial" w:eastAsia="Arial" w:hAnsi="Arial"/>
                <w:sz w:val="16"/>
                <w:szCs w:val="16"/>
                <w:color w:val="auto"/>
                <w:w w:val="94"/>
              </w:rPr>
              <w:t>Issued and outstanding - 57,302,056 as of June 30, 2023 and 57,055,327 as of September 30, 2022</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1"/>
              <w:spacing w:after="0"/>
              <w:rPr>
                <w:sz w:val="20"/>
                <w:szCs w:val="20"/>
                <w:color w:val="auto"/>
              </w:rPr>
            </w:pPr>
            <w:r>
              <w:rPr>
                <w:rFonts w:ascii="Arial" w:cs="Arial" w:eastAsia="Arial" w:hAnsi="Arial"/>
                <w:sz w:val="16"/>
                <w:szCs w:val="16"/>
                <w:color w:val="auto"/>
              </w:rPr>
              <w:t>0.6</w:t>
            </w:r>
          </w:p>
        </w:tc>
        <w:tc>
          <w:tcPr>
            <w:tcW w:w="280" w:type="dxa"/>
            <w:vAlign w:val="bottom"/>
            <w:gridSpan w:val="2"/>
          </w:tcPr>
          <w:p>
            <w:pPr>
              <w:jc w:val="right"/>
              <w:ind w:right="1"/>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18"/>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Additional paid-in capital</w:t>
            </w:r>
          </w:p>
        </w:tc>
        <w:tc>
          <w:tcPr>
            <w:tcW w:w="2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23.2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5"/>
        </w:trPr>
        <w:tc>
          <w:tcPr>
            <w:tcW w:w="7400" w:type="dxa"/>
            <w:vAlign w:val="bottom"/>
          </w:tcPr>
          <w:p>
            <w:pPr>
              <w:ind w:left="680"/>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(538.5)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(324.9)</w:t>
            </w:r>
          </w:p>
        </w:tc>
      </w:tr>
      <w:tr>
        <w:trPr>
          <w:trHeight w:val="198"/>
        </w:trPr>
        <w:tc>
          <w:tcPr>
            <w:tcW w:w="7400" w:type="dxa"/>
            <w:vAlign w:val="bottom"/>
            <w:tcBorders>
              <w:top w:val="single" w:sz="8" w:color="CCEEFF"/>
            </w:tcBorders>
          </w:tcPr>
          <w:p>
            <w:pPr>
              <w:ind w:left="1040"/>
              <w:spacing w:after="0"/>
              <w:rPr>
                <w:sz w:val="20"/>
                <w:szCs w:val="20"/>
                <w:color w:val="auto"/>
              </w:rPr>
            </w:pPr>
            <w:r>
              <w:rPr>
                <w:rFonts w:ascii="Arial" w:cs="Arial" w:eastAsia="Arial" w:hAnsi="Arial"/>
                <w:sz w:val="16"/>
                <w:szCs w:val="16"/>
                <w:color w:val="auto"/>
              </w:rPr>
              <w:t>Total Equity</w:t>
            </w: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(809.4)</w:t>
            </w: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(891.4)</w:t>
            </w: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6"/>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1,252.1</w:t>
            </w:r>
          </w:p>
        </w:tc>
        <w:tc>
          <w:tcPr>
            <w:tcW w:w="280" w:type="dxa"/>
            <w:vAlign w:val="bottom"/>
            <w:tcBorders>
              <w:bottom w:val="single" w:sz="8" w:color="CCEEFF"/>
            </w:tcBorders>
            <w:gridSpan w:val="2"/>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1,086.4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Embecta Corp.</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620" w:type="dxa"/>
            <w:vAlign w:val="bottom"/>
          </w:tcPr>
          <w:p>
            <w:pPr>
              <w:spacing w:after="0"/>
              <w:rPr>
                <w:sz w:val="15"/>
                <w:szCs w:val="15"/>
                <w:color w:val="auto"/>
              </w:rPr>
            </w:pPr>
          </w:p>
        </w:tc>
        <w:tc>
          <w:tcPr>
            <w:tcW w:w="2080" w:type="dxa"/>
            <w:vAlign w:val="bottom"/>
            <w:gridSpan w:val="3"/>
          </w:tcPr>
          <w:p>
            <w:pPr>
              <w:jc w:val="right"/>
              <w:ind w:right="39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3"/>
              </w:rPr>
              <w:t>Net Investment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0"/>
              <w:spacing w:after="0" w:line="159" w:lineRule="exact"/>
              <w:rPr>
                <w:sz w:val="20"/>
                <w:szCs w:val="20"/>
                <w:color w:val="auto"/>
              </w:rPr>
            </w:pPr>
            <w:r>
              <w:rPr>
                <w:rFonts w:ascii="Arial" w:cs="Arial" w:eastAsia="Arial" w:hAnsi="Arial"/>
                <w:sz w:val="14"/>
                <w:szCs w:val="14"/>
                <w:color w:val="auto"/>
                <w:w w:val="93"/>
              </w:rPr>
              <w:t>from Becton,</w:t>
            </w:r>
          </w:p>
        </w:tc>
        <w:tc>
          <w:tcPr>
            <w:tcW w:w="80" w:type="dxa"/>
            <w:vAlign w:val="bottom"/>
          </w:tcPr>
          <w:p>
            <w:pPr>
              <w:spacing w:after="0"/>
              <w:rPr>
                <w:sz w:val="13"/>
                <w:szCs w:val="13"/>
                <w:color w:val="auto"/>
              </w:rPr>
            </w:pPr>
          </w:p>
        </w:tc>
        <w:tc>
          <w:tcPr>
            <w:tcW w:w="118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93"/>
              </w:rPr>
              <w:t>Accumulated Other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8"/>
              </w:rPr>
              <w:t>Additional 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70"/>
              <w:spacing w:after="0"/>
              <w:rPr>
                <w:sz w:val="20"/>
                <w:szCs w:val="20"/>
                <w:color w:val="auto"/>
              </w:rPr>
            </w:pPr>
            <w:r>
              <w:rPr>
                <w:rFonts w:ascii="Arial" w:cs="Arial" w:eastAsia="Arial" w:hAnsi="Arial"/>
                <w:sz w:val="14"/>
                <w:szCs w:val="14"/>
                <w:color w:val="auto"/>
                <w:w w:val="93"/>
              </w:rPr>
              <w:t>Dickinson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140" w:type="dxa"/>
            <w:vAlign w:val="bottom"/>
          </w:tcPr>
          <w:p>
            <w:pPr>
              <w:jc w:val="right"/>
              <w:ind w:right="31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Par Value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1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93"/>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w w:val="96"/>
              </w:rPr>
              <w:t>(Loss) Income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
        </w:trPr>
        <w:tc>
          <w:tcPr>
            <w:tcW w:w="2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April 1,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(681.1)</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(286.4)</w:t>
            </w:r>
          </w:p>
        </w:tc>
        <w:tc>
          <w:tcPr>
            <w:tcW w:w="34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0" w:type="dxa"/>
            <w:vAlign w:val="bottom"/>
          </w:tcPr>
          <w:p>
            <w:pPr>
              <w:spacing w:after="0"/>
              <w:rPr>
                <w:sz w:val="1"/>
                <w:szCs w:val="1"/>
                <w:color w:val="auto"/>
              </w:rPr>
            </w:pPr>
          </w:p>
        </w:tc>
      </w:tr>
      <w:tr>
        <w:trPr>
          <w:trHeight w:val="166"/>
        </w:trPr>
        <w:tc>
          <w:tcPr>
            <w:tcW w:w="2620" w:type="dxa"/>
            <w:vAlign w:val="bottom"/>
          </w:tcPr>
          <w:p>
            <w:pPr>
              <w:ind w:left="120"/>
              <w:spacing w:after="0"/>
              <w:rPr>
                <w:sz w:val="20"/>
                <w:szCs w:val="20"/>
                <w:color w:val="auto"/>
              </w:rPr>
            </w:pPr>
            <w:r>
              <w:rPr>
                <w:rFonts w:ascii="Arial" w:cs="Arial" w:eastAsia="Arial" w:hAnsi="Arial"/>
                <w:sz w:val="14"/>
                <w:szCs w:val="14"/>
                <w:color w:val="auto"/>
              </w:rPr>
              <w:t>Net transfers to Becton, Dickinson and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300"/>
              <w:spacing w:after="0" w:line="159" w:lineRule="exact"/>
              <w:rPr>
                <w:sz w:val="20"/>
                <w:szCs w:val="20"/>
                <w:color w:val="auto"/>
              </w:rPr>
            </w:pPr>
            <w:r>
              <w:rPr>
                <w:rFonts w:ascii="Arial" w:cs="Arial" w:eastAsia="Arial" w:hAnsi="Arial"/>
                <w:sz w:val="14"/>
                <w:szCs w:val="14"/>
                <w:color w:val="auto"/>
              </w:rPr>
              <w:t>Company including Separation</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300"/>
              <w:spacing w:after="0"/>
              <w:rPr>
                <w:sz w:val="20"/>
                <w:szCs w:val="20"/>
                <w:color w:val="auto"/>
              </w:rPr>
            </w:pPr>
            <w:r>
              <w:rPr>
                <w:rFonts w:ascii="Arial" w:cs="Arial" w:eastAsia="Arial" w:hAnsi="Arial"/>
                <w:sz w:val="14"/>
                <w:szCs w:val="14"/>
                <w:color w:val="auto"/>
              </w:rPr>
              <w:t>adjustments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63.3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73.1</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Issuance of common stock in connection</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94"/>
              </w:rPr>
              <w:t>with the Separation and reclassification</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of Net Investment from Becton,</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Dickinson and Company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57,797,841</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617.8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2620" w:type="dxa"/>
            <w:vAlign w:val="bottom"/>
          </w:tcPr>
          <w:p>
            <w:pPr>
              <w:ind w:left="120"/>
              <w:spacing w:after="0"/>
              <w:rPr>
                <w:sz w:val="20"/>
                <w:szCs w:val="20"/>
                <w:color w:val="auto"/>
              </w:rPr>
            </w:pPr>
            <w:r>
              <w:rPr>
                <w:rFonts w:ascii="Arial" w:cs="Arial" w:eastAsia="Arial" w:hAnsi="Arial"/>
                <w:sz w:val="14"/>
                <w:szCs w:val="14"/>
                <w:color w:val="auto"/>
                <w:w w:val="96"/>
              </w:rPr>
              <w:t>Net income attributable to Embecta Corp.</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97"/>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Other comprehensive loss, net of taxes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Issuance of shares related to stock-based</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8,199</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compensation plans</w:t>
            </w:r>
          </w:p>
        </w:tc>
        <w:tc>
          <w:tcPr>
            <w:tcW w:w="11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62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1140" w:type="dxa"/>
            <w:vAlign w:val="bottom"/>
          </w:tcPr>
          <w:p>
            <w:pPr>
              <w:jc w:val="right"/>
              <w:spacing w:after="0"/>
              <w:rPr>
                <w:sz w:val="20"/>
                <w:szCs w:val="20"/>
                <w:color w:val="auto"/>
              </w:rPr>
            </w:pPr>
            <w:r>
              <w:rPr>
                <w:rFonts w:ascii="Arial" w:cs="Arial" w:eastAsia="Arial" w:hAnsi="Arial"/>
                <w:sz w:val="14"/>
                <w:szCs w:val="14"/>
                <w:color w:val="auto"/>
              </w:rPr>
              <w:t>57,806,040</w:t>
            </w:r>
          </w:p>
        </w:tc>
        <w:tc>
          <w:tcPr>
            <w:tcW w:w="940" w:type="dxa"/>
            <w:vAlign w:val="bottom"/>
            <w:gridSpan w:val="2"/>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5.8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(556.0)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(298.0)</w:t>
            </w:r>
          </w:p>
        </w:tc>
        <w:tc>
          <w:tcPr>
            <w:tcW w:w="34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(847.6)</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26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620" w:type="dxa"/>
            <w:vAlign w:val="bottom"/>
          </w:tcPr>
          <w:p>
            <w:pPr>
              <w:ind w:left="20"/>
              <w:spacing w:after="0"/>
              <w:rPr>
                <w:sz w:val="20"/>
                <w:szCs w:val="20"/>
                <w:color w:val="auto"/>
              </w:rPr>
            </w:pPr>
            <w:r>
              <w:rPr>
                <w:rFonts w:ascii="Arial" w:cs="Arial" w:eastAsia="Arial" w:hAnsi="Arial"/>
                <w:sz w:val="14"/>
                <w:szCs w:val="14"/>
                <w:color w:val="auto"/>
              </w:rPr>
              <w:t>Balance at April 1, 2023</w:t>
            </w:r>
          </w:p>
        </w:tc>
        <w:tc>
          <w:tcPr>
            <w:tcW w:w="1140" w:type="dxa"/>
            <w:vAlign w:val="bottom"/>
          </w:tcPr>
          <w:p>
            <w:pPr>
              <w:jc w:val="right"/>
              <w:spacing w:after="0"/>
              <w:rPr>
                <w:sz w:val="20"/>
                <w:szCs w:val="20"/>
                <w:color w:val="auto"/>
              </w:rPr>
            </w:pPr>
            <w:r>
              <w:rPr>
                <w:rFonts w:ascii="Arial" w:cs="Arial" w:eastAsia="Arial" w:hAnsi="Arial"/>
                <w:sz w:val="14"/>
                <w:szCs w:val="14"/>
                <w:color w:val="auto"/>
              </w:rPr>
              <w:t>57,287,537</w:t>
            </w:r>
          </w:p>
        </w:tc>
        <w:tc>
          <w:tcPr>
            <w:tcW w:w="940" w:type="dxa"/>
            <w:vAlign w:val="bottom"/>
            <w:gridSpan w:val="2"/>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0.6</w:t>
            </w:r>
          </w:p>
        </w:tc>
        <w:tc>
          <w:tcPr>
            <w:tcW w:w="30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18.1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(545.1)</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(296.2)</w:t>
            </w:r>
          </w:p>
        </w:tc>
        <w:tc>
          <w:tcPr>
            <w:tcW w:w="34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(822.6)</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6"/>
              </w:rPr>
              <w:t>Net income attributable to Embecta Corp.</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15.2</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Arial" w:cs="Arial" w:eastAsia="Arial" w:hAnsi="Arial"/>
                <w:sz w:val="14"/>
                <w:szCs w:val="14"/>
                <w:color w:val="auto"/>
                <w:w w:val="94"/>
              </w:rPr>
              <w:t>Other comprehensive income, net of taxes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Stock-based compensation plans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Arial" w:cs="Arial" w:eastAsia="Arial" w:hAnsi="Arial"/>
                <w:sz w:val="14"/>
                <w:szCs w:val="14"/>
                <w:color w:val="auto"/>
              </w:rPr>
              <w:t>Common dividends ($0.15 per share)</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Issuance of shares related to stock-based</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14,519</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04"/>
        </w:trPr>
        <w:tc>
          <w:tcPr>
            <w:tcW w:w="2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compensation plans</w:t>
            </w:r>
          </w:p>
        </w:tc>
        <w:tc>
          <w:tcPr>
            <w:tcW w:w="114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620" w:type="dxa"/>
            <w:vAlign w:val="bottom"/>
          </w:tcPr>
          <w:p>
            <w:pPr>
              <w:ind w:left="120"/>
              <w:spacing w:after="0"/>
              <w:rPr>
                <w:sz w:val="20"/>
                <w:szCs w:val="20"/>
                <w:color w:val="auto"/>
              </w:rPr>
            </w:pPr>
            <w:r>
              <w:rPr>
                <w:rFonts w:ascii="Arial" w:cs="Arial" w:eastAsia="Arial" w:hAnsi="Arial"/>
                <w:sz w:val="14"/>
                <w:szCs w:val="14"/>
                <w:color w:val="auto"/>
              </w:rPr>
              <w:t>Balance at June 30, 2023</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57,302,056</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690"/>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23.2</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(538.5)</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(294.7)</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(809.4)</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79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80"/>
        </w:trPr>
        <w:tc>
          <w:tcPr>
            <w:tcW w:w="2620" w:type="dxa"/>
            <w:vAlign w:val="bottom"/>
          </w:tcPr>
          <w:p>
            <w:pPr>
              <w:spacing w:after="0"/>
              <w:rPr>
                <w:sz w:val="15"/>
                <w:szCs w:val="15"/>
                <w:color w:val="auto"/>
              </w:rPr>
            </w:pPr>
          </w:p>
        </w:tc>
        <w:tc>
          <w:tcPr>
            <w:tcW w:w="2080" w:type="dxa"/>
            <w:vAlign w:val="bottom"/>
            <w:gridSpan w:val="3"/>
          </w:tcPr>
          <w:p>
            <w:pPr>
              <w:jc w:val="right"/>
              <w:ind w:right="390"/>
              <w:spacing w:after="0"/>
              <w:rPr>
                <w:sz w:val="20"/>
                <w:szCs w:val="20"/>
                <w:color w:val="auto"/>
              </w:rPr>
            </w:pPr>
            <w:r>
              <w:rPr>
                <w:rFonts w:ascii="Arial" w:cs="Arial" w:eastAsia="Arial" w:hAnsi="Arial"/>
                <w:sz w:val="14"/>
                <w:szCs w:val="14"/>
                <w:color w:val="auto"/>
              </w:rPr>
              <w:t>Common Stock</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vMerge w:val="restart"/>
          </w:tcPr>
          <w:p>
            <w:pPr>
              <w:jc w:val="center"/>
              <w:ind w:right="50"/>
              <w:spacing w:after="0"/>
              <w:rPr>
                <w:sz w:val="20"/>
                <w:szCs w:val="20"/>
                <w:color w:val="auto"/>
              </w:rPr>
            </w:pPr>
            <w:r>
              <w:rPr>
                <w:rFonts w:ascii="Arial" w:cs="Arial" w:eastAsia="Arial" w:hAnsi="Arial"/>
                <w:sz w:val="14"/>
                <w:szCs w:val="14"/>
                <w:color w:val="auto"/>
                <w:w w:val="93"/>
              </w:rPr>
              <w:t>Net Investment</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6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6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70"/>
              <w:spacing w:after="0" w:line="159" w:lineRule="exact"/>
              <w:rPr>
                <w:sz w:val="20"/>
                <w:szCs w:val="20"/>
                <w:color w:val="auto"/>
              </w:rPr>
            </w:pPr>
            <w:r>
              <w:rPr>
                <w:rFonts w:ascii="Arial" w:cs="Arial" w:eastAsia="Arial" w:hAnsi="Arial"/>
                <w:sz w:val="14"/>
                <w:szCs w:val="14"/>
                <w:color w:val="auto"/>
                <w:w w:val="93"/>
              </w:rPr>
              <w:t>from Becton,</w:t>
            </w:r>
          </w:p>
        </w:tc>
        <w:tc>
          <w:tcPr>
            <w:tcW w:w="80" w:type="dxa"/>
            <w:vAlign w:val="bottom"/>
          </w:tcPr>
          <w:p>
            <w:pPr>
              <w:spacing w:after="0"/>
              <w:rPr>
                <w:sz w:val="13"/>
                <w:szCs w:val="13"/>
                <w:color w:val="auto"/>
              </w:rPr>
            </w:pPr>
          </w:p>
        </w:tc>
        <w:tc>
          <w:tcPr>
            <w:tcW w:w="1180" w:type="dxa"/>
            <w:vAlign w:val="bottom"/>
            <w:gridSpan w:val="2"/>
          </w:tcPr>
          <w:p>
            <w:pPr>
              <w:ind w:left="40"/>
              <w:spacing w:after="0" w:line="159" w:lineRule="exact"/>
              <w:rPr>
                <w:sz w:val="20"/>
                <w:szCs w:val="20"/>
                <w:color w:val="auto"/>
              </w:rPr>
            </w:pPr>
            <w:r>
              <w:rPr>
                <w:rFonts w:ascii="Arial" w:cs="Arial" w:eastAsia="Arial" w:hAnsi="Arial"/>
                <w:sz w:val="14"/>
                <w:szCs w:val="14"/>
                <w:color w:val="auto"/>
                <w:w w:val="93"/>
              </w:rPr>
              <w:t>Accumulated Other</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w w:val="98"/>
              </w:rPr>
              <w:t>Additional Paid-In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0"/>
              <w:spacing w:after="0"/>
              <w:rPr>
                <w:sz w:val="20"/>
                <w:szCs w:val="20"/>
                <w:color w:val="auto"/>
              </w:rPr>
            </w:pPr>
            <w:r>
              <w:rPr>
                <w:rFonts w:ascii="Arial" w:cs="Arial" w:eastAsia="Arial" w:hAnsi="Arial"/>
                <w:sz w:val="14"/>
                <w:szCs w:val="14"/>
                <w:color w:val="auto"/>
                <w:w w:val="98"/>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70"/>
              <w:spacing w:after="0"/>
              <w:rPr>
                <w:sz w:val="20"/>
                <w:szCs w:val="20"/>
                <w:color w:val="auto"/>
              </w:rPr>
            </w:pPr>
            <w:r>
              <w:rPr>
                <w:rFonts w:ascii="Arial" w:cs="Arial" w:eastAsia="Arial" w:hAnsi="Arial"/>
                <w:sz w:val="14"/>
                <w:szCs w:val="14"/>
                <w:color w:val="auto"/>
                <w:w w:val="93"/>
              </w:rPr>
              <w:t>Dickinson and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70"/>
              <w:spacing w:after="0"/>
              <w:rPr>
                <w:sz w:val="20"/>
                <w:szCs w:val="20"/>
                <w:color w:val="auto"/>
              </w:rPr>
            </w:pPr>
            <w:r>
              <w:rPr>
                <w:rFonts w:ascii="Arial" w:cs="Arial" w:eastAsia="Arial" w:hAnsi="Arial"/>
                <w:sz w:val="14"/>
                <w:szCs w:val="14"/>
                <w:color w:val="auto"/>
                <w:w w:val="91"/>
              </w:rPr>
              <w:t>Comprehensive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tcPr>
          <w:p>
            <w:pPr>
              <w:spacing w:after="0"/>
              <w:rPr>
                <w:sz w:val="15"/>
                <w:szCs w:val="15"/>
                <w:color w:val="auto"/>
              </w:rPr>
            </w:pPr>
          </w:p>
        </w:tc>
        <w:tc>
          <w:tcPr>
            <w:tcW w:w="1140" w:type="dxa"/>
            <w:vAlign w:val="bottom"/>
          </w:tcPr>
          <w:p>
            <w:pPr>
              <w:jc w:val="right"/>
              <w:ind w:right="31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Par Value</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10"/>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310"/>
              <w:spacing w:after="0"/>
              <w:rPr>
                <w:sz w:val="20"/>
                <w:szCs w:val="20"/>
                <w:color w:val="auto"/>
              </w:rPr>
            </w:pPr>
            <w:r>
              <w:rPr>
                <w:rFonts w:ascii="Arial" w:cs="Arial" w:eastAsia="Arial" w:hAnsi="Arial"/>
                <w:sz w:val="14"/>
                <w:szCs w:val="14"/>
                <w:color w:val="auto"/>
              </w:rPr>
              <w:t>Deficit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50"/>
              <w:spacing w:after="0"/>
              <w:rPr>
                <w:sz w:val="20"/>
                <w:szCs w:val="20"/>
                <w:color w:val="auto"/>
              </w:rPr>
            </w:pPr>
            <w:r>
              <w:rPr>
                <w:rFonts w:ascii="Arial" w:cs="Arial" w:eastAsia="Arial" w:hAnsi="Arial"/>
                <w:sz w:val="14"/>
                <w:szCs w:val="14"/>
                <w:color w:val="auto"/>
                <w:w w:val="93"/>
              </w:rPr>
              <w:t>Company</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ind w:right="110"/>
              <w:spacing w:after="0"/>
              <w:rPr>
                <w:sz w:val="20"/>
                <w:szCs w:val="20"/>
                <w:color w:val="auto"/>
              </w:rPr>
            </w:pPr>
            <w:r>
              <w:rPr>
                <w:rFonts w:ascii="Arial" w:cs="Arial" w:eastAsia="Arial" w:hAnsi="Arial"/>
                <w:sz w:val="14"/>
                <w:szCs w:val="14"/>
                <w:color w:val="auto"/>
                <w:w w:val="96"/>
              </w:rPr>
              <w:t>(Loss) Income</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7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4"/>
        </w:trPr>
        <w:tc>
          <w:tcPr>
            <w:tcW w:w="2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1, 2021</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864.8</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594.3</w:t>
            </w:r>
          </w:p>
        </w:tc>
        <w:tc>
          <w:tcPr>
            <w:tcW w:w="0" w:type="dxa"/>
            <w:vAlign w:val="bottom"/>
          </w:tcPr>
          <w:p>
            <w:pPr>
              <w:spacing w:after="0"/>
              <w:rPr>
                <w:sz w:val="1"/>
                <w:szCs w:val="1"/>
                <w:color w:val="auto"/>
              </w:rPr>
            </w:pPr>
          </w:p>
        </w:tc>
      </w:tr>
      <w:tr>
        <w:trPr>
          <w:trHeight w:val="166"/>
        </w:trPr>
        <w:tc>
          <w:tcPr>
            <w:tcW w:w="2620" w:type="dxa"/>
            <w:vAlign w:val="bottom"/>
          </w:tcPr>
          <w:p>
            <w:pPr>
              <w:ind w:left="120"/>
              <w:spacing w:after="0"/>
              <w:rPr>
                <w:sz w:val="20"/>
                <w:szCs w:val="20"/>
                <w:color w:val="auto"/>
              </w:rPr>
            </w:pPr>
            <w:r>
              <w:rPr>
                <w:rFonts w:ascii="Arial" w:cs="Arial" w:eastAsia="Arial" w:hAnsi="Arial"/>
                <w:sz w:val="14"/>
                <w:szCs w:val="14"/>
                <w:color w:val="auto"/>
              </w:rPr>
              <w:t>Net transfers to Becton, Dickinson and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300"/>
              <w:spacing w:after="0" w:line="159" w:lineRule="exact"/>
              <w:rPr>
                <w:sz w:val="20"/>
                <w:szCs w:val="20"/>
                <w:color w:val="auto"/>
              </w:rPr>
            </w:pPr>
            <w:r>
              <w:rPr>
                <w:rFonts w:ascii="Arial" w:cs="Arial" w:eastAsia="Arial" w:hAnsi="Arial"/>
                <w:sz w:val="14"/>
                <w:szCs w:val="14"/>
                <w:color w:val="auto"/>
              </w:rPr>
              <w:t>Company including Separation</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300"/>
              <w:spacing w:after="0"/>
              <w:rPr>
                <w:sz w:val="20"/>
                <w:szCs w:val="20"/>
                <w:color w:val="auto"/>
              </w:rPr>
            </w:pPr>
            <w:r>
              <w:rPr>
                <w:rFonts w:ascii="Arial" w:cs="Arial" w:eastAsia="Arial" w:hAnsi="Arial"/>
                <w:sz w:val="14"/>
                <w:szCs w:val="14"/>
                <w:color w:val="auto"/>
              </w:rPr>
              <w:t>adjustments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(385.2)</w:t>
            </w:r>
          </w:p>
        </w:tc>
        <w:tc>
          <w:tcPr>
            <w:tcW w:w="0" w:type="dxa"/>
            <w:vAlign w:val="bottom"/>
          </w:tcPr>
          <w:p>
            <w:pPr>
              <w:spacing w:after="0"/>
              <w:rPr>
                <w:sz w:val="1"/>
                <w:szCs w:val="1"/>
                <w:color w:val="auto"/>
              </w:rPr>
            </w:pPr>
          </w:p>
        </w:tc>
      </w:tr>
      <w:tr>
        <w:trPr>
          <w:trHeight w:val="185"/>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Issuance of common stock in connection</w:t>
            </w: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94"/>
              </w:rPr>
              <w:t>with the Separation and reclassification</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6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rPr>
              <w:t>of Net Investment from Becton,</w:t>
            </w: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Dickinson and Company</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57,797,841</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617.8</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6"/>
        </w:trPr>
        <w:tc>
          <w:tcPr>
            <w:tcW w:w="2620" w:type="dxa"/>
            <w:vAlign w:val="bottom"/>
          </w:tcPr>
          <w:p>
            <w:pPr>
              <w:ind w:left="120"/>
              <w:spacing w:after="0"/>
              <w:rPr>
                <w:sz w:val="20"/>
                <w:szCs w:val="20"/>
                <w:color w:val="auto"/>
              </w:rPr>
            </w:pPr>
            <w:r>
              <w:rPr>
                <w:rFonts w:ascii="Arial" w:cs="Arial" w:eastAsia="Arial" w:hAnsi="Arial"/>
                <w:sz w:val="14"/>
                <w:szCs w:val="14"/>
                <w:color w:val="auto"/>
              </w:rPr>
              <w:t>Net consideration paid to Becton,</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620" w:type="dxa"/>
            <w:vAlign w:val="bottom"/>
          </w:tcPr>
          <w:p>
            <w:pPr>
              <w:ind w:left="300"/>
              <w:spacing w:after="0" w:line="159" w:lineRule="exact"/>
              <w:rPr>
                <w:sz w:val="20"/>
                <w:szCs w:val="20"/>
                <w:color w:val="auto"/>
              </w:rPr>
            </w:pPr>
            <w:r>
              <w:rPr>
                <w:rFonts w:ascii="Arial" w:cs="Arial" w:eastAsia="Arial" w:hAnsi="Arial"/>
                <w:sz w:val="14"/>
                <w:szCs w:val="14"/>
                <w:color w:val="auto"/>
                <w:w w:val="95"/>
              </w:rPr>
              <w:t>Dickinson, and Company in connection</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620" w:type="dxa"/>
            <w:vAlign w:val="bottom"/>
          </w:tcPr>
          <w:p>
            <w:pPr>
              <w:ind w:left="300"/>
              <w:spacing w:after="0"/>
              <w:rPr>
                <w:sz w:val="20"/>
                <w:szCs w:val="20"/>
                <w:color w:val="auto"/>
              </w:rPr>
            </w:pPr>
            <w:r>
              <w:rPr>
                <w:rFonts w:ascii="Arial" w:cs="Arial" w:eastAsia="Arial" w:hAnsi="Arial"/>
                <w:sz w:val="14"/>
                <w:szCs w:val="14"/>
                <w:color w:val="auto"/>
              </w:rPr>
              <w:t>with Separation</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(1266.0)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(1266.0)</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6"/>
              </w:rPr>
              <w:t>Net income attributable to Embecta Corp.</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62.4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178.4</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240.8</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Arial" w:cs="Arial" w:eastAsia="Arial" w:hAnsi="Arial"/>
                <w:sz w:val="14"/>
                <w:szCs w:val="14"/>
                <w:color w:val="auto"/>
              </w:rPr>
              <w:t>Other comprehensive loss, net of taxes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Stock-based compensation plans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66"/>
        </w:trPr>
        <w:tc>
          <w:tcPr>
            <w:tcW w:w="2620" w:type="dxa"/>
            <w:vAlign w:val="bottom"/>
          </w:tcPr>
          <w:p>
            <w:pPr>
              <w:ind w:left="120"/>
              <w:spacing w:after="0"/>
              <w:rPr>
                <w:sz w:val="20"/>
                <w:szCs w:val="20"/>
                <w:color w:val="auto"/>
              </w:rPr>
            </w:pPr>
            <w:r>
              <w:rPr>
                <w:rFonts w:ascii="Arial" w:cs="Arial" w:eastAsia="Arial" w:hAnsi="Arial"/>
                <w:sz w:val="14"/>
                <w:szCs w:val="14"/>
                <w:color w:val="auto"/>
                <w:w w:val="95"/>
              </w:rPr>
              <w:t>Issuance of shares related to stock-based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300"/>
              <w:spacing w:after="0"/>
              <w:rPr>
                <w:sz w:val="20"/>
                <w:szCs w:val="20"/>
                <w:color w:val="auto"/>
              </w:rPr>
            </w:pPr>
            <w:r>
              <w:rPr>
                <w:rFonts w:ascii="Arial" w:cs="Arial" w:eastAsia="Arial" w:hAnsi="Arial"/>
                <w:sz w:val="14"/>
                <w:szCs w:val="14"/>
                <w:color w:val="auto"/>
              </w:rPr>
              <w:t>compensation plans</w:t>
            </w:r>
          </w:p>
        </w:tc>
        <w:tc>
          <w:tcPr>
            <w:tcW w:w="1140" w:type="dxa"/>
            <w:vAlign w:val="bottom"/>
          </w:tcPr>
          <w:p>
            <w:pPr>
              <w:jc w:val="right"/>
              <w:spacing w:after="0"/>
              <w:rPr>
                <w:sz w:val="20"/>
                <w:szCs w:val="20"/>
                <w:color w:val="auto"/>
              </w:rPr>
            </w:pPr>
            <w:r>
              <w:rPr>
                <w:rFonts w:ascii="Arial" w:cs="Arial" w:eastAsia="Arial" w:hAnsi="Arial"/>
                <w:sz w:val="14"/>
                <w:szCs w:val="14"/>
                <w:color w:val="auto"/>
              </w:rPr>
              <w:t>8,199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
        </w:trPr>
        <w:tc>
          <w:tcPr>
            <w:tcW w:w="26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57,806,040</w:t>
            </w:r>
          </w:p>
        </w:tc>
        <w:tc>
          <w:tcPr>
            <w:tcW w:w="94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(556.0)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(298.0)</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(847.6)</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October 1, 2022</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57,055,327</w:t>
            </w:r>
          </w:p>
        </w:tc>
        <w:tc>
          <w:tcPr>
            <w:tcW w:w="94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(577.1)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(324.9)</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(891.4)</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Arial" w:cs="Arial" w:eastAsia="Arial" w:hAnsi="Arial"/>
                <w:sz w:val="14"/>
                <w:szCs w:val="14"/>
                <w:color w:val="auto"/>
                <w:w w:val="96"/>
              </w:rPr>
              <w:t>Net income attributable to Embecta Corp.</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64.4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64.4</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6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w w:val="94"/>
              </w:rPr>
              <w:t>Other comprehensive income, net of taxes</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30.2</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87"/>
        </w:trPr>
        <w:tc>
          <w:tcPr>
            <w:tcW w:w="262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10"/>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Common dividends ($0.45 per share)</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166"/>
        </w:trPr>
        <w:tc>
          <w:tcPr>
            <w:tcW w:w="2620" w:type="dxa"/>
            <w:vAlign w:val="bottom"/>
          </w:tcPr>
          <w:p>
            <w:pPr>
              <w:ind w:left="120"/>
              <w:spacing w:after="0"/>
              <w:rPr>
                <w:sz w:val="20"/>
                <w:szCs w:val="20"/>
                <w:color w:val="auto"/>
              </w:rPr>
            </w:pPr>
            <w:r>
              <w:rPr>
                <w:rFonts w:ascii="Arial" w:cs="Arial" w:eastAsia="Arial" w:hAnsi="Arial"/>
                <w:sz w:val="14"/>
                <w:szCs w:val="14"/>
                <w:color w:val="auto"/>
                <w:w w:val="95"/>
              </w:rPr>
              <w:t>Issuance of shares related to stock-based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620" w:type="dxa"/>
            <w:vAlign w:val="bottom"/>
          </w:tcPr>
          <w:p>
            <w:pPr>
              <w:ind w:left="300"/>
              <w:spacing w:after="0"/>
              <w:rPr>
                <w:sz w:val="20"/>
                <w:szCs w:val="20"/>
                <w:color w:val="auto"/>
              </w:rPr>
            </w:pPr>
            <w:r>
              <w:rPr>
                <w:rFonts w:ascii="Arial" w:cs="Arial" w:eastAsia="Arial" w:hAnsi="Arial"/>
                <w:sz w:val="14"/>
                <w:szCs w:val="14"/>
                <w:color w:val="auto"/>
              </w:rPr>
              <w:t>compensation plans</w:t>
            </w:r>
          </w:p>
        </w:tc>
        <w:tc>
          <w:tcPr>
            <w:tcW w:w="1140" w:type="dxa"/>
            <w:vAlign w:val="bottom"/>
          </w:tcPr>
          <w:p>
            <w:pPr>
              <w:jc w:val="right"/>
              <w:spacing w:after="0"/>
              <w:rPr>
                <w:sz w:val="20"/>
                <w:szCs w:val="20"/>
                <w:color w:val="auto"/>
              </w:rPr>
            </w:pPr>
            <w:r>
              <w:rPr>
                <w:rFonts w:ascii="Arial" w:cs="Arial" w:eastAsia="Arial" w:hAnsi="Arial"/>
                <w:sz w:val="14"/>
                <w:szCs w:val="14"/>
                <w:color w:val="auto"/>
              </w:rPr>
              <w:t>246,729</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4"/>
        </w:trPr>
        <w:tc>
          <w:tcPr>
            <w:tcW w:w="26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57,302,056</w:t>
            </w:r>
          </w:p>
        </w:tc>
        <w:tc>
          <w:tcPr>
            <w:tcW w:w="940" w:type="dxa"/>
            <w:vAlign w:val="bottom"/>
            <w:tcBorders>
              <w:bottom w:val="single" w:sz="8" w:color="CCEEFF"/>
            </w:tcBorders>
            <w:gridSpan w:val="2"/>
            <w:shd w:val="clear" w:color="auto" w:fill="CCEEFF"/>
          </w:tcPr>
          <w:p>
            <w:pPr>
              <w:jc w:val="right"/>
              <w:ind w:right="69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3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(294.7)</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(809.4)</w:t>
            </w: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79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p>
      <w:pPr>
        <w:jc w:val="center"/>
        <w:ind w:left="7940"/>
        <w:spacing w:after="0"/>
        <w:rPr>
          <w:sz w:val="20"/>
          <w:szCs w:val="20"/>
          <w:color w:val="auto"/>
        </w:rPr>
      </w:pPr>
      <w:r>
        <w:rPr>
          <w:rFonts w:ascii="Arial" w:cs="Arial" w:eastAsia="Arial" w:hAnsi="Arial"/>
          <w:sz w:val="16"/>
          <w:szCs w:val="16"/>
          <w:b w:val="1"/>
          <w:bCs w:val="1"/>
          <w:color w:val="auto"/>
        </w:rPr>
        <w:t>Nine Months Ended</w:t>
      </w:r>
    </w:p>
    <w:p>
      <w:pPr>
        <w:jc w:val="center"/>
        <w:ind w:left="7940"/>
        <w:spacing w:after="0"/>
        <w:rPr>
          <w:sz w:val="20"/>
          <w:szCs w:val="20"/>
          <w:color w:val="auto"/>
        </w:rPr>
      </w:pPr>
      <w:r>
        <w:rPr>
          <w:rFonts w:ascii="Arial" w:cs="Arial" w:eastAsia="Arial" w:hAnsi="Arial"/>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5048885</wp:posOffset>
            </wp:positionH>
            <wp:positionV relativeFrom="paragraph">
              <wp:posOffset>6350</wp:posOffset>
            </wp:positionV>
            <wp:extent cx="20904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090420" cy="8255"/>
                    </a:xfrm>
                    <a:prstGeom prst="rect">
                      <a:avLst/>
                    </a:prstGeom>
                    <a:noFill/>
                  </pic:spPr>
                </pic:pic>
              </a:graphicData>
            </a:graphic>
          </wp:anchor>
        </w:drawing>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60" w:type="dxa"/>
            <w:vAlign w:val="bottom"/>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2022</w:t>
            </w:r>
          </w:p>
        </w:tc>
      </w:tr>
      <w:tr>
        <w:trPr>
          <w:trHeight w:val="191"/>
        </w:trPr>
        <w:tc>
          <w:tcPr>
            <w:tcW w:w="796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income</w:t>
            </w:r>
          </w:p>
        </w:tc>
        <w:tc>
          <w:tcPr>
            <w:tcW w:w="1040" w:type="dxa"/>
            <w:vAlign w:val="bottom"/>
            <w:tcBorders>
              <w:bottom w:val="single" w:sz="8" w:color="CCEEFF"/>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480" w:type="dxa"/>
            <w:vAlign w:val="bottom"/>
            <w:tcBorders>
              <w:bottom w:val="single" w:sz="8" w:color="CCEEFF"/>
            </w:tcBorders>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240.8</w:t>
            </w:r>
          </w:p>
        </w:tc>
      </w:tr>
      <w:tr>
        <w:trPr>
          <w:trHeight w:val="205"/>
        </w:trPr>
        <w:tc>
          <w:tcPr>
            <w:tcW w:w="7960" w:type="dxa"/>
            <w:vAlign w:val="bottom"/>
          </w:tcPr>
          <w:p>
            <w:pPr>
              <w:ind w:left="320"/>
              <w:spacing w:after="0"/>
              <w:rPr>
                <w:sz w:val="20"/>
                <w:szCs w:val="20"/>
                <w:color w:val="auto"/>
              </w:rPr>
            </w:pPr>
            <w:r>
              <w:rPr>
                <w:rFonts w:ascii="Arial" w:cs="Arial" w:eastAsia="Arial" w:hAnsi="Arial"/>
                <w:sz w:val="16"/>
                <w:szCs w:val="16"/>
                <w:color w:val="auto"/>
              </w:rPr>
              <w:t>Adjustments to net income to derive net cash provided by operating activities: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8"/>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Depreciation and amortization</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Amortization of debt issuance costs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Stock-based compensation</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Net periodic pension benefit and other postretirement costs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Deferred income taxes</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Change in operating assets and liabilities: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8"/>
        </w:trPr>
        <w:tc>
          <w:tcPr>
            <w:tcW w:w="7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Trade receivables, net</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r>
      <w:tr>
        <w:trPr>
          <w:trHeight w:val="205"/>
        </w:trPr>
        <w:tc>
          <w:tcPr>
            <w:tcW w:w="7960" w:type="dxa"/>
            <w:vAlign w:val="bottom"/>
          </w:tcPr>
          <w:p>
            <w:pPr>
              <w:ind w:left="1040"/>
              <w:spacing w:after="0"/>
              <w:rPr>
                <w:sz w:val="20"/>
                <w:szCs w:val="20"/>
                <w:color w:val="auto"/>
              </w:rPr>
            </w:pPr>
            <w:r>
              <w:rPr>
                <w:rFonts w:ascii="Arial" w:cs="Arial" w:eastAsia="Arial" w:hAnsi="Arial"/>
                <w:sz w:val="16"/>
                <w:szCs w:val="16"/>
                <w:color w:val="auto"/>
              </w:rPr>
              <w:t>Inventories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(23.6)</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7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Due from/due to Becton, Dickinson and Company</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(54.8)</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(99.6)</w:t>
            </w:r>
          </w:p>
        </w:tc>
      </w:tr>
      <w:tr>
        <w:trPr>
          <w:trHeight w:val="205"/>
        </w:trPr>
        <w:tc>
          <w:tcPr>
            <w:tcW w:w="7960" w:type="dxa"/>
            <w:vAlign w:val="bottom"/>
          </w:tcPr>
          <w:p>
            <w:pPr>
              <w:ind w:left="1040"/>
              <w:spacing w:after="0"/>
              <w:rPr>
                <w:sz w:val="20"/>
                <w:szCs w:val="20"/>
                <w:color w:val="auto"/>
              </w:rPr>
            </w:pPr>
            <w:r>
              <w:rPr>
                <w:rFonts w:ascii="Arial" w:cs="Arial" w:eastAsia="Arial" w:hAnsi="Arial"/>
                <w:sz w:val="16"/>
                <w:szCs w:val="16"/>
                <w:color w:val="auto"/>
              </w:rPr>
              <w:t>Prepaid expenses and other</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(25.8)</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6"/>
                <w:szCs w:val="16"/>
                <w:color w:val="auto"/>
              </w:rPr>
              <w:t>Accounts payable, accrued expenses and other current liabilities</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73.1</w:t>
            </w:r>
          </w:p>
        </w:tc>
      </w:tr>
      <w:tr>
        <w:trPr>
          <w:trHeight w:val="205"/>
        </w:trPr>
        <w:tc>
          <w:tcPr>
            <w:tcW w:w="7960" w:type="dxa"/>
            <w:vAlign w:val="bottom"/>
          </w:tcPr>
          <w:p>
            <w:pPr>
              <w:ind w:left="1040"/>
              <w:spacing w:after="0"/>
              <w:rPr>
                <w:sz w:val="20"/>
                <w:szCs w:val="20"/>
                <w:color w:val="auto"/>
              </w:rPr>
            </w:pPr>
            <w:r>
              <w:rPr>
                <w:rFonts w:ascii="Arial" w:cs="Arial" w:eastAsia="Arial" w:hAnsi="Arial"/>
                <w:sz w:val="16"/>
                <w:szCs w:val="16"/>
                <w:color w:val="auto"/>
              </w:rPr>
              <w:t>Income and other net taxes payable</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8"/>
        </w:trPr>
        <w:tc>
          <w:tcPr>
            <w:tcW w:w="79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Other assets and liabilities, net</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198"/>
        </w:trPr>
        <w:tc>
          <w:tcPr>
            <w:tcW w:w="7960" w:type="dxa"/>
            <w:vAlign w:val="bottom"/>
          </w:tcPr>
          <w:p>
            <w:pPr>
              <w:ind w:left="320"/>
              <w:spacing w:after="0"/>
              <w:rPr>
                <w:sz w:val="20"/>
                <w:szCs w:val="20"/>
                <w:color w:val="auto"/>
              </w:rPr>
            </w:pPr>
            <w:r>
              <w:rPr>
                <w:rFonts w:ascii="Arial" w:cs="Arial" w:eastAsia="Arial" w:hAnsi="Arial"/>
                <w:sz w:val="16"/>
                <w:szCs w:val="16"/>
                <w:color w:val="auto"/>
              </w:rPr>
              <w:t>Net Cash Provided by Operating Activities</w:t>
            </w:r>
          </w:p>
        </w:tc>
        <w:tc>
          <w:tcPr>
            <w:tcW w:w="1040" w:type="dxa"/>
            <w:vAlign w:val="bottom"/>
            <w:tcBorders>
              <w:top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354.2</w:t>
            </w:r>
          </w:p>
        </w:tc>
      </w:tr>
      <w:tr>
        <w:trPr>
          <w:trHeight w:val="33"/>
        </w:trPr>
        <w:tc>
          <w:tcPr>
            <w:tcW w:w="7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Capital expenditures</w:t>
            </w:r>
          </w:p>
        </w:tc>
        <w:tc>
          <w:tcPr>
            <w:tcW w:w="1040" w:type="dxa"/>
            <w:vAlign w:val="bottom"/>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(17.3)</w:t>
            </w:r>
          </w:p>
        </w:tc>
        <w:tc>
          <w:tcPr>
            <w:tcW w:w="480" w:type="dxa"/>
            <w:vAlign w:val="bottom"/>
            <w:gridSpan w:val="2"/>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w:t>
            </w:r>
          </w:p>
        </w:tc>
      </w:tr>
      <w:tr>
        <w:trPr>
          <w:trHeight w:val="20"/>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43"/>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Acquisition of intangible assets</w:t>
            </w: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198"/>
        </w:trPr>
        <w:tc>
          <w:tcPr>
            <w:tcW w:w="7960" w:type="dxa"/>
            <w:vAlign w:val="bottom"/>
            <w:tcBorders>
              <w:top w:val="single" w:sz="8" w:color="CCEEFF"/>
            </w:tcBorders>
          </w:tcPr>
          <w:p>
            <w:pPr>
              <w:ind w:left="320"/>
              <w:spacing w:after="0"/>
              <w:rPr>
                <w:sz w:val="20"/>
                <w:szCs w:val="20"/>
                <w:color w:val="auto"/>
              </w:rPr>
            </w:pPr>
            <w:r>
              <w:rPr>
                <w:rFonts w:ascii="Arial" w:cs="Arial" w:eastAsia="Arial" w:hAnsi="Arial"/>
                <w:sz w:val="16"/>
                <w:szCs w:val="16"/>
                <w:color w:val="auto"/>
              </w:rPr>
              <w:t>Net Cash Used for Investing Activities</w:t>
            </w:r>
          </w:p>
        </w:tc>
        <w:tc>
          <w:tcPr>
            <w:tcW w:w="1040" w:type="dxa"/>
            <w:vAlign w:val="bottom"/>
            <w:tcBorders>
              <w:top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33"/>
        </w:trPr>
        <w:tc>
          <w:tcPr>
            <w:tcW w:w="7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Proceeds from the issuance of long-term debt</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1,450.0</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Payments on long-term debt</w:t>
            </w:r>
          </w:p>
        </w:tc>
        <w:tc>
          <w:tcPr>
            <w:tcW w:w="1040" w:type="dxa"/>
            <w:vAlign w:val="bottom"/>
            <w:tcBorders>
              <w:bottom w:val="single" w:sz="8" w:color="CCEEFF"/>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480" w:type="dxa"/>
            <w:vAlign w:val="bottom"/>
            <w:tcBorders>
              <w:bottom w:val="single" w:sz="8" w:color="CCEEFF"/>
            </w:tcBorders>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Payment of long-term debt issuance costs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(33.3)</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18"/>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 of revolving credit facility fees</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Payments related to tax withholding for stock-based compensation</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79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8"/>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Payments on finance lease</w:t>
            </w:r>
          </w:p>
        </w:tc>
        <w:tc>
          <w:tcPr>
            <w:tcW w:w="10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Dividend payments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79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Net consideration paid to Becton, Dickinson and Company in connection with the Separation</w:t>
            </w:r>
          </w:p>
        </w:tc>
        <w:tc>
          <w:tcPr>
            <w:tcW w:w="10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(1,266.0)</w:t>
            </w:r>
          </w:p>
        </w:tc>
      </w:tr>
      <w:tr>
        <w:trPr>
          <w:trHeight w:val="205"/>
        </w:trPr>
        <w:tc>
          <w:tcPr>
            <w:tcW w:w="7960" w:type="dxa"/>
            <w:vAlign w:val="bottom"/>
          </w:tcPr>
          <w:p>
            <w:pPr>
              <w:ind w:left="680"/>
              <w:spacing w:after="0"/>
              <w:rPr>
                <w:sz w:val="20"/>
                <w:szCs w:val="20"/>
                <w:color w:val="auto"/>
              </w:rPr>
            </w:pPr>
            <w:r>
              <w:rPr>
                <w:rFonts w:ascii="Arial" w:cs="Arial" w:eastAsia="Arial" w:hAnsi="Arial"/>
                <w:sz w:val="16"/>
                <w:szCs w:val="16"/>
                <w:color w:val="auto"/>
              </w:rPr>
              <w:t>Net transfers to Becton, Dickinson and Company</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(182.7)</w:t>
            </w:r>
          </w:p>
        </w:tc>
      </w:tr>
      <w:tr>
        <w:trPr>
          <w:trHeight w:val="33"/>
        </w:trPr>
        <w:tc>
          <w:tcPr>
            <w:tcW w:w="7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Cash Used for Financing Activities</w:t>
            </w:r>
          </w:p>
        </w:tc>
        <w:tc>
          <w:tcPr>
            <w:tcW w:w="1040" w:type="dxa"/>
            <w:vAlign w:val="bottom"/>
            <w:tcBorders>
              <w:bottom w:val="single" w:sz="8" w:color="CCEEFF"/>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480" w:type="dxa"/>
            <w:vAlign w:val="bottom"/>
            <w:tcBorders>
              <w:bottom w:val="single" w:sz="8" w:color="CCEEFF"/>
            </w:tcBorders>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198"/>
        </w:trPr>
        <w:tc>
          <w:tcPr>
            <w:tcW w:w="7960" w:type="dxa"/>
            <w:vAlign w:val="bottom"/>
          </w:tcPr>
          <w:p>
            <w:pPr>
              <w:ind w:left="320"/>
              <w:spacing w:after="0"/>
              <w:rPr>
                <w:sz w:val="20"/>
                <w:szCs w:val="20"/>
                <w:color w:val="auto"/>
              </w:rPr>
            </w:pPr>
            <w:r>
              <w:rPr>
                <w:rFonts w:ascii="Arial" w:cs="Arial" w:eastAsia="Arial" w:hAnsi="Arial"/>
                <w:sz w:val="16"/>
                <w:szCs w:val="16"/>
                <w:color w:val="auto"/>
              </w:rPr>
              <w:t>Effect of exchange rate changes on cash and cash equivalents</w:t>
            </w:r>
          </w:p>
        </w:tc>
        <w:tc>
          <w:tcPr>
            <w:tcW w:w="10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(5.6)</w:t>
            </w:r>
          </w:p>
        </w:tc>
      </w:tr>
      <w:tr>
        <w:trPr>
          <w:trHeight w:val="20"/>
        </w:trPr>
        <w:tc>
          <w:tcPr>
            <w:tcW w:w="79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1"/>
        </w:trPr>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Net Change in Cash and cash equivalents</w:t>
            </w:r>
          </w:p>
        </w:tc>
        <w:tc>
          <w:tcPr>
            <w:tcW w:w="1040" w:type="dxa"/>
            <w:vAlign w:val="bottom"/>
            <w:tcBorders>
              <w:bottom w:val="single" w:sz="8" w:color="CCEEFF"/>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480" w:type="dxa"/>
            <w:vAlign w:val="bottom"/>
            <w:tcBorders>
              <w:bottom w:val="single" w:sz="8" w:color="CCEEFF"/>
            </w:tcBorders>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292.3</w:t>
            </w:r>
          </w:p>
        </w:tc>
      </w:tr>
      <w:tr>
        <w:trPr>
          <w:trHeight w:val="205"/>
        </w:trPr>
        <w:tc>
          <w:tcPr>
            <w:tcW w:w="7960" w:type="dxa"/>
            <w:vAlign w:val="bottom"/>
          </w:tcPr>
          <w:p>
            <w:pPr>
              <w:ind w:left="320"/>
              <w:spacing w:after="0"/>
              <w:rPr>
                <w:sz w:val="20"/>
                <w:szCs w:val="20"/>
                <w:color w:val="auto"/>
              </w:rPr>
            </w:pPr>
            <w:r>
              <w:rPr>
                <w:rFonts w:ascii="Arial" w:cs="Arial" w:eastAsia="Arial" w:hAnsi="Arial"/>
                <w:sz w:val="16"/>
                <w:szCs w:val="16"/>
                <w:color w:val="auto"/>
              </w:rPr>
              <w:t>Opening Cash and cash equivalents</w:t>
            </w:r>
          </w:p>
        </w:tc>
        <w:tc>
          <w:tcPr>
            <w:tcW w:w="10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330.9</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79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Closing Cash and cash equivalents</w:t>
            </w:r>
          </w:p>
        </w:tc>
        <w:tc>
          <w:tcPr>
            <w:tcW w:w="1040" w:type="dxa"/>
            <w:vAlign w:val="bottom"/>
            <w:tcBorders>
              <w:bottom w:val="single" w:sz="8" w:color="CCEEFF"/>
            </w:tcBorders>
            <w:shd w:val="clear" w:color="auto" w:fill="CCEEFF"/>
          </w:tcPr>
          <w:p>
            <w:pPr>
              <w:jc w:val="right"/>
              <w:ind w:right="886"/>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480" w:type="dxa"/>
            <w:vAlign w:val="bottom"/>
            <w:tcBorders>
              <w:bottom w:val="single" w:sz="8" w:color="CCEEFF"/>
            </w:tcBorders>
            <w:gridSpan w:val="2"/>
            <w:shd w:val="clear" w:color="auto" w:fill="CCEEFF"/>
          </w:tcPr>
          <w:p>
            <w:pPr>
              <w:jc w:val="right"/>
              <w:ind w:right="206"/>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292.3</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Embecta Corp.</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w:t>
      </w:r>
    </w:p>
    <w:p>
      <w:pPr>
        <w:spacing w:after="0" w:line="103"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which are complemented by a proprietary digital application designed to assist people with managing their diabetes. The Company primarily sells products to wholesalers and distributors that sell to retail and institutional channels who in turn sell to patients or use the products to deliver insulin injections to patients.</w:t>
      </w:r>
    </w:p>
    <w:p>
      <w:pPr>
        <w:spacing w:after="0" w:line="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7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2B2A29"/>
        </w:rPr>
        <w:t>The Separation occurred by means of a pro-rata distribution of all of Embecta’s issued and outstanding shares of common stock on the basis of one share of Embecta common stock, par value $0.01 per share, for every five shares of BD common stock, par value $1.00 per share, held as of the close of business on March 22, 2022, the record date for the distribution. Embecta is now a standalone publicly traded company and, on April 1, 2022, regular-way trading of Embecta common stock commenced on The Nasdaq Global Select Market under the ticker symbol "EMBC".</w:t>
      </w:r>
    </w:p>
    <w:p>
      <w:pPr>
        <w:spacing w:after="0" w:line="78"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2B2A29"/>
        </w:rPr>
        <w:t>In connection with the Separation, BD and Embecta entered into various agreements to provide a framework for the relationship between BD and Embecta after the Separation, including, but not limited to,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factoring and receivables agreements, local support and service agreements and other transaction documents.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April 1, 2022, the Company became a standalone publicly traded company, and its financial statements are now presented on a consolidated basis. Prior to the Separation on April 1, 2022, the Company’s historical combined financial statements were prepared on a standalone basis and were derived from BD's Consolidated Financial Statements and accounting records. The unaudited financial statements for all periods presented, including the historical results of the Company prior to April 1, 2022, are now referred to as "Condensed Consolidated Financial Statements", and have been prepared pursuant to the rules and regulations for reporting on Form 10-Q. Accordingly, certain information and disclosures required by United States generally accepted accounting principles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These interim statements should be read in conjunction with the audited financial statements and notes thereto included in Embecta’s Annual Report on Form 10-K for the year ended September 30, 2022 filed with the Securities and Exchange Commission on December 22, 2022 (the "2022 Form 10-K").</w:t>
      </w:r>
    </w:p>
    <w:p>
      <w:pPr>
        <w:spacing w:after="0" w:line="76"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Prior to the Separation, the Company was referred to as the Diabetes Care Business. The assets, liabilities, revenue and expenses of the Diabetes Care Business were reflected in the Condensed Combined Financial Statements on a historical cost basis, as included in the consolidated financial statements of BD, using the historical accounting policies applied by BD. The Condensed Combined Financial Statements did not purport to reflect what the Company’s results of operations, comprehensive income, financial position, equity or cash flows would have been had the Company operated as a standalone public company during the periods presented.</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Diabetes Care Business had historically functioned together with the other businesses controlled by BD. Accordingly, the Diabetes Care Business relied on BD’s corporate and other support functions for its business. Therefore, for the period prior to the Separation, certain corporate and shared costs were allocated to the Diabetes Care Business based on a specific identification basis or, when specific identification was not practicable, a proportional cost allocation method. Refer to Note 2 of the audited Consolidated Financial Statements in the 2022 Form 10-K for additional details on Embecta's basis of presentation during periods prior to the Separation, at Separation and post Separation.</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As the separate legal entities that made up the Diabetes Care Business were not historically held by a single legal entity, </w:t>
      </w:r>
      <w:r>
        <w:rPr>
          <w:rFonts w:ascii="Arial" w:cs="Arial" w:eastAsia="Arial" w:hAnsi="Arial"/>
          <w:sz w:val="18"/>
          <w:szCs w:val="18"/>
          <w:i w:val="1"/>
          <w:iCs w:val="1"/>
          <w:color w:val="auto"/>
        </w:rPr>
        <w:t>Net Investment from Becton,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Dickinson and Company </w:t>
      </w:r>
      <w:r>
        <w:rPr>
          <w:rFonts w:ascii="Arial" w:cs="Arial" w:eastAsia="Arial" w:hAnsi="Arial"/>
          <w:sz w:val="18"/>
          <w:szCs w:val="18"/>
          <w:color w:val="auto"/>
        </w:rPr>
        <w:t>was shown in lieu of stockholders’ equity in these Condensed Consolidated Financial Statements.</w:t>
      </w:r>
      <w:r>
        <w:rPr>
          <w:rFonts w:ascii="Arial" w:cs="Arial" w:eastAsia="Arial" w:hAnsi="Arial"/>
          <w:sz w:val="18"/>
          <w:szCs w:val="18"/>
          <w:i w:val="1"/>
          <w:iCs w:val="1"/>
          <w:color w:val="auto"/>
        </w:rPr>
        <w:t xml:space="preserve"> Net Investment from Becton, Dickinson and Company </w:t>
      </w:r>
      <w:r>
        <w:rPr>
          <w:rFonts w:ascii="Arial" w:cs="Arial" w:eastAsia="Arial" w:hAnsi="Arial"/>
          <w:sz w:val="18"/>
          <w:szCs w:val="18"/>
          <w:color w:val="auto"/>
        </w:rPr>
        <w:t>represented BD’s interest in the</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5"/>
          <w:szCs w:val="15"/>
          <w:color w:val="auto"/>
        </w:rPr>
        <w:t>recorded assets of the Diabetes Care Business and the cumulative investment by BD through the date of the Separation, inclusive of operating results.</w:t>
      </w:r>
    </w:p>
    <w:p>
      <w:pPr>
        <w:spacing w:after="0" w:line="1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periods prior to the Separation, income tax expense and tax balances in the Condensed Combined Financial Statements were calculated on a separate tax return basis. The separate tax return method applies the accounting guidance for income taxes to the standalone financial statements as if the Company was a separate taxpayer and a standalone enterprise. Management believes the assumptions supporting the allocation and presentation of income taxes on a separate return basis are reasonable.</w:t>
      </w:r>
    </w:p>
    <w:p>
      <w:pPr>
        <w:spacing w:after="0" w:line="95" w:lineRule="exact"/>
        <w:rPr>
          <w:sz w:val="20"/>
          <w:szCs w:val="20"/>
          <w:color w:val="auto"/>
        </w:rPr>
      </w:pPr>
    </w:p>
    <w:p>
      <w:pPr>
        <w:ind w:right="1300"/>
        <w:spacing w:after="0" w:line="383" w:lineRule="auto"/>
        <w:rPr>
          <w:sz w:val="20"/>
          <w:szCs w:val="20"/>
          <w:color w:val="auto"/>
        </w:rPr>
      </w:pPr>
      <w:r>
        <w:rPr>
          <w:rFonts w:ascii="Arial" w:cs="Arial" w:eastAsia="Arial" w:hAnsi="Arial"/>
          <w:sz w:val="18"/>
          <w:szCs w:val="18"/>
          <w:color w:val="auto"/>
        </w:rPr>
        <w:t xml:space="preserve">As part of the Separation, </w:t>
      </w:r>
      <w:r>
        <w:rPr>
          <w:rFonts w:ascii="Arial" w:cs="Arial" w:eastAsia="Arial" w:hAnsi="Arial"/>
          <w:sz w:val="18"/>
          <w:szCs w:val="18"/>
          <w:i w:val="1"/>
          <w:iCs w:val="1"/>
          <w:color w:val="auto"/>
        </w:rPr>
        <w:t>Net Investment from Becton, Dickinson and Company</w:t>
      </w:r>
      <w:r>
        <w:rPr>
          <w:rFonts w:ascii="Arial" w:cs="Arial" w:eastAsia="Arial" w:hAnsi="Arial"/>
          <w:sz w:val="18"/>
          <w:szCs w:val="18"/>
          <w:color w:val="auto"/>
        </w:rPr>
        <w:t xml:space="preserve"> was reclassified as </w:t>
      </w:r>
      <w:r>
        <w:rPr>
          <w:rFonts w:ascii="Arial" w:cs="Arial" w:eastAsia="Arial" w:hAnsi="Arial"/>
          <w:sz w:val="18"/>
          <w:szCs w:val="18"/>
          <w:i w:val="1"/>
          <w:iCs w:val="1"/>
          <w:color w:val="auto"/>
        </w:rPr>
        <w:t>Common Stock</w:t>
      </w:r>
      <w:r>
        <w:rPr>
          <w:rFonts w:ascii="Arial" w:cs="Arial" w:eastAsia="Arial" w:hAnsi="Arial"/>
          <w:sz w:val="18"/>
          <w:szCs w:val="18"/>
          <w:color w:val="auto"/>
        </w:rPr>
        <w:t xml:space="preserve"> and </w:t>
      </w:r>
      <w:r>
        <w:rPr>
          <w:rFonts w:ascii="Arial" w:cs="Arial" w:eastAsia="Arial" w:hAnsi="Arial"/>
          <w:sz w:val="18"/>
          <w:szCs w:val="18"/>
          <w:i w:val="1"/>
          <w:iCs w:val="1"/>
          <w:color w:val="auto"/>
        </w:rPr>
        <w:t>Accumulated Deficit</w:t>
      </w:r>
      <w:r>
        <w:rPr>
          <w:rFonts w:ascii="Arial" w:cs="Arial" w:eastAsia="Arial" w:hAnsi="Arial"/>
          <w:sz w:val="18"/>
          <w:szCs w:val="18"/>
          <w:color w:val="auto"/>
        </w:rPr>
        <w:t xml:space="preserve">. </w:t>
      </w:r>
      <w:r>
        <w:rPr>
          <w:rFonts w:ascii="Arial" w:cs="Arial" w:eastAsia="Arial" w:hAnsi="Arial"/>
          <w:sz w:val="18"/>
          <w:szCs w:val="18"/>
          <w:i w:val="1"/>
          <w:iCs w:val="1"/>
          <w:color w:val="auto"/>
        </w:rPr>
        <w:t>Use of Estimates</w:t>
      </w:r>
    </w:p>
    <w:p>
      <w:pPr>
        <w:jc w:val="both"/>
        <w:spacing w:after="0" w:line="241"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Condensed Consolidated Financial Statements. Actual results could differ from these estimates.</w:t>
      </w:r>
    </w:p>
    <w:p>
      <w:pPr>
        <w:spacing w:after="0" w:line="134" w:lineRule="exact"/>
        <w:rPr>
          <w:sz w:val="20"/>
          <w:szCs w:val="20"/>
          <w:color w:val="auto"/>
        </w:rPr>
      </w:pPr>
    </w:p>
    <w:p>
      <w:pPr>
        <w:ind w:right="2240"/>
        <w:spacing w:after="0" w:line="383" w:lineRule="auto"/>
        <w:rPr>
          <w:sz w:val="20"/>
          <w:szCs w:val="20"/>
          <w:color w:val="auto"/>
        </w:rPr>
      </w:pPr>
      <w:r>
        <w:rPr>
          <w:rFonts w:ascii="Arial" w:cs="Arial" w:eastAsia="Arial" w:hAnsi="Arial"/>
          <w:sz w:val="18"/>
          <w:szCs w:val="18"/>
          <w:i w:val="1"/>
          <w:iCs w:val="1"/>
          <w:color w:val="auto"/>
        </w:rPr>
        <w:t>The following provides updates to the Company's "Summary of Significant Accounting Policies" as disclosed in the Form 10-K. Cloud Computing Arrangements</w:t>
      </w:r>
    </w:p>
    <w:p>
      <w:pPr>
        <w:jc w:val="both"/>
        <w:spacing w:after="0" w:line="293" w:lineRule="auto"/>
        <w:rPr>
          <w:sz w:val="20"/>
          <w:szCs w:val="20"/>
          <w:color w:val="auto"/>
        </w:rPr>
      </w:pPr>
      <w:r>
        <w:rPr>
          <w:rFonts w:ascii="Arial" w:cs="Arial" w:eastAsia="Arial" w:hAnsi="Arial"/>
          <w:sz w:val="15"/>
          <w:szCs w:val="15"/>
          <w:color w:val="auto"/>
        </w:rPr>
        <w:t xml:space="preserve">The Company capitalizes costs incurred to implement cloud computing arrangements that are service contracts within </w:t>
      </w:r>
      <w:r>
        <w:rPr>
          <w:rFonts w:ascii="Arial" w:cs="Arial" w:eastAsia="Arial" w:hAnsi="Arial"/>
          <w:sz w:val="15"/>
          <w:szCs w:val="15"/>
          <w:i w:val="1"/>
          <w:iCs w:val="1"/>
          <w:color w:val="auto"/>
        </w:rPr>
        <w:t>Prepaid expenses and other</w:t>
      </w:r>
      <w:r>
        <w:rPr>
          <w:rFonts w:ascii="Arial" w:cs="Arial" w:eastAsia="Arial" w:hAnsi="Arial"/>
          <w:sz w:val="15"/>
          <w:szCs w:val="15"/>
          <w:color w:val="auto"/>
        </w:rPr>
        <w:t xml:space="preserve"> and </w:t>
      </w:r>
      <w:r>
        <w:rPr>
          <w:rFonts w:ascii="Arial" w:cs="Arial" w:eastAsia="Arial" w:hAnsi="Arial"/>
          <w:sz w:val="15"/>
          <w:szCs w:val="15"/>
          <w:i w:val="1"/>
          <w:iCs w:val="1"/>
          <w:color w:val="auto"/>
        </w:rPr>
        <w:t xml:space="preserve">Deferred Income Taxes and Other Assets </w:t>
      </w:r>
      <w:r>
        <w:rPr>
          <w:rFonts w:ascii="Arial" w:cs="Arial" w:eastAsia="Arial" w:hAnsi="Arial"/>
          <w:sz w:val="15"/>
          <w:szCs w:val="15"/>
          <w:color w:val="auto"/>
        </w:rPr>
        <w:t>in the Company's Condensed Consolidated Balance Sheets. Implementation costs associated with cloud computing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arrangements are capitalized when incurred during the application development phase. The Company amortizes the costs over the expected term of the hosting arrangement using the straight-line method to the same income statement line as the associated cloud operating expenses. The total balance of capitalized costs associated with these arrangements as of June 30, 2023 is $26.6 million which primarily relates to the implementation of the Company's new enterprise resource planning system ("ERP"). These capitalized costs are included in </w:t>
      </w:r>
      <w:r>
        <w:rPr>
          <w:rFonts w:ascii="Arial" w:cs="Arial" w:eastAsia="Arial" w:hAnsi="Arial"/>
          <w:sz w:val="15"/>
          <w:szCs w:val="15"/>
          <w:i w:val="1"/>
          <w:iCs w:val="1"/>
          <w:color w:val="auto"/>
        </w:rPr>
        <w:t>Deferred Income Taxes and Other Assets.</w:t>
      </w:r>
      <w:r>
        <w:rPr>
          <w:rFonts w:ascii="Arial" w:cs="Arial" w:eastAsia="Arial" w:hAnsi="Arial"/>
          <w:sz w:val="15"/>
          <w:szCs w:val="15"/>
          <w:color w:val="auto"/>
        </w:rPr>
        <w:t xml:space="preserve"> Once the implementation of the new ERP is complete and ready for its intended use, the capitalized costs are expected to be amortized over the term of the hosting arrangement.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9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October 2021, the Financial Accounting Standards Board issued Accounting Standards Update 2021-08, Business Combinations (Topic 805): Accounting for Contract Assets and Contract Liabilities from Contracts with Customers. The new guidance requires contract assets and contract liabilities acquired in a business combination to be recognized and measured by the acquirer on the acquisition date in accordance with Accounting Standards Codification 606, Revenue from Contracts with Customers, as if it had originated the contracts. The Company adopted this guidance at the beginning of fiscal year 2023 and it did not materially impact the Company's Condensed Consolidated Financial Statements.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Certain prior period amounts have been reclassified to conform to the current year presentation.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Third Party Arrangements and Related Party Disclosures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Pursuant to the Separation, BD ceased to be a related party to Embecta and accordingly, no related party transactions or balances are reported subsequent to April 1, 2022.</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w:t>
      </w:r>
    </w:p>
    <w:p>
      <w:pPr>
        <w:spacing w:after="0" w:line="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Agreements that Embecta entered into with BD that govern aspects of Embecta's relationship with BD following the Separation include, but are not limited to the Transition Services Agreements ("TSA"), </w:t>
      </w:r>
      <w:r>
        <w:rPr>
          <w:rFonts w:ascii="Arial" w:cs="Arial" w:eastAsia="Arial" w:hAnsi="Arial"/>
          <w:sz w:val="18"/>
          <w:szCs w:val="18"/>
          <w:color w:val="2B2A29"/>
        </w:rPr>
        <w:t>Trade Receivables Factoring</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2B2A29"/>
        </w:rPr>
        <w:t xml:space="preserve">Agreements ("Factoring Agreements"), </w:t>
      </w:r>
      <w:r>
        <w:rPr>
          <w:rFonts w:ascii="Arial" w:cs="Arial" w:eastAsia="Arial" w:hAnsi="Arial"/>
          <w:sz w:val="15"/>
          <w:szCs w:val="15"/>
          <w:color w:val="000000"/>
        </w:rPr>
        <w:t>Distribution Agreements, Cannula Supply Agreement, Tax Matters Agreement, Logistics Services Agreement,</w:t>
      </w:r>
      <w:r>
        <w:rPr>
          <w:rFonts w:ascii="Arial" w:cs="Arial" w:eastAsia="Arial" w:hAnsi="Arial"/>
          <w:sz w:val="15"/>
          <w:szCs w:val="15"/>
          <w:color w:val="2B2A29"/>
        </w:rPr>
        <w:t xml:space="preserve"> </w:t>
      </w:r>
      <w:r>
        <w:rPr>
          <w:rFonts w:ascii="Arial" w:cs="Arial" w:eastAsia="Arial" w:hAnsi="Arial"/>
          <w:sz w:val="15"/>
          <w:szCs w:val="15"/>
          <w:color w:val="000000"/>
        </w:rPr>
        <w:t>employee matters agreement, an intellectual property matters agreement, local support services agreements, certain other manufacturing arrangements and a process services agreement and lease agreement for a manufacturing facility located in Holdrege, Nebraska. For details on the rights and responsibilities of the parties under these agreements refer to Note 4 to the audited Consolidated Financial Statements in the 2022 Form 10-K.</w:t>
      </w:r>
    </w:p>
    <w:p>
      <w:pPr>
        <w:spacing w:after="0" w:line="3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The amount due from BD under the above agreements was $169.0 million at June 30, 2023 and is included in </w:t>
      </w:r>
      <w:r>
        <w:rPr>
          <w:rFonts w:ascii="Arial" w:cs="Arial" w:eastAsia="Arial" w:hAnsi="Arial"/>
          <w:sz w:val="18"/>
          <w:szCs w:val="18"/>
          <w:i w:val="1"/>
          <w:iCs w:val="1"/>
          <w:color w:val="auto"/>
        </w:rPr>
        <w:t>Amounts due from Becton, Dickinson and</w:t>
      </w:r>
      <w:r>
        <w:rPr>
          <w:rFonts w:ascii="Arial" w:cs="Arial" w:eastAsia="Arial" w:hAnsi="Arial"/>
          <w:sz w:val="18"/>
          <w:szCs w:val="18"/>
          <w:color w:val="auto"/>
        </w:rPr>
        <w:t xml:space="preserve"> </w:t>
      </w:r>
      <w:r>
        <w:rPr>
          <w:rFonts w:ascii="Arial" w:cs="Arial" w:eastAsia="Arial" w:hAnsi="Arial"/>
          <w:sz w:val="18"/>
          <w:szCs w:val="18"/>
          <w:i w:val="1"/>
          <w:iCs w:val="1"/>
          <w:color w:val="auto"/>
        </w:rPr>
        <w:t>Company</w:t>
      </w:r>
      <w:r>
        <w:rPr>
          <w:rFonts w:ascii="Arial" w:cs="Arial" w:eastAsia="Arial" w:hAnsi="Arial"/>
          <w:sz w:val="18"/>
          <w:szCs w:val="18"/>
          <w:color w:val="auto"/>
        </w:rPr>
        <w:t>. The amount due to BD under these agreements was $68.6 million at June 30, 2023 and is included in</w:t>
      </w:r>
      <w:r>
        <w:rPr>
          <w:rFonts w:ascii="Arial" w:cs="Arial" w:eastAsia="Arial" w:hAnsi="Arial"/>
          <w:sz w:val="18"/>
          <w:szCs w:val="18"/>
          <w:i w:val="1"/>
          <w:iCs w:val="1"/>
          <w:color w:val="auto"/>
        </w:rPr>
        <w:t xml:space="preserve"> Amounts due to Becton, Dickinson and Company</w:t>
      </w:r>
      <w:r>
        <w:rPr>
          <w:rFonts w:ascii="Arial" w:cs="Arial" w:eastAsia="Arial" w:hAnsi="Arial"/>
          <w:sz w:val="18"/>
          <w:szCs w:val="18"/>
          <w:color w:val="auto"/>
        </w:rPr>
        <w:t>.</w:t>
      </w:r>
    </w:p>
    <w:p>
      <w:pPr>
        <w:spacing w:after="0" w:line="77"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 xml:space="preserve">The closing of the transfers of certain assets and liabilities related to the Diabetes Care Business in certain jurisdictions, including China, Mexico, and Italy, as contemplated by the Separation and Distribution Agreement did not occur at Separation. The transfers of the relevant local assets and liabilities for these deferred countries are expected to close at a future date. As of June 30, 2023, the Company estimates that amounts due to BD related to certain assets and liabilities in deferred close jurisdictions is $41.0 million and are reflected in </w:t>
      </w:r>
      <w:r>
        <w:rPr>
          <w:rFonts w:ascii="Arial" w:cs="Arial" w:eastAsia="Arial" w:hAnsi="Arial"/>
          <w:sz w:val="15"/>
          <w:szCs w:val="15"/>
          <w:i w:val="1"/>
          <w:iCs w:val="1"/>
          <w:color w:val="auto"/>
        </w:rPr>
        <w:t>Accrued expenses</w:t>
      </w:r>
      <w:r>
        <w:rPr>
          <w:rFonts w:ascii="Arial" w:cs="Arial" w:eastAsia="Arial" w:hAnsi="Arial"/>
          <w:sz w:val="15"/>
          <w:szCs w:val="15"/>
          <w:color w:val="auto"/>
        </w:rPr>
        <w:t xml:space="preserve">. As of June 30, 2023, the Company estimates that amounts due from BD related to certain assets and liabilities in deferred close jurisdictions are $7.5 million and is reflected in </w:t>
      </w:r>
      <w:r>
        <w:rPr>
          <w:rFonts w:ascii="Arial" w:cs="Arial" w:eastAsia="Arial" w:hAnsi="Arial"/>
          <w:sz w:val="15"/>
          <w:szCs w:val="15"/>
          <w:i w:val="1"/>
          <w:iCs w:val="1"/>
          <w:color w:val="auto"/>
        </w:rPr>
        <w:t>Prepaid expenses and other</w:t>
      </w:r>
      <w:r>
        <w:rPr>
          <w:rFonts w:ascii="Arial" w:cs="Arial" w:eastAsia="Arial" w:hAnsi="Arial"/>
          <w:sz w:val="15"/>
          <w:szCs w:val="15"/>
          <w:color w:val="auto"/>
        </w:rPr>
        <w:t>.</w:t>
      </w:r>
    </w:p>
    <w:p>
      <w:pPr>
        <w:spacing w:after="0" w:line="3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Prior to the Separation, the Company did not operate as a standalone business and the Condensed Combined Financial Statements were derived from the consolidated financial statements and accounting records of BD. The following disclosure summarizes activity between the Company and BD up to the Separation, including the affiliates of BD that were not part of the Separation.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Medical Segment Allocations from BD</w:t>
      </w:r>
    </w:p>
    <w:p>
      <w:pPr>
        <w:spacing w:after="0" w:line="9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Prior to the Separation, BD provided significant corporate, finance, human resources, information technology, facilities, and legal services, among others (collectively, “General Corporate Expenses”) to the Company. Some of these services continue to be provided by BD to the Company on a temporary basis under the Transition Services Agreement. For purposes of these Condensed Consolidated Financial Statements for the periods prior to the Separation, the General Corporate Expenses have been allocated to the Company.</w:t>
      </w:r>
    </w:p>
    <w:p>
      <w:pPr>
        <w:sectPr>
          <w:pgSz w:w="11900" w:h="16838" w:orient="portrait"/>
          <w:cols w:equalWidth="0" w:num="1">
            <w:col w:w="11240"/>
          </w:cols>
          <w:pgMar w:left="320" w:top="227" w:right="3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color w:val="auto"/>
        </w:rPr>
        <w:t>The allocations of General Corporate Expenses are reflected in the Condensed Consolidated Statements of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502920</wp:posOffset>
            </wp:positionV>
            <wp:extent cx="7134860" cy="151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Cost of products sold</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Selling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4860" cy="151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Research and development expense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(income)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4860" cy="167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764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General Corporate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Nine months ended June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1664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2022</w:t>
      </w:r>
    </w:p>
    <w:p>
      <w:pPr>
        <w:spacing w:after="0" w:line="71" w:lineRule="exact"/>
        <w:rPr>
          <w:sz w:val="20"/>
          <w:szCs w:val="20"/>
          <w:color w:val="auto"/>
        </w:rPr>
      </w:pPr>
    </w:p>
    <w:p>
      <w:pPr>
        <w:spacing w:after="0"/>
        <w:tabs>
          <w:tab w:leader="none" w:pos="154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2.3</w:t>
      </w:r>
    </w:p>
    <w:p>
      <w:pPr>
        <w:spacing w:after="0" w:line="4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47.9</w:t>
      </w:r>
    </w:p>
    <w:p>
      <w:pPr>
        <w:spacing w:after="0" w:line="5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3.5</w:t>
      </w:r>
    </w:p>
    <w:p>
      <w:pPr>
        <w:spacing w:after="0" w:line="5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23495</wp:posOffset>
            </wp:positionV>
            <wp:extent cx="11664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34" w:lineRule="exact"/>
        <w:rPr>
          <w:sz w:val="20"/>
          <w:szCs w:val="20"/>
          <w:color w:val="auto"/>
        </w:rPr>
      </w:pPr>
    </w:p>
    <w:p>
      <w:pPr>
        <w:spacing w:after="0"/>
        <w:tabs>
          <w:tab w:leader="none" w:pos="1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57150</wp:posOffset>
            </wp:positionV>
            <wp:extent cx="11664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66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0" w:space="520"/>
            <w:col w:w="1820"/>
          </w:cols>
          <w:pgMar w:left="320" w:top="227" w:right="339" w:bottom="1440" w:gutter="0" w:footer="0" w:header="0"/>
          <w:type w:val="continuous"/>
        </w:sectPr>
      </w:pPr>
    </w:p>
    <w:p>
      <w:pPr>
        <w:spacing w:after="0" w:line="8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These expenses were allocated to the Company on a pro rata basis of global and regional revenues, headcount, research and development spend and other drivers. Management believes the assumptions underlying the Condensed Consolidated Financial Statements, including the assumptions regarding allocating General Corporate Expenses from BD, are reasonable. Nevertheless, the Condensed Consolidated Financial Statements for periods prior to the Separation may not include all of the actual expenses that would have been incurred and may not reflect the Company’s consolidated results of operations, financial position and cash flows had it been a standalone public company during the periods presented. Actual costs that would have been incurred if the Company had been a standalone public company would depend on multiple</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380"/>
        <w:spacing w:after="0" w:line="360" w:lineRule="auto"/>
        <w:rPr>
          <w:sz w:val="20"/>
          <w:szCs w:val="20"/>
          <w:color w:val="auto"/>
        </w:rPr>
      </w:pPr>
      <w:r>
        <w:rPr>
          <w:rFonts w:ascii="Arial" w:cs="Arial" w:eastAsia="Arial" w:hAnsi="Arial"/>
          <w:sz w:val="18"/>
          <w:szCs w:val="18"/>
          <w:color w:val="auto"/>
        </w:rPr>
        <w:t xml:space="preserve">factors, including organizational structure and strategic decisions made in various areas, including information technology and infrastructure. </w:t>
      </w:r>
      <w:r>
        <w:rPr>
          <w:rFonts w:ascii="Arial" w:cs="Arial" w:eastAsia="Arial" w:hAnsi="Arial"/>
          <w:sz w:val="18"/>
          <w:szCs w:val="18"/>
          <w:i w:val="1"/>
          <w:iCs w:val="1"/>
          <w:color w:val="auto"/>
        </w:rPr>
        <w:t>Related party transactions</w:t>
      </w:r>
    </w:p>
    <w:p>
      <w:pPr>
        <w:jc w:val="both"/>
        <w:ind w:right="100"/>
        <w:spacing w:after="0" w:line="239" w:lineRule="auto"/>
        <w:rPr>
          <w:sz w:val="20"/>
          <w:szCs w:val="20"/>
          <w:color w:val="auto"/>
        </w:rPr>
      </w:pPr>
      <w:r>
        <w:rPr>
          <w:rFonts w:ascii="Arial" w:cs="Arial" w:eastAsia="Arial" w:hAnsi="Arial"/>
          <w:sz w:val="18"/>
          <w:szCs w:val="18"/>
          <w:color w:val="auto"/>
        </w:rPr>
        <w:t>The following transactions represent activity in the ordinary course of business between the Company and BD prior to the Separation for certain materials for use in production of certain medical products that were not at arm’s length. The following table summarizes related party purchases for the nine month period ended June 30, 2022:</w:t>
      </w:r>
    </w:p>
    <w:p>
      <w:pPr>
        <w:spacing w:after="0" w:line="186" w:lineRule="exact"/>
        <w:rPr>
          <w:sz w:val="20"/>
          <w:szCs w:val="20"/>
          <w:color w:val="auto"/>
        </w:rPr>
      </w:pPr>
    </w:p>
    <w:p>
      <w:pPr>
        <w:ind w:left="9820"/>
        <w:spacing w:after="0"/>
        <w:rPr>
          <w:sz w:val="20"/>
          <w:szCs w:val="20"/>
          <w:color w:val="auto"/>
        </w:rPr>
      </w:pPr>
      <w:r>
        <w:rPr>
          <w:rFonts w:ascii="Arial" w:cs="Arial" w:eastAsia="Arial" w:hAnsi="Arial"/>
          <w:sz w:val="14"/>
          <w:szCs w:val="14"/>
          <w:b w:val="1"/>
          <w:bCs w:val="1"/>
          <w:color w:val="auto"/>
        </w:rPr>
        <w:t>Nine months ended Ju</w:t>
      </w:r>
    </w:p>
    <w:p>
      <w:pPr>
        <w:spacing w:after="0" w:line="16"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6173470</wp:posOffset>
            </wp:positionH>
            <wp:positionV relativeFrom="paragraph">
              <wp:posOffset>6350</wp:posOffset>
            </wp:positionV>
            <wp:extent cx="10325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spacing w:after="0" w:line="3" w:lineRule="exact"/>
        <w:rPr>
          <w:sz w:val="20"/>
          <w:szCs w:val="20"/>
          <w:color w:val="auto"/>
        </w:rPr>
      </w:pPr>
    </w:p>
    <w:p>
      <w:pPr>
        <w:ind w:left="10500"/>
        <w:spacing w:after="0"/>
        <w:rPr>
          <w:sz w:val="20"/>
          <w:szCs w:val="20"/>
          <w:color w:val="auto"/>
        </w:rPr>
      </w:pPr>
      <w:r>
        <w:rPr>
          <w:rFonts w:ascii="Arial" w:cs="Arial" w:eastAsia="Arial" w:hAnsi="Arial"/>
          <w:sz w:val="16"/>
          <w:szCs w:val="16"/>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280670</wp:posOffset>
            </wp:positionH>
            <wp:positionV relativeFrom="paragraph">
              <wp:posOffset>26035</wp:posOffset>
            </wp:positionV>
            <wp:extent cx="6925310" cy="159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5310" cy="159385"/>
                    </a:xfrm>
                    <a:prstGeom prst="rect">
                      <a:avLst/>
                    </a:prstGeom>
                    <a:noFill/>
                  </pic:spPr>
                </pic:pic>
              </a:graphicData>
            </a:graphic>
          </wp:anchor>
        </w:drawing>
      </w:r>
    </w:p>
    <w:p>
      <w:pPr>
        <w:spacing w:after="0" w:line="38" w:lineRule="exact"/>
        <w:rPr>
          <w:sz w:val="20"/>
          <w:szCs w:val="20"/>
          <w:color w:val="auto"/>
        </w:rPr>
      </w:pPr>
    </w:p>
    <w:p>
      <w:pPr>
        <w:ind w:left="460"/>
        <w:spacing w:after="0"/>
        <w:tabs>
          <w:tab w:leader="none" w:pos="9720" w:val="left"/>
          <w:tab w:leader="none" w:pos="11220" w:val="left"/>
        </w:tabs>
        <w:rPr>
          <w:sz w:val="20"/>
          <w:szCs w:val="20"/>
          <w:color w:val="auto"/>
        </w:rPr>
      </w:pPr>
      <w:r>
        <w:rPr>
          <w:rFonts w:ascii="Arial" w:cs="Arial" w:eastAsia="Arial" w:hAnsi="Arial"/>
          <w:sz w:val="16"/>
          <w:szCs w:val="16"/>
          <w:color w:val="auto"/>
        </w:rPr>
        <w:t>Purchases from BD</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2</w:t>
      </w:r>
    </w:p>
    <w:p>
      <w:pPr>
        <w:spacing w:after="0" w:line="237" w:lineRule="exact"/>
        <w:rPr>
          <w:sz w:val="20"/>
          <w:szCs w:val="20"/>
          <w:color w:val="auto"/>
        </w:rPr>
      </w:pPr>
    </w:p>
    <w:p>
      <w:pPr>
        <w:jc w:val="both"/>
        <w:ind w:right="100"/>
        <w:spacing w:after="0" w:line="287" w:lineRule="auto"/>
        <w:rPr>
          <w:sz w:val="20"/>
          <w:szCs w:val="20"/>
          <w:color w:val="auto"/>
        </w:rPr>
      </w:pPr>
      <w:r>
        <w:rPr>
          <w:rFonts w:ascii="Arial" w:cs="Arial" w:eastAsia="Arial" w:hAnsi="Arial"/>
          <w:sz w:val="15"/>
          <w:szCs w:val="15"/>
          <w:color w:val="auto"/>
        </w:rPr>
        <w:t>All significant intercompany transactions between the Company and BD prior to the Separation have been included in the Condensed Consolidated Financial Statements and are considered to be effectively settled for cash at the time the transaction is recorded. For the period prior to the Separation, the total net effect of the settlement of these intercompany transactions is reflected in the Condensed Consolidated Statements of Cash Flows as a financing activity and in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Condensed Consolidated Balance Sheets as </w:t>
      </w:r>
      <w:r>
        <w:rPr>
          <w:rFonts w:ascii="Arial" w:cs="Arial" w:eastAsia="Arial" w:hAnsi="Arial"/>
          <w:sz w:val="18"/>
          <w:szCs w:val="18"/>
          <w:i w:val="1"/>
          <w:iCs w:val="1"/>
          <w:color w:val="auto"/>
        </w:rPr>
        <w:t>Net Investment from Becton, Dickinson and Company.</w:t>
      </w:r>
    </w:p>
    <w:p>
      <w:pPr>
        <w:spacing w:after="0" w:line="86"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 xml:space="preserve">Prior to the Separation, net transfers to BD were included within </w:t>
      </w:r>
      <w:r>
        <w:rPr>
          <w:rFonts w:ascii="Arial" w:cs="Arial" w:eastAsia="Arial" w:hAnsi="Arial"/>
          <w:sz w:val="18"/>
          <w:szCs w:val="18"/>
          <w:i w:val="1"/>
          <w:iCs w:val="1"/>
          <w:color w:val="auto"/>
        </w:rPr>
        <w:t>Net Investment from Becton, Dickinson and Company</w:t>
      </w:r>
      <w:r>
        <w:rPr>
          <w:rFonts w:ascii="Arial" w:cs="Arial" w:eastAsia="Arial" w:hAnsi="Arial"/>
          <w:sz w:val="18"/>
          <w:szCs w:val="18"/>
          <w:color w:val="auto"/>
        </w:rPr>
        <w:t>. in the Condensed Consolidated Statements of Equity and represent the net effect of transactions between the Company and BD.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the net transfers to BD for the nine months ended June 30, 2022:</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pooling and general financing activities</w:t>
            </w:r>
            <w:r>
              <w:rPr>
                <w:rFonts w:ascii="Arial" w:cs="Arial" w:eastAsia="Arial" w:hAnsi="Arial"/>
                <w:sz w:val="20"/>
                <w:szCs w:val="20"/>
                <w:color w:val="auto"/>
                <w:vertAlign w:val="superscript"/>
              </w:rPr>
              <w:t>(1)</w:t>
            </w:r>
          </w:p>
        </w:tc>
        <w:tc>
          <w:tcPr>
            <w:tcW w:w="560" w:type="dxa"/>
            <w:vAlign w:val="bottom"/>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r>
      <w:tr>
        <w:trPr>
          <w:trHeight w:val="205"/>
        </w:trPr>
        <w:tc>
          <w:tcPr>
            <w:tcW w:w="9580" w:type="dxa"/>
            <w:vAlign w:val="bottom"/>
          </w:tcPr>
          <w:p>
            <w:pPr>
              <w:ind w:left="20"/>
              <w:spacing w:after="0"/>
              <w:rPr>
                <w:sz w:val="20"/>
                <w:szCs w:val="20"/>
                <w:color w:val="auto"/>
              </w:rPr>
            </w:pPr>
            <w:r>
              <w:rPr>
                <w:rFonts w:ascii="Arial" w:cs="Arial" w:eastAsia="Arial" w:hAnsi="Arial"/>
                <w:sz w:val="16"/>
                <w:szCs w:val="16"/>
                <w:color w:val="auto"/>
              </w:rPr>
              <w:t>Corporate and segment allocations, excluding non-cash stock-based compensation</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(50.4)</w:t>
            </w:r>
          </w:p>
        </w:tc>
      </w:tr>
      <w:tr>
        <w:trPr>
          <w:trHeight w:val="20"/>
        </w:trPr>
        <w:tc>
          <w:tcPr>
            <w:tcW w:w="9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Taxes deemed settled with BD</w:t>
            </w: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w:t>
            </w:r>
          </w:p>
        </w:tc>
      </w:tr>
      <w:tr>
        <w:trPr>
          <w:trHeight w:val="205"/>
        </w:trPr>
        <w:tc>
          <w:tcPr>
            <w:tcW w:w="9580" w:type="dxa"/>
            <w:vAlign w:val="bottom"/>
          </w:tcPr>
          <w:p>
            <w:pPr>
              <w:ind w:left="20"/>
              <w:spacing w:after="0"/>
              <w:rPr>
                <w:sz w:val="20"/>
                <w:szCs w:val="20"/>
                <w:color w:val="auto"/>
              </w:rPr>
            </w:pPr>
            <w:r>
              <w:rPr>
                <w:rFonts w:ascii="Arial" w:cs="Arial" w:eastAsia="Arial" w:hAnsi="Arial"/>
                <w:sz w:val="16"/>
                <w:szCs w:val="16"/>
                <w:color w:val="auto"/>
              </w:rPr>
              <w:t>Other Separation related adjustments, net</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95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transfers to BD as reflected in the Condensed Consolidated Statements of Cash Flows</w:t>
            </w: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182.7</w:t>
            </w:r>
          </w:p>
        </w:tc>
      </w:tr>
      <w:tr>
        <w:trPr>
          <w:trHeight w:val="198"/>
        </w:trPr>
        <w:tc>
          <w:tcPr>
            <w:tcW w:w="95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Stock-based compensation expense</w:t>
            </w:r>
          </w:p>
        </w:tc>
        <w:tc>
          <w:tcPr>
            <w:tcW w:w="5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(8.5)</w:t>
            </w:r>
          </w:p>
        </w:tc>
      </w:tr>
      <w:tr>
        <w:trPr>
          <w:trHeight w:val="33"/>
        </w:trPr>
        <w:tc>
          <w:tcPr>
            <w:tcW w:w="9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18"/>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Pension expense</w:t>
            </w: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05"/>
        </w:trPr>
        <w:tc>
          <w:tcPr>
            <w:tcW w:w="9580" w:type="dxa"/>
            <w:vAlign w:val="bottom"/>
          </w:tcPr>
          <w:p>
            <w:pPr>
              <w:ind w:left="20"/>
              <w:spacing w:after="0"/>
              <w:rPr>
                <w:sz w:val="20"/>
                <w:szCs w:val="20"/>
                <w:color w:val="auto"/>
              </w:rPr>
            </w:pPr>
            <w:r>
              <w:rPr>
                <w:rFonts w:ascii="Arial" w:cs="Arial" w:eastAsia="Arial" w:hAnsi="Arial"/>
                <w:sz w:val="16"/>
                <w:szCs w:val="16"/>
                <w:color w:val="auto"/>
              </w:rPr>
              <w:t>Net consideration paid to BD in connection with the Separation</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1,266.0</w:t>
            </w:r>
          </w:p>
        </w:tc>
      </w:tr>
      <w:tr>
        <w:trPr>
          <w:trHeight w:val="20"/>
        </w:trPr>
        <w:tc>
          <w:tcPr>
            <w:tcW w:w="9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8"/>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Related party senior secured notes</w:t>
            </w:r>
          </w:p>
        </w:tc>
        <w:tc>
          <w:tcPr>
            <w:tcW w:w="5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197.0</w:t>
            </w:r>
          </w:p>
        </w:tc>
      </w:tr>
      <w:tr>
        <w:trPr>
          <w:trHeight w:val="205"/>
        </w:trPr>
        <w:tc>
          <w:tcPr>
            <w:tcW w:w="9580" w:type="dxa"/>
            <w:vAlign w:val="bottom"/>
          </w:tcPr>
          <w:p>
            <w:pPr>
              <w:ind w:left="20"/>
              <w:spacing w:after="0"/>
              <w:rPr>
                <w:sz w:val="20"/>
                <w:szCs w:val="20"/>
                <w:color w:val="auto"/>
              </w:rPr>
            </w:pPr>
            <w:r>
              <w:rPr>
                <w:rFonts w:ascii="Arial" w:cs="Arial" w:eastAsia="Arial" w:hAnsi="Arial"/>
                <w:sz w:val="16"/>
                <w:szCs w:val="16"/>
                <w:color w:val="auto"/>
              </w:rPr>
              <w:t>Other transfers to (from) BD, net</w:t>
            </w:r>
          </w:p>
        </w:tc>
        <w:tc>
          <w:tcPr>
            <w:tcW w:w="5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84.1</w:t>
            </w:r>
          </w:p>
        </w:tc>
      </w:tr>
      <w:tr>
        <w:trPr>
          <w:trHeight w:val="33"/>
        </w:trPr>
        <w:tc>
          <w:tcPr>
            <w:tcW w:w="95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9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transfers to BD</w:t>
            </w:r>
          </w:p>
        </w:tc>
        <w:tc>
          <w:tcPr>
            <w:tcW w:w="560" w:type="dxa"/>
            <w:vAlign w:val="bottom"/>
            <w:tcBorders>
              <w:bottom w:val="single" w:sz="8" w:color="CCEEFF"/>
            </w:tcBorders>
            <w:shd w:val="clear" w:color="auto" w:fill="CCEEFF"/>
          </w:tcPr>
          <w:p>
            <w:pPr>
              <w:jc w:val="right"/>
              <w:ind w:right="40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1,717.7</w:t>
            </w:r>
          </w:p>
        </w:tc>
      </w:tr>
      <w:tr>
        <w:trPr>
          <w:trHeight w:val="20"/>
        </w:trPr>
        <w:tc>
          <w:tcPr>
            <w:tcW w:w="95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320" w:right="100" w:hanging="314"/>
        <w:spacing w:after="0" w:line="217" w:lineRule="auto"/>
        <w:tabs>
          <w:tab w:leader="none" w:pos="320"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The nature of activities includes financing activities for capital transfers, cash sweeps and other treasury services. As part of this activity, cash balances were swept to BD on a daily basis under the BD Treasury function and the Company receives capital from BD for its cash needs.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Collaboration Agreement</w:t>
      </w:r>
    </w:p>
    <w:p>
      <w:pPr>
        <w:spacing w:after="0" w:line="103"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 xml:space="preserve">In March 2023, the Company entered into a collaboration agreement with a third-party to develop and commercialize an interoperable automated glycemic controller ("iAGC") to complement the Company's insulin patch pump currently in development. The Company believes that both parties are active participants in the operating activities of the collaboration and exposed to certain risks and rewards depending on commercial success. The transaction included an upfront payment of $2.5 million for project costs, which was expensed to </w:t>
      </w: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 xml:space="preserve"> during the nine month period ended June 30, 2023. Upon successful commercialization of the iAGC, the Company will be responsible for the sales and marketing effort and would pay a royalty to the third-party based on future product sales to customers. The Company expects that it will be the principal in the end customer sale and 100% of product sales will be included in Revenues and any royalty payments and continued project costs after commercialization will be included in Cost of products sold as they are incurred.</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Other Operating Expenses</w:t>
      </w:r>
    </w:p>
    <w:p>
      <w:pPr>
        <w:spacing w:after="0" w:line="10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 xml:space="preserve">In connection with the Separation, the Company incurred separation and stand-up costs of approximately </w:t>
      </w:r>
      <w:r>
        <w:rPr>
          <w:rFonts w:ascii="Arial" w:cs="Arial" w:eastAsia="Arial" w:hAnsi="Arial"/>
          <w:sz w:val="18"/>
          <w:szCs w:val="18"/>
          <w:color w:val="2B2A29"/>
        </w:rPr>
        <w:t>$25.6 million</w:t>
      </w:r>
      <w:r>
        <w:rPr>
          <w:rFonts w:ascii="Arial" w:cs="Arial" w:eastAsia="Arial" w:hAnsi="Arial"/>
          <w:sz w:val="18"/>
          <w:szCs w:val="18"/>
          <w:color w:val="auto"/>
        </w:rPr>
        <w:t xml:space="preserve"> and $61.1 million during the three and nine months ended June 30, 2023, respectively. There were $7.7 million and $23.5</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227"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million of separation and stand-up costs incurred during the three and nine months ended June 30, 2022, respectively. The costs incurred primarily consist of costs associated with accounting, auditing, legal services, supply chain, employee retention, costs associated with the implementation of the Company's new ERP, and certain other costs to establish certain stand-alone functions to assist with the transition to being a stand-alone entity.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Contingencies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was not a party to any material legal proceedings at June 30, 2023 or September 30, 2022, nor is it a party to any material legal proceedings as of the date of issuance of these Condensed Consolidated Financial Statements.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Revenues</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Company’s policies for recognizing sales have not changed from those described in the 2022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Measurement of Revenues</w:t>
      </w:r>
    </w:p>
    <w:p>
      <w:pPr>
        <w:spacing w:after="0" w:line="97"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w:t>
      </w:r>
    </w:p>
    <w:p>
      <w:pPr>
        <w:spacing w:after="0" w:line="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Company’s liability attributed to variable consideration at June 30, 2023 and September 30, 2022 was $45.7 million and $43.8 million, respectively. Sales deductions recorded as a reduction of gross revenues for the three months ended June 30, 2023 and 2022 were $106.2 million and $84.8 million, respectively. Sales deductions recorded as a reduction of gross revenues for the nine months ended June 30, 2023 and 2022 were $294.0 million and $248.7 million,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Disaggregation of revenue by geographic region is provided within Note 8.</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Assets and Liabilities</w:t>
      </w:r>
    </w:p>
    <w:p>
      <w:pPr>
        <w:spacing w:after="0" w:line="110" w:lineRule="exact"/>
        <w:rPr>
          <w:sz w:val="20"/>
          <w:szCs w:val="20"/>
          <w:color w:val="auto"/>
        </w:rPr>
      </w:pPr>
    </w:p>
    <w:p>
      <w:pPr>
        <w:jc w:val="both"/>
        <w:spacing w:after="0" w:line="346" w:lineRule="auto"/>
        <w:rPr>
          <w:sz w:val="20"/>
          <w:szCs w:val="20"/>
          <w:color w:val="auto"/>
        </w:rPr>
      </w:pPr>
      <w:r>
        <w:rPr>
          <w:rFonts w:ascii="Arial" w:cs="Arial" w:eastAsia="Arial" w:hAnsi="Arial"/>
          <w:sz w:val="15"/>
          <w:szCs w:val="15"/>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Arial" w:cs="Arial" w:eastAsia="Arial" w:hAnsi="Arial"/>
          <w:sz w:val="15"/>
          <w:szCs w:val="15"/>
          <w:i w:val="1"/>
          <w:iCs w:val="1"/>
          <w:color w:val="auto"/>
        </w:rPr>
        <w:t>Prepaid expenses and other</w:t>
      </w:r>
      <w:r>
        <w:rPr>
          <w:rFonts w:ascii="Arial" w:cs="Arial" w:eastAsia="Arial" w:hAnsi="Arial"/>
          <w:sz w:val="15"/>
          <w:szCs w:val="15"/>
          <w:color w:val="auto"/>
        </w:rPr>
        <w:t xml:space="preserve"> in the 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contract asset balance was $1.2 million as of both June 30, 2023 and September 30, 2022.</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Segment and Geographical Data</w:t>
      </w:r>
    </w:p>
    <w:p>
      <w:pPr>
        <w:spacing w:after="0" w:line="1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84"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6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disaggregates its revenue by geography as management believes this category best depicts how the nature, amount, and timing of revenues and cash flows are affected by economic factors.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Revenues by geographic region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740" w:type="dxa"/>
            <w:vAlign w:val="bottom"/>
            <w:gridSpan w:val="4"/>
          </w:tcPr>
          <w:p>
            <w:pPr>
              <w:jc w:val="right"/>
              <w:ind w:right="41"/>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00" w:type="dxa"/>
            <w:vAlign w:val="bottom"/>
            <w:gridSpan w:val="4"/>
          </w:tcPr>
          <w:p>
            <w:pPr>
              <w:jc w:val="right"/>
              <w:ind w:right="601"/>
              <w:spacing w:after="0"/>
              <w:rPr>
                <w:sz w:val="20"/>
                <w:szCs w:val="20"/>
                <w:color w:val="auto"/>
              </w:rPr>
            </w:pPr>
            <w:r>
              <w:rPr>
                <w:rFonts w:ascii="Arial" w:cs="Arial" w:eastAsia="Arial" w:hAnsi="Arial"/>
                <w:sz w:val="16"/>
                <w:szCs w:val="16"/>
                <w:b w:val="1"/>
                <w:bCs w:val="1"/>
                <w:color w:val="auto"/>
              </w:rPr>
              <w:t>Nine months ended June 30,</w:t>
            </w:r>
          </w:p>
        </w:tc>
      </w:tr>
      <w:tr>
        <w:trPr>
          <w:trHeight w:val="33"/>
        </w:trPr>
        <w:tc>
          <w:tcPr>
            <w:tcW w:w="1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1"/>
        </w:trPr>
        <w:tc>
          <w:tcPr>
            <w:tcW w:w="1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2022</w:t>
            </w:r>
          </w:p>
        </w:tc>
      </w:tr>
      <w:tr>
        <w:trPr>
          <w:trHeight w:val="21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180" w:type="dxa"/>
            <w:vAlign w:val="bottom"/>
            <w:tcBorders>
              <w:bottom w:val="single" w:sz="8" w:color="CCEEFF"/>
            </w:tcBorders>
            <w:gridSpan w:val="2"/>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449.6</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r>
      <w:tr>
        <w:trPr>
          <w:trHeight w:val="238"/>
        </w:trPr>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International</w:t>
            </w:r>
            <w:r>
              <w:rPr>
                <w:rFonts w:ascii="Arial" w:cs="Arial" w:eastAsia="Arial" w:hAnsi="Arial"/>
                <w:sz w:val="20"/>
                <w:szCs w:val="20"/>
                <w:color w:val="auto"/>
                <w:vertAlign w:val="superscript"/>
              </w:rPr>
              <w:t>(1)</w:t>
            </w:r>
          </w:p>
        </w:tc>
        <w:tc>
          <w:tcPr>
            <w:tcW w:w="10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132.2</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404.5</w:t>
            </w:r>
          </w:p>
        </w:tc>
      </w:tr>
      <w:tr>
        <w:trPr>
          <w:trHeight w:val="243"/>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286.1</w:t>
            </w:r>
          </w:p>
        </w:tc>
        <w:tc>
          <w:tcPr>
            <w:tcW w:w="1180" w:type="dxa"/>
            <w:vAlign w:val="bottom"/>
            <w:tcBorders>
              <w:bottom w:val="single" w:sz="8" w:color="CCEEFF"/>
            </w:tcBorders>
            <w:gridSpan w:val="2"/>
            <w:shd w:val="clear" w:color="auto" w:fill="CCEEFF"/>
          </w:tcPr>
          <w:p>
            <w:pPr>
              <w:jc w:val="right"/>
              <w:ind w:right="881"/>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838.9</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1240" w:type="dxa"/>
            <w:vAlign w:val="bottom"/>
            <w:tcBorders>
              <w:bottom w:val="single" w:sz="8" w:color="auto"/>
            </w:tcBorders>
          </w:tcPr>
          <w:p>
            <w:pPr>
              <w:spacing w:after="0"/>
              <w:rPr>
                <w:sz w:val="22"/>
                <w:szCs w:val="22"/>
                <w:color w:val="auto"/>
              </w:rPr>
            </w:pPr>
          </w:p>
        </w:tc>
        <w:tc>
          <w:tcPr>
            <w:tcW w:w="33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62" w:lineRule="exact"/>
        <w:rPr>
          <w:sz w:val="20"/>
          <w:szCs w:val="20"/>
          <w:color w:val="auto"/>
        </w:rPr>
      </w:pPr>
    </w:p>
    <w:p>
      <w:pPr>
        <w:ind w:left="320" w:hanging="314"/>
        <w:spacing w:after="0" w:line="217" w:lineRule="auto"/>
        <w:tabs>
          <w:tab w:leader="none" w:pos="32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three and nine months ended June 30, 2023 and 2022, no individual country outside of the United States generated net revenues that represented more than 10.0% of total revenues.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2B2A29"/>
        </w:rPr>
        <w:t>Time Vested Restricted Stock Units ("TVUs")</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2B2A29"/>
        </w:rPr>
        <w:t xml:space="preserve">During the nine </w:t>
      </w:r>
      <w:r>
        <w:rPr>
          <w:rFonts w:ascii="Arial" w:cs="Arial" w:eastAsia="Arial" w:hAnsi="Arial"/>
          <w:sz w:val="18"/>
          <w:szCs w:val="18"/>
          <w:color w:val="000000"/>
        </w:rPr>
        <w:t>months ended June 30, 2023</w:t>
      </w:r>
      <w:r>
        <w:rPr>
          <w:rFonts w:ascii="Arial" w:cs="Arial" w:eastAsia="Arial" w:hAnsi="Arial"/>
          <w:sz w:val="18"/>
          <w:szCs w:val="18"/>
          <w:color w:val="2B2A29"/>
        </w:rPr>
        <w:t>, Embecta granted 634,032 restricted stock units ("RSUs") in the form of TVUs to employees which vest ratably over three years, subject to continued employment of the recipients.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2B2A29"/>
        </w:rPr>
        <w:t>Performance Based Restricted Stock Units ("PSUs")</w:t>
      </w:r>
    </w:p>
    <w:p>
      <w:pPr>
        <w:spacing w:after="0" w:line="8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color w:val="2B2A29"/>
        </w:rPr>
        <w:t xml:space="preserve">During the </w:t>
      </w:r>
      <w:r>
        <w:rPr>
          <w:rFonts w:ascii="Arial" w:cs="Arial" w:eastAsia="Arial" w:hAnsi="Arial"/>
          <w:sz w:val="15"/>
          <w:szCs w:val="15"/>
          <w:color w:val="000000"/>
        </w:rPr>
        <w:t>nine months ended June 30, 2023</w:t>
      </w:r>
      <w:r>
        <w:rPr>
          <w:rFonts w:ascii="Arial" w:cs="Arial" w:eastAsia="Arial" w:hAnsi="Arial"/>
          <w:sz w:val="15"/>
          <w:szCs w:val="15"/>
          <w:color w:val="2B2A29"/>
        </w:rPr>
        <w:t xml:space="preserve">, Embecta awarded 244,192 RSUs in the form of PSUs to certain executive officers and employees which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Stock-based compensation expense for these awards for the three and nine </w:t>
      </w:r>
      <w:r>
        <w:rPr>
          <w:rFonts w:ascii="Arial" w:cs="Arial" w:eastAsia="Arial" w:hAnsi="Arial"/>
          <w:sz w:val="15"/>
          <w:szCs w:val="15"/>
          <w:color w:val="000000"/>
        </w:rPr>
        <w:t>months ended June 30, 2023</w:t>
      </w:r>
      <w:r>
        <w:rPr>
          <w:rFonts w:ascii="Arial" w:cs="Arial" w:eastAsia="Arial" w:hAnsi="Arial"/>
          <w:sz w:val="15"/>
          <w:szCs w:val="15"/>
          <w:color w:val="2B2A29"/>
        </w:rPr>
        <w:t xml:space="preserve"> was $0.3 million and $0.9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Total direct and allocated stock-based compensation expense for the three and nine months ended June 30, 2023 and 2022 and the respective income tax benefits recognized by the Company in the Condensed Consolidated Statements of Income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740" w:type="dxa"/>
            <w:vAlign w:val="bottom"/>
            <w:gridSpan w:val="4"/>
          </w:tcPr>
          <w:p>
            <w:pPr>
              <w:jc w:val="right"/>
              <w:ind w:right="81"/>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4"/>
          </w:tcPr>
          <w:p>
            <w:pPr>
              <w:jc w:val="right"/>
              <w:ind w:right="561"/>
              <w:spacing w:after="0"/>
              <w:rPr>
                <w:sz w:val="20"/>
                <w:szCs w:val="20"/>
                <w:color w:val="auto"/>
              </w:rPr>
            </w:pPr>
            <w:r>
              <w:rPr>
                <w:rFonts w:ascii="Arial" w:cs="Arial" w:eastAsia="Arial" w:hAnsi="Arial"/>
                <w:sz w:val="16"/>
                <w:szCs w:val="16"/>
                <w:b w:val="1"/>
                <w:bCs w:val="1"/>
                <w:color w:val="auto"/>
                <w:w w:val="99"/>
              </w:rPr>
              <w:t>Nine months ended June 30,</w:t>
            </w:r>
          </w:p>
        </w:tc>
      </w:tr>
      <w:tr>
        <w:trPr>
          <w:trHeight w:val="33"/>
        </w:trPr>
        <w:tc>
          <w:tcPr>
            <w:tcW w:w="4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1"/>
        </w:trPr>
        <w:tc>
          <w:tcPr>
            <w:tcW w:w="4780" w:type="dxa"/>
            <w:vAlign w:val="bottom"/>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1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products sold</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0.6</w:t>
            </w:r>
          </w:p>
        </w:tc>
        <w:tc>
          <w:tcPr>
            <w:tcW w:w="1200" w:type="dxa"/>
            <w:vAlign w:val="bottom"/>
            <w:tcBorders>
              <w:bottom w:val="single" w:sz="8" w:color="CCEEFF"/>
            </w:tcBorders>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0.3</w:t>
            </w:r>
          </w:p>
        </w:tc>
        <w:tc>
          <w:tcPr>
            <w:tcW w:w="46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48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5"/>
        </w:trPr>
        <w:tc>
          <w:tcPr>
            <w:tcW w:w="4780" w:type="dxa"/>
            <w:vAlign w:val="bottom"/>
          </w:tcPr>
          <w:p>
            <w:pPr>
              <w:ind w:left="20"/>
              <w:spacing w:after="0"/>
              <w:rPr>
                <w:sz w:val="20"/>
                <w:szCs w:val="20"/>
                <w:color w:val="auto"/>
              </w:rPr>
            </w:pPr>
            <w:r>
              <w:rPr>
                <w:rFonts w:ascii="Arial" w:cs="Arial" w:eastAsia="Arial" w:hAnsi="Arial"/>
                <w:sz w:val="16"/>
                <w:szCs w:val="16"/>
                <w:color w:val="auto"/>
              </w:rPr>
              <w:t>Selling and administrative expense</w:t>
            </w:r>
          </w:p>
        </w:tc>
        <w:tc>
          <w:tcPr>
            <w:tcW w:w="110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33"/>
        </w:trPr>
        <w:tc>
          <w:tcPr>
            <w:tcW w:w="4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w:t>
            </w:r>
          </w:p>
        </w:tc>
        <w:tc>
          <w:tcPr>
            <w:tcW w:w="1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198"/>
        </w:trPr>
        <w:tc>
          <w:tcPr>
            <w:tcW w:w="478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Total Stock-Based Compensation Expense</w:t>
            </w:r>
          </w:p>
        </w:tc>
        <w:tc>
          <w:tcPr>
            <w:tcW w:w="1100" w:type="dxa"/>
            <w:vAlign w:val="bottom"/>
            <w:tcBorders>
              <w:top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5.7</w:t>
            </w:r>
          </w:p>
        </w:tc>
        <w:tc>
          <w:tcPr>
            <w:tcW w:w="10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5.8</w:t>
            </w:r>
          </w:p>
        </w:tc>
        <w:tc>
          <w:tcPr>
            <w:tcW w:w="1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14.3</w:t>
            </w:r>
          </w:p>
        </w:tc>
      </w:tr>
      <w:tr>
        <w:trPr>
          <w:trHeight w:val="33"/>
        </w:trPr>
        <w:tc>
          <w:tcPr>
            <w:tcW w:w="4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2"/>
              </w:rPr>
              <w:t>Tax benefit associated with stock-based compensation costs recognized</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1200" w:type="dxa"/>
            <w:vAlign w:val="bottom"/>
            <w:tcBorders>
              <w:bottom w:val="single" w:sz="8" w:color="CCEEFF"/>
            </w:tcBorders>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1.1</w:t>
            </w:r>
          </w:p>
        </w:tc>
        <w:tc>
          <w:tcPr>
            <w:tcW w:w="46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80" w:type="dxa"/>
            <w:vAlign w:val="bottom"/>
            <w:tcBorders>
              <w:bottom w:val="single" w:sz="8" w:color="CCEEFF"/>
            </w:tcBorders>
            <w:gridSpan w:val="2"/>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total stock-based compensation expense by classification of award:</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80" w:type="dxa"/>
            <w:vAlign w:val="bottom"/>
          </w:tcPr>
          <w:p>
            <w:pPr>
              <w:spacing w:after="0"/>
              <w:rPr>
                <w:sz w:val="17"/>
                <w:szCs w:val="17"/>
                <w:color w:val="auto"/>
              </w:rPr>
            </w:pPr>
          </w:p>
        </w:tc>
        <w:tc>
          <w:tcPr>
            <w:tcW w:w="2740" w:type="dxa"/>
            <w:vAlign w:val="bottom"/>
            <w:gridSpan w:val="4"/>
          </w:tcPr>
          <w:p>
            <w:pPr>
              <w:jc w:val="right"/>
              <w:ind w:right="81"/>
              <w:spacing w:after="0"/>
              <w:rPr>
                <w:sz w:val="20"/>
                <w:szCs w:val="20"/>
                <w:color w:val="auto"/>
              </w:rPr>
            </w:pPr>
            <w:r>
              <w:rPr>
                <w:rFonts w:ascii="Arial" w:cs="Arial" w:eastAsia="Arial" w:hAnsi="Arial"/>
                <w:sz w:val="16"/>
                <w:szCs w:val="16"/>
                <w:b w:val="1"/>
                <w:bCs w:val="1"/>
                <w:color w:val="auto"/>
              </w:rPr>
              <w:t>Three months ended June 30,</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20" w:type="dxa"/>
            <w:vAlign w:val="bottom"/>
            <w:gridSpan w:val="4"/>
          </w:tcPr>
          <w:p>
            <w:pPr>
              <w:jc w:val="right"/>
              <w:ind w:right="561"/>
              <w:spacing w:after="0"/>
              <w:rPr>
                <w:sz w:val="20"/>
                <w:szCs w:val="20"/>
                <w:color w:val="auto"/>
              </w:rPr>
            </w:pPr>
            <w:r>
              <w:rPr>
                <w:rFonts w:ascii="Arial" w:cs="Arial" w:eastAsia="Arial" w:hAnsi="Arial"/>
                <w:sz w:val="16"/>
                <w:szCs w:val="16"/>
                <w:b w:val="1"/>
                <w:bCs w:val="1"/>
                <w:color w:val="auto"/>
                <w:w w:val="99"/>
              </w:rPr>
              <w:t>Nine months ended June 30,</w:t>
            </w:r>
          </w:p>
        </w:tc>
      </w:tr>
      <w:tr>
        <w:trPr>
          <w:trHeight w:val="33"/>
        </w:trPr>
        <w:tc>
          <w:tcPr>
            <w:tcW w:w="47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1"/>
        </w:trPr>
        <w:tc>
          <w:tcPr>
            <w:tcW w:w="4780" w:type="dxa"/>
            <w:vAlign w:val="bottom"/>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2022</w:t>
            </w:r>
          </w:p>
        </w:tc>
      </w:tr>
      <w:tr>
        <w:trPr>
          <w:trHeight w:val="21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 Awards</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5.6</w:t>
            </w:r>
          </w:p>
        </w:tc>
        <w:tc>
          <w:tcPr>
            <w:tcW w:w="1200" w:type="dxa"/>
            <w:vAlign w:val="bottom"/>
            <w:tcBorders>
              <w:bottom w:val="single" w:sz="8" w:color="CCEEFF"/>
            </w:tcBorders>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5"/>
        </w:trPr>
        <w:tc>
          <w:tcPr>
            <w:tcW w:w="4780" w:type="dxa"/>
            <w:vAlign w:val="bottom"/>
          </w:tcPr>
          <w:p>
            <w:pPr>
              <w:ind w:left="20"/>
              <w:spacing w:after="0"/>
              <w:rPr>
                <w:sz w:val="20"/>
                <w:szCs w:val="20"/>
                <w:color w:val="auto"/>
              </w:rPr>
            </w:pPr>
            <w:r>
              <w:rPr>
                <w:rFonts w:ascii="Arial" w:cs="Arial" w:eastAsia="Arial" w:hAnsi="Arial"/>
                <w:sz w:val="16"/>
                <w:szCs w:val="16"/>
                <w:color w:val="auto"/>
              </w:rPr>
              <w:t>Liability Awards</w:t>
            </w:r>
          </w:p>
        </w:tc>
        <w:tc>
          <w:tcPr>
            <w:tcW w:w="110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7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5.7</w:t>
            </w:r>
          </w:p>
        </w:tc>
        <w:tc>
          <w:tcPr>
            <w:tcW w:w="1200" w:type="dxa"/>
            <w:vAlign w:val="bottom"/>
            <w:tcBorders>
              <w:bottom w:val="single" w:sz="8" w:color="CCEEFF"/>
            </w:tcBorders>
            <w:gridSpan w:val="2"/>
            <w:shd w:val="clear" w:color="auto" w:fill="CCEEFF"/>
          </w:tcPr>
          <w:p>
            <w:pPr>
              <w:jc w:val="right"/>
              <w:ind w:right="921"/>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5.8</w:t>
            </w:r>
          </w:p>
        </w:tc>
        <w:tc>
          <w:tcPr>
            <w:tcW w:w="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0"/>
        </w:trPr>
        <w:tc>
          <w:tcPr>
            <w:tcW w:w="47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5"/>
          <w:szCs w:val="15"/>
          <w:color w:val="auto"/>
        </w:rPr>
        <w:t>A summary of stock appreciation rights ("SARs") outstanding as of June 30, 2023 and changes during the nine months ended June 30, 2023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5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5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jc w:val="right"/>
              <w:ind w:right="163"/>
              <w:spacing w:after="0" w:line="159" w:lineRule="exact"/>
              <w:rPr>
                <w:sz w:val="20"/>
                <w:szCs w:val="20"/>
                <w:color w:val="auto"/>
              </w:rPr>
            </w:pPr>
            <w:r>
              <w:rPr>
                <w:rFonts w:ascii="Arial" w:cs="Arial" w:eastAsia="Arial" w:hAnsi="Arial"/>
                <w:sz w:val="14"/>
                <w:szCs w:val="14"/>
                <w:b w:val="1"/>
                <w:bCs w:val="1"/>
                <w:color w:val="auto"/>
                <w:w w:val="93"/>
              </w:rPr>
              <w:t>Weighted Average</w:t>
            </w:r>
          </w:p>
        </w:tc>
        <w:tc>
          <w:tcPr>
            <w:tcW w:w="120" w:type="dxa"/>
            <w:vAlign w:val="bottom"/>
          </w:tcPr>
          <w:p>
            <w:pPr>
              <w:spacing w:after="0"/>
              <w:rPr>
                <w:sz w:val="13"/>
                <w:szCs w:val="13"/>
                <w:color w:val="auto"/>
              </w:rPr>
            </w:pPr>
          </w:p>
        </w:tc>
        <w:tc>
          <w:tcPr>
            <w:tcW w:w="158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2"/>
              </w:rPr>
              <w:t>Remaining Contractual</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580" w:type="dxa"/>
            <w:vAlign w:val="bottom"/>
          </w:tcPr>
          <w:p>
            <w:pPr>
              <w:spacing w:after="0"/>
              <w:rPr>
                <w:sz w:val="15"/>
                <w:szCs w:val="15"/>
                <w:color w:val="auto"/>
              </w:rPr>
            </w:pPr>
          </w:p>
        </w:tc>
        <w:tc>
          <w:tcPr>
            <w:tcW w:w="1580" w:type="dxa"/>
            <w:vAlign w:val="bottom"/>
          </w:tcPr>
          <w:p>
            <w:pPr>
              <w:jc w:val="right"/>
              <w:ind w:right="102"/>
              <w:spacing w:after="0"/>
              <w:rPr>
                <w:sz w:val="20"/>
                <w:szCs w:val="20"/>
                <w:color w:val="auto"/>
              </w:rPr>
            </w:pPr>
            <w:r>
              <w:rPr>
                <w:rFonts w:ascii="Arial" w:cs="Arial" w:eastAsia="Arial" w:hAnsi="Arial"/>
                <w:sz w:val="14"/>
                <w:szCs w:val="14"/>
                <w:b w:val="1"/>
                <w:bCs w:val="1"/>
                <w:color w:val="auto"/>
              </w:rPr>
              <w:t>SARs (in thousands)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jc w:val="right"/>
              <w:ind w:right="283"/>
              <w:spacing w:after="0"/>
              <w:rPr>
                <w:sz w:val="20"/>
                <w:szCs w:val="20"/>
                <w:color w:val="auto"/>
              </w:rPr>
            </w:pPr>
            <w:r>
              <w:rPr>
                <w:rFonts w:ascii="Arial" w:cs="Arial" w:eastAsia="Arial" w:hAnsi="Arial"/>
                <w:sz w:val="14"/>
                <w:szCs w:val="14"/>
                <w:b w:val="1"/>
                <w:bCs w:val="1"/>
                <w:color w:val="auto"/>
              </w:rPr>
              <w:t>Exercise Price</w:t>
            </w:r>
          </w:p>
        </w:tc>
        <w:tc>
          <w:tcPr>
            <w:tcW w:w="12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20" w:type="dxa"/>
            <w:vAlign w:val="bottom"/>
          </w:tcPr>
          <w:p>
            <w:pPr>
              <w:spacing w:after="0"/>
              <w:rPr>
                <w:sz w:val="15"/>
                <w:szCs w:val="15"/>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Aggregate Intrinsic Value</w:t>
            </w:r>
          </w:p>
        </w:tc>
        <w:tc>
          <w:tcPr>
            <w:tcW w:w="0" w:type="dxa"/>
            <w:vAlign w:val="bottom"/>
          </w:tcPr>
          <w:p>
            <w:pPr>
              <w:spacing w:after="0"/>
              <w:rPr>
                <w:sz w:val="1"/>
                <w:szCs w:val="1"/>
                <w:color w:val="auto"/>
              </w:rPr>
            </w:pPr>
          </w:p>
        </w:tc>
      </w:tr>
      <w:tr>
        <w:trPr>
          <w:trHeight w:val="24"/>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October 1</w:t>
            </w: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1,916.7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28.98</w:t>
            </w:r>
          </w:p>
        </w:tc>
        <w:tc>
          <w:tcPr>
            <w:tcW w:w="12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58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8"/>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21.98</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80" w:type="dxa"/>
            <w:vAlign w:val="bottom"/>
          </w:tcPr>
          <w:p>
            <w:pPr>
              <w:ind w:left="20"/>
              <w:spacing w:after="0"/>
              <w:rPr>
                <w:sz w:val="20"/>
                <w:szCs w:val="20"/>
                <w:color w:val="auto"/>
              </w:rPr>
            </w:pPr>
            <w:r>
              <w:rPr>
                <w:rFonts w:ascii="Arial" w:cs="Arial" w:eastAsia="Arial" w:hAnsi="Arial"/>
                <w:sz w:val="16"/>
                <w:szCs w:val="16"/>
                <w:color w:val="auto"/>
              </w:rPr>
              <w:t>Forfeited, canceled or expired</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58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w:t>
            </w: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1,891.7</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Vested and expected to vest at June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80" w:type="dxa"/>
            <w:vAlign w:val="bottom"/>
            <w:vMerge w:val="continue"/>
          </w:tcPr>
          <w:p>
            <w:pPr>
              <w:spacing w:after="0"/>
              <w:rPr>
                <w:sz w:val="15"/>
                <w:szCs w:val="15"/>
                <w:color w:val="auto"/>
              </w:rPr>
            </w:pPr>
          </w:p>
        </w:tc>
        <w:tc>
          <w:tcPr>
            <w:tcW w:w="1580" w:type="dxa"/>
            <w:vAlign w:val="bottom"/>
          </w:tcPr>
          <w:p>
            <w:pPr>
              <w:jc w:val="right"/>
              <w:ind w:right="2"/>
              <w:spacing w:after="0" w:line="178" w:lineRule="exact"/>
              <w:rPr>
                <w:sz w:val="20"/>
                <w:szCs w:val="20"/>
                <w:color w:val="auto"/>
              </w:rPr>
            </w:pPr>
            <w:r>
              <w:rPr>
                <w:rFonts w:ascii="Arial" w:cs="Arial" w:eastAsia="Arial" w:hAnsi="Arial"/>
                <w:sz w:val="16"/>
                <w:szCs w:val="16"/>
                <w:color w:val="auto"/>
              </w:rPr>
              <w:t>1,818.7</w:t>
            </w:r>
          </w:p>
        </w:tc>
        <w:tc>
          <w:tcPr>
            <w:tcW w:w="280" w:type="dxa"/>
            <w:vAlign w:val="bottom"/>
            <w:gridSpan w:val="2"/>
          </w:tcPr>
          <w:p>
            <w:pPr>
              <w:jc w:val="right"/>
              <w:ind w:right="80"/>
              <w:spacing w:after="0" w:line="178" w:lineRule="exact"/>
              <w:rPr>
                <w:sz w:val="20"/>
                <w:szCs w:val="20"/>
                <w:color w:val="auto"/>
              </w:rPr>
            </w:pPr>
            <w:r>
              <w:rPr>
                <w:rFonts w:ascii="Arial" w:cs="Arial" w:eastAsia="Arial" w:hAnsi="Arial"/>
                <w:sz w:val="16"/>
                <w:szCs w:val="16"/>
                <w:color w:val="auto"/>
              </w:rPr>
              <w:t>$</w:t>
            </w:r>
          </w:p>
        </w:tc>
        <w:tc>
          <w:tcPr>
            <w:tcW w:w="1400" w:type="dxa"/>
            <w:vAlign w:val="bottom"/>
          </w:tcPr>
          <w:p>
            <w:pPr>
              <w:jc w:val="right"/>
              <w:spacing w:after="0" w:line="178" w:lineRule="exact"/>
              <w:rPr>
                <w:sz w:val="20"/>
                <w:szCs w:val="20"/>
                <w:color w:val="auto"/>
              </w:rPr>
            </w:pPr>
            <w:r>
              <w:rPr>
                <w:rFonts w:ascii="Arial" w:cs="Arial" w:eastAsia="Arial" w:hAnsi="Arial"/>
                <w:sz w:val="16"/>
                <w:szCs w:val="16"/>
                <w:color w:val="auto"/>
              </w:rPr>
              <w:t>29.05</w:t>
            </w:r>
          </w:p>
        </w:tc>
        <w:tc>
          <w:tcPr>
            <w:tcW w:w="1700" w:type="dxa"/>
            <w:vAlign w:val="bottom"/>
            <w:gridSpan w:val="2"/>
          </w:tcPr>
          <w:p>
            <w:pPr>
              <w:jc w:val="right"/>
              <w:spacing w:after="0" w:line="178" w:lineRule="exact"/>
              <w:rPr>
                <w:sz w:val="20"/>
                <w:szCs w:val="20"/>
                <w:color w:val="auto"/>
              </w:rPr>
            </w:pPr>
            <w:r>
              <w:rPr>
                <w:rFonts w:ascii="Arial" w:cs="Arial" w:eastAsia="Arial" w:hAnsi="Arial"/>
                <w:sz w:val="16"/>
                <w:szCs w:val="16"/>
                <w:color w:val="auto"/>
              </w:rPr>
              <w:t>8.0</w:t>
            </w:r>
          </w:p>
        </w:tc>
        <w:tc>
          <w:tcPr>
            <w:tcW w:w="820" w:type="dxa"/>
            <w:vAlign w:val="bottom"/>
            <w:gridSpan w:val="2"/>
          </w:tcPr>
          <w:p>
            <w:pPr>
              <w:ind w:left="140"/>
              <w:spacing w:after="0" w:line="178"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8"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580" w:type="dxa"/>
            <w:vAlign w:val="bottom"/>
            <w:tcBorders>
              <w:bottom w:val="single" w:sz="8" w:color="CCEEFF"/>
            </w:tcBorders>
            <w:shd w:val="clear" w:color="auto" w:fill="CCEEFF"/>
          </w:tcPr>
          <w:p>
            <w:pPr>
              <w:ind w:left="20"/>
              <w:spacing w:after="0" w:line="181" w:lineRule="exact"/>
              <w:rPr>
                <w:sz w:val="20"/>
                <w:szCs w:val="20"/>
                <w:color w:val="auto"/>
              </w:rPr>
            </w:pPr>
            <w:r>
              <w:rPr>
                <w:rFonts w:ascii="Arial" w:cs="Arial" w:eastAsia="Arial" w:hAnsi="Arial"/>
                <w:sz w:val="16"/>
                <w:szCs w:val="16"/>
                <w:color w:val="auto"/>
              </w:rPr>
              <w:t>Exercisable at June 30</w:t>
            </w: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565.1</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27.67</w:t>
            </w:r>
          </w:p>
        </w:tc>
        <w:tc>
          <w:tcPr>
            <w:tcW w:w="1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amounts exercised include shares withheld for taxes that are not formally issued to the market.</w:t>
      </w: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SARs with an intrinsic value of $0.3 million and grant date fair value of $0.6 million were exercised during the nine months ended June 30, 2023.</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summary of time-vested RSUs and performance-based RSUs outstanding as of June 30, 2023 and changes during the nine months ended June 30, 2023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Weighted Average Grant</w:t>
            </w:r>
          </w:p>
        </w:tc>
        <w:tc>
          <w:tcPr>
            <w:tcW w:w="0" w:type="dxa"/>
            <w:vAlign w:val="bottom"/>
          </w:tcPr>
          <w:p>
            <w:pPr>
              <w:spacing w:after="0"/>
              <w:rPr>
                <w:sz w:val="1"/>
                <w:szCs w:val="1"/>
                <w:color w:val="auto"/>
              </w:rPr>
            </w:pPr>
          </w:p>
        </w:tc>
      </w:tr>
      <w:tr>
        <w:trPr>
          <w:trHeight w:val="184"/>
        </w:trPr>
        <w:tc>
          <w:tcPr>
            <w:tcW w:w="7960" w:type="dxa"/>
            <w:vAlign w:val="bottom"/>
          </w:tcPr>
          <w:p>
            <w:pPr>
              <w:spacing w:after="0"/>
              <w:rPr>
                <w:sz w:val="15"/>
                <w:szCs w:val="15"/>
                <w:color w:val="auto"/>
              </w:rPr>
            </w:pPr>
          </w:p>
        </w:tc>
        <w:tc>
          <w:tcPr>
            <w:tcW w:w="1580" w:type="dxa"/>
            <w:vAlign w:val="bottom"/>
          </w:tcPr>
          <w:p>
            <w:pPr>
              <w:jc w:val="right"/>
              <w:ind w:right="102"/>
              <w:spacing w:after="0"/>
              <w:rPr>
                <w:sz w:val="20"/>
                <w:szCs w:val="20"/>
                <w:color w:val="auto"/>
              </w:rPr>
            </w:pPr>
            <w:r>
              <w:rPr>
                <w:rFonts w:ascii="Arial" w:cs="Arial" w:eastAsia="Arial" w:hAnsi="Arial"/>
                <w:sz w:val="14"/>
                <w:szCs w:val="14"/>
                <w:b w:val="1"/>
                <w:bCs w:val="1"/>
                <w:color w:val="auto"/>
              </w:rPr>
              <w:t>RSUs (in thousands)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42"/>
              <w:spacing w:after="0"/>
              <w:rPr>
                <w:sz w:val="20"/>
                <w:szCs w:val="20"/>
                <w:color w:val="auto"/>
              </w:rPr>
            </w:pPr>
            <w:r>
              <w:rPr>
                <w:rFonts w:ascii="Arial" w:cs="Arial" w:eastAsia="Arial" w:hAnsi="Arial"/>
                <w:sz w:val="14"/>
                <w:szCs w:val="14"/>
                <w:b w:val="1"/>
                <w:bCs w:val="1"/>
                <w:color w:val="auto"/>
              </w:rPr>
              <w:t>Date Fair Value</w:t>
            </w:r>
          </w:p>
        </w:tc>
        <w:tc>
          <w:tcPr>
            <w:tcW w:w="0" w:type="dxa"/>
            <w:vAlign w:val="bottom"/>
          </w:tcPr>
          <w:p>
            <w:pPr>
              <w:spacing w:after="0"/>
              <w:rPr>
                <w:sz w:val="1"/>
                <w:szCs w:val="1"/>
                <w:color w:val="auto"/>
              </w:rPr>
            </w:pPr>
          </w:p>
        </w:tc>
      </w:tr>
      <w:tr>
        <w:trPr>
          <w:trHeight w:val="24"/>
        </w:trPr>
        <w:tc>
          <w:tcPr>
            <w:tcW w:w="796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at October 1</w:t>
            </w: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977.5</w:t>
            </w:r>
          </w:p>
        </w:tc>
        <w:tc>
          <w:tcPr>
            <w:tcW w:w="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28.34</w:t>
            </w:r>
          </w:p>
        </w:tc>
        <w:tc>
          <w:tcPr>
            <w:tcW w:w="0" w:type="dxa"/>
            <w:vAlign w:val="bottom"/>
          </w:tcPr>
          <w:p>
            <w:pPr>
              <w:spacing w:after="0"/>
              <w:rPr>
                <w:sz w:val="1"/>
                <w:szCs w:val="1"/>
                <w:color w:val="auto"/>
              </w:rPr>
            </w:pPr>
          </w:p>
        </w:tc>
      </w:tr>
      <w:tr>
        <w:trPr>
          <w:trHeight w:val="205"/>
        </w:trPr>
        <w:tc>
          <w:tcPr>
            <w:tcW w:w="796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2"/>
              <w:spacing w:after="0"/>
              <w:rPr>
                <w:sz w:val="20"/>
                <w:szCs w:val="20"/>
                <w:color w:val="auto"/>
              </w:rPr>
            </w:pPr>
            <w:r>
              <w:rPr>
                <w:rFonts w:ascii="Arial" w:cs="Arial" w:eastAsia="Arial" w:hAnsi="Arial"/>
                <w:sz w:val="16"/>
                <w:szCs w:val="16"/>
                <w:color w:val="auto"/>
              </w:rPr>
              <w:t>695.1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32.38</w:t>
            </w:r>
          </w:p>
        </w:tc>
        <w:tc>
          <w:tcPr>
            <w:tcW w:w="0" w:type="dxa"/>
            <w:vAlign w:val="bottom"/>
          </w:tcPr>
          <w:p>
            <w:pPr>
              <w:spacing w:after="0"/>
              <w:rPr>
                <w:sz w:val="1"/>
                <w:szCs w:val="1"/>
                <w:color w:val="auto"/>
              </w:rPr>
            </w:pPr>
          </w:p>
        </w:tc>
      </w:tr>
      <w:tr>
        <w:trPr>
          <w:trHeight w:val="33"/>
        </w:trPr>
        <w:tc>
          <w:tcPr>
            <w:tcW w:w="79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Distributed*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(333.4)</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205"/>
        </w:trPr>
        <w:tc>
          <w:tcPr>
            <w:tcW w:w="7960" w:type="dxa"/>
            <w:vAlign w:val="bottom"/>
          </w:tcPr>
          <w:p>
            <w:pPr>
              <w:ind w:left="20"/>
              <w:spacing w:after="0"/>
              <w:rPr>
                <w:sz w:val="20"/>
                <w:szCs w:val="20"/>
                <w:color w:val="auto"/>
              </w:rPr>
            </w:pPr>
            <w:r>
              <w:rPr>
                <w:rFonts w:ascii="Arial" w:cs="Arial" w:eastAsia="Arial" w:hAnsi="Arial"/>
                <w:sz w:val="16"/>
                <w:szCs w:val="16"/>
                <w:color w:val="auto"/>
              </w:rPr>
              <w:t>Forfeited, canceled or expired</w:t>
            </w:r>
          </w:p>
        </w:tc>
        <w:tc>
          <w:tcPr>
            <w:tcW w:w="1580" w:type="dxa"/>
            <w:vAlign w:val="bottom"/>
          </w:tcPr>
          <w:p>
            <w:pPr>
              <w:jc w:val="right"/>
              <w:spacing w:after="0"/>
              <w:rPr>
                <w:sz w:val="20"/>
                <w:szCs w:val="20"/>
                <w:color w:val="auto"/>
              </w:rPr>
            </w:pPr>
            <w:r>
              <w:rPr>
                <w:rFonts w:ascii="Arial" w:cs="Arial" w:eastAsia="Arial" w:hAnsi="Arial"/>
                <w:sz w:val="16"/>
                <w:szCs w:val="16"/>
                <w:color w:val="auto"/>
              </w:rPr>
              <w:t>(46.3)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33"/>
        </w:trPr>
        <w:tc>
          <w:tcPr>
            <w:tcW w:w="796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at June 30</w:t>
            </w:r>
          </w:p>
        </w:tc>
        <w:tc>
          <w:tcPr>
            <w:tcW w:w="15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1,292.9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30.54</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Expected to vest at June 30</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960" w:type="dxa"/>
            <w:vAlign w:val="bottom"/>
            <w:vMerge w:val="continue"/>
          </w:tcPr>
          <w:p>
            <w:pPr>
              <w:spacing w:after="0"/>
              <w:rPr>
                <w:sz w:val="15"/>
                <w:szCs w:val="15"/>
                <w:color w:val="auto"/>
              </w:rPr>
            </w:pPr>
          </w:p>
        </w:tc>
        <w:tc>
          <w:tcPr>
            <w:tcW w:w="1580" w:type="dxa"/>
            <w:vAlign w:val="bottom"/>
          </w:tcPr>
          <w:p>
            <w:pPr>
              <w:jc w:val="right"/>
              <w:ind w:right="2"/>
              <w:spacing w:after="0" w:line="178" w:lineRule="exact"/>
              <w:rPr>
                <w:sz w:val="20"/>
                <w:szCs w:val="20"/>
                <w:color w:val="auto"/>
              </w:rPr>
            </w:pPr>
            <w:r>
              <w:rPr>
                <w:rFonts w:ascii="Arial" w:cs="Arial" w:eastAsia="Arial" w:hAnsi="Arial"/>
                <w:sz w:val="16"/>
                <w:szCs w:val="16"/>
                <w:color w:val="auto"/>
              </w:rPr>
              <w:t>1,226.4</w:t>
            </w:r>
          </w:p>
        </w:tc>
        <w:tc>
          <w:tcPr>
            <w:tcW w:w="320" w:type="dxa"/>
            <w:vAlign w:val="bottom"/>
            <w:gridSpan w:val="2"/>
          </w:tcPr>
          <w:p>
            <w:pPr>
              <w:jc w:val="right"/>
              <w:ind w:right="50"/>
              <w:spacing w:after="0" w:line="178" w:lineRule="exact"/>
              <w:rPr>
                <w:sz w:val="20"/>
                <w:szCs w:val="20"/>
                <w:color w:val="auto"/>
              </w:rPr>
            </w:pPr>
            <w:r>
              <w:rPr>
                <w:rFonts w:ascii="Arial" w:cs="Arial" w:eastAsia="Arial" w:hAnsi="Arial"/>
                <w:sz w:val="16"/>
                <w:szCs w:val="16"/>
                <w:color w:val="auto"/>
              </w:rPr>
              <w:t>$</w:t>
            </w:r>
          </w:p>
        </w:tc>
        <w:tc>
          <w:tcPr>
            <w:tcW w:w="1380" w:type="dxa"/>
            <w:vAlign w:val="bottom"/>
          </w:tcPr>
          <w:p>
            <w:pPr>
              <w:jc w:val="right"/>
              <w:spacing w:after="0" w:line="178" w:lineRule="exact"/>
              <w:rPr>
                <w:sz w:val="20"/>
                <w:szCs w:val="20"/>
                <w:color w:val="auto"/>
              </w:rPr>
            </w:pPr>
            <w:r>
              <w:rPr>
                <w:rFonts w:ascii="Arial" w:cs="Arial" w:eastAsia="Arial" w:hAnsi="Arial"/>
                <w:sz w:val="16"/>
                <w:szCs w:val="16"/>
                <w:color w:val="auto"/>
              </w:rPr>
              <w:t>30.53</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RSUs distributed include shares withheld for taxes that are not formally issued to the market.</w:t>
      </w:r>
    </w:p>
    <w:p>
      <w:pPr>
        <w:spacing w:after="0" w:line="22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weighted average grant date fair value of time-vested RSUs granted during the nine months ended June 30, 2023 is $32.38 and the total fair value of time-vested RSUs vested during the nine months ended June 30, 2023 is $9.4 million.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2023, the weighted average remaining vesting term of time-vested RSUs is 2.0 years.</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amount of unrecognized compensation expense for all non-vested stock-based awards granted as of June 30, 2023, is approximately $37.7 million, which is expected to be recognized over a weighted-average remaining life of approximately 2.0 years. At June 30, 2023, 3.5 million shares were authorized for future grants under the 2022 Employee and Director Equity Based Compensation Plan.</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Goodwill and Other 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Intangible Assets consisted of:</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300" w:type="dxa"/>
            <w:vAlign w:val="bottom"/>
          </w:tcPr>
          <w:p>
            <w:pPr>
              <w:spacing w:after="0"/>
              <w:rPr>
                <w:sz w:val="17"/>
                <w:szCs w:val="17"/>
                <w:color w:val="auto"/>
              </w:rPr>
            </w:pPr>
          </w:p>
        </w:tc>
        <w:tc>
          <w:tcPr>
            <w:tcW w:w="1500" w:type="dxa"/>
            <w:vAlign w:val="bottom"/>
          </w:tcPr>
          <w:p>
            <w:pPr>
              <w:jc w:val="right"/>
              <w:ind w:right="1"/>
              <w:spacing w:after="0"/>
              <w:rPr>
                <w:sz w:val="20"/>
                <w:szCs w:val="20"/>
                <w:color w:val="auto"/>
              </w:rPr>
            </w:pPr>
            <w:r>
              <w:rPr>
                <w:rFonts w:ascii="Arial" w:cs="Arial" w:eastAsia="Arial" w:hAnsi="Arial"/>
                <w:sz w:val="16"/>
                <w:szCs w:val="16"/>
                <w:b w:val="1"/>
                <w:bCs w:val="1"/>
                <w:color w:val="auto"/>
              </w:rPr>
              <w:t>June 30, 2023</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ind w:right="221"/>
              <w:spacing w:after="0"/>
              <w:rPr>
                <w:sz w:val="20"/>
                <w:szCs w:val="20"/>
                <w:color w:val="auto"/>
              </w:rPr>
            </w:pPr>
            <w:r>
              <w:rPr>
                <w:rFonts w:ascii="Arial" w:cs="Arial" w:eastAsia="Arial" w:hAnsi="Arial"/>
                <w:sz w:val="16"/>
                <w:szCs w:val="16"/>
                <w:b w:val="1"/>
                <w:bCs w:val="1"/>
                <w:color w:val="auto"/>
                <w:w w:val="93"/>
              </w:rPr>
              <w:t>September 30, 2022</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20"/>
              <w:spacing w:after="0"/>
              <w:rPr>
                <w:sz w:val="20"/>
                <w:szCs w:val="20"/>
                <w:color w:val="auto"/>
              </w:rPr>
            </w:pPr>
            <w:r>
              <w:rPr>
                <w:rFonts w:ascii="Arial" w:cs="Arial" w:eastAsia="Arial" w:hAnsi="Arial"/>
                <w:sz w:val="16"/>
                <w:szCs w:val="16"/>
                <w:color w:val="auto"/>
              </w:rPr>
              <w:t>Amortized intangible assets</w:t>
            </w: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30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Patents – gross</w:t>
            </w:r>
          </w:p>
        </w:tc>
        <w:tc>
          <w:tcPr>
            <w:tcW w:w="150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3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5"/>
        </w:trPr>
        <w:tc>
          <w:tcPr>
            <w:tcW w:w="7300" w:type="dxa"/>
            <w:vAlign w:val="bottom"/>
          </w:tcPr>
          <w:p>
            <w:pPr>
              <w:ind w:left="240"/>
              <w:spacing w:after="0"/>
              <w:rPr>
                <w:sz w:val="20"/>
                <w:szCs w:val="20"/>
                <w:color w:val="auto"/>
              </w:rPr>
            </w:pPr>
            <w:r>
              <w:rPr>
                <w:rFonts w:ascii="Arial" w:cs="Arial" w:eastAsia="Arial" w:hAnsi="Arial"/>
                <w:sz w:val="16"/>
                <w:szCs w:val="16"/>
                <w:color w:val="auto"/>
              </w:rPr>
              <w:t>Less: accumulated amortization</w:t>
            </w:r>
          </w:p>
        </w:tc>
        <w:tc>
          <w:tcPr>
            <w:tcW w:w="15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Patents – net</w:t>
            </w:r>
          </w:p>
        </w:tc>
        <w:tc>
          <w:tcPr>
            <w:tcW w:w="150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3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8"/>
        </w:trPr>
        <w:tc>
          <w:tcPr>
            <w:tcW w:w="7300" w:type="dxa"/>
            <w:vAlign w:val="bottom"/>
          </w:tcPr>
          <w:p>
            <w:pPr>
              <w:ind w:left="240"/>
              <w:spacing w:after="0"/>
              <w:rPr>
                <w:sz w:val="20"/>
                <w:szCs w:val="20"/>
                <w:color w:val="auto"/>
              </w:rPr>
            </w:pPr>
            <w:r>
              <w:rPr>
                <w:rFonts w:ascii="Arial" w:cs="Arial" w:eastAsia="Arial" w:hAnsi="Arial"/>
                <w:sz w:val="16"/>
                <w:szCs w:val="16"/>
                <w:color w:val="auto"/>
              </w:rPr>
              <w:t>Customer Relationships and Other – gross</w:t>
            </w:r>
          </w:p>
        </w:tc>
        <w:tc>
          <w:tcPr>
            <w:tcW w:w="1500" w:type="dxa"/>
            <w:vAlign w:val="bottom"/>
            <w:tcBorders>
              <w:top w:val="single" w:sz="8" w:color="auto"/>
            </w:tcBorders>
          </w:tcPr>
          <w:p>
            <w:pPr>
              <w:jc w:val="right"/>
              <w:ind w:right="132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7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Less: accumulated amortization</w:t>
            </w:r>
          </w:p>
        </w:tc>
        <w:tc>
          <w:tcPr>
            <w:tcW w:w="15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8"/>
        </w:trPr>
        <w:tc>
          <w:tcPr>
            <w:tcW w:w="7300" w:type="dxa"/>
            <w:vAlign w:val="bottom"/>
          </w:tcPr>
          <w:p>
            <w:pPr>
              <w:ind w:left="120"/>
              <w:spacing w:after="0"/>
              <w:rPr>
                <w:sz w:val="20"/>
                <w:szCs w:val="20"/>
                <w:color w:val="auto"/>
              </w:rPr>
            </w:pPr>
            <w:r>
              <w:rPr>
                <w:rFonts w:ascii="Arial" w:cs="Arial" w:eastAsia="Arial" w:hAnsi="Arial"/>
                <w:sz w:val="16"/>
                <w:szCs w:val="16"/>
                <w:color w:val="auto"/>
              </w:rPr>
              <w:t>Customer Relationships and Other – net</w:t>
            </w:r>
          </w:p>
        </w:tc>
        <w:tc>
          <w:tcPr>
            <w:tcW w:w="1500" w:type="dxa"/>
            <w:vAlign w:val="bottom"/>
            <w:tcBorders>
              <w:top w:val="single" w:sz="8" w:color="auto"/>
            </w:tcBorders>
          </w:tcPr>
          <w:p>
            <w:pPr>
              <w:jc w:val="right"/>
              <w:ind w:right="1321"/>
              <w:spacing w:after="0"/>
              <w:rPr>
                <w:sz w:val="20"/>
                <w:szCs w:val="20"/>
                <w:color w:val="auto"/>
              </w:rPr>
            </w:pPr>
            <w:r>
              <w:rPr>
                <w:rFonts w:ascii="Arial" w:cs="Arial" w:eastAsia="Arial" w:hAnsi="Arial"/>
                <w:sz w:val="16"/>
                <w:szCs w:val="16"/>
                <w:color w:val="auto"/>
                <w:w w:val="8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amortized intangible assets</w:t>
            </w:r>
          </w:p>
        </w:tc>
        <w:tc>
          <w:tcPr>
            <w:tcW w:w="150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3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8"/>
        </w:trPr>
        <w:tc>
          <w:tcPr>
            <w:tcW w:w="73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Goodwill</w:t>
            </w:r>
          </w:p>
        </w:tc>
        <w:tc>
          <w:tcPr>
            <w:tcW w:w="15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6"/>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Goodwill and Other Intangible Assets</w:t>
            </w:r>
          </w:p>
        </w:tc>
        <w:tc>
          <w:tcPr>
            <w:tcW w:w="1500" w:type="dxa"/>
            <w:vAlign w:val="bottom"/>
            <w:tcBorders>
              <w:bottom w:val="single" w:sz="8" w:color="CCEEFF"/>
            </w:tcBorders>
            <w:shd w:val="clear" w:color="auto" w:fill="CCEEFF"/>
          </w:tcPr>
          <w:p>
            <w:pPr>
              <w:jc w:val="right"/>
              <w:ind w:right="1321"/>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320" w:type="dxa"/>
            <w:vAlign w:val="bottom"/>
            <w:tcBorders>
              <w:bottom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Long-Term Debt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On March 31, 2022, Embecta entered into a credit agreement (the “Credit Agreement”), providing for:</w:t>
      </w:r>
    </w:p>
    <w:p>
      <w:pPr>
        <w:spacing w:after="0" w:line="97" w:lineRule="exact"/>
        <w:rPr>
          <w:sz w:val="20"/>
          <w:szCs w:val="20"/>
          <w:color w:val="auto"/>
        </w:rPr>
      </w:pPr>
    </w:p>
    <w:p>
      <w:pPr>
        <w:jc w:val="both"/>
        <w:ind w:left="880" w:hanging="557"/>
        <w:spacing w:after="0" w:line="260" w:lineRule="auto"/>
        <w:tabs>
          <w:tab w:leader="none" w:pos="880" w:val="left"/>
        </w:tabs>
        <w:numPr>
          <w:ilvl w:val="0"/>
          <w:numId w:val="6"/>
        </w:numPr>
        <w:rPr>
          <w:rFonts w:ascii="Arial" w:cs="Arial" w:eastAsia="Arial" w:hAnsi="Arial"/>
          <w:sz w:val="17"/>
          <w:szCs w:val="17"/>
          <w:color w:val="2B2A29"/>
        </w:rPr>
      </w:pPr>
      <w:r>
        <w:rPr>
          <w:rFonts w:ascii="Arial" w:cs="Arial" w:eastAsia="Arial" w:hAnsi="Arial"/>
          <w:sz w:val="17"/>
          <w:szCs w:val="17"/>
          <w:color w:val="auto"/>
        </w:rPr>
        <w:t xml:space="preserve">a Term Loan B Facility (the "Term Loan") in the amount of $950.0 million, with a </w:t>
      </w:r>
      <w:r>
        <w:rPr>
          <w:rFonts w:ascii="Arial" w:cs="Arial" w:eastAsia="Arial" w:hAnsi="Arial"/>
          <w:sz w:val="17"/>
          <w:szCs w:val="17"/>
          <w:color w:val="2B2A29"/>
        </w:rPr>
        <w:t>seven</w:t>
      </w:r>
      <w:r>
        <w:rPr>
          <w:rFonts w:ascii="Arial" w:cs="Arial" w:eastAsia="Arial" w:hAnsi="Arial"/>
          <w:sz w:val="17"/>
          <w:szCs w:val="17"/>
          <w:color w:val="auto"/>
        </w:rPr>
        <w:t xml:space="preserve">-year </w:t>
      </w:r>
      <w:r>
        <w:rPr>
          <w:rFonts w:ascii="Arial" w:cs="Arial" w:eastAsia="Arial" w:hAnsi="Arial"/>
          <w:sz w:val="17"/>
          <w:szCs w:val="17"/>
          <w:color w:val="2B2A29"/>
        </w:rPr>
        <w:t>term that matures in March 2029. The interest rate is</w:t>
      </w:r>
      <w:r>
        <w:rPr>
          <w:rFonts w:ascii="Arial" w:cs="Arial" w:eastAsia="Arial" w:hAnsi="Arial"/>
          <w:sz w:val="17"/>
          <w:szCs w:val="17"/>
          <w:color w:val="auto"/>
        </w:rPr>
        <w:t xml:space="preserve"> </w:t>
      </w:r>
      <w:r>
        <w:rPr>
          <w:rFonts w:ascii="Arial" w:cs="Arial" w:eastAsia="Arial" w:hAnsi="Arial"/>
          <w:sz w:val="17"/>
          <w:szCs w:val="17"/>
          <w:color w:val="2B2A29"/>
        </w:rPr>
        <w:t xml:space="preserve">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Arial" w:cs="Arial" w:eastAsia="Arial" w:hAnsi="Arial"/>
          <w:sz w:val="17"/>
          <w:szCs w:val="17"/>
          <w:color w:val="000000"/>
        </w:rPr>
        <w:t>and</w:t>
      </w:r>
    </w:p>
    <w:p>
      <w:pPr>
        <w:spacing w:after="0" w:line="78" w:lineRule="exact"/>
        <w:rPr>
          <w:rFonts w:ascii="Arial" w:cs="Arial" w:eastAsia="Arial" w:hAnsi="Arial"/>
          <w:sz w:val="17"/>
          <w:szCs w:val="17"/>
          <w:color w:val="2B2A29"/>
        </w:rPr>
      </w:pPr>
    </w:p>
    <w:p>
      <w:pPr>
        <w:jc w:val="both"/>
        <w:ind w:left="880" w:hanging="557"/>
        <w:spacing w:after="0" w:line="298" w:lineRule="auto"/>
        <w:tabs>
          <w:tab w:leader="none" w:pos="880" w:val="left"/>
        </w:tabs>
        <w:numPr>
          <w:ilvl w:val="0"/>
          <w:numId w:val="6"/>
        </w:numPr>
        <w:rPr>
          <w:rFonts w:ascii="Arial" w:cs="Arial" w:eastAsia="Arial" w:hAnsi="Arial"/>
          <w:sz w:val="15"/>
          <w:szCs w:val="15"/>
          <w:color w:val="2B2A29"/>
        </w:rPr>
      </w:pPr>
      <w:r>
        <w:rPr>
          <w:rFonts w:ascii="Arial" w:cs="Arial" w:eastAsia="Arial" w:hAnsi="Arial"/>
          <w:sz w:val="15"/>
          <w:szCs w:val="15"/>
          <w:color w:val="auto"/>
        </w:rPr>
        <w:t xml:space="preserve">a Revolving Credit Facility (the "Revolving Credit Facility") in an aggregate principal amount of up to $500.0 million, with a </w:t>
      </w:r>
      <w:r>
        <w:rPr>
          <w:rFonts w:ascii="Arial" w:cs="Arial" w:eastAsia="Arial" w:hAnsi="Arial"/>
          <w:sz w:val="15"/>
          <w:szCs w:val="15"/>
          <w:color w:val="2B2A29"/>
        </w:rPr>
        <w:t>five</w:t>
      </w:r>
      <w:r>
        <w:rPr>
          <w:rFonts w:ascii="Arial" w:cs="Arial" w:eastAsia="Arial" w:hAnsi="Arial"/>
          <w:sz w:val="15"/>
          <w:szCs w:val="15"/>
          <w:color w:val="auto"/>
        </w:rPr>
        <w:t xml:space="preserve">-year term that matures in 2027. </w:t>
      </w:r>
      <w:r>
        <w:rPr>
          <w:rFonts w:ascii="Arial" w:cs="Arial" w:eastAsia="Arial" w:hAnsi="Arial"/>
          <w:sz w:val="15"/>
          <w:szCs w:val="15"/>
          <w:color w:val="2B2A29"/>
        </w:rPr>
        <w:t>Borrowings under the Revolving Credit Facility bear interest, at Embecta’s option, at an annual rate equal to (a) in the case of</w:t>
      </w:r>
      <w:r>
        <w:rPr>
          <w:rFonts w:ascii="Arial" w:cs="Arial" w:eastAsia="Arial" w:hAnsi="Arial"/>
          <w:sz w:val="15"/>
          <w:szCs w:val="15"/>
          <w:color w:val="auto"/>
        </w:rPr>
        <w:t xml:space="preserve"> </w:t>
      </w:r>
      <w:r>
        <w:rPr>
          <w:rFonts w:ascii="Arial" w:cs="Arial" w:eastAsia="Arial" w:hAnsi="Arial"/>
          <w:sz w:val="15"/>
          <w:szCs w:val="15"/>
          <w:color w:val="2B2A29"/>
        </w:rPr>
        <w:t xml:space="preserve">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Arial" w:cs="Arial" w:eastAsia="Arial" w:hAnsi="Arial"/>
          <w:sz w:val="15"/>
          <w:szCs w:val="15"/>
          <w:color w:val="000000"/>
        </w:rPr>
        <w:t>As of June 30, 2023, no amount has been drawn on the Revolving Credit Facility.</w:t>
      </w:r>
    </w:p>
    <w:p>
      <w:pPr>
        <w:spacing w:after="0" w:line="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The Credit Agreement and the indentures for Embecta's outstanding 5.00% senior secured notes due February 2030 (the "5.00% Notes") and </w:t>
      </w:r>
      <w:r>
        <w:rPr>
          <w:rFonts w:ascii="Arial" w:cs="Arial" w:eastAsia="Arial" w:hAnsi="Arial"/>
          <w:sz w:val="17"/>
          <w:szCs w:val="17"/>
          <w:color w:val="2B2A29"/>
        </w:rPr>
        <w:t>6.75%</w:t>
      </w:r>
      <w:r>
        <w:rPr>
          <w:rFonts w:ascii="Arial" w:cs="Arial" w:eastAsia="Arial" w:hAnsi="Arial"/>
          <w:sz w:val="17"/>
          <w:szCs w:val="17"/>
          <w:color w:val="auto"/>
        </w:rPr>
        <w:t xml:space="preserve"> senior secured notes due February 2030 (the "</w:t>
      </w:r>
      <w:r>
        <w:rPr>
          <w:rFonts w:ascii="Arial" w:cs="Arial" w:eastAsia="Arial" w:hAnsi="Arial"/>
          <w:sz w:val="17"/>
          <w:szCs w:val="17"/>
          <w:color w:val="2B2A29"/>
        </w:rPr>
        <w:t>6.75%</w:t>
      </w:r>
      <w:r>
        <w:rPr>
          <w:rFonts w:ascii="Arial" w:cs="Arial" w:eastAsia="Arial" w:hAnsi="Arial"/>
          <w:sz w:val="17"/>
          <w:szCs w:val="17"/>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Arial" w:cs="Arial" w:eastAsia="Arial" w:hAnsi="Arial"/>
          <w:sz w:val="17"/>
          <w:szCs w:val="17"/>
          <w:color w:val="2B2A29"/>
        </w:rPr>
        <w:t>6.75%</w:t>
      </w:r>
      <w:r>
        <w:rPr>
          <w:rFonts w:ascii="Arial" w:cs="Arial" w:eastAsia="Arial" w:hAnsi="Arial"/>
          <w:sz w:val="17"/>
          <w:szCs w:val="17"/>
          <w:color w:val="auto"/>
        </w:rPr>
        <w:t xml:space="preserve">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w:t>
      </w:r>
    </w:p>
    <w:p>
      <w:pPr>
        <w:sectPr>
          <w:pgSz w:w="11900" w:h="16838" w:orient="portrait"/>
          <w:cols w:equalWidth="0" w:num="1">
            <w:col w:w="11240"/>
          </w:cols>
          <w:pgMar w:left="320" w:top="227" w:right="33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is a summary of Embecta's total debt outstanding as of June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116840</wp:posOffset>
            </wp:positionV>
            <wp:extent cx="7134860" cy="142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Term Loan due March 2029</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6"/>
          <w:szCs w:val="16"/>
          <w:color w:val="auto"/>
        </w:rPr>
        <w:t>5.00% Notes due February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4860" cy="2349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23495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8"/>
          <w:szCs w:val="18"/>
          <w:color w:val="2B2A29"/>
        </w:rPr>
        <w:t xml:space="preserve">6.75% </w:t>
      </w:r>
      <w:r>
        <w:rPr>
          <w:rFonts w:ascii="Arial" w:cs="Arial" w:eastAsia="Arial" w:hAnsi="Arial"/>
          <w:sz w:val="15"/>
          <w:szCs w:val="15"/>
          <w:color w:val="000000"/>
        </w:rPr>
        <w:t>Notes due February 2030</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principal debt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4860" cy="151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current debt obligations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debt issuance costs and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4860" cy="167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6764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1100" w:hanging="1100"/>
        <w:spacing w:after="0"/>
        <w:tabs>
          <w:tab w:leader="none" w:pos="1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938.1</w:t>
      </w:r>
    </w:p>
    <w:p>
      <w:pPr>
        <w:spacing w:after="0" w:line="63" w:lineRule="exact"/>
        <w:rPr>
          <w:rFonts w:ascii="Arial" w:cs="Arial" w:eastAsia="Arial" w:hAnsi="Arial"/>
          <w:sz w:val="14"/>
          <w:szCs w:val="14"/>
          <w:color w:val="auto"/>
        </w:rPr>
      </w:pPr>
    </w:p>
    <w:p>
      <w:pPr>
        <w:ind w:left="1100"/>
        <w:spacing w:after="0"/>
        <w:rPr>
          <w:rFonts w:ascii="Arial" w:cs="Arial" w:eastAsia="Arial" w:hAnsi="Arial"/>
          <w:sz w:val="14"/>
          <w:szCs w:val="14"/>
          <w:color w:val="auto"/>
        </w:rPr>
      </w:pPr>
      <w:r>
        <w:rPr>
          <w:rFonts w:ascii="Arial" w:cs="Arial" w:eastAsia="Arial" w:hAnsi="Arial"/>
          <w:sz w:val="14"/>
          <w:szCs w:val="14"/>
          <w:color w:val="auto"/>
        </w:rPr>
        <w:t>500.0</w:t>
      </w:r>
    </w:p>
    <w:p>
      <w:pPr>
        <w:spacing w:after="0" w:line="209" w:lineRule="exact"/>
        <w:rPr>
          <w:sz w:val="20"/>
          <w:szCs w:val="20"/>
          <w:color w:val="auto"/>
        </w:rPr>
      </w:pPr>
    </w:p>
    <w:p>
      <w:pPr>
        <w:ind w:left="1100" w:hanging="1100"/>
        <w:spacing w:after="0"/>
        <w:tabs>
          <w:tab w:leader="none" w:pos="1100" w:val="left"/>
        </w:tabs>
        <w:numPr>
          <w:ilvl w:val="0"/>
          <w:numId w:val="8"/>
        </w:numPr>
        <w:rPr>
          <w:rFonts w:ascii="Arial" w:cs="Arial" w:eastAsia="Arial" w:hAnsi="Arial"/>
          <w:sz w:val="14"/>
          <w:szCs w:val="14"/>
          <w:color w:val="auto"/>
        </w:rPr>
      </w:pPr>
      <w:r>
        <w:rPr>
          <w:rFonts w:ascii="Arial" w:cs="Arial" w:eastAsia="Arial" w:hAnsi="Arial"/>
          <w:sz w:val="14"/>
          <w:szCs w:val="14"/>
          <w:color w:val="auto"/>
        </w:rPr>
        <w:t>200.0</w:t>
      </w:r>
    </w:p>
    <w:p>
      <w:pPr>
        <w:spacing w:after="0" w:line="77" w:lineRule="exact"/>
        <w:rPr>
          <w:sz w:val="20"/>
          <w:szCs w:val="20"/>
          <w:color w:val="auto"/>
        </w:rPr>
      </w:pPr>
    </w:p>
    <w:p>
      <w:pPr>
        <w:ind w:left="980" w:hanging="980"/>
        <w:spacing w:after="0"/>
        <w:tabs>
          <w:tab w:leader="none" w:pos="980" w:val="left"/>
        </w:tabs>
        <w:numPr>
          <w:ilvl w:val="0"/>
          <w:numId w:val="9"/>
        </w:numPr>
        <w:rPr>
          <w:rFonts w:ascii="Arial" w:cs="Arial" w:eastAsia="Arial" w:hAnsi="Arial"/>
          <w:sz w:val="14"/>
          <w:szCs w:val="14"/>
          <w:color w:val="auto"/>
        </w:rPr>
      </w:pPr>
      <w:r>
        <w:rPr>
          <w:rFonts w:ascii="Arial" w:cs="Arial" w:eastAsia="Arial" w:hAnsi="Arial"/>
          <w:sz w:val="14"/>
          <w:szCs w:val="14"/>
          <w:color w:val="auto"/>
        </w:rPr>
        <w:t>1,638.1</w:t>
      </w:r>
    </w:p>
    <w:p>
      <w:pPr>
        <w:spacing w:after="0" w:line="76" w:lineRule="exact"/>
        <w:rPr>
          <w:rFonts w:ascii="Arial" w:cs="Arial" w:eastAsia="Arial" w:hAnsi="Arial"/>
          <w:sz w:val="14"/>
          <w:szCs w:val="14"/>
          <w:color w:val="auto"/>
        </w:rPr>
      </w:pPr>
    </w:p>
    <w:p>
      <w:pPr>
        <w:ind w:left="1160"/>
        <w:spacing w:after="0"/>
        <w:rPr>
          <w:rFonts w:ascii="Arial" w:cs="Arial" w:eastAsia="Arial" w:hAnsi="Arial"/>
          <w:sz w:val="14"/>
          <w:szCs w:val="14"/>
          <w:color w:val="auto"/>
        </w:rPr>
      </w:pPr>
      <w:r>
        <w:rPr>
          <w:rFonts w:ascii="Arial" w:cs="Arial" w:eastAsia="Arial" w:hAnsi="Arial"/>
          <w:sz w:val="14"/>
          <w:szCs w:val="14"/>
          <w:color w:val="auto"/>
        </w:rPr>
        <w:t>(9.5)</w:t>
      </w:r>
    </w:p>
    <w:p>
      <w:pPr>
        <w:spacing w:after="0" w:line="7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38100</wp:posOffset>
            </wp:positionV>
            <wp:extent cx="10160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57" w:lineRule="exact"/>
        <w:rPr>
          <w:sz w:val="20"/>
          <w:szCs w:val="20"/>
          <w:color w:val="auto"/>
        </w:rPr>
      </w:pPr>
    </w:p>
    <w:p>
      <w:pPr>
        <w:ind w:left="980" w:hanging="980"/>
        <w:spacing w:after="0"/>
        <w:tabs>
          <w:tab w:leader="none" w:pos="9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1,595.0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71755</wp:posOffset>
            </wp:positionV>
            <wp:extent cx="10160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940" w:space="720"/>
            <w:col w:w="1580"/>
          </w:cols>
          <w:pgMar w:left="320" w:top="227" w:right="339" w:bottom="1440" w:gutter="0" w:footer="0" w:header="0"/>
          <w:type w:val="continuous"/>
        </w:sectPr>
      </w:pPr>
    </w:p>
    <w:p>
      <w:pPr>
        <w:spacing w:after="0" w:line="89" w:lineRule="exact"/>
        <w:rPr>
          <w:sz w:val="20"/>
          <w:szCs w:val="20"/>
          <w:color w:val="auto"/>
        </w:rPr>
      </w:pPr>
    </w:p>
    <w:p>
      <w:pPr>
        <w:spacing w:after="0" w:line="346" w:lineRule="auto"/>
        <w:rPr>
          <w:sz w:val="20"/>
          <w:szCs w:val="20"/>
          <w:color w:val="auto"/>
        </w:rPr>
      </w:pPr>
      <w:r>
        <w:rPr>
          <w:rFonts w:ascii="Arial" w:cs="Arial" w:eastAsia="Arial" w:hAnsi="Arial"/>
          <w:sz w:val="15"/>
          <w:szCs w:val="15"/>
          <w:color w:val="2B2A29"/>
        </w:rPr>
        <w:t xml:space="preserve">The debt issuance costs on the Term Loan, </w:t>
      </w:r>
      <w:r>
        <w:rPr>
          <w:rFonts w:ascii="Arial" w:cs="Arial" w:eastAsia="Arial" w:hAnsi="Arial"/>
          <w:sz w:val="15"/>
          <w:szCs w:val="15"/>
          <w:color w:val="000000"/>
        </w:rPr>
        <w:t>5.00%</w:t>
      </w:r>
      <w:r>
        <w:rPr>
          <w:rFonts w:ascii="Arial" w:cs="Arial" w:eastAsia="Arial" w:hAnsi="Arial"/>
          <w:sz w:val="15"/>
          <w:szCs w:val="15"/>
          <w:color w:val="2B2A29"/>
        </w:rPr>
        <w:t xml:space="preserve"> Notes, 6.75% </w:t>
      </w:r>
      <w:r>
        <w:rPr>
          <w:rFonts w:ascii="Arial" w:cs="Arial" w:eastAsia="Arial" w:hAnsi="Arial"/>
          <w:sz w:val="15"/>
          <w:szCs w:val="15"/>
          <w:color w:val="000000"/>
        </w:rPr>
        <w:t>Notes</w:t>
      </w:r>
      <w:r>
        <w:rPr>
          <w:rFonts w:ascii="Arial" w:cs="Arial" w:eastAsia="Arial" w:hAnsi="Arial"/>
          <w:sz w:val="15"/>
          <w:szCs w:val="15"/>
          <w:color w:val="2B2A29"/>
        </w:rPr>
        <w:t xml:space="preserve"> and the discount on the Term Loan are reported in the Condensed Consolidated Balance Sheets as a reduction of debt and are amortized as a component of </w:t>
      </w:r>
      <w:r>
        <w:rPr>
          <w:rFonts w:ascii="Arial" w:cs="Arial" w:eastAsia="Arial" w:hAnsi="Arial"/>
          <w:sz w:val="15"/>
          <w:szCs w:val="15"/>
          <w:i w:val="1"/>
          <w:iCs w:val="1"/>
          <w:color w:val="2B2A29"/>
        </w:rPr>
        <w:t>Interest expense, net</w:t>
      </w:r>
      <w:r>
        <w:rPr>
          <w:rFonts w:ascii="Arial" w:cs="Arial" w:eastAsia="Arial" w:hAnsi="Arial"/>
          <w:sz w:val="15"/>
          <w:szCs w:val="15"/>
          <w:color w:val="2B2A29"/>
        </w:rPr>
        <w:t xml:space="preserve"> over the term of the related debt using the effective interest method.</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schedule of principal payments required on long-term debt for the next five fiscal years and thereafter is as follows:</w:t>
      </w:r>
    </w:p>
    <w:p>
      <w:pPr>
        <w:spacing w:after="0" w:line="136" w:lineRule="exact"/>
        <w:rPr>
          <w:sz w:val="20"/>
          <w:szCs w:val="20"/>
          <w:color w:val="auto"/>
        </w:rPr>
      </w:pPr>
    </w:p>
    <w:tbl>
      <w:tblPr>
        <w:tblLayout w:type="fixed"/>
        <w:tblInd w:w="1040" w:type="dxa"/>
        <w:tblCellMar>
          <w:top w:w="0" w:type="dxa"/>
          <w:left w:w="0" w:type="dxa"/>
          <w:bottom w:w="0" w:type="dxa"/>
          <w:right w:w="0" w:type="dxa"/>
        </w:tblCellMar>
      </w:tblPr>
      <w:tr>
        <w:trPr>
          <w:trHeight w:val="212"/>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4640" w:type="dxa"/>
            <w:vAlign w:val="bottom"/>
          </w:tcPr>
          <w:p>
            <w:pPr>
              <w:spacing w:after="0"/>
              <w:rPr>
                <w:sz w:val="20"/>
                <w:szCs w:val="20"/>
                <w:color w:val="auto"/>
              </w:rPr>
            </w:pPr>
            <w:r>
              <w:rPr>
                <w:rFonts w:ascii="Arial" w:cs="Arial" w:eastAsia="Arial" w:hAnsi="Arial"/>
                <w:sz w:val="16"/>
                <w:szCs w:val="16"/>
                <w:color w:val="auto"/>
              </w:rPr>
              <w:t>2024</w:t>
            </w:r>
          </w:p>
        </w:tc>
        <w:tc>
          <w:tcPr>
            <w:tcW w:w="44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8"/>
        </w:trPr>
        <w:tc>
          <w:tcPr>
            <w:tcW w:w="4640" w:type="dxa"/>
            <w:vAlign w:val="bottom"/>
          </w:tcPr>
          <w:p>
            <w:pPr>
              <w:spacing w:after="0"/>
              <w:rPr>
                <w:sz w:val="20"/>
                <w:szCs w:val="20"/>
                <w:color w:val="auto"/>
              </w:rPr>
            </w:pPr>
            <w:r>
              <w:rPr>
                <w:rFonts w:ascii="Arial" w:cs="Arial" w:eastAsia="Arial" w:hAnsi="Arial"/>
                <w:sz w:val="16"/>
                <w:szCs w:val="16"/>
                <w:color w:val="auto"/>
              </w:rPr>
              <w:t>2026</w:t>
            </w:r>
          </w:p>
        </w:tc>
        <w:tc>
          <w:tcPr>
            <w:tcW w:w="44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444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5"/>
        </w:trPr>
        <w:tc>
          <w:tcPr>
            <w:tcW w:w="4640" w:type="dxa"/>
            <w:vAlign w:val="bottom"/>
          </w:tcPr>
          <w:p>
            <w:pPr>
              <w:spacing w:after="0"/>
              <w:rPr>
                <w:sz w:val="20"/>
                <w:szCs w:val="20"/>
                <w:color w:val="auto"/>
              </w:rPr>
            </w:pPr>
            <w:r>
              <w:rPr>
                <w:rFonts w:ascii="Arial" w:cs="Arial" w:eastAsia="Arial" w:hAnsi="Arial"/>
                <w:sz w:val="16"/>
                <w:szCs w:val="16"/>
                <w:color w:val="auto"/>
              </w:rPr>
              <w:t>Thereafter</w:t>
            </w:r>
          </w:p>
        </w:tc>
        <w:tc>
          <w:tcPr>
            <w:tcW w:w="4440" w:type="dxa"/>
            <w:vAlign w:val="bottom"/>
          </w:tcPr>
          <w:p>
            <w:pPr>
              <w:jc w:val="right"/>
              <w:ind w:right="32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1,597.7</w:t>
            </w:r>
          </w:p>
        </w:tc>
      </w:tr>
    </w:tbl>
    <w:p>
      <w:pPr>
        <w:spacing w:after="0" w:line="19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2B2A29"/>
        </w:rPr>
        <w:t>The estimated fair value of long-term debt (including current portion) at June 30, 2023 was $1,528.1 million compared with a carrying value (which includes a reduction for unamortized debt issuance costs and discounts) of $1,604.5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1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April 1, 2022, the date of the Separation, 57,012,925 shares of Embecta's common stock, par value $0.01 per share, were distributed to BD shareholders of record as of March 22, 2022, the record date of the distribution. This share amount is utilized for the calculation of earnings per basic and diluted common share for all periods presented prior to the Separation.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calculation of earnings per basic and diluted common share for the </w:t>
      </w:r>
      <w:r>
        <w:rPr>
          <w:rFonts w:ascii="Arial" w:cs="Arial" w:eastAsia="Arial" w:hAnsi="Arial"/>
          <w:sz w:val="17"/>
          <w:szCs w:val="17"/>
          <w:color w:val="2B2A29"/>
        </w:rPr>
        <w:t>three and nine months ended June 30, 2023 and 2022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272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w w:val="89"/>
              </w:rPr>
              <w:t>Nine Months Ended</w:t>
            </w:r>
          </w:p>
        </w:tc>
        <w:tc>
          <w:tcPr>
            <w:tcW w:w="940" w:type="dxa"/>
            <w:vAlign w:val="bottom"/>
          </w:tcPr>
          <w:p>
            <w:pPr>
              <w:spacing w:after="0"/>
              <w:rPr>
                <w:sz w:val="16"/>
                <w:szCs w:val="16"/>
                <w:color w:val="auto"/>
              </w:rPr>
            </w:pPr>
          </w:p>
        </w:tc>
      </w:tr>
      <w:tr>
        <w:trPr>
          <w:trHeight w:val="208"/>
        </w:trPr>
        <w:tc>
          <w:tcPr>
            <w:tcW w:w="462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741"/>
              <w:spacing w:after="0"/>
              <w:rPr>
                <w:sz w:val="20"/>
                <w:szCs w:val="20"/>
                <w:color w:val="auto"/>
              </w:rPr>
            </w:pPr>
            <w:r>
              <w:rPr>
                <w:rFonts w:ascii="Arial" w:cs="Arial" w:eastAsia="Arial" w:hAnsi="Arial"/>
                <w:sz w:val="16"/>
                <w:szCs w:val="16"/>
                <w:b w:val="1"/>
                <w:bCs w:val="1"/>
                <w:color w:val="auto"/>
              </w:rPr>
              <w:t>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r>
      <w:tr>
        <w:trPr>
          <w:trHeight w:val="231"/>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 in millions and shares in thousands, except per share amounts)</w:t>
            </w: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w w:val="84"/>
              </w:rPr>
              <w:t>2022</w:t>
            </w:r>
          </w:p>
        </w:tc>
      </w:tr>
      <w:tr>
        <w:trPr>
          <w:trHeight w:val="221"/>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Embecta</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15.2</w:t>
            </w:r>
          </w:p>
        </w:tc>
        <w:tc>
          <w:tcPr>
            <w:tcW w:w="1140" w:type="dxa"/>
            <w:vAlign w:val="bottom"/>
            <w:gridSpan w:val="2"/>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62.4</w:t>
            </w:r>
          </w:p>
        </w:tc>
        <w:tc>
          <w:tcPr>
            <w:tcW w:w="1060" w:type="dxa"/>
            <w:vAlign w:val="bottom"/>
            <w:gridSpan w:val="2"/>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240.8</w:t>
            </w:r>
          </w:p>
        </w:tc>
      </w:tr>
      <w:tr>
        <w:trPr>
          <w:trHeight w:val="159"/>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8"/>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number of shares outstanding</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57,296</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57,802</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57,223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57,799</w:t>
            </w:r>
          </w:p>
        </w:tc>
      </w:tr>
      <w:tr>
        <w:trPr>
          <w:trHeight w:val="235"/>
        </w:trPr>
        <w:tc>
          <w:tcPr>
            <w:tcW w:w="4620" w:type="dxa"/>
            <w:vAlign w:val="bottom"/>
          </w:tcPr>
          <w:p>
            <w:pPr>
              <w:ind w:left="20"/>
              <w:spacing w:after="0"/>
              <w:rPr>
                <w:sz w:val="20"/>
                <w:szCs w:val="20"/>
                <w:color w:val="auto"/>
              </w:rPr>
            </w:pPr>
            <w:r>
              <w:rPr>
                <w:rFonts w:ascii="Arial" w:cs="Arial" w:eastAsia="Arial" w:hAnsi="Arial"/>
                <w:sz w:val="16"/>
                <w:szCs w:val="16"/>
                <w:color w:val="auto"/>
              </w:rPr>
              <w:t>Stock awards and equity units (share equivalent)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491</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405</w:t>
            </w:r>
          </w:p>
        </w:tc>
      </w:tr>
      <w:tr>
        <w:trPr>
          <w:trHeight w:val="228"/>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weighted average shares outstanding</w:t>
            </w: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57,714</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58,204</w:t>
            </w:r>
          </w:p>
        </w:tc>
      </w:tr>
      <w:tr>
        <w:trPr>
          <w:trHeight w:val="159"/>
        </w:trPr>
        <w:tc>
          <w:tcPr>
            <w:tcW w:w="46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8"/>
        </w:trPr>
        <w:tc>
          <w:tcPr>
            <w:tcW w:w="4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common share - Basic</w:t>
            </w:r>
          </w:p>
        </w:tc>
        <w:tc>
          <w:tcPr>
            <w:tcW w:w="1040" w:type="dxa"/>
            <w:vAlign w:val="bottom"/>
            <w:shd w:val="clear" w:color="auto" w:fill="CCEEFF"/>
          </w:tcPr>
          <w:p>
            <w:pPr>
              <w:jc w:val="right"/>
              <w:ind w:right="861"/>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0.27</w:t>
            </w:r>
          </w:p>
        </w:tc>
        <w:tc>
          <w:tcPr>
            <w:tcW w:w="1140" w:type="dxa"/>
            <w:vAlign w:val="bottom"/>
            <w:gridSpan w:val="2"/>
            <w:shd w:val="clear" w:color="auto" w:fill="CCEEFF"/>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1.08</w:t>
            </w:r>
          </w:p>
        </w:tc>
        <w:tc>
          <w:tcPr>
            <w:tcW w:w="1060" w:type="dxa"/>
            <w:vAlign w:val="bottom"/>
            <w:gridSpan w:val="2"/>
            <w:shd w:val="clear" w:color="auto" w:fill="CCEEFF"/>
          </w:tcPr>
          <w:p>
            <w:pPr>
              <w:jc w:val="right"/>
              <w:ind w:right="781"/>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r>
      <w:tr>
        <w:trPr>
          <w:trHeight w:val="231"/>
        </w:trPr>
        <w:tc>
          <w:tcPr>
            <w:tcW w:w="4620" w:type="dxa"/>
            <w:vAlign w:val="bottom"/>
          </w:tcPr>
          <w:p>
            <w:pPr>
              <w:ind w:left="20"/>
              <w:spacing w:after="0"/>
              <w:rPr>
                <w:sz w:val="20"/>
                <w:szCs w:val="20"/>
                <w:color w:val="auto"/>
              </w:rPr>
            </w:pPr>
            <w:r>
              <w:rPr>
                <w:rFonts w:ascii="Arial" w:cs="Arial" w:eastAsia="Arial" w:hAnsi="Arial"/>
                <w:sz w:val="16"/>
                <w:szCs w:val="16"/>
                <w:color w:val="auto"/>
              </w:rPr>
              <w:t>Earnings per common share - Diluted</w:t>
            </w:r>
          </w:p>
        </w:tc>
        <w:tc>
          <w:tcPr>
            <w:tcW w:w="1040" w:type="dxa"/>
            <w:vAlign w:val="bottom"/>
          </w:tcPr>
          <w:p>
            <w:pPr>
              <w:jc w:val="right"/>
              <w:ind w:right="86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0.26</w:t>
            </w:r>
          </w:p>
        </w:tc>
        <w:tc>
          <w:tcPr>
            <w:tcW w:w="1140" w:type="dxa"/>
            <w:vAlign w:val="bottom"/>
            <w:gridSpan w:val="2"/>
          </w:tcPr>
          <w:p>
            <w:pPr>
              <w:jc w:val="right"/>
              <w:ind w:right="861"/>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color w:val="auto"/>
              </w:rPr>
              <w:t>1.07</w:t>
            </w:r>
          </w:p>
        </w:tc>
        <w:tc>
          <w:tcPr>
            <w:tcW w:w="1060" w:type="dxa"/>
            <w:vAlign w:val="bottom"/>
            <w:gridSpan w:val="2"/>
          </w:tcPr>
          <w:p>
            <w:pPr>
              <w:jc w:val="right"/>
              <w:ind w:right="781"/>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1.12</w:t>
            </w:r>
          </w:p>
        </w:tc>
        <w:tc>
          <w:tcPr>
            <w:tcW w:w="7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4.14</w:t>
            </w:r>
          </w:p>
        </w:tc>
      </w:tr>
    </w:tbl>
    <w:p>
      <w:pPr>
        <w:spacing w:after="0" w:line="219"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 xml:space="preserve">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For the </w:t>
      </w:r>
      <w:r>
        <w:rPr>
          <w:rFonts w:ascii="Arial" w:cs="Arial" w:eastAsia="Arial" w:hAnsi="Arial"/>
          <w:sz w:val="18"/>
          <w:szCs w:val="18"/>
          <w:color w:val="2B2A29"/>
        </w:rPr>
        <w:t>three and nine</w:t>
      </w:r>
      <w:r>
        <w:rPr>
          <w:rFonts w:ascii="Arial" w:cs="Arial" w:eastAsia="Arial" w:hAnsi="Arial"/>
          <w:sz w:val="18"/>
          <w:szCs w:val="18"/>
          <w:color w:val="auto"/>
        </w:rPr>
        <w:t xml:space="preserve"> </w:t>
      </w:r>
      <w:r>
        <w:rPr>
          <w:rFonts w:ascii="Arial" w:cs="Arial" w:eastAsia="Arial" w:hAnsi="Arial"/>
          <w:sz w:val="18"/>
          <w:szCs w:val="18"/>
          <w:color w:val="2B2A29"/>
        </w:rPr>
        <w:t>months ended June 30, 2023</w:t>
      </w:r>
      <w:r>
        <w:rPr>
          <w:rFonts w:ascii="Arial" w:cs="Arial" w:eastAsia="Arial" w:hAnsi="Arial"/>
          <w:sz w:val="18"/>
          <w:szCs w:val="18"/>
          <w:color w:val="000000"/>
        </w:rPr>
        <w:t>, 2.1 million and 1.9 million, respectively, and for both the</w:t>
      </w:r>
      <w:r>
        <w:rPr>
          <w:rFonts w:ascii="Arial" w:cs="Arial" w:eastAsia="Arial" w:hAnsi="Arial"/>
          <w:sz w:val="18"/>
          <w:szCs w:val="18"/>
          <w:color w:val="2B2A29"/>
        </w:rPr>
        <w:t xml:space="preserve"> three and nine months ended June 30, 2022, 1.8 million, </w:t>
      </w:r>
      <w:r>
        <w:rPr>
          <w:rFonts w:ascii="Arial" w:cs="Arial" w:eastAsia="Arial" w:hAnsi="Arial"/>
          <w:sz w:val="18"/>
          <w:szCs w:val="18"/>
          <w:color w:val="000000"/>
        </w:rPr>
        <w:t>of dilutive</w:t>
      </w:r>
      <w:r>
        <w:rPr>
          <w:rFonts w:ascii="Arial" w:cs="Arial" w:eastAsia="Arial" w:hAnsi="Arial"/>
          <w:sz w:val="18"/>
          <w:szCs w:val="18"/>
          <w:color w:val="2B2A29"/>
        </w:rPr>
        <w:t xml:space="preserve"> </w:t>
      </w:r>
      <w:r>
        <w:rPr>
          <w:rFonts w:ascii="Arial" w:cs="Arial" w:eastAsia="Arial" w:hAnsi="Arial"/>
          <w:sz w:val="18"/>
          <w:szCs w:val="18"/>
          <w:color w:val="000000"/>
        </w:rPr>
        <w:t>share equivalents issuable under stock-based compensation plans were excluded from the diluted shares outstanding calculation because the result would have been antidilutive.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0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vary from quarter to quarter because of changes in the global pretax income or geographical mix of the Company's earnings, changes in tax laws and matters related to tax audits.</w:t>
      </w:r>
    </w:p>
    <w:p>
      <w:pPr>
        <w:spacing w:after="0" w:line="1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effective tax rates were 24.4% and 15.2% for the three months ended June 30, 2023 and 2022, respectively, and 36.0% and 15.2% for the nine months ended June 30, 2023 and 2022, respectively. The increase in the Company’s effective tax rates for both comparative periods are primarily due to an increase in the valuation allowance on the utilization of interest expense carryforwards related to U.S. interest deduction limitation rules, higher tax expense on undistributed earnings of foreign subsidiaries and an increase in non-deductible expenses; partially offset by lower U.S. tax expense on earnings of foreign affiliates.</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Financial Instruments and Fair Value Measurements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following reconciles </w:t>
      </w:r>
      <w:r>
        <w:rPr>
          <w:rFonts w:ascii="Arial" w:cs="Arial" w:eastAsia="Arial" w:hAnsi="Arial"/>
          <w:sz w:val="18"/>
          <w:szCs w:val="18"/>
          <w:i w:val="1"/>
          <w:iCs w:val="1"/>
          <w:color w:val="auto"/>
        </w:rPr>
        <w:t>Cash and cash equivalents</w:t>
      </w:r>
      <w:r>
        <w:rPr>
          <w:rFonts w:ascii="Arial" w:cs="Arial" w:eastAsia="Arial" w:hAnsi="Arial"/>
          <w:sz w:val="18"/>
          <w:szCs w:val="18"/>
          <w:color w:val="auto"/>
        </w:rPr>
        <w:t xml:space="preserve"> reported within the Condensed Consolidated Balance Sheets as of June 30, 2023 and September 30, 2022, to the total amounts shown in the Condensed Consolidated Statements of Cash Flows: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3"/>
              </w:rPr>
              <w:t>September 30, 2022</w:t>
            </w:r>
          </w:p>
        </w:tc>
      </w:tr>
      <w:tr>
        <w:trPr>
          <w:trHeight w:val="208"/>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bl>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Cash and cash equivalents as of June 30, 2023 includes cash held in money market funds and other cash equivalents. All cash and cash equivalents are Level 1 in the fair value hierarchy.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Risks and Related Strategies</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9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notional amounts of the Company’s foreign currency-related derivative instruments were as follows as of June 30, 2023 and September 30, 2022, respectively: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480" w:type="dxa"/>
            <w:vAlign w:val="bottom"/>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Hedge Designation</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June 30, 2023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3"/>
              </w:rPr>
              <w:t>September 30, 2022</w:t>
            </w:r>
          </w:p>
        </w:tc>
      </w:tr>
      <w:tr>
        <w:trPr>
          <w:trHeight w:val="208"/>
        </w:trPr>
        <w:tc>
          <w:tcPr>
            <w:tcW w:w="5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 (a)</w:t>
            </w:r>
          </w:p>
        </w:tc>
        <w:tc>
          <w:tcPr>
            <w:tcW w:w="18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Undesignated</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bl>
    <w:p>
      <w:pPr>
        <w:spacing w:after="0" w:line="239" w:lineRule="exact"/>
        <w:rPr>
          <w:sz w:val="20"/>
          <w:szCs w:val="20"/>
          <w:color w:val="auto"/>
        </w:rPr>
      </w:pPr>
    </w:p>
    <w:p>
      <w:pPr>
        <w:jc w:val="both"/>
        <w:ind w:left="640" w:hanging="317"/>
        <w:spacing w:after="0" w:line="260"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Represent hedges of transactional foreign exchange exposures resulting primarily from intercompany payables and receivables. Gains and losses on these instruments are recognized immediately in </w:t>
      </w:r>
      <w:r>
        <w:rPr>
          <w:rFonts w:ascii="Arial" w:cs="Arial" w:eastAsia="Arial" w:hAnsi="Arial"/>
          <w:sz w:val="17"/>
          <w:szCs w:val="17"/>
          <w:i w:val="1"/>
          <w:iCs w:val="1"/>
          <w:color w:val="auto"/>
        </w:rPr>
        <w:t>Other income (expense), net</w:t>
      </w:r>
      <w:r>
        <w:rPr>
          <w:rFonts w:ascii="Arial" w:cs="Arial" w:eastAsia="Arial" w:hAnsi="Arial"/>
          <w:sz w:val="17"/>
          <w:szCs w:val="17"/>
          <w:color w:val="auto"/>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1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Historically and prior to the Separation, the Company’s operations formed part of BD’s monitoring of concentrations of credit risk associated with financial institutions for which BD conducted business.</w:t>
      </w:r>
    </w:p>
    <w:p>
      <w:pPr>
        <w:spacing w:after="0" w:line="7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of June 30, 2023, the Company had transferred the majority of its trade receivables to BD under the Factoring Agreements (see Note 3). As a result, the Company is no longer exposed to credit risk associated with those transferred receivables and does not have material credit risk exposure associated with the remaining $21.1 million of trade receivables.</w:t>
      </w:r>
    </w:p>
    <w:p>
      <w:pPr>
        <w:spacing w:after="0" w:line="6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Three of the Company’s customers represent at least 10.0% of total gross revenues individually and, in the aggregate, represented approximately 39.8% for the three months ended June 30, 2023, and three of the Company's customers represented at least 10.0% of total gross revenues individually and, in the aggregate, represent 40.0% of total revenues for the nine months ended June 30, 2023.</w:t>
      </w:r>
    </w:p>
    <w:p>
      <w:pPr>
        <w:spacing w:after="0" w:line="8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Property, Plant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consisted of:</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40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June 30, 2023</w:t>
            </w: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September 30, 2022</w:t>
            </w:r>
          </w:p>
        </w:tc>
      </w:tr>
      <w:tr>
        <w:trPr>
          <w:trHeight w:val="215"/>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760" w:type="dxa"/>
            <w:vAlign w:val="bottom"/>
            <w:tcBorders>
              <w:bottom w:val="single" w:sz="8" w:color="CCEEFF"/>
            </w:tcBorders>
            <w:shd w:val="clear" w:color="auto" w:fill="CCEEFF"/>
          </w:tcPr>
          <w:p>
            <w:pPr>
              <w:jc w:val="right"/>
              <w:ind w:right="1581"/>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CCEEFF"/>
            </w:tcBorders>
            <w:gridSpan w:val="2"/>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05"/>
        </w:trPr>
        <w:tc>
          <w:tcPr>
            <w:tcW w:w="6400" w:type="dxa"/>
            <w:vAlign w:val="bottom"/>
          </w:tcPr>
          <w:p>
            <w:pPr>
              <w:ind w:left="20"/>
              <w:spacing w:after="0"/>
              <w:rPr>
                <w:sz w:val="20"/>
                <w:szCs w:val="20"/>
                <w:color w:val="auto"/>
              </w:rPr>
            </w:pPr>
            <w:r>
              <w:rPr>
                <w:rFonts w:ascii="Arial" w:cs="Arial" w:eastAsia="Arial" w:hAnsi="Arial"/>
                <w:sz w:val="16"/>
                <w:szCs w:val="16"/>
                <w:color w:val="auto"/>
              </w:rPr>
              <w:t>Buildings</w:t>
            </w:r>
          </w:p>
        </w:tc>
        <w:tc>
          <w:tcPr>
            <w:tcW w:w="17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127.1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0"/>
        </w:trPr>
        <w:tc>
          <w:tcPr>
            <w:tcW w:w="6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1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Machinery, equipment and fixtures</w:t>
            </w:r>
          </w:p>
        </w:tc>
        <w:tc>
          <w:tcPr>
            <w:tcW w:w="17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505.1</w:t>
            </w:r>
          </w:p>
        </w:tc>
      </w:tr>
      <w:tr>
        <w:trPr>
          <w:trHeight w:val="205"/>
        </w:trPr>
        <w:tc>
          <w:tcPr>
            <w:tcW w:w="640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17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176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198"/>
        </w:trPr>
        <w:tc>
          <w:tcPr>
            <w:tcW w:w="6400" w:type="dxa"/>
            <w:vAlign w:val="bottom"/>
            <w:tcBorders>
              <w:top w:val="single" w:sz="8" w:color="CCEEFF"/>
            </w:tcBorders>
          </w:tcPr>
          <w:p>
            <w:pPr>
              <w:spacing w:after="0"/>
              <w:rPr>
                <w:sz w:val="17"/>
                <w:szCs w:val="17"/>
                <w:color w:val="auto"/>
              </w:rPr>
            </w:pPr>
          </w:p>
        </w:tc>
        <w:tc>
          <w:tcPr>
            <w:tcW w:w="1760" w:type="dxa"/>
            <w:vAlign w:val="bottom"/>
            <w:tcBorders>
              <w:top w:val="single" w:sz="8" w:color="auto"/>
            </w:tcBorders>
          </w:tcPr>
          <w:p>
            <w:pPr>
              <w:jc w:val="right"/>
              <w:ind w:right="158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755.0</w:t>
            </w:r>
          </w:p>
        </w:tc>
        <w:tc>
          <w:tcPr>
            <w:tcW w:w="12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701.6</w:t>
            </w:r>
          </w:p>
        </w:tc>
      </w:tr>
      <w:tr>
        <w:trPr>
          <w:trHeight w:val="33"/>
        </w:trPr>
        <w:tc>
          <w:tcPr>
            <w:tcW w:w="64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17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r>
      <w:tr>
        <w:trPr>
          <w:trHeight w:val="198"/>
        </w:trPr>
        <w:tc>
          <w:tcPr>
            <w:tcW w:w="6400" w:type="dxa"/>
            <w:vAlign w:val="bottom"/>
          </w:tcPr>
          <w:p>
            <w:pPr>
              <w:ind w:left="20"/>
              <w:spacing w:after="0"/>
              <w:rPr>
                <w:sz w:val="20"/>
                <w:szCs w:val="20"/>
                <w:color w:val="auto"/>
              </w:rPr>
            </w:pPr>
            <w:r>
              <w:rPr>
                <w:rFonts w:ascii="Arial" w:cs="Arial" w:eastAsia="Arial" w:hAnsi="Arial"/>
                <w:sz w:val="16"/>
                <w:szCs w:val="16"/>
                <w:color w:val="auto"/>
              </w:rPr>
              <w:t>Total Property, Plant and Equipment, Net</w:t>
            </w:r>
          </w:p>
        </w:tc>
        <w:tc>
          <w:tcPr>
            <w:tcW w:w="1760" w:type="dxa"/>
            <w:vAlign w:val="bottom"/>
            <w:tcBorders>
              <w:top w:val="single" w:sz="8" w:color="auto"/>
            </w:tcBorders>
          </w:tcPr>
          <w:p>
            <w:pPr>
              <w:jc w:val="right"/>
              <w:ind w:right="158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308.7</w:t>
            </w:r>
          </w:p>
        </w:tc>
        <w:tc>
          <w:tcPr>
            <w:tcW w:w="120" w:type="dxa"/>
            <w:vAlign w:val="bottom"/>
          </w:tcPr>
          <w:p>
            <w:pPr>
              <w:spacing w:after="0"/>
              <w:rPr>
                <w:sz w:val="17"/>
                <w:szCs w:val="17"/>
                <w:color w:val="auto"/>
              </w:rPr>
            </w:pPr>
          </w:p>
        </w:tc>
        <w:tc>
          <w:tcPr>
            <w:tcW w:w="3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2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301.6</w:t>
            </w: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Leases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Leases</w:t>
      </w:r>
    </w:p>
    <w:p>
      <w:pPr>
        <w:spacing w:after="0" w:line="97"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operating leases primarily relate to its real estate leases that are not classified as finance leases.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Aggregate Lease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leases are included in its Condensed Consolidated Balance Sheets as follows: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622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June 30, 2023</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September 30, 2022</w:t>
            </w:r>
          </w:p>
        </w:tc>
      </w:tr>
      <w:tr>
        <w:trPr>
          <w:trHeight w:val="201"/>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18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00" w:type="dxa"/>
            <w:vAlign w:val="bottom"/>
            <w:tcBorders>
              <w:bottom w:val="single" w:sz="8" w:color="CCEEFF"/>
            </w:tcBorders>
            <w:shd w:val="clear" w:color="auto" w:fill="CCEEFF"/>
          </w:tcPr>
          <w:p>
            <w:pPr>
              <w:spacing w:after="0"/>
              <w:rPr>
                <w:sz w:val="17"/>
                <w:szCs w:val="17"/>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1820" w:type="dxa"/>
            <w:vAlign w:val="bottom"/>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33.7</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1"/>
              <w:spacing w:after="0"/>
              <w:rPr>
                <w:sz w:val="20"/>
                <w:szCs w:val="20"/>
                <w:color w:val="auto"/>
              </w:rPr>
            </w:pPr>
            <w:r>
              <w:rPr>
                <w:rFonts w:ascii="Arial" w:cs="Arial" w:eastAsia="Arial" w:hAnsi="Arial"/>
                <w:sz w:val="16"/>
                <w:szCs w:val="16"/>
                <w:color w:val="auto"/>
              </w:rPr>
              <w:t>35.5</w:t>
            </w:r>
          </w:p>
        </w:tc>
      </w:tr>
      <w:tr>
        <w:trPr>
          <w:trHeight w:val="33"/>
        </w:trPr>
        <w:tc>
          <w:tcPr>
            <w:tcW w:w="6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Finance Lease Assets</w:t>
            </w:r>
          </w:p>
        </w:tc>
        <w:tc>
          <w:tcPr>
            <w:tcW w:w="1820" w:type="dxa"/>
            <w:vAlign w:val="bottom"/>
            <w:tcBorders>
              <w:bottom w:val="single" w:sz="8" w:color="CCEEFF"/>
            </w:tcBorders>
            <w:shd w:val="clear" w:color="auto" w:fill="CCEEFF"/>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33.7</w:t>
            </w:r>
          </w:p>
        </w:tc>
        <w:tc>
          <w:tcPr>
            <w:tcW w:w="4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35.5</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52"/>
        </w:trPr>
        <w:tc>
          <w:tcPr>
            <w:tcW w:w="622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00" w:type="dxa"/>
            <w:vAlign w:val="bottom"/>
          </w:tcPr>
          <w:p>
            <w:pPr>
              <w:spacing w:after="0"/>
              <w:rPr>
                <w:sz w:val="4"/>
                <w:szCs w:val="4"/>
                <w:color w:val="auto"/>
              </w:rPr>
            </w:pPr>
          </w:p>
        </w:tc>
      </w:tr>
      <w:tr>
        <w:trPr>
          <w:trHeight w:val="21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finance lease liabilities</w:t>
            </w:r>
          </w:p>
        </w:tc>
        <w:tc>
          <w:tcPr>
            <w:tcW w:w="1820" w:type="dxa"/>
            <w:vAlign w:val="bottom"/>
            <w:tcBorders>
              <w:bottom w:val="single" w:sz="8" w:color="CCEEFF"/>
            </w:tcBorders>
            <w:shd w:val="clear" w:color="auto" w:fill="CCEEFF"/>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3.6</w:t>
            </w:r>
          </w:p>
        </w:tc>
        <w:tc>
          <w:tcPr>
            <w:tcW w:w="4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3.6</w:t>
            </w:r>
          </w:p>
        </w:tc>
      </w:tr>
      <w:tr>
        <w:trPr>
          <w:trHeight w:val="205"/>
        </w:trPr>
        <w:tc>
          <w:tcPr>
            <w:tcW w:w="6220" w:type="dxa"/>
            <w:vAlign w:val="bottom"/>
          </w:tcPr>
          <w:p>
            <w:pPr>
              <w:ind w:left="20"/>
              <w:spacing w:after="0"/>
              <w:rPr>
                <w:sz w:val="20"/>
                <w:szCs w:val="20"/>
                <w:color w:val="auto"/>
              </w:rPr>
            </w:pPr>
            <w:r>
              <w:rPr>
                <w:rFonts w:ascii="Arial" w:cs="Arial" w:eastAsia="Arial" w:hAnsi="Arial"/>
                <w:sz w:val="16"/>
                <w:szCs w:val="16"/>
                <w:color w:val="auto"/>
              </w:rPr>
              <w:t>Non Current Finance Lease Liabilities</w:t>
            </w:r>
          </w:p>
        </w:tc>
        <w:tc>
          <w:tcPr>
            <w:tcW w:w="1820" w:type="dxa"/>
            <w:vAlign w:val="bottom"/>
          </w:tcPr>
          <w:p>
            <w:pPr>
              <w:spacing w:after="0"/>
              <w:rPr>
                <w:sz w:val="17"/>
                <w:szCs w:val="17"/>
                <w:color w:val="auto"/>
              </w:rPr>
            </w:pP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jc w:val="right"/>
              <w:ind w:right="101"/>
              <w:spacing w:after="0"/>
              <w:rPr>
                <w:sz w:val="20"/>
                <w:szCs w:val="20"/>
                <w:color w:val="auto"/>
              </w:rPr>
            </w:pPr>
            <w:r>
              <w:rPr>
                <w:rFonts w:ascii="Arial" w:cs="Arial" w:eastAsia="Arial" w:hAnsi="Arial"/>
                <w:sz w:val="16"/>
                <w:szCs w:val="16"/>
                <w:color w:val="auto"/>
              </w:rPr>
              <w:t>32.6</w:t>
            </w:r>
          </w:p>
        </w:tc>
      </w:tr>
      <w:tr>
        <w:trPr>
          <w:trHeight w:val="33"/>
        </w:trPr>
        <w:tc>
          <w:tcPr>
            <w:tcW w:w="62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43"/>
        </w:trPr>
        <w:tc>
          <w:tcPr>
            <w:tcW w:w="6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Finance Lease Liabilities</w:t>
            </w:r>
          </w:p>
        </w:tc>
        <w:tc>
          <w:tcPr>
            <w:tcW w:w="1820" w:type="dxa"/>
            <w:vAlign w:val="bottom"/>
            <w:tcBorders>
              <w:bottom w:val="single" w:sz="8" w:color="CCEEFF"/>
            </w:tcBorders>
            <w:shd w:val="clear" w:color="auto" w:fill="CCEEFF"/>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35.4</w:t>
            </w:r>
          </w:p>
        </w:tc>
        <w:tc>
          <w:tcPr>
            <w:tcW w:w="4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36.2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6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8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14.5</w:t>
            </w:r>
          </w:p>
        </w:tc>
      </w:tr>
      <w:tr>
        <w:trPr>
          <w:trHeight w:val="205"/>
        </w:trPr>
        <w:tc>
          <w:tcPr>
            <w:tcW w:w="6220" w:type="dxa"/>
            <w:vAlign w:val="bottom"/>
          </w:tcPr>
          <w:p>
            <w:pPr>
              <w:ind w:left="20"/>
              <w:spacing w:after="0"/>
              <w:rPr>
                <w:sz w:val="20"/>
                <w:szCs w:val="20"/>
                <w:color w:val="auto"/>
              </w:rPr>
            </w:pPr>
            <w:r>
              <w:rPr>
                <w:rFonts w:ascii="Arial" w:cs="Arial" w:eastAsia="Arial" w:hAnsi="Arial"/>
                <w:sz w:val="16"/>
                <w:szCs w:val="16"/>
                <w:color w:val="auto"/>
              </w:rPr>
              <w:t>Weighted-average discount rate</w:t>
            </w:r>
          </w:p>
        </w:tc>
        <w:tc>
          <w:tcPr>
            <w:tcW w:w="18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6.8 %</w:t>
            </w:r>
          </w:p>
        </w:tc>
      </w:tr>
      <w:tr>
        <w:trPr>
          <w:trHeight w:val="33"/>
        </w:trPr>
        <w:tc>
          <w:tcPr>
            <w:tcW w:w="6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00" w:type="dxa"/>
            <w:vAlign w:val="bottom"/>
          </w:tcPr>
          <w:p>
            <w:pPr>
              <w:spacing w:after="0"/>
              <w:rPr>
                <w:sz w:val="2"/>
                <w:szCs w:val="2"/>
                <w:color w:val="auto"/>
              </w:rPr>
            </w:pPr>
          </w:p>
        </w:tc>
      </w:tr>
      <w:tr>
        <w:trPr>
          <w:trHeight w:val="106"/>
        </w:trPr>
        <w:tc>
          <w:tcPr>
            <w:tcW w:w="622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00" w:type="dxa"/>
            <w:vAlign w:val="bottom"/>
            <w:shd w:val="clear" w:color="auto" w:fill="CCEEFF"/>
          </w:tcPr>
          <w:p>
            <w:pPr>
              <w:spacing w:after="0"/>
              <w:rPr>
                <w:sz w:val="9"/>
                <w:szCs w:val="9"/>
                <w:color w:val="auto"/>
              </w:rPr>
            </w:pPr>
          </w:p>
        </w:tc>
      </w:tr>
      <w:tr>
        <w:trPr>
          <w:trHeight w:val="215"/>
        </w:trPr>
        <w:tc>
          <w:tcPr>
            <w:tcW w:w="622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18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4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20" w:type="dxa"/>
            <w:vAlign w:val="bottom"/>
            <w:tcBorders>
              <w:bottom w:val="single" w:sz="8" w:color="CCEEFF"/>
            </w:tcBorders>
            <w:shd w:val="clear" w:color="auto" w:fill="CCEEFF"/>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21.0</w:t>
            </w:r>
          </w:p>
        </w:tc>
        <w:tc>
          <w:tcPr>
            <w:tcW w:w="440" w:type="dxa"/>
            <w:vAlign w:val="bottom"/>
            <w:tcBorders>
              <w:bottom w:val="single" w:sz="8" w:color="CCEEFF"/>
            </w:tcBorders>
            <w:gridSpan w:val="2"/>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6.3</w:t>
            </w:r>
          </w:p>
        </w:tc>
      </w:tr>
      <w:tr>
        <w:trPr>
          <w:trHeight w:val="198"/>
        </w:trPr>
        <w:tc>
          <w:tcPr>
            <w:tcW w:w="6220" w:type="dxa"/>
            <w:vAlign w:val="bottom"/>
          </w:tcPr>
          <w:p>
            <w:pPr>
              <w:ind w:left="120"/>
              <w:spacing w:after="0"/>
              <w:rPr>
                <w:sz w:val="20"/>
                <w:szCs w:val="20"/>
                <w:color w:val="auto"/>
              </w:rPr>
            </w:pPr>
            <w:r>
              <w:rPr>
                <w:rFonts w:ascii="Arial" w:cs="Arial" w:eastAsia="Arial" w:hAnsi="Arial"/>
                <w:sz w:val="16"/>
                <w:szCs w:val="16"/>
                <w:color w:val="auto"/>
              </w:rPr>
              <w:t>Total Operating Lease Assets</w:t>
            </w:r>
          </w:p>
        </w:tc>
        <w:tc>
          <w:tcPr>
            <w:tcW w:w="1820" w:type="dxa"/>
            <w:vAlign w:val="bottom"/>
            <w:tcBorders>
              <w:top w:val="single" w:sz="8" w:color="auto"/>
            </w:tcBorders>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6.3</w:t>
            </w:r>
          </w:p>
        </w:tc>
      </w:tr>
      <w:tr>
        <w:trPr>
          <w:trHeight w:val="33"/>
        </w:trPr>
        <w:tc>
          <w:tcPr>
            <w:tcW w:w="6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72"/>
        </w:trPr>
        <w:tc>
          <w:tcPr>
            <w:tcW w:w="62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6"/>
                <w:szCs w:val="16"/>
                <w:color w:val="auto"/>
              </w:rPr>
              <w:t>Accrued expenses</w:t>
            </w:r>
          </w:p>
        </w:tc>
        <w:tc>
          <w:tcPr>
            <w:tcW w:w="1820" w:type="dxa"/>
            <w:vAlign w:val="bottom"/>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21"/>
              <w:spacing w:after="0"/>
              <w:rPr>
                <w:sz w:val="20"/>
                <w:szCs w:val="20"/>
                <w:color w:val="auto"/>
              </w:rPr>
            </w:pPr>
            <w:r>
              <w:rPr>
                <w:rFonts w:ascii="Arial" w:cs="Arial" w:eastAsia="Arial" w:hAnsi="Arial"/>
                <w:sz w:val="16"/>
                <w:szCs w:val="16"/>
                <w:color w:val="auto"/>
              </w:rPr>
              <w:t>3.6</w:t>
            </w:r>
          </w:p>
        </w:tc>
        <w:tc>
          <w:tcPr>
            <w:tcW w:w="440" w:type="dxa"/>
            <w:vAlign w:val="bottom"/>
            <w:gridSpan w:val="2"/>
          </w:tcPr>
          <w:p>
            <w:pPr>
              <w:jc w:val="right"/>
              <w:ind w:right="161"/>
              <w:spacing w:after="0"/>
              <w:rPr>
                <w:sz w:val="20"/>
                <w:szCs w:val="20"/>
                <w:color w:val="auto"/>
              </w:rPr>
            </w:pPr>
            <w:r>
              <w:rPr>
                <w:rFonts w:ascii="Arial" w:cs="Arial" w:eastAsia="Arial" w:hAnsi="Arial"/>
                <w:sz w:val="16"/>
                <w:szCs w:val="16"/>
                <w:color w:val="auto"/>
              </w:rPr>
              <w:t>$</w:t>
            </w:r>
          </w:p>
        </w:tc>
        <w:tc>
          <w:tcPr>
            <w:tcW w:w="2100" w:type="dxa"/>
            <w:vAlign w:val="bottom"/>
          </w:tcPr>
          <w:p>
            <w:pPr>
              <w:jc w:val="right"/>
              <w:ind w:right="101"/>
              <w:spacing w:after="0"/>
              <w:rPr>
                <w:sz w:val="20"/>
                <w:szCs w:val="20"/>
                <w:color w:val="auto"/>
              </w:rPr>
            </w:pPr>
            <w:r>
              <w:rPr>
                <w:rFonts w:ascii="Arial" w:cs="Arial" w:eastAsia="Arial" w:hAnsi="Arial"/>
                <w:sz w:val="16"/>
                <w:szCs w:val="16"/>
                <w:color w:val="auto"/>
              </w:rPr>
              <w:t>2.0</w:t>
            </w:r>
          </w:p>
        </w:tc>
      </w:tr>
      <w:tr>
        <w:trPr>
          <w:trHeight w:val="20"/>
        </w:trPr>
        <w:tc>
          <w:tcPr>
            <w:tcW w:w="6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43"/>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and Other Liabilities</w:t>
            </w:r>
          </w:p>
        </w:tc>
        <w:tc>
          <w:tcPr>
            <w:tcW w:w="18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15.0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6"/>
                <w:szCs w:val="16"/>
                <w:color w:val="auto"/>
              </w:rPr>
              <w:t>4.3</w:t>
            </w:r>
          </w:p>
        </w:tc>
      </w:tr>
      <w:tr>
        <w:trPr>
          <w:trHeight w:val="198"/>
        </w:trPr>
        <w:tc>
          <w:tcPr>
            <w:tcW w:w="622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Total Operating Lease Liabilities</w:t>
            </w:r>
          </w:p>
        </w:tc>
        <w:tc>
          <w:tcPr>
            <w:tcW w:w="1820" w:type="dxa"/>
            <w:vAlign w:val="bottom"/>
            <w:tcBorders>
              <w:top w:val="single" w:sz="8" w:color="auto"/>
            </w:tcBorders>
          </w:tcPr>
          <w:p>
            <w:pPr>
              <w:jc w:val="right"/>
              <w:ind w:right="1641"/>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18.6</w:t>
            </w:r>
          </w:p>
        </w:tc>
        <w:tc>
          <w:tcPr>
            <w:tcW w:w="1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210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rPr>
              <w:t>6.3</w:t>
            </w:r>
          </w:p>
        </w:tc>
      </w:tr>
      <w:tr>
        <w:trPr>
          <w:trHeight w:val="33"/>
        </w:trPr>
        <w:tc>
          <w:tcPr>
            <w:tcW w:w="62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72"/>
        </w:trPr>
        <w:tc>
          <w:tcPr>
            <w:tcW w:w="6220" w:type="dxa"/>
            <w:vAlign w:val="bottom"/>
            <w:shd w:val="clear" w:color="auto" w:fill="CCEEFF"/>
          </w:tcPr>
          <w:p>
            <w:pPr>
              <w:spacing w:after="0"/>
              <w:rPr>
                <w:sz w:val="6"/>
                <w:szCs w:val="6"/>
                <w:color w:val="auto"/>
              </w:rPr>
            </w:pPr>
          </w:p>
        </w:tc>
        <w:tc>
          <w:tcPr>
            <w:tcW w:w="182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00" w:type="dxa"/>
            <w:vAlign w:val="bottom"/>
            <w:shd w:val="clear" w:color="auto" w:fill="CCEEFF"/>
          </w:tcPr>
          <w:p>
            <w:pPr>
              <w:spacing w:after="0"/>
              <w:rPr>
                <w:sz w:val="6"/>
                <w:szCs w:val="6"/>
                <w:color w:val="auto"/>
              </w:rPr>
            </w:pPr>
          </w:p>
        </w:tc>
      </w:tr>
      <w:tr>
        <w:trPr>
          <w:trHeight w:val="205"/>
        </w:trPr>
        <w:tc>
          <w:tcPr>
            <w:tcW w:w="6220" w:type="dxa"/>
            <w:vAlign w:val="bottom"/>
          </w:tcPr>
          <w:p>
            <w:pPr>
              <w:ind w:left="20"/>
              <w:spacing w:after="0"/>
              <w:rPr>
                <w:sz w:val="20"/>
                <w:szCs w:val="20"/>
                <w:color w:val="auto"/>
              </w:rPr>
            </w:pPr>
            <w:r>
              <w:rPr>
                <w:rFonts w:ascii="Arial" w:cs="Arial" w:eastAsia="Arial" w:hAnsi="Arial"/>
                <w:sz w:val="16"/>
                <w:szCs w:val="16"/>
                <w:color w:val="auto"/>
              </w:rPr>
              <w:t>Weighted-average remaining lease term (years)</w:t>
            </w:r>
          </w:p>
        </w:tc>
        <w:tc>
          <w:tcPr>
            <w:tcW w:w="1820" w:type="dxa"/>
            <w:vAlign w:val="bottom"/>
          </w:tcPr>
          <w:p>
            <w:pPr>
              <w:spacing w:after="0"/>
              <w:rPr>
                <w:sz w:val="17"/>
                <w:szCs w:val="17"/>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jc w:val="right"/>
              <w:ind w:right="21"/>
              <w:spacing w:after="0"/>
              <w:rPr>
                <w:sz w:val="20"/>
                <w:szCs w:val="20"/>
                <w:color w:val="auto"/>
              </w:rPr>
            </w:pPr>
            <w:r>
              <w:rPr>
                <w:rFonts w:ascii="Arial" w:cs="Arial" w:eastAsia="Arial" w:hAnsi="Arial"/>
                <w:sz w:val="16"/>
                <w:szCs w:val="16"/>
                <w:color w:val="auto"/>
              </w:rPr>
              <w:t>3.2</w:t>
            </w:r>
          </w:p>
        </w:tc>
      </w:tr>
      <w:tr>
        <w:trPr>
          <w:trHeight w:val="20"/>
        </w:trPr>
        <w:tc>
          <w:tcPr>
            <w:tcW w:w="6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05"/>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discount rate</w:t>
            </w:r>
          </w:p>
        </w:tc>
        <w:tc>
          <w:tcPr>
            <w:tcW w:w="18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6.9 %</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r>
      <w:tr>
        <w:trPr>
          <w:trHeight w:val="33"/>
        </w:trPr>
        <w:tc>
          <w:tcPr>
            <w:tcW w:w="62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nine months ended June 30, 2023 and 2022 were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00" w:type="dxa"/>
            <w:vAlign w:val="bottom"/>
          </w:tcPr>
          <w:p>
            <w:pPr>
              <w:spacing w:after="0"/>
              <w:rPr>
                <w:sz w:val="17"/>
                <w:szCs w:val="17"/>
                <w:color w:val="auto"/>
              </w:rPr>
            </w:pPr>
          </w:p>
        </w:tc>
        <w:tc>
          <w:tcPr>
            <w:tcW w:w="18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June 30, 2023</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June 30, 2022</w:t>
            </w:r>
          </w:p>
        </w:tc>
      </w:tr>
      <w:tr>
        <w:trPr>
          <w:trHeight w:val="191"/>
        </w:trPr>
        <w:tc>
          <w:tcPr>
            <w:tcW w:w="6400" w:type="dxa"/>
            <w:vAlign w:val="bottom"/>
          </w:tcPr>
          <w:p>
            <w:pPr>
              <w:ind w:left="20"/>
              <w:spacing w:after="0"/>
              <w:rPr>
                <w:sz w:val="20"/>
                <w:szCs w:val="20"/>
                <w:color w:val="auto"/>
              </w:rPr>
            </w:pPr>
            <w:r>
              <w:rPr>
                <w:rFonts w:ascii="Arial" w:cs="Arial" w:eastAsia="Arial" w:hAnsi="Arial"/>
                <w:sz w:val="16"/>
                <w:szCs w:val="16"/>
                <w:b w:val="1"/>
                <w:bCs w:val="1"/>
                <w:color w:val="auto"/>
              </w:rPr>
              <w:t>Right of use assets obtained in exchange for lease liabilities</w:t>
            </w:r>
          </w:p>
        </w:tc>
        <w:tc>
          <w:tcPr>
            <w:tcW w:w="1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960" w:type="dxa"/>
            <w:vAlign w:val="bottom"/>
          </w:tcPr>
          <w:p>
            <w:pPr>
              <w:spacing w:after="0"/>
              <w:rPr>
                <w:sz w:val="16"/>
                <w:szCs w:val="16"/>
                <w:color w:val="auto"/>
              </w:rPr>
            </w:pPr>
          </w:p>
        </w:tc>
      </w:tr>
      <w:tr>
        <w:trPr>
          <w:trHeight w:val="238"/>
        </w:trPr>
        <w:tc>
          <w:tcPr>
            <w:tcW w:w="6400" w:type="dxa"/>
            <w:vAlign w:val="bottom"/>
          </w:tcPr>
          <w:p>
            <w:pPr>
              <w:ind w:left="120"/>
              <w:spacing w:after="0"/>
              <w:rPr>
                <w:sz w:val="20"/>
                <w:szCs w:val="20"/>
                <w:color w:val="auto"/>
              </w:rPr>
            </w:pPr>
            <w:r>
              <w:rPr>
                <w:rFonts w:ascii="Arial" w:cs="Arial" w:eastAsia="Arial" w:hAnsi="Arial"/>
                <w:sz w:val="16"/>
                <w:szCs w:val="16"/>
                <w:color w:val="auto"/>
              </w:rPr>
              <w:t>Financing Leases</w:t>
            </w:r>
          </w:p>
        </w:tc>
        <w:tc>
          <w:tcPr>
            <w:tcW w:w="1820" w:type="dxa"/>
            <w:vAlign w:val="bottom"/>
          </w:tcPr>
          <w:p>
            <w:pPr>
              <w:jc w:val="right"/>
              <w:ind w:right="1641"/>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960" w:type="dxa"/>
            <w:vAlign w:val="bottom"/>
          </w:tcPr>
          <w:p>
            <w:pPr>
              <w:jc w:val="right"/>
              <w:spacing w:after="0"/>
              <w:rPr>
                <w:sz w:val="20"/>
                <w:szCs w:val="20"/>
                <w:color w:val="auto"/>
              </w:rPr>
            </w:pPr>
            <w:r>
              <w:rPr>
                <w:rFonts w:ascii="Arial" w:cs="Arial" w:eastAsia="Arial" w:hAnsi="Arial"/>
                <w:sz w:val="16"/>
                <w:szCs w:val="16"/>
                <w:color w:val="auto"/>
              </w:rPr>
              <w:t>36.7</w:t>
            </w:r>
          </w:p>
        </w:tc>
      </w:tr>
      <w:tr>
        <w:trPr>
          <w:trHeight w:val="20"/>
        </w:trPr>
        <w:tc>
          <w:tcPr>
            <w:tcW w:w="6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05"/>
        </w:trPr>
        <w:tc>
          <w:tcPr>
            <w:tcW w:w="64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18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64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On April 1, 2022, the Company entered into a real estate lease for a new Corporate Headquarters located in Parsippany, NJ. The lease commenced during the second quarter of fiscal year 2023 and has an initial term of ten years. The Company has options to extend the lease for an additional period of six years and to extend for a subsequent additional period of four years, after the expiration of the first extension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Maturities of the Company's finance and operating lease liabilities as of June 30, 2023 by fiscal year are as follows: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180" w:type="dxa"/>
            <w:vAlign w:val="bottom"/>
          </w:tcPr>
          <w:p>
            <w:pPr>
              <w:spacing w:after="0"/>
              <w:rPr>
                <w:sz w:val="18"/>
                <w:szCs w:val="18"/>
                <w:color w:val="auto"/>
              </w:rPr>
            </w:pPr>
          </w:p>
        </w:tc>
        <w:tc>
          <w:tcPr>
            <w:tcW w:w="17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Finance Leases</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b w:val="1"/>
                <w:bCs w:val="1"/>
                <w:color w:val="auto"/>
              </w:rPr>
              <w:t>Total</w:t>
            </w:r>
          </w:p>
        </w:tc>
      </w:tr>
      <w:tr>
        <w:trPr>
          <w:trHeight w:val="215"/>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1780" w:type="dxa"/>
            <w:vAlign w:val="bottom"/>
            <w:tcBorders>
              <w:bottom w:val="single" w:sz="8" w:color="CCEEFF"/>
            </w:tcBorders>
            <w:shd w:val="clear" w:color="auto" w:fill="CCEEFF"/>
          </w:tcPr>
          <w:p>
            <w:pPr>
              <w:jc w:val="right"/>
              <w:ind w:right="16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0.9</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5"/>
        </w:trPr>
        <w:tc>
          <w:tcPr>
            <w:tcW w:w="4180" w:type="dxa"/>
            <w:vAlign w:val="bottom"/>
          </w:tcPr>
          <w:p>
            <w:pPr>
              <w:ind w:left="120"/>
              <w:spacing w:after="0"/>
              <w:rPr>
                <w:sz w:val="20"/>
                <w:szCs w:val="20"/>
                <w:color w:val="auto"/>
              </w:rPr>
            </w:pPr>
            <w:r>
              <w:rPr>
                <w:rFonts w:ascii="Arial" w:cs="Arial" w:eastAsia="Arial" w:hAnsi="Arial"/>
                <w:sz w:val="16"/>
                <w:szCs w:val="16"/>
                <w:color w:val="auto"/>
              </w:rPr>
              <w:t>2024</w:t>
            </w:r>
          </w:p>
        </w:tc>
        <w:tc>
          <w:tcPr>
            <w:tcW w:w="178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05"/>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7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5"/>
        </w:trPr>
        <w:tc>
          <w:tcPr>
            <w:tcW w:w="4180" w:type="dxa"/>
            <w:vAlign w:val="bottom"/>
          </w:tcPr>
          <w:p>
            <w:pPr>
              <w:ind w:left="120"/>
              <w:spacing w:after="0"/>
              <w:rPr>
                <w:sz w:val="20"/>
                <w:szCs w:val="20"/>
                <w:color w:val="auto"/>
              </w:rPr>
            </w:pPr>
            <w:r>
              <w:rPr>
                <w:rFonts w:ascii="Arial" w:cs="Arial" w:eastAsia="Arial" w:hAnsi="Arial"/>
                <w:sz w:val="16"/>
                <w:szCs w:val="16"/>
                <w:color w:val="auto"/>
              </w:rPr>
              <w:t>2026</w:t>
            </w:r>
          </w:p>
        </w:tc>
        <w:tc>
          <w:tcPr>
            <w:tcW w:w="178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3"/>
        </w:trPr>
        <w:tc>
          <w:tcPr>
            <w:tcW w:w="4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8"/>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2027</w:t>
            </w:r>
          </w:p>
        </w:tc>
        <w:tc>
          <w:tcPr>
            <w:tcW w:w="17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4180" w:type="dxa"/>
            <w:vAlign w:val="bottom"/>
          </w:tcPr>
          <w:p>
            <w:pPr>
              <w:ind w:left="120"/>
              <w:spacing w:after="0"/>
              <w:rPr>
                <w:sz w:val="20"/>
                <w:szCs w:val="20"/>
                <w:color w:val="auto"/>
              </w:rPr>
            </w:pPr>
            <w:r>
              <w:rPr>
                <w:rFonts w:ascii="Arial" w:cs="Arial" w:eastAsia="Arial" w:hAnsi="Arial"/>
                <w:sz w:val="16"/>
                <w:szCs w:val="16"/>
                <w:color w:val="auto"/>
              </w:rPr>
              <w:t>Thereafter</w:t>
            </w:r>
          </w:p>
        </w:tc>
        <w:tc>
          <w:tcPr>
            <w:tcW w:w="1780" w:type="dxa"/>
            <w:vAlign w:val="bottom"/>
          </w:tcPr>
          <w:p>
            <w:pPr>
              <w:spacing w:after="0"/>
              <w:rPr>
                <w:sz w:val="17"/>
                <w:szCs w:val="17"/>
                <w:color w:val="auto"/>
              </w:rPr>
            </w:pPr>
          </w:p>
        </w:tc>
        <w:tc>
          <w:tcPr>
            <w:tcW w:w="480" w:type="dxa"/>
            <w:vAlign w:val="bottom"/>
          </w:tcPr>
          <w:p>
            <w:pPr>
              <w:jc w:val="right"/>
              <w:ind w:right="1"/>
              <w:spacing w:after="0"/>
              <w:rPr>
                <w:sz w:val="20"/>
                <w:szCs w:val="20"/>
                <w:color w:val="auto"/>
              </w:rPr>
            </w:pPr>
            <w:r>
              <w:rPr>
                <w:rFonts w:ascii="Arial" w:cs="Arial" w:eastAsia="Arial" w:hAnsi="Arial"/>
                <w:sz w:val="16"/>
                <w:szCs w:val="16"/>
                <w:color w:val="auto"/>
              </w:rPr>
              <w:t>40.1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20"/>
        </w:trPr>
        <w:tc>
          <w:tcPr>
            <w:tcW w:w="41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31"/>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780" w:type="dxa"/>
            <w:vAlign w:val="bottom"/>
            <w:tcBorders>
              <w:bottom w:val="single" w:sz="8" w:color="CCEEFF"/>
            </w:tcBorders>
            <w:shd w:val="clear" w:color="auto" w:fill="CCEEFF"/>
          </w:tcPr>
          <w:p>
            <w:pPr>
              <w:jc w:val="right"/>
              <w:ind w:right="16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55.8</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198"/>
        </w:trPr>
        <w:tc>
          <w:tcPr>
            <w:tcW w:w="4180" w:type="dxa"/>
            <w:vAlign w:val="bottom"/>
          </w:tcPr>
          <w:p>
            <w:pPr>
              <w:ind w:left="120"/>
              <w:spacing w:after="0"/>
              <w:rPr>
                <w:sz w:val="20"/>
                <w:szCs w:val="20"/>
                <w:color w:val="auto"/>
              </w:rPr>
            </w:pPr>
            <w:r>
              <w:rPr>
                <w:rFonts w:ascii="Arial" w:cs="Arial" w:eastAsia="Arial" w:hAnsi="Arial"/>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w:t>
            </w:r>
          </w:p>
        </w:tc>
      </w:tr>
      <w:tr>
        <w:trPr>
          <w:trHeight w:val="33"/>
        </w:trPr>
        <w:tc>
          <w:tcPr>
            <w:tcW w:w="4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601"/>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35.4</w:t>
            </w: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68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Factors Affecting Forward-Looking Statements</w:t>
      </w:r>
    </w:p>
    <w:p>
      <w:pPr>
        <w:spacing w:after="0" w:line="1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03"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are a leading global medical device company focused on providing solutions to improve the health and well-being of people living with diabetes. Over the close to 100 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w:t>
      </w:r>
    </w:p>
    <w:p>
      <w:pPr>
        <w:spacing w:after="0" w:line="118"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We have a broad portfolio of marketed products, including a variety of pen needles, syringes and safety injection devices, which are complemented by our proprietary digital application designed to assist people with managing their diabetes.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from BD</w:t>
      </w:r>
    </w:p>
    <w:p>
      <w:pPr>
        <w:spacing w:after="0" w:line="1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Pursuant to the Separation and Distribution Agreement, the Separation from BD was completed on April 1, 2022. On March 22, 2022, the record date for the distribution, 57,012,925 issued and outstanding shares of Embecta common stock were distributed pro-rata to BD stockholders as of the close of business, determined by applying a ratio of one share of Embecta common stock for every five shares of BD common stock. "Regular-way" trading of Embecta common stock began on April 1, 2022, under the ticker symbol "EMBC".</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Prior to Separation</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Prior to the Separation, the Company was referred to as the Diabetes Care Business. For periods prior to April 1, 2022, the Condensed Consolidated Financial Statements included certain assets and liabilities that were historically held at the BD corporate level but are specifically identifiable or otherwise allocable to the Diabetes Care 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Periods Post Separation</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the periods subsequent to April 1, 2022, as a standalone publicly traded company, Embecta presents its financial statements on a consolidated basis. The Condensed Consolidated Financial Statements have been prepared in accordance with accounting principles generally accepted in the United States of America.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Affecting Our Results of Operations</w:t>
      </w:r>
    </w:p>
    <w:p>
      <w:pPr>
        <w:spacing w:after="0" w:line="10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Pricing Pressures.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both developed and emerging markets. These trends may reduce our operating margins, which are only partially offset by our ability to differentiate our products and sell at higher prices.</w:t>
      </w:r>
    </w:p>
    <w:p>
      <w:pPr>
        <w:spacing w:after="0" w:line="8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84"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Changes in Clinical Practice. Introduction of new drugs and increased penetration of oral anti-diabetic drugs (e.g., SGLT-2s) and GLP-1s and GLP-1 combination products have delayed initiation of insulin therapy and contributed to less demand for our products. New drug therapies in development are targeted to challenge the current diabetes treatment paradigm, including insulin use. Insulin therapy in developed markets continues to transition to infusion pumps.</w:t>
      </w:r>
    </w:p>
    <w:p>
      <w:pPr>
        <w:spacing w:after="0" w:line="9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Continuing Impact From COVID-19 on Delivery and Allocation of Healthcare. The COVID-19 pandemic accelerated the adoption of, and reimbursement by governments and private payers for, the delivery of healthcare using digital technologies, including telehealth technologies and other at-home self-care solutions and various media for virtual engagement with healthcare providers. Our ability to adapt the delivery of our products and sales and marketing efforts to these trends, including with the development of our diabetes care app, may materially affect our results of operations. The pandemic also caused hospitals and other healthcare providers to reassess their prioritization and allocation of their healthcare resources. In many cases, providers were forced to balance between diverting resources toward COVID-19 needs and maintaining routine care, including for people living with long term conditions. If this trend persists, particularly in regions where COVID-19 continues to spread, it could have an adverse impact on the delivery of care for people with diabetes and our sales and marketing efforts.</w:t>
      </w:r>
    </w:p>
    <w:p>
      <w:pPr>
        <w:spacing w:after="0" w:line="8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9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 Impacts and Response and Global Economic Conditions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Various governmental measures to slow and control the spread of COVID-19 have led to a shift in healthcare priorities, supply chain constraints and the disruption of economic activities worldwide. As further discussed below,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are dependent on certain factors including:</w:t>
      </w:r>
    </w:p>
    <w:p>
      <w:pPr>
        <w:spacing w:after="0" w:line="105" w:lineRule="exact"/>
        <w:rPr>
          <w:sz w:val="20"/>
          <w:szCs w:val="20"/>
          <w:color w:val="auto"/>
        </w:rPr>
      </w:pPr>
    </w:p>
    <w:p>
      <w:pPr>
        <w:ind w:left="960" w:hanging="320"/>
        <w:spacing w:after="0" w:line="248"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extent to which resurgences in COVID-19 infections or new strains of the virus, result in the imposition of new governmental lockdowns, quarantine requirements or other restrictions that may disrupt our operations;</w:t>
      </w:r>
    </w:p>
    <w:p>
      <w:pPr>
        <w:spacing w:after="0" w:line="114" w:lineRule="exact"/>
        <w:rPr>
          <w:rFonts w:ascii="Arial" w:cs="Arial" w:eastAsia="Arial" w:hAnsi="Arial"/>
          <w:sz w:val="18"/>
          <w:szCs w:val="18"/>
          <w:color w:val="auto"/>
        </w:rPr>
      </w:pPr>
    </w:p>
    <w:p>
      <w:pPr>
        <w:ind w:left="960" w:hanging="320"/>
        <w:spacing w:after="0" w:line="26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momentum of the global economy’s recovery from the pandemic and the degree of pressure that a weakened macroeconomic environment would put on the global demand for our products; and</w:t>
      </w:r>
    </w:p>
    <w:p>
      <w:pPr>
        <w:spacing w:after="0" w:line="101" w:lineRule="exact"/>
        <w:rPr>
          <w:rFonts w:ascii="Arial" w:cs="Arial" w:eastAsia="Arial" w:hAnsi="Arial"/>
          <w:sz w:val="18"/>
          <w:szCs w:val="18"/>
          <w:color w:val="auto"/>
        </w:rPr>
      </w:pPr>
    </w:p>
    <w:p>
      <w:pPr>
        <w:ind w:left="960" w:hanging="32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effectiveness of vaccines and vaccination efforts.</w:t>
      </w:r>
    </w:p>
    <w:p>
      <w:pPr>
        <w:spacing w:after="0" w:line="15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w:t>
      </w:r>
    </w:p>
    <w:p>
      <w:pPr>
        <w:spacing w:after="0" w:line="81"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The military conflict in Russia and Ukraine and the sanctions imposed by the United States government and other nations in response to this conflict have caused significant volatility and disruptions to the global markets. For all periods presented, our net sales in Russia and Ukraine were not material to our consolidated net revenues. Although operations in both Russia and Ukraine do not constitute a material portion of our business, there is uncertainty around the military conflict, including further sanctions, and the impact it will have on the global economy, supply chains and energy prices generally, and therefore our business. Refer to the "Risk Factors" set forth in the 2022 Form 10-K for further details.</w:t>
      </w: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our revenues and results of operations may and have been affected by various fluctuations in macroeconomic conditions and regulatory and policy changes, both on a global level and in particular markets, which include inflation and slowing economic growth and contractions, a rising interest rate environment, supply chain interruptions, tariff policy changes, volatility in capital markets and the availability of credit, tax rates and the rate of exchange between the U.S. dollar and foreign currencies. The nature and extent of the impact of these factors among others varies by region and remains uncertain and unpredictable and may affect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Our unaudited Condensed Consolidated Statements of Income are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ind w:left="240"/>
              <w:spacing w:after="0"/>
              <w:rPr>
                <w:sz w:val="20"/>
                <w:szCs w:val="20"/>
                <w:color w:val="auto"/>
              </w:rPr>
            </w:pPr>
            <w:r>
              <w:rPr>
                <w:rFonts w:ascii="Arial" w:cs="Arial" w:eastAsia="Arial" w:hAnsi="Arial"/>
                <w:sz w:val="16"/>
                <w:szCs w:val="16"/>
                <w:b w:val="1"/>
                <w:bCs w:val="1"/>
                <w:color w:val="auto"/>
                <w:w w:val="92"/>
              </w:rPr>
              <w:t>Three months ended June 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6"/>
          </w:tcPr>
          <w:p>
            <w:pPr>
              <w:ind w:left="800"/>
              <w:spacing w:after="0"/>
              <w:rPr>
                <w:sz w:val="20"/>
                <w:szCs w:val="20"/>
                <w:color w:val="auto"/>
              </w:rPr>
            </w:pPr>
            <w:r>
              <w:rPr>
                <w:rFonts w:ascii="Arial" w:cs="Arial" w:eastAsia="Arial" w:hAnsi="Arial"/>
                <w:sz w:val="16"/>
                <w:szCs w:val="16"/>
                <w:b w:val="1"/>
                <w:bCs w:val="1"/>
                <w:color w:val="auto"/>
                <w:w w:val="94"/>
              </w:rPr>
              <w:t>Nine months ended June 30,</w:t>
            </w:r>
          </w:p>
        </w:tc>
        <w:tc>
          <w:tcPr>
            <w:tcW w:w="920" w:type="dxa"/>
            <w:vAlign w:val="bottom"/>
            <w:tcBorders>
              <w:bottom w:val="single" w:sz="8" w:color="auto"/>
            </w:tcBorders>
          </w:tcPr>
          <w:p>
            <w:pPr>
              <w:spacing w:after="0"/>
              <w:rPr>
                <w:sz w:val="18"/>
                <w:szCs w:val="18"/>
                <w:color w:val="auto"/>
              </w:rPr>
            </w:pPr>
          </w:p>
        </w:tc>
      </w:tr>
      <w:tr>
        <w:trPr>
          <w:trHeight w:val="215"/>
        </w:trPr>
        <w:tc>
          <w:tcPr>
            <w:tcW w:w="29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center"/>
              <w:ind w:right="38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8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61"/>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jc w:val="center"/>
              <w:ind w:right="361"/>
              <w:spacing w:after="0"/>
              <w:rPr>
                <w:sz w:val="20"/>
                <w:szCs w:val="20"/>
                <w:color w:val="auto"/>
              </w:rPr>
            </w:pPr>
            <w:r>
              <w:rPr>
                <w:rFonts w:ascii="Arial" w:cs="Arial" w:eastAsia="Arial" w:hAnsi="Arial"/>
                <w:sz w:val="16"/>
                <w:szCs w:val="16"/>
                <w:b w:val="1"/>
                <w:bCs w:val="1"/>
                <w:color w:val="auto"/>
              </w:rPr>
              <w:t>%</w:t>
            </w:r>
          </w:p>
        </w:tc>
      </w:tr>
      <w:tr>
        <w:trPr>
          <w:trHeight w:val="20"/>
        </w:trPr>
        <w:tc>
          <w:tcPr>
            <w:tcW w:w="29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1"/>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800" w:type="dxa"/>
            <w:vAlign w:val="bottom"/>
            <w:tcBorders>
              <w:bottom w:val="single" w:sz="8" w:color="CCEEFF"/>
            </w:tcBorders>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286.1</w:t>
            </w:r>
          </w:p>
        </w:tc>
        <w:tc>
          <w:tcPr>
            <w:tcW w:w="40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380" w:type="dxa"/>
            <w:vAlign w:val="bottom"/>
            <w:tcBorders>
              <w:bottom w:val="single" w:sz="8" w:color="CCEEFF"/>
            </w:tcBorders>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838.9</w:t>
            </w:r>
          </w:p>
        </w:tc>
        <w:tc>
          <w:tcPr>
            <w:tcW w:w="400" w:type="dxa"/>
            <w:vAlign w:val="bottom"/>
            <w:tcBorders>
              <w:bottom w:val="single" w:sz="8" w:color="CCEEFF"/>
            </w:tcBorders>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05"/>
        </w:trPr>
        <w:tc>
          <w:tcPr>
            <w:tcW w:w="2920" w:type="dxa"/>
            <w:vAlign w:val="bottom"/>
          </w:tcPr>
          <w:p>
            <w:pPr>
              <w:ind w:left="20"/>
              <w:spacing w:after="0"/>
              <w:rPr>
                <w:sz w:val="20"/>
                <w:szCs w:val="20"/>
                <w:color w:val="auto"/>
              </w:rPr>
            </w:pPr>
            <w:r>
              <w:rPr>
                <w:rFonts w:ascii="Arial" w:cs="Arial" w:eastAsia="Arial" w:hAnsi="Arial"/>
                <w:sz w:val="16"/>
                <w:szCs w:val="16"/>
                <w:color w:val="auto"/>
              </w:rPr>
              <w:t>Cost of products sold</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96.6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256.9</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5.4</w:t>
            </w:r>
          </w:p>
        </w:tc>
      </w:tr>
      <w:tr>
        <w:trPr>
          <w:trHeight w:val="33"/>
        </w:trPr>
        <w:tc>
          <w:tcPr>
            <w:tcW w:w="29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189.5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202.9</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598.0</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(5.0)</w:t>
            </w:r>
          </w:p>
        </w:tc>
      </w:tr>
      <w:tr>
        <w:trPr>
          <w:trHeight w:val="205"/>
        </w:trPr>
        <w:tc>
          <w:tcPr>
            <w:tcW w:w="29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3"/>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83.8</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212.9</w:t>
            </w: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15.4</w:t>
            </w:r>
          </w:p>
        </w:tc>
      </w:tr>
      <w:tr>
        <w:trPr>
          <w:trHeight w:val="205"/>
        </w:trPr>
        <w:tc>
          <w:tcPr>
            <w:tcW w:w="2920" w:type="dxa"/>
            <w:vAlign w:val="bottom"/>
          </w:tcPr>
          <w:p>
            <w:pPr>
              <w:ind w:left="20"/>
              <w:spacing w:after="0"/>
              <w:rPr>
                <w:sz w:val="20"/>
                <w:szCs w:val="20"/>
                <w:color w:val="auto"/>
              </w:rPr>
            </w:pPr>
            <w:r>
              <w:rPr>
                <w:rFonts w:ascii="Arial" w:cs="Arial" w:eastAsia="Arial" w:hAnsi="Arial"/>
                <w:sz w:val="16"/>
                <w:szCs w:val="16"/>
                <w:color w:val="auto"/>
              </w:rPr>
              <w:t>Research and development expense</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Arial" w:cs="Arial" w:eastAsia="Arial" w:hAnsi="Arial"/>
                <w:sz w:val="16"/>
                <w:szCs w:val="16"/>
                <w:color w:val="auto"/>
              </w:rPr>
              <w:t>58.0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right"/>
              <w:ind w:right="121"/>
              <w:spacing w:after="0"/>
              <w:rPr>
                <w:sz w:val="20"/>
                <w:szCs w:val="20"/>
                <w:color w:val="auto"/>
              </w:rPr>
            </w:pPr>
            <w:r>
              <w:rPr>
                <w:rFonts w:ascii="Arial" w:cs="Arial" w:eastAsia="Arial" w:hAnsi="Arial"/>
                <w:sz w:val="16"/>
                <w:szCs w:val="16"/>
                <w:color w:val="auto"/>
              </w:rPr>
              <w:t>25.7</w:t>
            </w: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operating expenses</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263.6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rPr>
              <w:t>171.7</w:t>
            </w:r>
          </w:p>
        </w:tc>
      </w:tr>
      <w:tr>
        <w:trPr>
          <w:trHeight w:val="198"/>
        </w:trPr>
        <w:tc>
          <w:tcPr>
            <w:tcW w:w="2920" w:type="dxa"/>
            <w:vAlign w:val="bottom"/>
          </w:tcPr>
          <w:p>
            <w:pPr>
              <w:ind w:left="320"/>
              <w:spacing w:after="0"/>
              <w:rPr>
                <w:sz w:val="20"/>
                <w:szCs w:val="20"/>
                <w:color w:val="auto"/>
              </w:rPr>
            </w:pPr>
            <w:r>
              <w:rPr>
                <w:rFonts w:ascii="Arial" w:cs="Arial" w:eastAsia="Arial" w:hAnsi="Arial"/>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138.2</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372.4</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285.4</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21"/>
              <w:spacing w:after="0"/>
              <w:rPr>
                <w:sz w:val="20"/>
                <w:szCs w:val="20"/>
                <w:color w:val="auto"/>
              </w:rPr>
            </w:pPr>
            <w:r>
              <w:rPr>
                <w:rFonts w:ascii="Arial" w:cs="Arial" w:eastAsia="Arial" w:hAnsi="Arial"/>
                <w:sz w:val="16"/>
                <w:szCs w:val="16"/>
                <w:color w:val="auto"/>
              </w:rPr>
              <w:t>30.5</w:t>
            </w:r>
          </w:p>
        </w:tc>
      </w:tr>
      <w:tr>
        <w:trPr>
          <w:trHeight w:val="33"/>
        </w:trPr>
        <w:tc>
          <w:tcPr>
            <w:tcW w:w="29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8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(47.2)</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195.7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(37.4)</w:t>
            </w:r>
          </w:p>
        </w:tc>
      </w:tr>
      <w:tr>
        <w:trPr>
          <w:trHeight w:val="205"/>
        </w:trPr>
        <w:tc>
          <w:tcPr>
            <w:tcW w:w="29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5"/>
              </w:rPr>
              <w:t>(27.0)</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jc w:val="center"/>
              <w:ind w:right="381"/>
              <w:spacing w:after="0"/>
              <w:rPr>
                <w:sz w:val="20"/>
                <w:szCs w:val="20"/>
                <w:color w:val="auto"/>
              </w:rPr>
            </w:pPr>
            <w:r>
              <w:rPr>
                <w:rFonts w:ascii="Arial" w:cs="Arial" w:eastAsia="Arial" w:hAnsi="Arial"/>
                <w:sz w:val="16"/>
                <w:szCs w:val="16"/>
                <w:color w:val="auto"/>
                <w:w w:val="89"/>
              </w:rPr>
              <w:t>nm</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jc w:val="center"/>
              <w:ind w:right="361"/>
              <w:spacing w:after="0"/>
              <w:rPr>
                <w:sz w:val="20"/>
                <w:szCs w:val="20"/>
                <w:color w:val="auto"/>
              </w:rPr>
            </w:pPr>
            <w:r>
              <w:rPr>
                <w:rFonts w:ascii="Arial" w:cs="Arial" w:eastAsia="Arial" w:hAnsi="Arial"/>
                <w:sz w:val="16"/>
                <w:szCs w:val="16"/>
                <w:color w:val="auto"/>
                <w:w w:val="89"/>
              </w:rPr>
              <w:t>nm</w:t>
            </w:r>
          </w:p>
        </w:tc>
      </w:tr>
      <w:tr>
        <w:trPr>
          <w:trHeight w:val="33"/>
        </w:trPr>
        <w:tc>
          <w:tcPr>
            <w:tcW w:w="2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3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center"/>
              <w:ind w:right="381"/>
              <w:spacing w:after="0"/>
              <w:rPr>
                <w:sz w:val="20"/>
                <w:szCs w:val="20"/>
                <w:color w:val="auto"/>
              </w:rPr>
            </w:pPr>
            <w:r>
              <w:rPr>
                <w:rFonts w:ascii="Arial" w:cs="Arial" w:eastAsia="Arial" w:hAnsi="Arial"/>
                <w:sz w:val="16"/>
                <w:szCs w:val="16"/>
                <w:color w:val="auto"/>
                <w:w w:val="89"/>
              </w:rPr>
              <w:t>nm</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center"/>
              <w:ind w:right="361"/>
              <w:spacing w:after="0"/>
              <w:rPr>
                <w:sz w:val="20"/>
                <w:szCs w:val="20"/>
                <w:color w:val="auto"/>
              </w:rPr>
            </w:pPr>
            <w:r>
              <w:rPr>
                <w:rFonts w:ascii="Arial" w:cs="Arial" w:eastAsia="Arial" w:hAnsi="Arial"/>
                <w:sz w:val="16"/>
                <w:szCs w:val="16"/>
                <w:color w:val="auto"/>
                <w:w w:val="89"/>
              </w:rPr>
              <w:t>nm</w:t>
            </w:r>
          </w:p>
        </w:tc>
      </w:tr>
      <w:tr>
        <w:trPr>
          <w:trHeight w:val="198"/>
        </w:trPr>
        <w:tc>
          <w:tcPr>
            <w:tcW w:w="29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73.6</w:t>
            </w: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(72.7)</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100.7</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284.1</w:t>
            </w:r>
          </w:p>
        </w:tc>
        <w:tc>
          <w:tcPr>
            <w:tcW w:w="12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81"/>
              <w:spacing w:after="0"/>
              <w:rPr>
                <w:sz w:val="20"/>
                <w:szCs w:val="20"/>
                <w:color w:val="auto"/>
              </w:rPr>
            </w:pPr>
            <w:r>
              <w:rPr>
                <w:rFonts w:ascii="Arial" w:cs="Arial" w:eastAsia="Arial" w:hAnsi="Arial"/>
                <w:sz w:val="16"/>
                <w:szCs w:val="16"/>
                <w:color w:val="auto"/>
              </w:rPr>
              <w:t>(64.6)</w:t>
            </w: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8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(56.3)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(16.2)</w:t>
            </w:r>
          </w:p>
        </w:tc>
      </w:tr>
      <w:tr>
        <w:trPr>
          <w:trHeight w:val="198"/>
        </w:trPr>
        <w:tc>
          <w:tcPr>
            <w:tcW w:w="292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Net Income</w:t>
            </w:r>
          </w:p>
        </w:tc>
        <w:tc>
          <w:tcPr>
            <w:tcW w:w="80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240.8</w:t>
            </w: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(73.3)%</w:t>
            </w:r>
          </w:p>
        </w:tc>
      </w:tr>
      <w:tr>
        <w:trPr>
          <w:trHeight w:val="33"/>
        </w:trPr>
        <w:tc>
          <w:tcPr>
            <w:tcW w:w="29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29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1"/>
        </w:trPr>
        <w:tc>
          <w:tcPr>
            <w:tcW w:w="29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05"/>
        </w:trPr>
        <w:tc>
          <w:tcPr>
            <w:tcW w:w="292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
        </w:trPr>
        <w:tc>
          <w:tcPr>
            <w:tcW w:w="2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38"/>
        </w:trPr>
        <w:tc>
          <w:tcPr>
            <w:tcW w:w="2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800" w:type="dxa"/>
            <w:vAlign w:val="bottom"/>
            <w:shd w:val="clear" w:color="auto" w:fill="CCEEFF"/>
          </w:tcPr>
          <w:p>
            <w:pPr>
              <w:jc w:val="right"/>
              <w:ind w:right="621"/>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0.27</w:t>
            </w:r>
          </w:p>
        </w:tc>
        <w:tc>
          <w:tcPr>
            <w:tcW w:w="40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jc w:val="center"/>
              <w:ind w:right="381"/>
              <w:spacing w:after="0"/>
              <w:rPr>
                <w:sz w:val="20"/>
                <w:szCs w:val="20"/>
                <w:color w:val="auto"/>
              </w:rPr>
            </w:pPr>
            <w:r>
              <w:rPr>
                <w:rFonts w:ascii="Arial" w:cs="Arial" w:eastAsia="Arial" w:hAnsi="Arial"/>
                <w:sz w:val="16"/>
                <w:szCs w:val="16"/>
                <w:color w:val="auto"/>
                <w:w w:val="89"/>
              </w:rPr>
              <w:t>nm</w:t>
            </w:r>
          </w:p>
        </w:tc>
        <w:tc>
          <w:tcPr>
            <w:tcW w:w="380" w:type="dxa"/>
            <w:vAlign w:val="bottom"/>
            <w:gridSpan w:val="2"/>
            <w:shd w:val="clear" w:color="auto" w:fill="CCEEFF"/>
          </w:tcPr>
          <w:p>
            <w:pPr>
              <w:jc w:val="right"/>
              <w:ind w:right="106"/>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400" w:type="dxa"/>
            <w:vAlign w:val="bottom"/>
            <w:gridSpan w:val="2"/>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center"/>
              <w:ind w:right="361"/>
              <w:spacing w:after="0"/>
              <w:rPr>
                <w:sz w:val="20"/>
                <w:szCs w:val="20"/>
                <w:color w:val="auto"/>
              </w:rPr>
            </w:pPr>
            <w:r>
              <w:rPr>
                <w:rFonts w:ascii="Arial" w:cs="Arial" w:eastAsia="Arial" w:hAnsi="Arial"/>
                <w:sz w:val="16"/>
                <w:szCs w:val="16"/>
                <w:color w:val="auto"/>
                <w:w w:val="89"/>
              </w:rPr>
              <w:t>nm</w:t>
            </w:r>
          </w:p>
        </w:tc>
      </w:tr>
      <w:tr>
        <w:trPr>
          <w:trHeight w:val="231"/>
        </w:trPr>
        <w:tc>
          <w:tcPr>
            <w:tcW w:w="2920" w:type="dxa"/>
            <w:vAlign w:val="bottom"/>
          </w:tcPr>
          <w:p>
            <w:pPr>
              <w:ind w:left="120"/>
              <w:spacing w:after="0"/>
              <w:rPr>
                <w:sz w:val="20"/>
                <w:szCs w:val="20"/>
                <w:color w:val="auto"/>
              </w:rPr>
            </w:pPr>
            <w:r>
              <w:rPr>
                <w:rFonts w:ascii="Arial" w:cs="Arial" w:eastAsia="Arial" w:hAnsi="Arial"/>
                <w:sz w:val="16"/>
                <w:szCs w:val="16"/>
                <w:color w:val="auto"/>
              </w:rPr>
              <w:t>Diluted</w:t>
            </w:r>
          </w:p>
        </w:tc>
        <w:tc>
          <w:tcPr>
            <w:tcW w:w="800" w:type="dxa"/>
            <w:vAlign w:val="bottom"/>
          </w:tcPr>
          <w:p>
            <w:pPr>
              <w:jc w:val="right"/>
              <w:ind w:right="621"/>
              <w:spacing w:after="0"/>
              <w:rPr>
                <w:sz w:val="20"/>
                <w:szCs w:val="20"/>
                <w:color w:val="auto"/>
              </w:rPr>
            </w:pPr>
            <w:r>
              <w:rPr>
                <w:rFonts w:ascii="Arial" w:cs="Arial" w:eastAsia="Arial" w:hAnsi="Arial"/>
                <w:sz w:val="16"/>
                <w:szCs w:val="16"/>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0.26</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center"/>
              <w:ind w:right="381"/>
              <w:spacing w:after="0"/>
              <w:rPr>
                <w:sz w:val="20"/>
                <w:szCs w:val="20"/>
                <w:color w:val="auto"/>
              </w:rPr>
            </w:pPr>
            <w:r>
              <w:rPr>
                <w:rFonts w:ascii="Arial" w:cs="Arial" w:eastAsia="Arial" w:hAnsi="Arial"/>
                <w:sz w:val="16"/>
                <w:szCs w:val="16"/>
                <w:color w:val="auto"/>
                <w:w w:val="89"/>
              </w:rPr>
              <w:t>nm</w:t>
            </w:r>
          </w:p>
        </w:tc>
        <w:tc>
          <w:tcPr>
            <w:tcW w:w="380" w:type="dxa"/>
            <w:vAlign w:val="bottom"/>
            <w:gridSpan w:val="2"/>
          </w:tcPr>
          <w:p>
            <w:pPr>
              <w:jc w:val="right"/>
              <w:ind w:right="106"/>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1.12</w:t>
            </w:r>
          </w:p>
        </w:tc>
        <w:tc>
          <w:tcPr>
            <w:tcW w:w="40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center"/>
              <w:ind w:right="361"/>
              <w:spacing w:after="0"/>
              <w:rPr>
                <w:sz w:val="20"/>
                <w:szCs w:val="20"/>
                <w:color w:val="auto"/>
              </w:rPr>
            </w:pPr>
            <w:r>
              <w:rPr>
                <w:rFonts w:ascii="Arial" w:cs="Arial" w:eastAsia="Arial" w:hAnsi="Arial"/>
                <w:sz w:val="16"/>
                <w:szCs w:val="16"/>
                <w:color w:val="auto"/>
                <w:w w:val="89"/>
              </w:rPr>
              <w:t>nm</w:t>
            </w:r>
          </w:p>
        </w:tc>
      </w:tr>
    </w:tbl>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2023 Summary (on a comparative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Key financial results for the three months ended June 30, 2023 were as follows:</w:t>
      </w:r>
    </w:p>
    <w:p>
      <w:pPr>
        <w:spacing w:after="0" w:line="137" w:lineRule="exact"/>
        <w:rPr>
          <w:sz w:val="20"/>
          <w:szCs w:val="20"/>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decreased by $5.0 million to $286.1 million from $291.1 million;</w:t>
      </w:r>
    </w:p>
    <w:p>
      <w:pPr>
        <w:spacing w:after="0" w:line="136" w:lineRule="exact"/>
        <w:rPr>
          <w:rFonts w:ascii="Arial" w:cs="Arial" w:eastAsia="Arial" w:hAnsi="Arial"/>
          <w:sz w:val="18"/>
          <w:szCs w:val="18"/>
          <w:color w:val="auto"/>
        </w:rPr>
      </w:pPr>
    </w:p>
    <w:p>
      <w:pPr>
        <w:ind w:left="960" w:hanging="320"/>
        <w:spacing w:after="0" w:line="248"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Gross profit decreased by $13.4 million to $189.5 million from $202.9 million. Gross profit as a percent of revenue was 66.2%, as compared to 69.7% in the prior year comparative period;</w:t>
      </w:r>
    </w:p>
    <w:p>
      <w:pPr>
        <w:spacing w:after="0" w:line="114" w:lineRule="exact"/>
        <w:rPr>
          <w:rFonts w:ascii="Arial" w:cs="Arial" w:eastAsia="Arial" w:hAnsi="Arial"/>
          <w:sz w:val="18"/>
          <w:szCs w:val="18"/>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income decreased by $45.8 million to $51.3 million from $97.1 million; and</w:t>
      </w:r>
    </w:p>
    <w:p>
      <w:pPr>
        <w:spacing w:after="0" w:line="136" w:lineRule="exact"/>
        <w:rPr>
          <w:rFonts w:ascii="Arial" w:cs="Arial" w:eastAsia="Arial" w:hAnsi="Arial"/>
          <w:sz w:val="18"/>
          <w:szCs w:val="18"/>
          <w:color w:val="auto"/>
        </w:rPr>
      </w:pPr>
    </w:p>
    <w:p>
      <w:pPr>
        <w:ind w:left="960" w:hanging="320"/>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income decreased by $47.2 million to $15.2 million from $62.4 million.</w:t>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2023 Summary (on a comparative basis)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Key financial results for the nine months ended June 30, 2023 were as follows:</w:t>
      </w:r>
    </w:p>
    <w:p>
      <w:pPr>
        <w:spacing w:after="0" w:line="137" w:lineRule="exact"/>
        <w:rPr>
          <w:sz w:val="20"/>
          <w:szCs w:val="20"/>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decreased by $16.0 million to $838.9 million from $854.9 million;</w:t>
      </w:r>
    </w:p>
    <w:p>
      <w:pPr>
        <w:spacing w:after="0" w:line="136" w:lineRule="exact"/>
        <w:rPr>
          <w:rFonts w:ascii="Arial" w:cs="Arial" w:eastAsia="Arial" w:hAnsi="Arial"/>
          <w:sz w:val="18"/>
          <w:szCs w:val="18"/>
          <w:color w:val="auto"/>
        </w:rPr>
      </w:pPr>
    </w:p>
    <w:p>
      <w:pPr>
        <w:ind w:left="960" w:hanging="320"/>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Gross profit decreased by $29.9 million to $568.1 million, compared to $598.0 million. Gross profit as a percent of revenue was 67.7%, as compared to 69.9% in the prior year comparative period;</w:t>
      </w:r>
    </w:p>
    <w:p>
      <w:pPr>
        <w:spacing w:after="0" w:line="101"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Operating income decreased by $116.9 million to $195.7 million from $312.6 million; and</w:t>
      </w:r>
    </w:p>
    <w:p>
      <w:pPr>
        <w:spacing w:after="0" w:line="136" w:lineRule="exact"/>
        <w:rPr>
          <w:rFonts w:ascii="Arial" w:cs="Arial" w:eastAsia="Arial" w:hAnsi="Arial"/>
          <w:sz w:val="18"/>
          <w:szCs w:val="18"/>
          <w:color w:val="auto"/>
        </w:rPr>
      </w:pPr>
    </w:p>
    <w:p>
      <w:pPr>
        <w:ind w:left="960" w:hanging="320"/>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Net income decreased by $176.4 million to $64.4 million from $240.8 million.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Our revenues decreased by $5.0 million, or 1.7%, to $286.1 million for the three months ended June 30, 2023 as compared to revenues of $291.1 million for the three months ended June 30, 2022. Changes in our revenues are driven by the volume of goods that we sell, the prices we negotiate with customers and changes in foreign exchange rates. The decrease in revenues was driven by $4.1 million associated with the negative impact of foreign currency translation primarily due to the strengthening of the U.S. dollar, a $2.3 million decrease in contract manufacturing </w:t>
      </w:r>
      <w:r>
        <w:rPr>
          <w:rFonts w:ascii="Arial" w:cs="Arial" w:eastAsia="Arial" w:hAnsi="Arial"/>
          <w:sz w:val="15"/>
          <w:szCs w:val="15"/>
          <w:color w:val="auto"/>
        </w:rPr>
        <w:t>and sales of non-diabetes products within the U.S. to BD</w:t>
      </w:r>
      <w:r>
        <w:rPr>
          <w:rFonts w:ascii="Arial" w:cs="Arial" w:eastAsia="Arial" w:hAnsi="Arial"/>
          <w:sz w:val="17"/>
          <w:szCs w:val="17"/>
          <w:color w:val="auto"/>
        </w:rPr>
        <w:t>, and $1.8 million of unfavorable changes in price and volume in the U.S. This was partially offset by increases in revenues driven by $3.2 million of favorable changes in price and volume in our International operations.</w:t>
      </w:r>
    </w:p>
    <w:p>
      <w:pPr>
        <w:spacing w:after="0" w:line="17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Our revenues decreased by $16.0 million, or 1.9%, to $838.9 million for the nine months ended June 30, 2023 as compared to revenues of $854.9 million for the nine months ended June 30, 2022. The decrease in revenues was primarily driven by $28.1 million associated with the negative impact of foreign currency translation primarily due to the strengthening of the U.S. dollar and $6.2 million of unfavorable changes in price and volume in the U.S. This was partially offset by increases in revenues driven by $12.9 million of favorable changes in price and volume in our International operations and a $5.4 million increase in</w:t>
      </w:r>
    </w:p>
    <w:p>
      <w:pPr>
        <w:spacing w:after="0"/>
        <w:rPr>
          <w:sz w:val="20"/>
          <w:szCs w:val="20"/>
          <w:color w:val="auto"/>
        </w:rPr>
      </w:pPr>
      <w:r>
        <w:rPr>
          <w:rFonts w:ascii="Arial" w:cs="Arial" w:eastAsia="Arial" w:hAnsi="Arial"/>
          <w:sz w:val="18"/>
          <w:szCs w:val="18"/>
          <w:color w:val="auto"/>
        </w:rPr>
        <w:t xml:space="preserve">contract manufacturing </w:t>
      </w:r>
      <w:r>
        <w:rPr>
          <w:rFonts w:ascii="Arial" w:cs="Arial" w:eastAsia="Arial" w:hAnsi="Arial"/>
          <w:sz w:val="16"/>
          <w:szCs w:val="16"/>
          <w:color w:val="auto"/>
        </w:rPr>
        <w:t>and sales of non-diabetes products within the U.S. to BD.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by geographic region are as follows: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66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61"/>
              <w:spacing w:after="0"/>
              <w:rPr>
                <w:sz w:val="20"/>
                <w:szCs w:val="20"/>
                <w:color w:val="auto"/>
              </w:rPr>
            </w:pPr>
            <w:r>
              <w:rPr>
                <w:rFonts w:ascii="Arial" w:cs="Arial" w:eastAsia="Arial" w:hAnsi="Arial"/>
                <w:sz w:val="16"/>
                <w:szCs w:val="16"/>
                <w:b w:val="1"/>
                <w:bCs w:val="1"/>
                <w:color w:val="auto"/>
                <w:w w:val="88"/>
              </w:rPr>
              <w:t>Three months ended June 30,</w:t>
            </w:r>
          </w:p>
        </w:tc>
        <w:tc>
          <w:tcPr>
            <w:tcW w:w="16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6"/>
                <w:szCs w:val="16"/>
                <w:b w:val="1"/>
                <w:bCs w:val="1"/>
                <w:color w:val="auto"/>
                <w:w w:val="89"/>
              </w:rPr>
              <w:t>Nine months ended June 30,</w:t>
            </w:r>
          </w:p>
        </w:tc>
      </w:tr>
      <w:tr>
        <w:trPr>
          <w:trHeight w:val="202"/>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ind w:right="321"/>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81"/>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960" w:type="dxa"/>
            <w:vAlign w:val="bottom"/>
          </w:tcPr>
          <w:p>
            <w:pPr>
              <w:jc w:val="right"/>
              <w:ind w:right="321"/>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301"/>
              <w:spacing w:after="0"/>
              <w:rPr>
                <w:sz w:val="20"/>
                <w:szCs w:val="20"/>
                <w:color w:val="auto"/>
              </w:rPr>
            </w:pPr>
            <w:r>
              <w:rPr>
                <w:rFonts w:ascii="Arial" w:cs="Arial" w:eastAsia="Arial" w:hAnsi="Arial"/>
                <w:sz w:val="16"/>
                <w:szCs w:val="16"/>
                <w:b w:val="1"/>
                <w:bCs w:val="1"/>
                <w:color w:val="auto"/>
              </w:rPr>
              <w:t>2022</w:t>
            </w:r>
          </w:p>
        </w:tc>
      </w:tr>
      <w:tr>
        <w:trPr>
          <w:trHeight w:val="33"/>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153.9</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449.6</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450.4</w:t>
            </w:r>
          </w:p>
        </w:tc>
      </w:tr>
      <w:tr>
        <w:trPr>
          <w:trHeight w:val="205"/>
        </w:trPr>
        <w:tc>
          <w:tcPr>
            <w:tcW w:w="660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120" w:type="dxa"/>
            <w:vAlign w:val="bottom"/>
          </w:tcPr>
          <w:p>
            <w:pPr>
              <w:spacing w:after="0"/>
              <w:rPr>
                <w:sz w:val="17"/>
                <w:szCs w:val="17"/>
                <w:color w:val="auto"/>
              </w:rPr>
            </w:pP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132.2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133.1</w:t>
            </w:r>
          </w:p>
        </w:tc>
        <w:tc>
          <w:tcPr>
            <w:tcW w:w="160" w:type="dxa"/>
            <w:vAlign w:val="bottom"/>
          </w:tcPr>
          <w:p>
            <w:pPr>
              <w:spacing w:after="0"/>
              <w:rPr>
                <w:sz w:val="17"/>
                <w:szCs w:val="17"/>
                <w:color w:val="auto"/>
              </w:rPr>
            </w:pPr>
          </w:p>
        </w:tc>
        <w:tc>
          <w:tcPr>
            <w:tcW w:w="960" w:type="dxa"/>
            <w:vAlign w:val="bottom"/>
          </w:tcPr>
          <w:p>
            <w:pPr>
              <w:jc w:val="right"/>
              <w:ind w:right="1"/>
              <w:spacing w:after="0"/>
              <w:rPr>
                <w:sz w:val="20"/>
                <w:szCs w:val="20"/>
                <w:color w:val="auto"/>
              </w:rPr>
            </w:pPr>
            <w:r>
              <w:rPr>
                <w:rFonts w:ascii="Arial" w:cs="Arial" w:eastAsia="Arial" w:hAnsi="Arial"/>
                <w:sz w:val="16"/>
                <w:szCs w:val="16"/>
                <w:color w:val="auto"/>
              </w:rPr>
              <w:t>389.3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404.5</w:t>
            </w:r>
          </w:p>
        </w:tc>
      </w:tr>
      <w:tr>
        <w:trPr>
          <w:trHeight w:val="33"/>
        </w:trPr>
        <w:tc>
          <w:tcPr>
            <w:tcW w:w="6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286.1</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838.9</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products sold</w:t>
      </w:r>
    </w:p>
    <w:p>
      <w:pPr>
        <w:spacing w:after="0" w:line="11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Cost of products sold increased by $8.4 million, or 9.5%, to $96.6 million for the three months ended June 30, 2023 as compared to $88.2 million for the three months ended June 30, 2022. Cost of products sold as a percentage of revenues was 33.8% for the three months ended June 30, 2023 as compared to 30.3% for the three months ended June 30, 2022. Cost of products sold increased by $13.9 million, or 5.4%, to $270.8 million for the nine months ended June 30, 2023 as compared to $256.9 million for the nine months ended June 30, 2022. Cost of products sold as a percentage of revenues were 32.3% for the nine months ended June 30, 2023 as compared to 30.1% in the nine months ended June 30, 2022. The increases in cost of products sold for the three and nine month comparative periods were primarily driven by the impact of inflation on the costs of certain raw materials (including freight), direct labor, and overhead. The increase for the nine month comparative period was also driven by higher costs associated with the Cannula Supply Agreement with BD post Separation. We intend to continue to work to improve productivity to help partially offset these increased costs.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9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and administrative expenses increased by $3.8 million, or 4.5%, to $87.6 million for the three months ended June 30, 2023 as compared to $83.8 million for the three months ended June 30, 2022. Selling and administrative expenses increased by $32.7 million, or 15.4%, to $245.6 million for the nine months ended June 30, 2023 as compared to $212.9 million for the nine months ended June 30, 2022. The increases for the three and nine month comparative periods were primarily driven by an increase in compensation and benefit costs due to increased headcount attributed to the Separation and Embecta becoming a stand-alone publicly-traded company.</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Research and development expenses increased by $8.3 million, or 58.0%, to $22.6 million for the three months ended June 30, 2023 as compared to $14.3 million for the three months ended June 30, 2022. Research and development expenses increased by $12.6 million, or 25.7%, to $61.6 million for the nine months ended June 30, 2023 as compared to $49.0 million for the nine months ended June 30, 2022. The increases for the three and nine month comparative periods were primarily driven by increased investment in our insulin patch pump program. The increase for the nine month comparative period was also driven by amounts paid in connection with a collaboration arrangement. For details on the collaboration arrangement refer to Note 4 within the </w:t>
      </w:r>
      <w:r>
        <w:rPr>
          <w:rFonts w:ascii="Arial" w:cs="Arial" w:eastAsia="Arial" w:hAnsi="Arial"/>
          <w:sz w:val="17"/>
          <w:szCs w:val="17"/>
          <w:i w:val="1"/>
          <w:iCs w:val="1"/>
          <w:color w:val="auto"/>
        </w:rPr>
        <w:t>Notes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Condensed Consolidated Financial Statements </w:t>
      </w:r>
      <w:r>
        <w:rPr>
          <w:rFonts w:ascii="Arial" w:cs="Arial" w:eastAsia="Arial" w:hAnsi="Arial"/>
          <w:sz w:val="17"/>
          <w:szCs w:val="17"/>
          <w:color w:val="auto"/>
        </w:rPr>
        <w:t>within this Form 10-Q.</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incurred other operating expenses of $28.0 million and $7.7 million for the three months ended June 30, 2023 and 2022, respectively, and $65.2 million and $23.5 million for the nine months ended June 30, 2023 and 2022, respectively, driven by costs related to the Separation. The costs incurred primarily relate to accounting, auditing, legal services, supply chain, employee retention, costs associated with the implementation of the Company's new ERP, and certain other costs to establish certain stand-alone functions to assist with the transition to being a stand-alone entity.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Interest expense, net increased by $7.5 million to $27.0 million for the three months ended June 30, 2023 as compared to $19.5 million for the three months ended June 30, 2022. Interest expense, net increased by $55.0 million to $79.4 million for the nine months ended June 30, 2023 as compared to $24.4 million for the nine months ended June 30, 2022. The increase for the three month comparative period is primarily a result of higher interest rates on our variable rate debt. The increase for the nine month comparative period was primarily a result of debt outstanding for a longer period of time for fiscal year 2023 as compared to fiscal year 2022 and higher interest rates on our variable rate debt.</w:t>
      </w:r>
    </w:p>
    <w:p>
      <w:pPr>
        <w:spacing w:after="0" w:line="6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 xml:space="preserve">If the United States Federal Reserve continues to raise the benchmark interest rate, then we would expect the interest expense on our variable rate debt to increase during the remainder of fiscal 2023. See "Liquidity and Capital Resources" below and Note 11 within the </w:t>
      </w:r>
      <w:r>
        <w:rPr>
          <w:rFonts w:ascii="Arial" w:cs="Arial" w:eastAsia="Arial" w:hAnsi="Arial"/>
          <w:sz w:val="18"/>
          <w:szCs w:val="18"/>
          <w:i w:val="1"/>
          <w:iCs w:val="1"/>
          <w:color w:val="auto"/>
        </w:rPr>
        <w:t>Notes to Condensed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this Form 10-Q for a further description of our long-term debt.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Other income (expense), net, was $(4.2) million and $(4.0) million for the three months ended June 30, 2023 and 2022, respectively and $(15.6) million and $(4.1) million for the nine months ended June 30, 2023 and 2022, respectively. The costs incurred primarily relate to amounts due to BD for income taxes payable incurred in deferred jurisdictions where BD is considered the primary obligor.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1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effective tax rates were 24.4% and 15.2% for the three months ended June 30, 2023 and 2022, respectively, and 36.0% and 15.2% for the nine months ended June 30, 2023 and 2022, respectively. The increase in the Company’s effective tax rates for both comparative periods are primarily due to an increase in the valuation allowance on the utilization of interest expense carryforwards related to U.S. interest deduction limitation rules, higher tax expense on undistributed earnings of foreign subsidiaries and an increase in non-deductible expenses; partially offset by lower U.S. tax expense on earnings of foreign affiliates.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share repurchases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In February 2022, and in connection with the Separation, Embecta issued $500.0 million aggregate principal amount of 5.00% senior secured notes due February 15, 2030. </w:t>
      </w:r>
      <w:r>
        <w:rPr>
          <w:rFonts w:ascii="Arial" w:cs="Arial" w:eastAsia="Arial" w:hAnsi="Arial"/>
          <w:sz w:val="18"/>
          <w:szCs w:val="18"/>
          <w:color w:val="2B2A29"/>
        </w:rPr>
        <w:t>Interest payments on the</w:t>
      </w:r>
      <w:r>
        <w:rPr>
          <w:rFonts w:ascii="Arial" w:cs="Arial" w:eastAsia="Arial" w:hAnsi="Arial"/>
          <w:sz w:val="18"/>
          <w:szCs w:val="18"/>
          <w:color w:val="auto"/>
        </w:rPr>
        <w:t xml:space="preserve"> 5.00% </w:t>
      </w:r>
      <w:r>
        <w:rPr>
          <w:rFonts w:ascii="Arial" w:cs="Arial" w:eastAsia="Arial" w:hAnsi="Arial"/>
          <w:sz w:val="18"/>
          <w:szCs w:val="18"/>
          <w:color w:val="2B2A29"/>
        </w:rPr>
        <w:t>Notes are due semi-annually in February and August until maturity. Interest payments began in August</w:t>
      </w:r>
      <w:r>
        <w:rPr>
          <w:rFonts w:ascii="Arial" w:cs="Arial" w:eastAsia="Arial" w:hAnsi="Arial"/>
          <w:sz w:val="18"/>
          <w:szCs w:val="18"/>
          <w:color w:val="auto"/>
        </w:rPr>
        <w:t xml:space="preserve"> </w:t>
      </w:r>
      <w:r>
        <w:rPr>
          <w:rFonts w:ascii="Arial" w:cs="Arial" w:eastAsia="Arial" w:hAnsi="Arial"/>
          <w:sz w:val="18"/>
          <w:szCs w:val="18"/>
          <w:color w:val="2B2A29"/>
        </w:rPr>
        <w:t>2022</w:t>
      </w:r>
      <w:r>
        <w:rPr>
          <w:rFonts w:ascii="Arial" w:cs="Arial" w:eastAsia="Arial" w:hAnsi="Arial"/>
          <w:sz w:val="18"/>
          <w:szCs w:val="18"/>
          <w:color w:val="000000"/>
        </w:rPr>
        <w:t>.</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3" w:lineRule="auto"/>
        <w:rPr>
          <w:sz w:val="20"/>
          <w:szCs w:val="20"/>
          <w:color w:val="auto"/>
        </w:rPr>
      </w:pPr>
      <w:r>
        <w:rPr>
          <w:rFonts w:ascii="Arial" w:cs="Arial" w:eastAsia="Arial" w:hAnsi="Arial"/>
          <w:sz w:val="15"/>
          <w:szCs w:val="15"/>
          <w:color w:val="auto"/>
        </w:rPr>
        <w:t xml:space="preserve">In March 2022, we entered into a credit agreement, providing for the Term Loan in the amount of $950.0 million, with a </w:t>
      </w:r>
      <w:r>
        <w:rPr>
          <w:rFonts w:ascii="Arial" w:cs="Arial" w:eastAsia="Arial" w:hAnsi="Arial"/>
          <w:sz w:val="15"/>
          <w:szCs w:val="15"/>
          <w:color w:val="2B2A29"/>
        </w:rPr>
        <w:t>seven</w:t>
      </w:r>
      <w:r>
        <w:rPr>
          <w:rFonts w:ascii="Arial" w:cs="Arial" w:eastAsia="Arial" w:hAnsi="Arial"/>
          <w:sz w:val="15"/>
          <w:szCs w:val="15"/>
          <w:color w:val="auto"/>
        </w:rPr>
        <w:t xml:space="preserve">-year </w:t>
      </w:r>
      <w:r>
        <w:rPr>
          <w:rFonts w:ascii="Arial" w:cs="Arial" w:eastAsia="Arial" w:hAnsi="Arial"/>
          <w:sz w:val="15"/>
          <w:szCs w:val="15"/>
          <w:color w:val="2B2A29"/>
        </w:rPr>
        <w:t>term that matures in</w:t>
      </w:r>
      <w:r>
        <w:rPr>
          <w:rFonts w:ascii="Arial" w:cs="Arial" w:eastAsia="Arial" w:hAnsi="Arial"/>
          <w:sz w:val="15"/>
          <w:szCs w:val="15"/>
          <w:color w:val="auto"/>
        </w:rPr>
        <w:t xml:space="preserve"> </w:t>
      </w:r>
      <w:r>
        <w:rPr>
          <w:rFonts w:ascii="Arial" w:cs="Arial" w:eastAsia="Arial" w:hAnsi="Arial"/>
          <w:sz w:val="15"/>
          <w:szCs w:val="15"/>
          <w:color w:val="2B2A29"/>
        </w:rPr>
        <w:t xml:space="preserve">March 2029 and </w:t>
      </w:r>
      <w:r>
        <w:rPr>
          <w:rFonts w:ascii="Arial" w:cs="Arial" w:eastAsia="Arial" w:hAnsi="Arial"/>
          <w:sz w:val="15"/>
          <w:szCs w:val="15"/>
          <w:color w:val="000000"/>
        </w:rPr>
        <w:t>a Revolving Credit Facility in an aggregate principal amount of up to $500.0 million, with a</w:t>
      </w:r>
      <w:r>
        <w:rPr>
          <w:rFonts w:ascii="Arial" w:cs="Arial" w:eastAsia="Arial" w:hAnsi="Arial"/>
          <w:sz w:val="15"/>
          <w:szCs w:val="15"/>
          <w:color w:val="2B2A29"/>
        </w:rPr>
        <w:t xml:space="preserve"> five</w:t>
      </w:r>
      <w:r>
        <w:rPr>
          <w:rFonts w:ascii="Arial" w:cs="Arial" w:eastAsia="Arial" w:hAnsi="Arial"/>
          <w:sz w:val="15"/>
          <w:szCs w:val="15"/>
          <w:color w:val="000000"/>
        </w:rPr>
        <w:t>-year term that matures in 2027.</w:t>
      </w:r>
      <w:r>
        <w:rPr>
          <w:rFonts w:ascii="Arial" w:cs="Arial" w:eastAsia="Arial" w:hAnsi="Arial"/>
          <w:sz w:val="15"/>
          <w:szCs w:val="15"/>
          <w:color w:val="2B2A29"/>
        </w:rPr>
        <w:t xml:space="preserve"> The interest rate on the Term Loan is 300 basis points over SOFR, with a 0.50% SOFR floor. Principal and interest payments on the Term Loan began on June 30, 2022. Such quarterly principal payments are calculated as 0.25% of the initial principal amount, with the remaining balance payable upon maturity. Principal amounts repaid under the Term Loan may not be reborrowed by us. Borrowings under the Revolving Credit Facility bear interest, at Embecta’s option, initially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w:t>
      </w:r>
      <w:r>
        <w:rPr>
          <w:rFonts w:ascii="Arial" w:cs="Arial" w:eastAsia="Arial" w:hAnsi="Arial"/>
          <w:sz w:val="15"/>
          <w:szCs w:val="15"/>
          <w:color w:val="000000"/>
        </w:rPr>
        <w:t>. As of June 30, 2023, no amount has been drawn on the Revolving Credit Facility.</w:t>
      </w: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Additionally we have outstanding the 6.75% Notes, which carry an interest rate of 6.75% and are due February 2030. </w:t>
      </w:r>
      <w:r>
        <w:rPr>
          <w:rFonts w:ascii="Arial" w:cs="Arial" w:eastAsia="Arial" w:hAnsi="Arial"/>
          <w:sz w:val="18"/>
          <w:szCs w:val="18"/>
          <w:color w:val="2B2A29"/>
        </w:rPr>
        <w:t>Interest payments on the 6.75% Notes</w:t>
      </w:r>
      <w:r>
        <w:rPr>
          <w:rFonts w:ascii="Arial" w:cs="Arial" w:eastAsia="Arial" w:hAnsi="Arial"/>
          <w:sz w:val="18"/>
          <w:szCs w:val="18"/>
          <w:color w:val="auto"/>
        </w:rPr>
        <w:t xml:space="preserve"> </w:t>
      </w:r>
      <w:r>
        <w:rPr>
          <w:rFonts w:ascii="Arial" w:cs="Arial" w:eastAsia="Arial" w:hAnsi="Arial"/>
          <w:sz w:val="18"/>
          <w:szCs w:val="18"/>
          <w:color w:val="2B2A29"/>
        </w:rPr>
        <w:t>are due semi-annually in February and August until maturity. Interest payments began in August 2022.</w:t>
      </w:r>
    </w:p>
    <w:p>
      <w:pPr>
        <w:spacing w:after="0" w:line="6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June 30, 2023, we were in compliance with all of such covenants.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Embecta's total debt outstanding as of June 30, 2023: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Term Loan</w:t>
            </w: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938.1</w:t>
            </w:r>
          </w:p>
        </w:tc>
      </w:tr>
      <w:tr>
        <w:trPr>
          <w:trHeight w:val="205"/>
        </w:trPr>
        <w:tc>
          <w:tcPr>
            <w:tcW w:w="9640" w:type="dxa"/>
            <w:vAlign w:val="bottom"/>
          </w:tcPr>
          <w:p>
            <w:pPr>
              <w:ind w:left="20"/>
              <w:spacing w:after="0"/>
              <w:rPr>
                <w:sz w:val="20"/>
                <w:szCs w:val="20"/>
                <w:color w:val="auto"/>
              </w:rPr>
            </w:pPr>
            <w:r>
              <w:rPr>
                <w:rFonts w:ascii="Arial" w:cs="Arial" w:eastAsia="Arial" w:hAnsi="Arial"/>
                <w:sz w:val="16"/>
                <w:szCs w:val="16"/>
                <w:color w:val="auto"/>
              </w:rPr>
              <w:t>5.00% Notes</w:t>
            </w:r>
          </w:p>
        </w:tc>
        <w:tc>
          <w:tcPr>
            <w:tcW w:w="5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500.0</w:t>
            </w:r>
          </w:p>
        </w:tc>
      </w:tr>
      <w:tr>
        <w:trPr>
          <w:trHeight w:val="33"/>
        </w:trPr>
        <w:tc>
          <w:tcPr>
            <w:tcW w:w="9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30"/>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6.75% Notes</w:t>
            </w:r>
          </w:p>
        </w:tc>
        <w:tc>
          <w:tcPr>
            <w:tcW w:w="5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200.0</w:t>
            </w:r>
          </w:p>
        </w:tc>
      </w:tr>
      <w:tr>
        <w:trPr>
          <w:trHeight w:val="198"/>
        </w:trPr>
        <w:tc>
          <w:tcPr>
            <w:tcW w:w="9640" w:type="dxa"/>
            <w:vAlign w:val="bottom"/>
          </w:tcPr>
          <w:p>
            <w:pPr>
              <w:ind w:left="20"/>
              <w:spacing w:after="0"/>
              <w:rPr>
                <w:sz w:val="20"/>
                <w:szCs w:val="20"/>
                <w:color w:val="auto"/>
              </w:rPr>
            </w:pPr>
            <w:r>
              <w:rPr>
                <w:rFonts w:ascii="Arial" w:cs="Arial" w:eastAsia="Arial" w:hAnsi="Arial"/>
                <w:sz w:val="16"/>
                <w:szCs w:val="16"/>
                <w:color w:val="auto"/>
              </w:rPr>
              <w:t>Total principal debt issued</w:t>
            </w:r>
          </w:p>
        </w:tc>
        <w:tc>
          <w:tcPr>
            <w:tcW w:w="560" w:type="dxa"/>
            <w:vAlign w:val="bottom"/>
            <w:tcBorders>
              <w:top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1,638.1</w:t>
            </w:r>
          </w:p>
        </w:tc>
      </w:tr>
      <w:tr>
        <w:trPr>
          <w:trHeight w:val="33"/>
        </w:trPr>
        <w:tc>
          <w:tcPr>
            <w:tcW w:w="96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5"/>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Less: current debt obligations</w:t>
            </w:r>
          </w:p>
        </w:tc>
        <w:tc>
          <w:tcPr>
            <w:tcW w:w="5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(9.5)</w:t>
            </w:r>
          </w:p>
        </w:tc>
      </w:tr>
      <w:tr>
        <w:trPr>
          <w:trHeight w:val="205"/>
        </w:trPr>
        <w:tc>
          <w:tcPr>
            <w:tcW w:w="9640" w:type="dxa"/>
            <w:vAlign w:val="bottom"/>
          </w:tcPr>
          <w:p>
            <w:pPr>
              <w:ind w:left="20"/>
              <w:spacing w:after="0"/>
              <w:rPr>
                <w:sz w:val="20"/>
                <w:szCs w:val="20"/>
                <w:color w:val="auto"/>
              </w:rPr>
            </w:pPr>
            <w:r>
              <w:rPr>
                <w:rFonts w:ascii="Arial" w:cs="Arial" w:eastAsia="Arial" w:hAnsi="Arial"/>
                <w:sz w:val="16"/>
                <w:szCs w:val="16"/>
                <w:color w:val="auto"/>
              </w:rPr>
              <w:t>Less: debt issuance costs and discounts</w:t>
            </w:r>
          </w:p>
        </w:tc>
        <w:tc>
          <w:tcPr>
            <w:tcW w:w="5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(33.6)</w:t>
            </w:r>
          </w:p>
        </w:tc>
      </w:tr>
      <w:tr>
        <w:trPr>
          <w:trHeight w:val="33"/>
        </w:trPr>
        <w:tc>
          <w:tcPr>
            <w:tcW w:w="96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6"/>
        </w:trPr>
        <w:tc>
          <w:tcPr>
            <w:tcW w:w="9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560" w:type="dxa"/>
            <w:vAlign w:val="bottom"/>
            <w:tcBorders>
              <w:bottom w:val="single" w:sz="8" w:color="CCEEFF"/>
            </w:tcBorders>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1,595.0</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1040" w:type="dxa"/>
        <w:tblCellMar>
          <w:top w:w="0" w:type="dxa"/>
          <w:left w:w="0" w:type="dxa"/>
          <w:bottom w:w="0" w:type="dxa"/>
          <w:right w:w="0" w:type="dxa"/>
        </w:tblCellMar>
      </w:tblPr>
      <w:tr>
        <w:trPr>
          <w:trHeight w:val="212"/>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2023</w:t>
            </w:r>
          </w:p>
        </w:tc>
        <w:tc>
          <w:tcPr>
            <w:tcW w:w="44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8"/>
        </w:trPr>
        <w:tc>
          <w:tcPr>
            <w:tcW w:w="4640" w:type="dxa"/>
            <w:vAlign w:val="bottom"/>
          </w:tcPr>
          <w:p>
            <w:pPr>
              <w:spacing w:after="0"/>
              <w:rPr>
                <w:sz w:val="20"/>
                <w:szCs w:val="20"/>
                <w:color w:val="auto"/>
              </w:rPr>
            </w:pPr>
            <w:r>
              <w:rPr>
                <w:rFonts w:ascii="Arial" w:cs="Arial" w:eastAsia="Arial" w:hAnsi="Arial"/>
                <w:sz w:val="16"/>
                <w:szCs w:val="16"/>
                <w:color w:val="auto"/>
              </w:rPr>
              <w:t>2024</w:t>
            </w:r>
          </w:p>
        </w:tc>
        <w:tc>
          <w:tcPr>
            <w:tcW w:w="44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2025</w:t>
            </w:r>
          </w:p>
        </w:tc>
        <w:tc>
          <w:tcPr>
            <w:tcW w:w="44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8"/>
        </w:trPr>
        <w:tc>
          <w:tcPr>
            <w:tcW w:w="4640" w:type="dxa"/>
            <w:vAlign w:val="bottom"/>
          </w:tcPr>
          <w:p>
            <w:pPr>
              <w:spacing w:after="0"/>
              <w:rPr>
                <w:sz w:val="20"/>
                <w:szCs w:val="20"/>
                <w:color w:val="auto"/>
              </w:rPr>
            </w:pPr>
            <w:r>
              <w:rPr>
                <w:rFonts w:ascii="Arial" w:cs="Arial" w:eastAsia="Arial" w:hAnsi="Arial"/>
                <w:sz w:val="16"/>
                <w:szCs w:val="16"/>
                <w:color w:val="auto"/>
              </w:rPr>
              <w:t>2026</w:t>
            </w:r>
          </w:p>
        </w:tc>
        <w:tc>
          <w:tcPr>
            <w:tcW w:w="44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15"/>
        </w:trPr>
        <w:tc>
          <w:tcPr>
            <w:tcW w:w="4640" w:type="dxa"/>
            <w:vAlign w:val="bottom"/>
            <w:shd w:val="clear" w:color="auto" w:fill="CCEEFF"/>
          </w:tcPr>
          <w:p>
            <w:pPr>
              <w:spacing w:after="0"/>
              <w:rPr>
                <w:sz w:val="20"/>
                <w:szCs w:val="20"/>
                <w:color w:val="auto"/>
              </w:rPr>
            </w:pPr>
            <w:r>
              <w:rPr>
                <w:rFonts w:ascii="Arial" w:cs="Arial" w:eastAsia="Arial" w:hAnsi="Arial"/>
                <w:sz w:val="16"/>
                <w:szCs w:val="16"/>
                <w:color w:val="auto"/>
              </w:rPr>
              <w:t>2027</w:t>
            </w:r>
          </w:p>
        </w:tc>
        <w:tc>
          <w:tcPr>
            <w:tcW w:w="444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r>
      <w:tr>
        <w:trPr>
          <w:trHeight w:val="205"/>
        </w:trPr>
        <w:tc>
          <w:tcPr>
            <w:tcW w:w="4640" w:type="dxa"/>
            <w:vAlign w:val="bottom"/>
          </w:tcPr>
          <w:p>
            <w:pPr>
              <w:spacing w:after="0"/>
              <w:rPr>
                <w:sz w:val="20"/>
                <w:szCs w:val="20"/>
                <w:color w:val="auto"/>
              </w:rPr>
            </w:pPr>
            <w:r>
              <w:rPr>
                <w:rFonts w:ascii="Arial" w:cs="Arial" w:eastAsia="Arial" w:hAnsi="Arial"/>
                <w:sz w:val="16"/>
                <w:szCs w:val="16"/>
                <w:color w:val="auto"/>
              </w:rPr>
              <w:t>Thereafter</w:t>
            </w:r>
          </w:p>
        </w:tc>
        <w:tc>
          <w:tcPr>
            <w:tcW w:w="4440" w:type="dxa"/>
            <w:vAlign w:val="bottom"/>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1,597.7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Certain measures relating to our total debt outstanding as of June 30, 2023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debt</w:t>
            </w:r>
          </w:p>
        </w:tc>
        <w:tc>
          <w:tcPr>
            <w:tcW w:w="3840" w:type="dxa"/>
            <w:vAlign w:val="bottom"/>
            <w:shd w:val="clear" w:color="auto" w:fill="CCEEFF"/>
          </w:tcPr>
          <w:p>
            <w:pPr>
              <w:jc w:val="right"/>
              <w:ind w:right="72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1,604.5</w:t>
            </w:r>
          </w:p>
        </w:tc>
      </w:tr>
      <w:tr>
        <w:trPr>
          <w:trHeight w:val="145"/>
        </w:trPr>
        <w:tc>
          <w:tcPr>
            <w:tcW w:w="59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480" w:type="dxa"/>
            <w:vAlign w:val="bottom"/>
          </w:tcPr>
          <w:p>
            <w:pPr>
              <w:spacing w:after="0"/>
              <w:rPr>
                <w:sz w:val="12"/>
                <w:szCs w:val="12"/>
                <w:color w:val="auto"/>
              </w:rPr>
            </w:pPr>
          </w:p>
        </w:tc>
      </w:tr>
      <w:tr>
        <w:trPr>
          <w:trHeight w:val="238"/>
        </w:trPr>
        <w:tc>
          <w:tcPr>
            <w:tcW w:w="59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Short-term debt as a percentage of total debt</w:t>
            </w:r>
          </w:p>
        </w:tc>
        <w:tc>
          <w:tcPr>
            <w:tcW w:w="384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8"/>
        </w:trPr>
        <w:tc>
          <w:tcPr>
            <w:tcW w:w="5920" w:type="dxa"/>
            <w:vAlign w:val="bottom"/>
          </w:tcPr>
          <w:p>
            <w:pPr>
              <w:ind w:left="120"/>
              <w:spacing w:after="0"/>
              <w:rPr>
                <w:sz w:val="20"/>
                <w:szCs w:val="20"/>
                <w:color w:val="auto"/>
              </w:rPr>
            </w:pPr>
            <w:r>
              <w:rPr>
                <w:rFonts w:ascii="Arial" w:cs="Arial" w:eastAsia="Arial" w:hAnsi="Arial"/>
                <w:sz w:val="16"/>
                <w:szCs w:val="16"/>
                <w:color w:val="auto"/>
              </w:rPr>
              <w:t>Weighted average cost of total debt</w:t>
            </w:r>
          </w:p>
        </w:tc>
        <w:tc>
          <w:tcPr>
            <w:tcW w:w="38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7.2 %</w:t>
            </w:r>
          </w:p>
        </w:tc>
      </w:tr>
    </w:tbl>
    <w:p>
      <w:pPr>
        <w:spacing w:after="0" w:line="23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 xml:space="preserve">For additional information related to the Company's debt related activities, refer to Note 11 within the </w:t>
      </w:r>
      <w:r>
        <w:rPr>
          <w:rFonts w:ascii="Arial" w:cs="Arial" w:eastAsia="Arial" w:hAnsi="Arial"/>
          <w:sz w:val="18"/>
          <w:szCs w:val="18"/>
          <w:i w:val="1"/>
          <w:iCs w:val="1"/>
          <w:color w:val="auto"/>
        </w:rPr>
        <w:t>Notes to Condensed Consolidated Financial Statements</w:t>
      </w:r>
      <w:r>
        <w:rPr>
          <w:rFonts w:ascii="Arial" w:cs="Arial" w:eastAsia="Arial" w:hAnsi="Arial"/>
          <w:sz w:val="18"/>
          <w:szCs w:val="18"/>
          <w:color w:val="auto"/>
        </w:rPr>
        <w:t xml:space="preserve"> within this Form 10-Q.</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conjunction with the Separation, we entered into a lease agreement with BD pursuant to which the Company would lease approximately 278,000 square feet of manufacturing space and equipment at BD's manufacturing facility in Holdrege, Nebraska for an initial term of ten years. The lease is classified as a finance lease. The Company has an option to extend the lease term for an additional period of up to five years.</w:t>
      </w:r>
    </w:p>
    <w:p>
      <w:pPr>
        <w:spacing w:after="0" w:line="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April 1, 2022, we entered into a real estate lease for a new Corporate Headquarters located in Parsippany, New Jersey, United States. The lease commenced during the second quarter of fiscal year 2023 and has an initial term of ten years. The lease is classified as an operating lease. The Company has options to extend the lease for an additional period of six years and to extend for a subsequent additional period of four years after the expiration of the first extension period.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finance lease and operating lease liabilities as of June 30, 2023 by fiscal year are as follows: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4180" w:type="dxa"/>
            <w:vAlign w:val="bottom"/>
            <w:tcBorders>
              <w:bottom w:val="single" w:sz="8" w:color="CCEEFF"/>
            </w:tcBorders>
          </w:tcPr>
          <w:p>
            <w:pPr>
              <w:spacing w:after="0"/>
              <w:rPr>
                <w:sz w:val="18"/>
                <w:szCs w:val="18"/>
                <w:color w:val="auto"/>
              </w:rPr>
            </w:pPr>
          </w:p>
        </w:tc>
        <w:tc>
          <w:tcPr>
            <w:tcW w:w="17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Finance Lease</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Operating Leases</w:t>
            </w:r>
          </w:p>
        </w:tc>
        <w:tc>
          <w:tcPr>
            <w:tcW w:w="14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861"/>
              <w:spacing w:after="0"/>
              <w:rPr>
                <w:sz w:val="20"/>
                <w:szCs w:val="20"/>
                <w:color w:val="auto"/>
              </w:rPr>
            </w:pPr>
            <w:r>
              <w:rPr>
                <w:rFonts w:ascii="Arial" w:cs="Arial" w:eastAsia="Arial" w:hAnsi="Arial"/>
                <w:sz w:val="16"/>
                <w:szCs w:val="16"/>
                <w:b w:val="1"/>
                <w:bCs w:val="1"/>
                <w:color w:val="auto"/>
              </w:rPr>
              <w:t>Total</w:t>
            </w:r>
          </w:p>
        </w:tc>
      </w:tr>
      <w:tr>
        <w:trPr>
          <w:trHeight w:val="201"/>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2023</w:t>
            </w:r>
          </w:p>
        </w:tc>
        <w:tc>
          <w:tcPr>
            <w:tcW w:w="1760" w:type="dxa"/>
            <w:vAlign w:val="bottom"/>
            <w:tcBorders>
              <w:bottom w:val="single" w:sz="8" w:color="CCEEFF"/>
            </w:tcBorders>
            <w:shd w:val="clear" w:color="auto" w:fill="CCEEFF"/>
          </w:tcPr>
          <w:p>
            <w:pPr>
              <w:jc w:val="right"/>
              <w:ind w:right="15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0.7</w:t>
            </w:r>
          </w:p>
        </w:tc>
        <w:tc>
          <w:tcPr>
            <w:tcW w:w="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5"/>
        </w:trPr>
        <w:tc>
          <w:tcPr>
            <w:tcW w:w="4180" w:type="dxa"/>
            <w:vAlign w:val="bottom"/>
          </w:tcPr>
          <w:p>
            <w:pPr>
              <w:ind w:left="120"/>
              <w:spacing w:after="0"/>
              <w:rPr>
                <w:sz w:val="20"/>
                <w:szCs w:val="20"/>
                <w:color w:val="auto"/>
              </w:rPr>
            </w:pPr>
            <w:r>
              <w:rPr>
                <w:rFonts w:ascii="Arial" w:cs="Arial" w:eastAsia="Arial" w:hAnsi="Arial"/>
                <w:sz w:val="16"/>
                <w:szCs w:val="16"/>
                <w:color w:val="auto"/>
              </w:rPr>
              <w:t>2024</w:t>
            </w:r>
          </w:p>
        </w:tc>
        <w:tc>
          <w:tcPr>
            <w:tcW w:w="1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18"/>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2025</w:t>
            </w:r>
          </w:p>
        </w:tc>
        <w:tc>
          <w:tcPr>
            <w:tcW w:w="1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2.9</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r>
      <w:tr>
        <w:trPr>
          <w:trHeight w:val="205"/>
        </w:trPr>
        <w:tc>
          <w:tcPr>
            <w:tcW w:w="4180" w:type="dxa"/>
            <w:vAlign w:val="bottom"/>
          </w:tcPr>
          <w:p>
            <w:pPr>
              <w:ind w:left="120"/>
              <w:spacing w:after="0"/>
              <w:rPr>
                <w:sz w:val="20"/>
                <w:szCs w:val="20"/>
                <w:color w:val="auto"/>
              </w:rPr>
            </w:pPr>
            <w:r>
              <w:rPr>
                <w:rFonts w:ascii="Arial" w:cs="Arial" w:eastAsia="Arial" w:hAnsi="Arial"/>
                <w:sz w:val="16"/>
                <w:szCs w:val="16"/>
                <w:color w:val="auto"/>
              </w:rPr>
              <w:t>2026</w:t>
            </w:r>
          </w:p>
        </w:tc>
        <w:tc>
          <w:tcPr>
            <w:tcW w:w="1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2.6</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0"/>
        </w:trPr>
        <w:tc>
          <w:tcPr>
            <w:tcW w:w="4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18"/>
        </w:trPr>
        <w:tc>
          <w:tcPr>
            <w:tcW w:w="4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2027</w:t>
            </w:r>
          </w:p>
        </w:tc>
        <w:tc>
          <w:tcPr>
            <w:tcW w:w="176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2.2</w:t>
            </w:r>
          </w:p>
        </w:tc>
        <w:tc>
          <w:tcPr>
            <w:tcW w:w="1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05"/>
        </w:trPr>
        <w:tc>
          <w:tcPr>
            <w:tcW w:w="4180" w:type="dxa"/>
            <w:vAlign w:val="bottom"/>
          </w:tcPr>
          <w:p>
            <w:pPr>
              <w:ind w:left="120"/>
              <w:spacing w:after="0"/>
              <w:rPr>
                <w:sz w:val="20"/>
                <w:szCs w:val="20"/>
                <w:color w:val="auto"/>
              </w:rPr>
            </w:pPr>
            <w:r>
              <w:rPr>
                <w:rFonts w:ascii="Arial" w:cs="Arial" w:eastAsia="Arial" w:hAnsi="Arial"/>
                <w:sz w:val="16"/>
                <w:szCs w:val="16"/>
                <w:color w:val="auto"/>
              </w:rPr>
              <w:t>Thereafter</w:t>
            </w:r>
          </w:p>
        </w:tc>
        <w:tc>
          <w:tcPr>
            <w:tcW w:w="17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40.1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tcPr>
          <w:p>
            <w:pPr>
              <w:jc w:val="right"/>
              <w:ind w:right="1"/>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53.5</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payments</w:t>
            </w:r>
          </w:p>
        </w:tc>
        <w:tc>
          <w:tcPr>
            <w:tcW w:w="1760" w:type="dxa"/>
            <w:vAlign w:val="bottom"/>
            <w:tcBorders>
              <w:bottom w:val="single" w:sz="8" w:color="CCEEFF"/>
            </w:tcBorders>
            <w:shd w:val="clear" w:color="auto" w:fill="CCEEFF"/>
          </w:tcPr>
          <w:p>
            <w:pPr>
              <w:jc w:val="right"/>
              <w:ind w:right="1581"/>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25.6</w:t>
            </w:r>
          </w:p>
        </w:tc>
        <w:tc>
          <w:tcPr>
            <w:tcW w:w="66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81.4</w:t>
            </w:r>
          </w:p>
        </w:tc>
      </w:tr>
      <w:tr>
        <w:trPr>
          <w:trHeight w:val="20"/>
        </w:trPr>
        <w:tc>
          <w:tcPr>
            <w:tcW w:w="4180" w:type="dxa"/>
            <w:vAlign w:val="bottom"/>
            <w:shd w:val="clear" w:color="auto" w:fill="CCEEFF"/>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9" w:lineRule="exact"/>
        <w:rPr>
          <w:sz w:val="20"/>
          <w:szCs w:val="20"/>
          <w:color w:val="auto"/>
        </w:rPr>
      </w:pPr>
    </w:p>
    <w:p>
      <w:pPr>
        <w:ind w:right="620"/>
        <w:spacing w:after="0" w:line="398" w:lineRule="auto"/>
        <w:rPr>
          <w:sz w:val="20"/>
          <w:szCs w:val="20"/>
          <w:color w:val="auto"/>
        </w:rPr>
      </w:pPr>
      <w:r>
        <w:rPr>
          <w:rFonts w:ascii="Arial" w:cs="Arial" w:eastAsia="Arial" w:hAnsi="Arial"/>
          <w:sz w:val="18"/>
          <w:szCs w:val="18"/>
          <w:color w:val="auto"/>
        </w:rPr>
        <w:t xml:space="preserve">For additional information related to our leases, refer to Note 16 within the </w:t>
      </w:r>
      <w:r>
        <w:rPr>
          <w:rFonts w:ascii="Arial" w:cs="Arial" w:eastAsia="Arial" w:hAnsi="Arial"/>
          <w:sz w:val="18"/>
          <w:szCs w:val="18"/>
          <w:i w:val="1"/>
          <w:iCs w:val="1"/>
          <w:color w:val="auto"/>
        </w:rPr>
        <w:t>Notes to Condensed Consolidated Financial Statements</w:t>
      </w:r>
      <w:r>
        <w:rPr>
          <w:rFonts w:ascii="Arial" w:cs="Arial" w:eastAsia="Arial" w:hAnsi="Arial"/>
          <w:sz w:val="18"/>
          <w:szCs w:val="18"/>
          <w:color w:val="auto"/>
        </w:rPr>
        <w:t xml:space="preserve"> of this Form 10-Q. </w:t>
      </w:r>
      <w:r>
        <w:rPr>
          <w:rFonts w:ascii="Arial" w:cs="Arial" w:eastAsia="Arial" w:hAnsi="Arial"/>
          <w:sz w:val="18"/>
          <w:szCs w:val="18"/>
          <w:b w:val="1"/>
          <w:bCs w:val="1"/>
          <w:i w:val="1"/>
          <w:iCs w:val="1"/>
          <w:color w:val="auto"/>
        </w:rPr>
        <w:t>Factoring Agreements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In conjunction with the Separation, we entered into the Factoring Agreements with BD. Embecta owes BD a service fee calculated as 0.1% of annual revenues related to countries subject to the agreement, in exchange for the services provided by BD pursuant to the Factoring Agreements.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Access to Capital and Credit Ratings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January 2023 and February 2023, Moody’s Investor Services and Standard &amp; Poor’s Ratings Services published updates to our credit ratings of Ba3 and B+, respectively. These ratings remain unchanged from the initial published ratings from January 2022.</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Condensed Consolidated Statements of Cash Flows:</w:t>
      </w:r>
    </w:p>
    <w:p>
      <w:pPr>
        <w:spacing w:after="0" w:line="247" w:lineRule="exact"/>
        <w:rPr>
          <w:sz w:val="20"/>
          <w:szCs w:val="20"/>
          <w:color w:val="auto"/>
        </w:rPr>
      </w:pPr>
    </w:p>
    <w:p>
      <w:pPr>
        <w:jc w:val="center"/>
        <w:ind w:left="7920"/>
        <w:spacing w:after="0"/>
        <w:rPr>
          <w:sz w:val="20"/>
          <w:szCs w:val="20"/>
          <w:color w:val="auto"/>
        </w:rPr>
      </w:pPr>
      <w:r>
        <w:rPr>
          <w:rFonts w:ascii="Arial" w:cs="Arial" w:eastAsia="Arial" w:hAnsi="Arial"/>
          <w:sz w:val="16"/>
          <w:szCs w:val="16"/>
          <w:b w:val="1"/>
          <w:bCs w:val="1"/>
          <w:color w:val="auto"/>
        </w:rPr>
        <w:t>Nine Months Ended</w:t>
      </w:r>
    </w:p>
    <w:p>
      <w:pPr>
        <w:jc w:val="center"/>
        <w:ind w:left="792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96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2022</w:t>
            </w:r>
          </w:p>
        </w:tc>
      </w:tr>
      <w:tr>
        <w:trPr>
          <w:trHeight w:val="204"/>
        </w:trPr>
        <w:tc>
          <w:tcPr>
            <w:tcW w:w="7960" w:type="dxa"/>
            <w:vAlign w:val="bottom"/>
          </w:tcPr>
          <w:p>
            <w:pPr>
              <w:ind w:left="20"/>
              <w:spacing w:after="0"/>
              <w:rPr>
                <w:sz w:val="20"/>
                <w:szCs w:val="20"/>
                <w:color w:val="auto"/>
              </w:rPr>
            </w:pPr>
            <w:r>
              <w:rPr>
                <w:rFonts w:ascii="Arial" w:cs="Arial" w:eastAsia="Arial" w:hAnsi="Arial"/>
                <w:sz w:val="16"/>
                <w:szCs w:val="16"/>
                <w:color w:val="auto"/>
              </w:rPr>
              <w:t>Net cash provided by (used for)</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60" w:type="dxa"/>
            <w:vAlign w:val="bottom"/>
            <w:tcBorders>
              <w:bottom w:val="single" w:sz="8" w:color="CCEEFF"/>
            </w:tcBorders>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CCEEFF"/>
            </w:tcBorders>
            <w:shd w:val="clear" w:color="auto" w:fill="CCEEFF"/>
          </w:tcPr>
          <w:p>
            <w:pPr>
              <w:jc w:val="center"/>
              <w:ind w:left="741"/>
              <w:spacing w:after="0"/>
              <w:rPr>
                <w:sz w:val="20"/>
                <w:szCs w:val="20"/>
                <w:color w:val="auto"/>
              </w:rPr>
            </w:pPr>
            <w:r>
              <w:rPr>
                <w:rFonts w:ascii="Arial" w:cs="Arial" w:eastAsia="Arial" w:hAnsi="Arial"/>
                <w:sz w:val="16"/>
                <w:szCs w:val="16"/>
                <w:color w:val="auto"/>
                <w:w w:val="89"/>
              </w:rPr>
              <w:t>38.1</w:t>
            </w:r>
          </w:p>
        </w:tc>
        <w:tc>
          <w:tcPr>
            <w:tcW w:w="4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99"/>
              </w:rPr>
              <w:t>354.2</w:t>
            </w:r>
          </w:p>
        </w:tc>
      </w:tr>
      <w:tr>
        <w:trPr>
          <w:trHeight w:val="205"/>
        </w:trPr>
        <w:tc>
          <w:tcPr>
            <w:tcW w:w="79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tcPr>
          <w:p>
            <w:pPr>
              <w:jc w:val="center"/>
              <w:ind w:left="701"/>
              <w:spacing w:after="0"/>
              <w:rPr>
                <w:sz w:val="20"/>
                <w:szCs w:val="20"/>
                <w:color w:val="auto"/>
              </w:rPr>
            </w:pPr>
            <w:r>
              <w:rPr>
                <w:rFonts w:ascii="Arial" w:cs="Arial" w:eastAsia="Arial" w:hAnsi="Arial"/>
                <w:sz w:val="16"/>
                <w:szCs w:val="16"/>
                <w:color w:val="auto"/>
                <w:w w:val="95"/>
              </w:rPr>
              <w:t>(17.3)</w:t>
            </w:r>
          </w:p>
        </w:tc>
        <w:tc>
          <w:tcPr>
            <w:tcW w:w="4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tcPr>
          <w:p>
            <w:pPr>
              <w:ind w:left="820"/>
              <w:spacing w:after="0"/>
              <w:rPr>
                <w:sz w:val="20"/>
                <w:szCs w:val="20"/>
                <w:color w:val="auto"/>
              </w:rPr>
            </w:pPr>
            <w:r>
              <w:rPr>
                <w:rFonts w:ascii="Arial" w:cs="Arial" w:eastAsia="Arial" w:hAnsi="Arial"/>
                <w:sz w:val="16"/>
                <w:szCs w:val="16"/>
                <w:color w:val="auto"/>
                <w:w w:val="90"/>
              </w:rPr>
              <w:t>(15.4)</w:t>
            </w:r>
          </w:p>
        </w:tc>
      </w:tr>
      <w:tr>
        <w:trPr>
          <w:trHeight w:val="33"/>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5"/>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center"/>
              <w:ind w:left="701"/>
              <w:spacing w:after="0"/>
              <w:rPr>
                <w:sz w:val="20"/>
                <w:szCs w:val="20"/>
                <w:color w:val="auto"/>
              </w:rPr>
            </w:pPr>
            <w:r>
              <w:rPr>
                <w:rFonts w:ascii="Arial" w:cs="Arial" w:eastAsia="Arial" w:hAnsi="Arial"/>
                <w:sz w:val="16"/>
                <w:szCs w:val="16"/>
                <w:color w:val="auto"/>
                <w:w w:val="95"/>
              </w:rPr>
              <w:t>(39.0)</w:t>
            </w:r>
          </w:p>
        </w:tc>
        <w:tc>
          <w:tcPr>
            <w:tcW w:w="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0"/>
              </w:rPr>
              <w:t>(40.9)</w:t>
            </w:r>
          </w:p>
        </w:tc>
      </w:tr>
      <w:tr>
        <w:trPr>
          <w:trHeight w:val="33"/>
        </w:trPr>
        <w:tc>
          <w:tcPr>
            <w:tcW w:w="7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Operating Activities</w:t>
      </w:r>
    </w:p>
    <w:p>
      <w:pPr>
        <w:spacing w:after="0" w:line="84"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Net cash provided by operating activities during the nine months ended June 30, 2023 was attributable to net income of $64.4 million and net adjustments of $26.3 million, which includes $50.6 million of non-cash adjustments that primarily relate to depreciation and amortization, stock-based compensation, deferred income taxes and postretirement benefits, and a use of cash of $76.9 million related to changes in our assets and liabilities. This was driven by an increase in amounts due from BD of $54.8 million, which is primarily related to factored receivables for which payment has not yet been collected from BD as of June 30, 2023; a $42.5 million increase in inventories which is primarily driven by a concerted effort to build inventory to meet expected demand; an increase of $29.2 million in prepaid expenses and other as a result of increased subscription contracts and increases in net assets for deferred closing entities; and an $18.1 million increase in other assets and liabilities, net, is primarily due to costs capitalized related to the implementation of the Company's new ERP. This was partially offset by an increase of $53.3 million in accounts payable, accrued expenses and other current liabilities, due to increases in net liabilities for deferred closing entities, which was offset by our annual incentive bonus payment in January 2023; and an increase of $11.3 million in income and other net taxes payable that is primarily due to the timing of required tax payments. All other movements related to working capital were due to timing of payments and receipts of cash in the ordinary course of business.</w:t>
      </w:r>
    </w:p>
    <w:p>
      <w:pPr>
        <w:spacing w:after="0" w:line="83"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Net cash provided by operating activities during the nine months ended June 30, 2022 was attributable to net income of $240.8 million and net adjustments of $113.4 million, which includes $47.2 million of non-cash adjustments related to depreciation and amortization, stock-based compensation, deferred income taxes and postretirement benefits, and $66.2 million of cash provided relating to changes in our assets and liabilities. Cash provided relating to changes in our assets and liabilities was driven by a decrease in trade receivables of $123.6 million, an increase of $73.1 million in accounts payable, accrued expenses and other current liabilities, an increase of $10.8 million in income and other net taxes payable, and a decrease of $7.7 million in other assets and liabilities, net, partially offset by an increase in amounts due from BD of $99.6 million, an increase in prepaid expenses and other of $25.8 million, and an increase in inventories of $23.6 million. The decrease in trade receivables primarily relates to the Factoring Agreements, in which embecta transfers certain trade receivable assets to BD in exchange for cash. The increase in accounts payable, accrued expense and other current liabilities relates to current liabilities with BD primarily for inventory purchases. The increase in income and other net taxes payable is primarily due to the timing of required tax payments. The increase in amounts due from Becton, Dickinson and Company primarily relates to factored receivables and inventory purchases for which payment has not yet been collected from BD as of June 30, 2022. Increases in prepaid expenses and other are primarily driven by increased prepaid service contracts related to information technology infrastructure as we transition to our own systems. The increase in inventories is primarily driven by a concerted effort to build inventory to meet expected demand as we execute our separation and stand-up projects.</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Investing Activities</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Net cash used for investing activities was primarily comprised of capital expenditures of $17.3 million and $15.0 million during the nine months ended June 30, 2023 and 2022, respectively, to support further expansion of our business and operations.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Flows from Financing Activities</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Net cash used for financing activities for the nine months ended June 30, 2023, was attributable to $25.8 million of dividend payments, $7.1 million of required payments on long-term debt, $3.4 million of payments related to tax withholding for stock-based compensation, and $2.7 million in payments on our finance lease.</w:t>
      </w:r>
    </w:p>
    <w:p>
      <w:pPr>
        <w:spacing w:after="0" w:line="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cash used for financing activities for the nine months ended June 30, 2022, was attributable to $1,266.0 million of net consideration paid to BD in connection with the Separation, $182.7 million related to net transfers to BD, $33.3 million of payments for long-term debt issuance costs, $5.6 million of payments for debt fees associated with the Revolving Credit Facility, and $2.4 million of required payments on long-term debt. This was offset by proceeds from the issuance of long-term debt of $1,450.0 million.</w:t>
      </w:r>
    </w:p>
    <w:p>
      <w:pPr>
        <w:spacing w:after="0" w:line="8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color w:val="auto"/>
        </w:rPr>
        <w:t>On August 8, 2023, the Company’s Board of Directors declared a quarterly dividend of $0.15 for each issued and outstanding share of the Company’s common stock. The dividend is payable on September 13, 2023 to stockholders of record at the close of business on August 25, 2023.</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97" w:lineRule="exact"/>
        <w:rPr>
          <w:sz w:val="20"/>
          <w:szCs w:val="20"/>
          <w:color w:val="auto"/>
        </w:rPr>
      </w:pPr>
    </w:p>
    <w:p>
      <w:pPr>
        <w:jc w:val="both"/>
        <w:spacing w:after="0" w:line="305" w:lineRule="auto"/>
        <w:rPr>
          <w:sz w:val="20"/>
          <w:szCs w:val="20"/>
          <w:color w:val="auto"/>
        </w:rPr>
      </w:pPr>
      <w:r>
        <w:rPr>
          <w:rFonts w:ascii="Arial" w:cs="Arial" w:eastAsia="Arial" w:hAnsi="Arial"/>
          <w:sz w:val="15"/>
          <w:szCs w:val="15"/>
          <w:color w:val="auto"/>
        </w:rPr>
        <w:t>Our contractual obligations as of June 30, 2023,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significant costs associated with information technology infrastructure as we transition to our own systems. Lease obligations include lease agreements for which a contract has been signed even if the lease has not yet commenced. Refer</w:t>
      </w: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to "Management's Discussion and Analysis of Financial Condition and Results of Operations" in our 2022 Form 10-K for further details. As of June 30, 2023, there have been no material changes to our contractual obligations outside the ordinary course of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Our significant accounting policies, which include management’s best estimates and judgments, are included in Note 3 to the Consolidated Financial Statements included in our 2022 Form 10-K. See Note 2 within the </w:t>
      </w:r>
      <w:r>
        <w:rPr>
          <w:rFonts w:ascii="Arial" w:cs="Arial" w:eastAsia="Arial" w:hAnsi="Arial"/>
          <w:sz w:val="17"/>
          <w:szCs w:val="17"/>
          <w:i w:val="1"/>
          <w:iCs w:val="1"/>
          <w:color w:val="auto"/>
        </w:rPr>
        <w:t>Notes to Condensed Consolidated Financial Statements</w:t>
      </w:r>
      <w:r>
        <w:rPr>
          <w:rFonts w:ascii="Arial" w:cs="Arial" w:eastAsia="Arial" w:hAnsi="Arial"/>
          <w:sz w:val="17"/>
          <w:szCs w:val="17"/>
          <w:color w:val="auto"/>
        </w:rPr>
        <w:t xml:space="preserve"> of this Form 10-Q for information on the adoption of new accounting standards during the current fiscal year.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Embecta's 2022 Form 10-K. There have been no changes to our critical accounting policies as of June 30, 2023.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Forward-Looking Statements</w:t>
      </w:r>
    </w:p>
    <w:p>
      <w:pPr>
        <w:spacing w:after="0" w:line="103"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87" w:lineRule="exact"/>
        <w:rPr>
          <w:sz w:val="20"/>
          <w:szCs w:val="20"/>
          <w:color w:val="auto"/>
        </w:rPr>
      </w:pPr>
    </w:p>
    <w:p>
      <w:pPr>
        <w:ind w:left="640" w:right="20" w:hanging="317"/>
        <w:spacing w:after="0" w:line="23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121"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Any events that adversely affect the sale or profitability of one of Embecta’s key products or the revenue delivered from sales to its key customers.</w:t>
      </w:r>
    </w:p>
    <w:p>
      <w:pPr>
        <w:spacing w:after="0" w:line="171" w:lineRule="exact"/>
        <w:rPr>
          <w:rFonts w:ascii="Arial" w:cs="Arial" w:eastAsia="Arial" w:hAnsi="Arial"/>
          <w:sz w:val="15"/>
          <w:szCs w:val="15"/>
          <w:color w:val="auto"/>
        </w:rPr>
      </w:pPr>
    </w:p>
    <w:p>
      <w:pPr>
        <w:ind w:left="640" w:hanging="317"/>
        <w:spacing w:after="0" w:line="26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failure by BD to perform its obligations under the various separation agreements entered into in connection with the Separation and distribution, including the cannula supply agreement.</w:t>
      </w:r>
    </w:p>
    <w:p>
      <w:pPr>
        <w:spacing w:after="0" w:line="88" w:lineRule="exact"/>
        <w:rPr>
          <w:rFonts w:ascii="Arial" w:cs="Arial" w:eastAsia="Arial" w:hAnsi="Arial"/>
          <w:sz w:val="18"/>
          <w:szCs w:val="18"/>
          <w:color w:val="auto"/>
        </w:rPr>
      </w:pPr>
    </w:p>
    <w:p>
      <w:pPr>
        <w:jc w:val="both"/>
        <w:ind w:left="640" w:hanging="317"/>
        <w:spacing w:after="0" w:line="246"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Increases in operating costs, including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117" w:lineRule="exact"/>
        <w:rPr>
          <w:rFonts w:ascii="Arial" w:cs="Arial" w:eastAsia="Arial" w:hAnsi="Arial"/>
          <w:sz w:val="18"/>
          <w:szCs w:val="18"/>
          <w:color w:val="auto"/>
        </w:rPr>
      </w:pPr>
    </w:p>
    <w:p>
      <w:pPr>
        <w:ind w:left="640" w:hanging="317"/>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reimbursement practices of governments or private payers or other cost containment measures.</w:t>
      </w:r>
    </w:p>
    <w:p>
      <w:pPr>
        <w:spacing w:after="0" w:line="136" w:lineRule="exact"/>
        <w:rPr>
          <w:rFonts w:ascii="Arial" w:cs="Arial" w:eastAsia="Arial" w:hAnsi="Arial"/>
          <w:sz w:val="18"/>
          <w:szCs w:val="18"/>
          <w:color w:val="auto"/>
        </w:rPr>
      </w:pPr>
    </w:p>
    <w:p>
      <w:pPr>
        <w:ind w:left="640" w:hanging="317"/>
        <w:spacing w:after="0" w:line="346" w:lineRule="auto"/>
        <w:tabs>
          <w:tab w:leader="none" w:pos="64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44" w:lineRule="exact"/>
        <w:rPr>
          <w:rFonts w:ascii="Arial" w:cs="Arial" w:eastAsia="Arial" w:hAnsi="Arial"/>
          <w:sz w:val="15"/>
          <w:szCs w:val="15"/>
          <w:color w:val="auto"/>
        </w:rPr>
      </w:pPr>
    </w:p>
    <w:p>
      <w:pPr>
        <w:jc w:val="both"/>
        <w:ind w:left="640" w:hanging="317"/>
        <w:spacing w:after="0" w:line="26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changes in United States,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w:t>
      </w:r>
    </w:p>
    <w:p>
      <w:pPr>
        <w:spacing w:after="0" w:line="98" w:lineRule="exact"/>
        <w:rPr>
          <w:rFonts w:ascii="Arial" w:cs="Arial" w:eastAsia="Arial" w:hAnsi="Arial"/>
          <w:sz w:val="17"/>
          <w:szCs w:val="17"/>
          <w:color w:val="auto"/>
        </w:rPr>
      </w:pPr>
    </w:p>
    <w:p>
      <w:pPr>
        <w:ind w:left="640" w:hanging="317"/>
        <w:spacing w:after="0" w:line="24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continuing impact of the COVID-19 pandemic or geopolitical instability on Embecta’s business, including disruptions in its operations and supply chains.</w:t>
      </w:r>
    </w:p>
    <w:p>
      <w:pPr>
        <w:spacing w:after="0" w:line="114" w:lineRule="exact"/>
        <w:rPr>
          <w:rFonts w:ascii="Arial" w:cs="Arial" w:eastAsia="Arial" w:hAnsi="Arial"/>
          <w:sz w:val="18"/>
          <w:szCs w:val="18"/>
          <w:color w:val="auto"/>
        </w:rPr>
      </w:pPr>
    </w:p>
    <w:p>
      <w:pPr>
        <w:ind w:left="640" w:hanging="317"/>
        <w:spacing w:after="0" w:line="263"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New or changing laws and regulations affecting Embecta’s domestic and foreign operations, or changes in enforcement practices, including laws relating to healthcare, environmental protection, trade, monetary and fiscal</w:t>
      </w: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640"/>
        <w:spacing w:after="0" w:line="248" w:lineRule="auto"/>
        <w:rPr>
          <w:sz w:val="20"/>
          <w:szCs w:val="20"/>
          <w:color w:val="auto"/>
        </w:rPr>
      </w:pPr>
      <w:r>
        <w:rPr>
          <w:rFonts w:ascii="Arial" w:cs="Arial" w:eastAsia="Arial" w:hAnsi="Arial"/>
          <w:sz w:val="18"/>
          <w:szCs w:val="18"/>
          <w:color w:val="auto"/>
        </w:rPr>
        <w:t>policies, taxation (including tax reforms that could adversely impact multinational corporations) and licensing and regulatory requirements for products.</w:t>
      </w:r>
    </w:p>
    <w:p>
      <w:pPr>
        <w:spacing w:after="0" w:line="114" w:lineRule="exact"/>
        <w:rPr>
          <w:sz w:val="20"/>
          <w:szCs w:val="20"/>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benefits of the Separation from BD.</w:t>
      </w:r>
    </w:p>
    <w:p>
      <w:pPr>
        <w:spacing w:after="0" w:line="136" w:lineRule="exact"/>
        <w:rPr>
          <w:rFonts w:ascii="Arial" w:cs="Arial" w:eastAsia="Arial" w:hAnsi="Arial"/>
          <w:sz w:val="18"/>
          <w:szCs w:val="18"/>
          <w:color w:val="auto"/>
        </w:rPr>
      </w:pPr>
    </w:p>
    <w:p>
      <w:pPr>
        <w:ind w:left="640" w:hanging="317"/>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indebtedness and our use of indebtedness available to us.</w:t>
      </w:r>
    </w:p>
    <w:p>
      <w:pPr>
        <w:spacing w:after="0" w:line="136" w:lineRule="exact"/>
        <w:rPr>
          <w:rFonts w:ascii="Arial" w:cs="Arial" w:eastAsia="Arial" w:hAnsi="Arial"/>
          <w:sz w:val="18"/>
          <w:szCs w:val="18"/>
          <w:color w:val="auto"/>
        </w:rPr>
      </w:pPr>
    </w:p>
    <w:p>
      <w:pPr>
        <w:ind w:left="640" w:hanging="317"/>
        <w:spacing w:after="0" w:line="248"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 that dis-synergy costs, costs of restructuring transactions and other costs incurred in connection with the Separation will exceed Embecta's estimates.</w:t>
      </w:r>
    </w:p>
    <w:p>
      <w:pPr>
        <w:spacing w:after="0" w:line="114" w:lineRule="exact"/>
        <w:rPr>
          <w:rFonts w:ascii="Arial" w:cs="Arial" w:eastAsia="Arial" w:hAnsi="Arial"/>
          <w:sz w:val="18"/>
          <w:szCs w:val="18"/>
          <w:color w:val="auto"/>
        </w:rPr>
      </w:pPr>
    </w:p>
    <w:p>
      <w:pPr>
        <w:jc w:val="both"/>
        <w:ind w:left="640" w:hanging="317"/>
        <w:spacing w:after="0" w:line="268"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the Separation on Embecta's businesses and the risk that the Separation may be more difficult, time-consuming or costly than expected, including the impact on its resources, systems, including enterprise resource planning, procedures and controls, diversion of management’s attention and the impact on relationships with customers, suppliers, employees and other business counterparties.</w:t>
      </w:r>
    </w:p>
    <w:p>
      <w:pPr>
        <w:spacing w:after="0" w:line="98" w:lineRule="exact"/>
        <w:rPr>
          <w:rFonts w:ascii="Arial" w:cs="Arial" w:eastAsia="Arial" w:hAnsi="Arial"/>
          <w:sz w:val="17"/>
          <w:szCs w:val="17"/>
          <w:color w:val="auto"/>
        </w:rPr>
      </w:pPr>
    </w:p>
    <w:p>
      <w:pPr>
        <w:ind w:left="640" w:hanging="317"/>
        <w:spacing w:after="0" w:line="277"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2022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information reported since the filing of the Company's 2022 Form 10-K except as follows: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1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w:t>
      </w:r>
    </w:p>
    <w:p>
      <w:pPr>
        <w:spacing w:after="0" w:line="2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14,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Fair Value Measurements </w:t>
      </w:r>
      <w:r>
        <w:rPr>
          <w:rFonts w:ascii="Arial" w:cs="Arial" w:eastAsia="Arial" w:hAnsi="Arial"/>
          <w:sz w:val="17"/>
          <w:szCs w:val="17"/>
          <w:color w:val="auto"/>
        </w:rPr>
        <w:t>of the Notes to Condensed Consolidated Financial Statements for further information.</w:t>
      </w:r>
    </w:p>
    <w:p>
      <w:pPr>
        <w:spacing w:after="0" w:line="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03"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 xml:space="preserve">Debt </w:t>
      </w:r>
      <w:r>
        <w:rPr>
          <w:rFonts w:ascii="Arial" w:cs="Arial" w:eastAsia="Arial" w:hAnsi="Arial"/>
          <w:sz w:val="15"/>
          <w:szCs w:val="15"/>
          <w:color w:val="auto"/>
        </w:rPr>
        <w:t>- Our interest rate risk relates primarily to our Term Loan. The interest rate is set at 300 basis points over SOFR, with a 0.50% SOFR floor. Based on our</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borrowings at June 30, 2023, a 100 basis points change in interest rates would have impacted interest expense on the Term Loan by $9.4 million on an annualized basis. To the extent we borrow on our revolving credit facility, we will be subject to risks related to changes in SOFR.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June 30, 2023.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121920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During the TSA period, we will continue to rely on certain material processes and internal control over financial reporting performed by BD. There were no changes in our internal control over financial reporting during the fiscal quarter ended June 30, 2023 that have materially affected, or are reasonably likely to materially affect, Embecta’s internal control over financial reporting.</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Embecta’s risk factors from those described in “Risk Factors” included within the 2022 Form 10-K.</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138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138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7060" w:type="dxa"/>
            <w:vAlign w:val="bottom"/>
            <w:gridSpan w:val="8"/>
          </w:tcPr>
          <w:p>
            <w:pPr>
              <w:ind w:left="1580"/>
              <w:spacing w:after="0"/>
              <w:rPr>
                <w:sz w:val="20"/>
                <w:szCs w:val="20"/>
                <w:color w:val="auto"/>
              </w:rPr>
            </w:pPr>
            <w:r>
              <w:rPr>
                <w:rFonts w:ascii="Arial" w:cs="Arial" w:eastAsia="Arial" w:hAnsi="Arial"/>
                <w:sz w:val="14"/>
                <w:szCs w:val="14"/>
                <w:b w:val="1"/>
                <w:bCs w:val="1"/>
                <w:color w:val="auto"/>
              </w:rPr>
              <w:t>Exhibit Description</w:t>
            </w:r>
          </w:p>
        </w:tc>
      </w:tr>
      <w:tr>
        <w:trPr>
          <w:trHeight w:val="24"/>
        </w:trPr>
        <w:tc>
          <w:tcPr>
            <w:tcW w:w="13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443"/>
        </w:trPr>
        <w:tc>
          <w:tcPr>
            <w:tcW w:w="1380" w:type="dxa"/>
            <w:vAlign w:val="bottom"/>
          </w:tcPr>
          <w:p>
            <w:pPr>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9680" w:type="dxa"/>
            <w:vAlign w:val="bottom"/>
            <w:tcBorders>
              <w:bottom w:val="single" w:sz="8" w:color="0000FF"/>
            </w:tcBorders>
            <w:gridSpan w:val="8"/>
          </w:tcPr>
          <w:p>
            <w:pPr>
              <w:spacing w:after="0"/>
              <w:rPr>
                <w:rFonts w:ascii="Arial" w:cs="Arial" w:eastAsia="Arial" w:hAnsi="Arial"/>
                <w:sz w:val="18"/>
                <w:szCs w:val="18"/>
                <w:color w:val="0000FF"/>
                <w:w w:val="88"/>
              </w:rPr>
            </w:pPr>
            <w:hyperlink r:id="rId66">
              <w:r>
                <w:rPr>
                  <w:rFonts w:ascii="Arial" w:cs="Arial" w:eastAsia="Arial" w:hAnsi="Arial"/>
                  <w:sz w:val="18"/>
                  <w:szCs w:val="18"/>
                  <w:color w:val="0000FF"/>
                  <w:w w:val="88"/>
                </w:rPr>
                <w:t>Amended and Restated Bylaws of Embecta Corp., effective August 2, 2023. (Incorporated by reference to the Company’s Current Report</w:t>
              </w:r>
            </w:hyperlink>
          </w:p>
        </w:tc>
        <w:tc>
          <w:tcPr>
            <w:tcW w:w="100" w:type="dxa"/>
            <w:vAlign w:val="bottom"/>
          </w:tcPr>
          <w:p>
            <w:pPr>
              <w:spacing w:after="0"/>
              <w:rPr>
                <w:sz w:val="24"/>
                <w:szCs w:val="24"/>
                <w:color w:val="auto"/>
              </w:rPr>
            </w:pPr>
          </w:p>
        </w:tc>
      </w:tr>
      <w:tr>
        <w:trPr>
          <w:trHeight w:val="178"/>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80" w:type="dxa"/>
            <w:vAlign w:val="bottom"/>
            <w:gridSpan w:val="9"/>
          </w:tcPr>
          <w:p>
            <w:pPr>
              <w:spacing w:after="0" w:line="178" w:lineRule="exact"/>
              <w:rPr>
                <w:rFonts w:ascii="Arial" w:cs="Arial" w:eastAsia="Arial" w:hAnsi="Arial"/>
                <w:sz w:val="18"/>
                <w:szCs w:val="18"/>
                <w:color w:val="0000FF"/>
              </w:rPr>
            </w:pPr>
            <w:hyperlink r:id="rId66">
              <w:r>
                <w:rPr>
                  <w:rFonts w:ascii="Arial" w:cs="Arial" w:eastAsia="Arial" w:hAnsi="Arial"/>
                  <w:sz w:val="18"/>
                  <w:szCs w:val="18"/>
                  <w:color w:val="0000FF"/>
                </w:rPr>
                <w:t>on Form 8-K filed on August 3, 2023.)</w:t>
              </w:r>
            </w:hyperlink>
          </w:p>
        </w:tc>
      </w:tr>
      <w:tr>
        <w:trPr>
          <w:trHeight w:val="20"/>
        </w:trPr>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509"/>
        </w:trPr>
        <w:tc>
          <w:tcPr>
            <w:tcW w:w="1380" w:type="dxa"/>
            <w:vAlign w:val="bottom"/>
          </w:tcPr>
          <w:p>
            <w:pPr>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9780" w:type="dxa"/>
            <w:vAlign w:val="bottom"/>
            <w:gridSpan w:val="9"/>
          </w:tcPr>
          <w:p>
            <w:pPr>
              <w:spacing w:after="0"/>
              <w:rPr>
                <w:rFonts w:ascii="Arial" w:cs="Arial" w:eastAsia="Arial" w:hAnsi="Arial"/>
                <w:sz w:val="18"/>
                <w:szCs w:val="18"/>
                <w:color w:val="0000FF"/>
                <w:w w:val="89"/>
              </w:rPr>
            </w:pPr>
            <w:hyperlink r:id="rId67">
              <w:r>
                <w:rPr>
                  <w:rFonts w:ascii="Arial" w:cs="Arial" w:eastAsia="Arial" w:hAnsi="Arial"/>
                  <w:sz w:val="18"/>
                  <w:szCs w:val="18"/>
                  <w:color w:val="0000FF"/>
                  <w:w w:val="89"/>
                </w:rPr>
                <w:t>Amended and Restated Bylaws of Embecta Corp., effective August 2, 2023, marked to show amendments. (Incorporated by reference to</w:t>
              </w:r>
            </w:hyperlink>
          </w:p>
        </w:tc>
      </w:tr>
      <w:tr>
        <w:trPr>
          <w:trHeight w:val="178"/>
        </w:trPr>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40" w:type="dxa"/>
            <w:vAlign w:val="bottom"/>
            <w:tcBorders>
              <w:top w:val="single" w:sz="8" w:color="0000FF"/>
              <w:bottom w:val="single" w:sz="8" w:color="0000FF"/>
            </w:tcBorders>
            <w:gridSpan w:val="2"/>
          </w:tcPr>
          <w:p>
            <w:pPr>
              <w:spacing w:after="0" w:line="178" w:lineRule="exact"/>
              <w:rPr>
                <w:rFonts w:ascii="Arial" w:cs="Arial" w:eastAsia="Arial" w:hAnsi="Arial"/>
                <w:sz w:val="18"/>
                <w:szCs w:val="18"/>
                <w:color w:val="0000FF"/>
                <w:w w:val="89"/>
              </w:rPr>
            </w:pPr>
            <w:hyperlink r:id="rId67">
              <w:r>
                <w:rPr>
                  <w:rFonts w:ascii="Arial" w:cs="Arial" w:eastAsia="Arial" w:hAnsi="Arial"/>
                  <w:sz w:val="18"/>
                  <w:szCs w:val="18"/>
                  <w:color w:val="0000FF"/>
                  <w:w w:val="89"/>
                </w:rPr>
                <w:t>the Company’s Current Report on Form 8-K filed on August 3, 2023.)</w:t>
              </w:r>
            </w:hyperlink>
          </w:p>
        </w:tc>
        <w:tc>
          <w:tcPr>
            <w:tcW w:w="4660" w:type="dxa"/>
            <w:vAlign w:val="bottom"/>
            <w:tcBorders>
              <w:top w:val="single" w:sz="8" w:color="0000FF"/>
            </w:tcBorders>
            <w:gridSpan w:val="5"/>
          </w:tcPr>
          <w:p>
            <w:pPr>
              <w:spacing w:after="0"/>
              <w:rPr>
                <w:sz w:val="15"/>
                <w:szCs w:val="15"/>
                <w:color w:val="auto"/>
              </w:rPr>
            </w:pPr>
          </w:p>
        </w:tc>
        <w:tc>
          <w:tcPr>
            <w:tcW w:w="180" w:type="dxa"/>
            <w:vAlign w:val="bottom"/>
            <w:gridSpan w:val="2"/>
          </w:tcPr>
          <w:p>
            <w:pPr>
              <w:spacing w:after="0"/>
              <w:rPr>
                <w:sz w:val="15"/>
                <w:szCs w:val="15"/>
                <w:color w:val="auto"/>
              </w:rPr>
            </w:pPr>
          </w:p>
        </w:tc>
      </w:tr>
      <w:tr>
        <w:trPr>
          <w:trHeight w:val="496"/>
        </w:trPr>
        <w:tc>
          <w:tcPr>
            <w:tcW w:w="1380" w:type="dxa"/>
            <w:vAlign w:val="bottom"/>
          </w:tcPr>
          <w:p>
            <w:pPr>
              <w:spacing w:after="0"/>
              <w:rPr>
                <w:sz w:val="20"/>
                <w:szCs w:val="20"/>
                <w:color w:val="auto"/>
              </w:rPr>
            </w:pPr>
            <w:r>
              <w:rPr>
                <w:rFonts w:ascii="Arial" w:cs="Arial" w:eastAsia="Arial" w:hAnsi="Arial"/>
                <w:sz w:val="18"/>
                <w:szCs w:val="18"/>
                <w:color w:val="auto"/>
              </w:rPr>
              <w:t>31.1*</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0000FF"/>
              </w:rPr>
              <w:t>Certification of Chief Executive Officer, pursuant to SEC Rule 13a–14(a)</w:t>
            </w:r>
          </w:p>
        </w:tc>
      </w:tr>
      <w:tr>
        <w:trPr>
          <w:trHeight w:val="509"/>
        </w:trPr>
        <w:tc>
          <w:tcPr>
            <w:tcW w:w="1380" w:type="dxa"/>
            <w:vAlign w:val="bottom"/>
          </w:tcPr>
          <w:p>
            <w:pPr>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24"/>
                <w:szCs w:val="24"/>
                <w:color w:val="auto"/>
              </w:rPr>
            </w:pPr>
          </w:p>
        </w:tc>
        <w:tc>
          <w:tcPr>
            <w:tcW w:w="514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0"/>
              </w:rPr>
              <w:t>Certification of Chief Financial Officer, pursuant to SEC Rule 13a–14(a)</w:t>
            </w:r>
          </w:p>
        </w:tc>
        <w:tc>
          <w:tcPr>
            <w:tcW w:w="40" w:type="dxa"/>
            <w:vAlign w:val="bottom"/>
            <w:tcBorders>
              <w:top w:val="single" w:sz="8" w:color="0000FF"/>
            </w:tcBorders>
          </w:tcPr>
          <w:p>
            <w:pPr>
              <w:spacing w:after="0"/>
              <w:rPr>
                <w:sz w:val="24"/>
                <w:szCs w:val="24"/>
                <w:color w:val="auto"/>
              </w:rPr>
            </w:pPr>
          </w:p>
        </w:tc>
        <w:tc>
          <w:tcPr>
            <w:tcW w:w="4600" w:type="dxa"/>
            <w:vAlign w:val="bottom"/>
            <w:gridSpan w:val="5"/>
          </w:tcPr>
          <w:p>
            <w:pPr>
              <w:spacing w:after="0"/>
              <w:rPr>
                <w:sz w:val="24"/>
                <w:szCs w:val="24"/>
                <w:color w:val="auto"/>
              </w:rPr>
            </w:pPr>
          </w:p>
        </w:tc>
      </w:tr>
      <w:tr>
        <w:trPr>
          <w:trHeight w:val="496"/>
        </w:trPr>
        <w:tc>
          <w:tcPr>
            <w:tcW w:w="1380" w:type="dxa"/>
            <w:vAlign w:val="bottom"/>
          </w:tcPr>
          <w:p>
            <w:pPr>
              <w:spacing w:after="0"/>
              <w:rPr>
                <w:sz w:val="20"/>
                <w:szCs w:val="20"/>
                <w:color w:val="auto"/>
              </w:rPr>
            </w:pPr>
            <w:r>
              <w:rPr>
                <w:rFonts w:ascii="Arial" w:cs="Arial" w:eastAsia="Arial" w:hAnsi="Arial"/>
                <w:sz w:val="18"/>
                <w:szCs w:val="18"/>
                <w:color w:val="auto"/>
              </w:rPr>
              <w:t>32.1**</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0000FF"/>
                <w:w w:val="96"/>
              </w:rPr>
              <w:t>Certification of Chief Executive Officer, pursuant to Rule 13a–14(b) and Section 1350 of Chapter 63 of Title 18 of the U.S. Code</w:t>
            </w:r>
          </w:p>
        </w:tc>
      </w:tr>
      <w:tr>
        <w:trPr>
          <w:trHeight w:val="496"/>
        </w:trPr>
        <w:tc>
          <w:tcPr>
            <w:tcW w:w="1380" w:type="dxa"/>
            <w:vAlign w:val="bottom"/>
          </w:tcPr>
          <w:p>
            <w:pPr>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4"/>
                <w:szCs w:val="24"/>
                <w:color w:val="auto"/>
              </w:rPr>
            </w:pPr>
          </w:p>
        </w:tc>
        <w:tc>
          <w:tcPr>
            <w:tcW w:w="906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8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680" w:type="dxa"/>
            <w:vAlign w:val="bottom"/>
            <w:gridSpan w:val="3"/>
          </w:tcPr>
          <w:p>
            <w:pPr>
              <w:spacing w:after="0"/>
              <w:rPr>
                <w:sz w:val="24"/>
                <w:szCs w:val="24"/>
                <w:color w:val="auto"/>
              </w:rPr>
            </w:pPr>
          </w:p>
        </w:tc>
      </w:tr>
      <w:tr>
        <w:trPr>
          <w:trHeight w:val="523"/>
        </w:trPr>
        <w:tc>
          <w:tcPr>
            <w:tcW w:w="1380" w:type="dxa"/>
            <w:vAlign w:val="bottom"/>
          </w:tcPr>
          <w:p>
            <w:pPr>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w w:val="95"/>
              </w:rPr>
              <w:t>The following materials from this report, formatted in iXBRL (Inline eXtensible Business Reporting Language): (i) the Condensed</w:t>
            </w:r>
          </w:p>
        </w:tc>
      </w:tr>
      <w:tr>
        <w:trPr>
          <w:trHeight w:val="198"/>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9"/>
          </w:tcPr>
          <w:p>
            <w:pPr>
              <w:spacing w:after="0" w:line="198" w:lineRule="exact"/>
              <w:rPr>
                <w:sz w:val="20"/>
                <w:szCs w:val="20"/>
                <w:color w:val="auto"/>
              </w:rPr>
            </w:pPr>
            <w:r>
              <w:rPr>
                <w:rFonts w:ascii="Arial" w:cs="Arial" w:eastAsia="Arial" w:hAnsi="Arial"/>
                <w:sz w:val="18"/>
                <w:szCs w:val="18"/>
                <w:color w:val="auto"/>
                <w:w w:val="95"/>
              </w:rPr>
              <w:t>Consolidated Statements of Income, (ii) the Condensed Consolidated Statements of Comprehensive Income, (iii) the Condensed</w:t>
            </w:r>
          </w:p>
        </w:tc>
      </w:tr>
      <w:tr>
        <w:trPr>
          <w:trHeight w:val="198"/>
        </w:trPr>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80" w:type="dxa"/>
            <w:vAlign w:val="bottom"/>
            <w:gridSpan w:val="9"/>
          </w:tcPr>
          <w:p>
            <w:pPr>
              <w:spacing w:after="0" w:line="198" w:lineRule="exact"/>
              <w:rPr>
                <w:sz w:val="20"/>
                <w:szCs w:val="20"/>
                <w:color w:val="auto"/>
              </w:rPr>
            </w:pPr>
            <w:r>
              <w:rPr>
                <w:rFonts w:ascii="Arial" w:cs="Arial" w:eastAsia="Arial" w:hAnsi="Arial"/>
                <w:sz w:val="18"/>
                <w:szCs w:val="18"/>
                <w:color w:val="auto"/>
                <w:w w:val="87"/>
              </w:rPr>
              <w:t>Consolidated Balance Sheets, (iv) the Condensed Consolidated Statements of Equity, (v) the Condensed Consolidated Statements of Cash</w:t>
            </w:r>
          </w:p>
        </w:tc>
      </w:tr>
      <w:tr>
        <w:trPr>
          <w:trHeight w:val="223"/>
        </w:trPr>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Flows, and (vi) Notes to Condensed Consolidated Financial Statements.</w:t>
            </w:r>
          </w:p>
        </w:tc>
      </w:tr>
      <w:tr>
        <w:trPr>
          <w:trHeight w:val="529"/>
        </w:trPr>
        <w:tc>
          <w:tcPr>
            <w:tcW w:w="1380" w:type="dxa"/>
            <w:vAlign w:val="bottom"/>
          </w:tcPr>
          <w:p>
            <w:pPr>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24"/>
                <w:szCs w:val="24"/>
                <w:color w:val="auto"/>
              </w:rPr>
            </w:pPr>
          </w:p>
        </w:tc>
        <w:tc>
          <w:tcPr>
            <w:tcW w:w="978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40" w:lineRule="exact"/>
        <w:rPr>
          <w:sz w:val="20"/>
          <w:szCs w:val="20"/>
          <w:color w:val="auto"/>
        </w:rPr>
      </w:pPr>
    </w:p>
    <w:p>
      <w:pPr>
        <w:ind w:left="560" w:hanging="537"/>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69" w:lineRule="exact"/>
        <w:rPr>
          <w:sz w:val="20"/>
          <w:szCs w:val="20"/>
          <w:color w:val="auto"/>
        </w:rPr>
      </w:pPr>
    </w:p>
    <w:p>
      <w:pPr>
        <w:ind w:left="560" w:hanging="537"/>
        <w:spacing w:after="0"/>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 amounts are in millions except per share amounts or as otherwise specified.</w:t>
      </w:r>
    </w:p>
    <w:p>
      <w:pPr>
        <w:ind w:left="10880"/>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EMBECTA CORP.</w:t>
      </w: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60" w:type="dxa"/>
            <w:vAlign w:val="bottom"/>
          </w:tcPr>
          <w:p>
            <w:pPr>
              <w:ind w:left="4960"/>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Devdatt Kurdikar</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 August 8, 2023</w:t>
            </w:r>
          </w:p>
        </w:tc>
        <w:tc>
          <w:tcPr>
            <w:tcW w:w="5360" w:type="dxa"/>
            <w:vAlign w:val="bottom"/>
            <w:tcBorders>
              <w:bottom w:val="single" w:sz="8" w:color="auto"/>
            </w:tcBorders>
          </w:tcPr>
          <w:p>
            <w:pPr>
              <w:spacing w:after="0"/>
              <w:rPr>
                <w:sz w:val="20"/>
                <w:szCs w:val="20"/>
                <w:color w:val="auto"/>
              </w:rPr>
            </w:pPr>
          </w:p>
        </w:tc>
      </w:tr>
      <w:tr>
        <w:trPr>
          <w:trHeight w:val="237"/>
        </w:trPr>
        <w:tc>
          <w:tcPr>
            <w:tcW w:w="5860" w:type="dxa"/>
            <w:vAlign w:val="bottom"/>
          </w:tcPr>
          <w:p>
            <w:pPr>
              <w:ind w:left="4960"/>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Devdatt Kurdikar</w:t>
            </w:r>
          </w:p>
        </w:tc>
      </w:tr>
      <w:tr>
        <w:trPr>
          <w:trHeight w:val="251"/>
        </w:trPr>
        <w:tc>
          <w:tcPr>
            <w:tcW w:w="5860" w:type="dxa"/>
            <w:vAlign w:val="bottom"/>
          </w:tcPr>
          <w:p>
            <w:pPr>
              <w:ind w:left="4960"/>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51"/>
        </w:trPr>
        <w:tc>
          <w:tcPr>
            <w:tcW w:w="58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60" w:type="dxa"/>
            <w:vAlign w:val="bottom"/>
          </w:tcPr>
          <w:p>
            <w:pPr>
              <w:ind w:left="4960"/>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Jacob Elguicze</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 August 8, 2023</w:t>
            </w:r>
          </w:p>
        </w:tc>
        <w:tc>
          <w:tcPr>
            <w:tcW w:w="5360" w:type="dxa"/>
            <w:vAlign w:val="bottom"/>
            <w:tcBorders>
              <w:bottom w:val="single" w:sz="8" w:color="auto"/>
            </w:tcBorders>
          </w:tcPr>
          <w:p>
            <w:pPr>
              <w:spacing w:after="0"/>
              <w:rPr>
                <w:sz w:val="20"/>
                <w:szCs w:val="20"/>
                <w:color w:val="auto"/>
              </w:rPr>
            </w:pPr>
          </w:p>
        </w:tc>
      </w:tr>
      <w:tr>
        <w:trPr>
          <w:trHeight w:val="237"/>
        </w:trPr>
        <w:tc>
          <w:tcPr>
            <w:tcW w:w="5860" w:type="dxa"/>
            <w:vAlign w:val="bottom"/>
          </w:tcPr>
          <w:p>
            <w:pPr>
              <w:ind w:left="4960"/>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Jacob Elguicze</w:t>
            </w:r>
          </w:p>
        </w:tc>
      </w:tr>
      <w:tr>
        <w:trPr>
          <w:trHeight w:val="251"/>
        </w:trPr>
        <w:tc>
          <w:tcPr>
            <w:tcW w:w="5860" w:type="dxa"/>
            <w:vAlign w:val="bottom"/>
          </w:tcPr>
          <w:p>
            <w:pPr>
              <w:ind w:left="4960"/>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Senior Vice President, Chief Financial Officer</w:t>
            </w:r>
          </w:p>
        </w:tc>
      </w:tr>
      <w:tr>
        <w:trPr>
          <w:trHeight w:val="251"/>
        </w:trPr>
        <w:tc>
          <w:tcPr>
            <w:tcW w:w="58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860" w:type="dxa"/>
            <w:vAlign w:val="bottom"/>
          </w:tcPr>
          <w:p>
            <w:pPr>
              <w:ind w:left="4960"/>
              <w:spacing w:after="0"/>
              <w:rPr>
                <w:sz w:val="20"/>
                <w:szCs w:val="20"/>
                <w:color w:val="auto"/>
              </w:rPr>
            </w:pPr>
            <w:r>
              <w:rPr>
                <w:rFonts w:ascii="Arial" w:cs="Arial" w:eastAsia="Arial" w:hAnsi="Arial"/>
                <w:sz w:val="18"/>
                <w:szCs w:val="18"/>
                <w:color w:val="auto"/>
              </w:rPr>
              <w:t>By:</w:t>
            </w:r>
          </w:p>
        </w:tc>
        <w:tc>
          <w:tcPr>
            <w:tcW w:w="5360" w:type="dxa"/>
            <w:vAlign w:val="bottom"/>
          </w:tcPr>
          <w:p>
            <w:pPr>
              <w:ind w:left="20"/>
              <w:spacing w:after="0"/>
              <w:rPr>
                <w:sz w:val="20"/>
                <w:szCs w:val="20"/>
                <w:color w:val="auto"/>
              </w:rPr>
            </w:pPr>
            <w:r>
              <w:rPr>
                <w:rFonts w:ascii="Arial" w:cs="Arial" w:eastAsia="Arial" w:hAnsi="Arial"/>
                <w:sz w:val="18"/>
                <w:szCs w:val="18"/>
                <w:color w:val="auto"/>
              </w:rPr>
              <w:t>/s/ Brian Capone</w:t>
            </w: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Date: August 8, 2023</w:t>
            </w:r>
          </w:p>
        </w:tc>
        <w:tc>
          <w:tcPr>
            <w:tcW w:w="5360" w:type="dxa"/>
            <w:vAlign w:val="bottom"/>
            <w:tcBorders>
              <w:bottom w:val="single" w:sz="8" w:color="auto"/>
            </w:tcBorders>
          </w:tcPr>
          <w:p>
            <w:pPr>
              <w:spacing w:after="0"/>
              <w:rPr>
                <w:sz w:val="20"/>
                <w:szCs w:val="20"/>
                <w:color w:val="auto"/>
              </w:rPr>
            </w:pPr>
          </w:p>
        </w:tc>
      </w:tr>
      <w:tr>
        <w:trPr>
          <w:trHeight w:val="237"/>
        </w:trPr>
        <w:tc>
          <w:tcPr>
            <w:tcW w:w="5860" w:type="dxa"/>
            <w:vAlign w:val="bottom"/>
          </w:tcPr>
          <w:p>
            <w:pPr>
              <w:ind w:left="4960"/>
              <w:spacing w:after="0"/>
              <w:rPr>
                <w:sz w:val="20"/>
                <w:szCs w:val="20"/>
                <w:color w:val="auto"/>
              </w:rPr>
            </w:pPr>
            <w:r>
              <w:rPr>
                <w:rFonts w:ascii="Arial" w:cs="Arial" w:eastAsia="Arial" w:hAnsi="Arial"/>
                <w:sz w:val="18"/>
                <w:szCs w:val="18"/>
                <w:color w:val="auto"/>
              </w:rPr>
              <w:t>Name:</w:t>
            </w:r>
          </w:p>
        </w:tc>
        <w:tc>
          <w:tcPr>
            <w:tcW w:w="5360" w:type="dxa"/>
            <w:vAlign w:val="bottom"/>
          </w:tcPr>
          <w:p>
            <w:pPr>
              <w:ind w:left="20"/>
              <w:spacing w:after="0"/>
              <w:rPr>
                <w:sz w:val="20"/>
                <w:szCs w:val="20"/>
                <w:color w:val="auto"/>
              </w:rPr>
            </w:pPr>
            <w:r>
              <w:rPr>
                <w:rFonts w:ascii="Arial" w:cs="Arial" w:eastAsia="Arial" w:hAnsi="Arial"/>
                <w:sz w:val="18"/>
                <w:szCs w:val="18"/>
                <w:color w:val="auto"/>
              </w:rPr>
              <w:t>Brian Capone</w:t>
            </w:r>
          </w:p>
        </w:tc>
      </w:tr>
      <w:tr>
        <w:trPr>
          <w:trHeight w:val="251"/>
        </w:trPr>
        <w:tc>
          <w:tcPr>
            <w:tcW w:w="5860" w:type="dxa"/>
            <w:vAlign w:val="bottom"/>
          </w:tcPr>
          <w:p>
            <w:pPr>
              <w:ind w:left="4960"/>
              <w:spacing w:after="0"/>
              <w:rPr>
                <w:sz w:val="20"/>
                <w:szCs w:val="20"/>
                <w:color w:val="auto"/>
              </w:rPr>
            </w:pPr>
            <w:r>
              <w:rPr>
                <w:rFonts w:ascii="Arial" w:cs="Arial" w:eastAsia="Arial" w:hAnsi="Arial"/>
                <w:sz w:val="18"/>
                <w:szCs w:val="18"/>
                <w:color w:val="auto"/>
              </w:rPr>
              <w:t>Title:</w:t>
            </w: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Controller and Chief Accounting Officer</w:t>
            </w:r>
          </w:p>
        </w:tc>
      </w:tr>
      <w:tr>
        <w:trPr>
          <w:trHeight w:val="251"/>
        </w:trPr>
        <w:tc>
          <w:tcPr>
            <w:tcW w:w="586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22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Devdatt Kurdikar, certify that:</w:t>
      </w:r>
    </w:p>
    <w:p>
      <w:pPr>
        <w:spacing w:after="0" w:line="137" w:lineRule="exact"/>
        <w:rPr>
          <w:sz w:val="20"/>
          <w:szCs w:val="20"/>
          <w:color w:val="auto"/>
        </w:rPr>
      </w:pPr>
    </w:p>
    <w:p>
      <w:pPr>
        <w:ind w:left="320" w:hanging="314"/>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Embecta Corp.;</w:t>
      </w:r>
    </w:p>
    <w:p>
      <w:pPr>
        <w:spacing w:after="0" w:line="136" w:lineRule="exact"/>
        <w:rPr>
          <w:rFonts w:ascii="Arial" w:cs="Arial" w:eastAsia="Arial" w:hAnsi="Arial"/>
          <w:sz w:val="18"/>
          <w:szCs w:val="18"/>
          <w:color w:val="auto"/>
        </w:rPr>
      </w:pPr>
    </w:p>
    <w:p>
      <w:pPr>
        <w:ind w:left="320" w:right="180" w:hanging="314"/>
        <w:spacing w:after="0" w:line="346"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5"/>
          <w:szCs w:val="15"/>
          <w:color w:val="auto"/>
        </w:rPr>
      </w:pPr>
    </w:p>
    <w:p>
      <w:pPr>
        <w:ind w:left="320" w:right="640" w:hanging="314"/>
        <w:spacing w:after="0" w:line="277"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7"/>
          <w:szCs w:val="17"/>
          <w:color w:val="auto"/>
        </w:rPr>
      </w:pPr>
    </w:p>
    <w:p>
      <w:pPr>
        <w:ind w:left="320" w:right="680" w:hanging="314"/>
        <w:spacing w:after="0" w:line="346"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57" w:lineRule="exact"/>
        <w:rPr>
          <w:rFonts w:ascii="Arial" w:cs="Arial" w:eastAsia="Arial" w:hAnsi="Arial"/>
          <w:sz w:val="15"/>
          <w:szCs w:val="15"/>
          <w:color w:val="auto"/>
        </w:rPr>
      </w:pPr>
    </w:p>
    <w:p>
      <w:pPr>
        <w:ind w:left="640" w:right="100" w:hanging="317"/>
        <w:spacing w:after="0" w:line="239"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640" w:hanging="317"/>
        <w:spacing w:after="0"/>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49" w:lineRule="exact"/>
        <w:rPr>
          <w:rFonts w:ascii="Arial" w:cs="Arial" w:eastAsia="Arial" w:hAnsi="Arial"/>
          <w:sz w:val="18"/>
          <w:szCs w:val="18"/>
          <w:color w:val="auto"/>
        </w:rPr>
      </w:pPr>
    </w:p>
    <w:p>
      <w:pPr>
        <w:ind w:left="640" w:right="140" w:hanging="317"/>
        <w:spacing w:after="0" w:line="277" w:lineRule="auto"/>
        <w:tabs>
          <w:tab w:leader="none" w:pos="64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0" w:lineRule="exact"/>
        <w:rPr>
          <w:rFonts w:ascii="Arial" w:cs="Arial" w:eastAsia="Arial" w:hAnsi="Arial"/>
          <w:sz w:val="17"/>
          <w:szCs w:val="17"/>
          <w:color w:val="auto"/>
        </w:rPr>
      </w:pPr>
    </w:p>
    <w:p>
      <w:pPr>
        <w:ind w:left="640" w:hanging="317"/>
        <w:spacing w:after="0" w:line="246"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8"/>
          <w:szCs w:val="18"/>
          <w:color w:val="auto"/>
        </w:rPr>
      </w:pPr>
    </w:p>
    <w:p>
      <w:pPr>
        <w:ind w:left="320" w:right="380" w:hanging="314"/>
        <w:spacing w:after="0" w:line="346" w:lineRule="auto"/>
        <w:tabs>
          <w:tab w:leader="none" w:pos="3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Arial" w:cs="Arial" w:eastAsia="Arial" w:hAnsi="Arial"/>
          <w:sz w:val="15"/>
          <w:szCs w:val="15"/>
          <w:color w:val="auto"/>
        </w:rPr>
      </w:pPr>
    </w:p>
    <w:p>
      <w:pPr>
        <w:ind w:left="640" w:right="60" w:hanging="317"/>
        <w:spacing w:after="0" w:line="263"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1" w:lineRule="exact"/>
        <w:rPr>
          <w:rFonts w:ascii="Arial" w:cs="Arial" w:eastAsia="Arial" w:hAnsi="Arial"/>
          <w:sz w:val="18"/>
          <w:szCs w:val="18"/>
          <w:color w:val="auto"/>
        </w:rPr>
      </w:pPr>
    </w:p>
    <w:p>
      <w:pPr>
        <w:ind w:left="640" w:right="100" w:hanging="317"/>
        <w:spacing w:after="0" w:line="248" w:lineRule="auto"/>
        <w:tabs>
          <w:tab w:leader="none" w:pos="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5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19050</wp:posOffset>
            </wp:positionV>
            <wp:extent cx="28543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Devdatt Kurdikar</w:t>
      </w:r>
    </w:p>
    <w:p>
      <w:pPr>
        <w:spacing w:after="0" w:line="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1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I, Jacob Elguicze, certify that:</w:t>
      </w:r>
    </w:p>
    <w:p>
      <w:pPr>
        <w:spacing w:after="0" w:line="137" w:lineRule="exact"/>
        <w:rPr>
          <w:sz w:val="20"/>
          <w:szCs w:val="20"/>
          <w:color w:val="auto"/>
        </w:rPr>
      </w:pPr>
    </w:p>
    <w:p>
      <w:pPr>
        <w:ind w:left="320" w:hanging="314"/>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Embecta Corp.;</w:t>
      </w:r>
    </w:p>
    <w:p>
      <w:pPr>
        <w:spacing w:after="0" w:line="136" w:lineRule="exact"/>
        <w:rPr>
          <w:rFonts w:ascii="Arial" w:cs="Arial" w:eastAsia="Arial" w:hAnsi="Arial"/>
          <w:sz w:val="18"/>
          <w:szCs w:val="18"/>
          <w:color w:val="auto"/>
        </w:rPr>
      </w:pPr>
    </w:p>
    <w:p>
      <w:pPr>
        <w:ind w:left="320" w:right="180" w:hanging="314"/>
        <w:spacing w:after="0" w:line="346" w:lineRule="auto"/>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Arial" w:cs="Arial" w:eastAsia="Arial" w:hAnsi="Arial"/>
          <w:sz w:val="15"/>
          <w:szCs w:val="15"/>
          <w:color w:val="auto"/>
        </w:rPr>
      </w:pPr>
    </w:p>
    <w:p>
      <w:pPr>
        <w:ind w:left="320" w:right="640" w:hanging="314"/>
        <w:spacing w:after="0" w:line="277" w:lineRule="auto"/>
        <w:tabs>
          <w:tab w:leader="none" w:pos="3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7" w:lineRule="exact"/>
        <w:rPr>
          <w:rFonts w:ascii="Arial" w:cs="Arial" w:eastAsia="Arial" w:hAnsi="Arial"/>
          <w:sz w:val="17"/>
          <w:szCs w:val="17"/>
          <w:color w:val="auto"/>
        </w:rPr>
      </w:pPr>
    </w:p>
    <w:p>
      <w:pPr>
        <w:ind w:left="320" w:right="680" w:hanging="314"/>
        <w:spacing w:after="0" w:line="346" w:lineRule="auto"/>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[language omitted in accordance with Exchange Act Rule 13a-14(a)] for the registrant and have:</w:t>
      </w:r>
    </w:p>
    <w:p>
      <w:pPr>
        <w:spacing w:after="0" w:line="57" w:lineRule="exact"/>
        <w:rPr>
          <w:rFonts w:ascii="Arial" w:cs="Arial" w:eastAsia="Arial" w:hAnsi="Arial"/>
          <w:sz w:val="15"/>
          <w:szCs w:val="15"/>
          <w:color w:val="auto"/>
        </w:rPr>
      </w:pPr>
    </w:p>
    <w:p>
      <w:pPr>
        <w:ind w:left="640" w:right="100" w:hanging="317"/>
        <w:spacing w:after="0" w:line="239"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Arial" w:cs="Arial" w:eastAsia="Arial" w:hAnsi="Arial"/>
          <w:sz w:val="18"/>
          <w:szCs w:val="18"/>
          <w:color w:val="auto"/>
        </w:rPr>
      </w:pPr>
    </w:p>
    <w:p>
      <w:pPr>
        <w:ind w:left="640" w:hanging="317"/>
        <w:spacing w:after="0"/>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[paragraph omitted in accordance with Exchange Act Rule 13a-14(a)];</w:t>
      </w:r>
    </w:p>
    <w:p>
      <w:pPr>
        <w:spacing w:after="0" w:line="136" w:lineRule="exact"/>
        <w:rPr>
          <w:rFonts w:ascii="Arial" w:cs="Arial" w:eastAsia="Arial" w:hAnsi="Arial"/>
          <w:sz w:val="18"/>
          <w:szCs w:val="18"/>
          <w:color w:val="auto"/>
        </w:rPr>
      </w:pPr>
    </w:p>
    <w:p>
      <w:pPr>
        <w:ind w:left="640" w:right="140" w:hanging="317"/>
        <w:spacing w:after="0" w:line="293" w:lineRule="auto"/>
        <w:tabs>
          <w:tab w:leader="none" w:pos="6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7" w:lineRule="exact"/>
        <w:rPr>
          <w:rFonts w:ascii="Arial" w:cs="Arial" w:eastAsia="Arial" w:hAnsi="Arial"/>
          <w:sz w:val="17"/>
          <w:szCs w:val="17"/>
          <w:color w:val="auto"/>
        </w:rPr>
      </w:pPr>
    </w:p>
    <w:p>
      <w:pPr>
        <w:ind w:left="640" w:hanging="317"/>
        <w:spacing w:after="0" w:line="239"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Arial" w:cs="Arial" w:eastAsia="Arial" w:hAnsi="Arial"/>
          <w:sz w:val="18"/>
          <w:szCs w:val="18"/>
          <w:color w:val="auto"/>
        </w:rPr>
      </w:pPr>
    </w:p>
    <w:p>
      <w:pPr>
        <w:ind w:left="320" w:right="380" w:hanging="314"/>
        <w:spacing w:after="0" w:line="364" w:lineRule="auto"/>
        <w:tabs>
          <w:tab w:leader="none" w:pos="32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2" w:lineRule="exact"/>
        <w:rPr>
          <w:rFonts w:ascii="Arial" w:cs="Arial" w:eastAsia="Arial" w:hAnsi="Arial"/>
          <w:sz w:val="15"/>
          <w:szCs w:val="15"/>
          <w:color w:val="auto"/>
        </w:rPr>
      </w:pPr>
    </w:p>
    <w:p>
      <w:pPr>
        <w:ind w:left="640" w:right="60" w:hanging="317"/>
        <w:spacing w:after="0" w:line="248"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640" w:right="100" w:hanging="317"/>
        <w:spacing w:after="0" w:line="248" w:lineRule="auto"/>
        <w:tabs>
          <w:tab w:leader="none" w:pos="6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19050</wp:posOffset>
            </wp:positionV>
            <wp:extent cx="28543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Jacob Elguicze</w:t>
      </w:r>
    </w:p>
    <w:p>
      <w:pPr>
        <w:spacing w:after="0" w:line="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14"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03" w:lineRule="exact"/>
        <w:rPr>
          <w:sz w:val="20"/>
          <w:szCs w:val="20"/>
          <w:color w:val="auto"/>
        </w:rPr>
      </w:pPr>
    </w:p>
    <w:p>
      <w:pPr>
        <w:ind w:right="320" w:firstLine="431"/>
        <w:spacing w:after="0" w:line="248" w:lineRule="auto"/>
        <w:rPr>
          <w:sz w:val="20"/>
          <w:szCs w:val="20"/>
          <w:color w:val="auto"/>
        </w:rPr>
      </w:pPr>
      <w:r>
        <w:rPr>
          <w:rFonts w:ascii="Arial" w:cs="Arial" w:eastAsia="Arial" w:hAnsi="Arial"/>
          <w:sz w:val="18"/>
          <w:szCs w:val="18"/>
          <w:color w:val="auto"/>
        </w:rPr>
        <w:t>Pursuant to 18 U.S.C. Section 1350, in connection with the Quarterly Report on Form 10-Q of Embecta Corp. for the quarter ended June 30, 2023 as filed with the Securities and Exchange Commission (the “Report”).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Devdatt Kurdikar, the Chief Executive Officer of Embecta Corp., certify that, to the best of my knowledge:</w:t>
      </w:r>
    </w:p>
    <w:p>
      <w:pPr>
        <w:spacing w:after="0" w:line="124" w:lineRule="exact"/>
        <w:rPr>
          <w:sz w:val="20"/>
          <w:szCs w:val="20"/>
          <w:color w:val="auto"/>
        </w:rPr>
      </w:pPr>
    </w:p>
    <w:p>
      <w:pPr>
        <w:ind w:left="400" w:hanging="394"/>
        <w:spacing w:after="0"/>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or 15(d) of the Securities Exchange Act of 1934; and</w:t>
      </w:r>
    </w:p>
    <w:p>
      <w:pPr>
        <w:spacing w:after="0" w:line="97" w:lineRule="exact"/>
        <w:rPr>
          <w:rFonts w:ascii="Arial" w:cs="Arial" w:eastAsia="Arial" w:hAnsi="Arial"/>
          <w:sz w:val="18"/>
          <w:szCs w:val="18"/>
          <w:color w:val="auto"/>
        </w:rPr>
      </w:pPr>
    </w:p>
    <w:p>
      <w:pPr>
        <w:ind w:left="400" w:hanging="394"/>
        <w:spacing w:after="0"/>
        <w:tabs>
          <w:tab w:leader="none" w:pos="4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Embecta Corp.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24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10795</wp:posOffset>
            </wp:positionV>
            <wp:extent cx="285432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Devdatt Kurdikar</w:t>
      </w:r>
    </w:p>
    <w:p>
      <w:pPr>
        <w:spacing w:after="0" w:line="3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914"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103" w:lineRule="exact"/>
        <w:rPr>
          <w:sz w:val="20"/>
          <w:szCs w:val="20"/>
          <w:color w:val="auto"/>
        </w:rPr>
      </w:pPr>
    </w:p>
    <w:p>
      <w:pPr>
        <w:ind w:right="320" w:firstLine="431"/>
        <w:spacing w:after="0" w:line="248" w:lineRule="auto"/>
        <w:rPr>
          <w:sz w:val="20"/>
          <w:szCs w:val="20"/>
          <w:color w:val="auto"/>
        </w:rPr>
      </w:pPr>
      <w:r>
        <w:rPr>
          <w:rFonts w:ascii="Arial" w:cs="Arial" w:eastAsia="Arial" w:hAnsi="Arial"/>
          <w:sz w:val="18"/>
          <w:szCs w:val="18"/>
          <w:color w:val="auto"/>
        </w:rPr>
        <w:t>Pursuant to 18 U.S.C. Section 1350, in connection with the Quarterly Report on Form 10-Q of Embecta Corp. for the quarter ended June 30, 2023 as filed with the Securities and Exchange Commission (the “Report”).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Jacob Elguicze, the Chief Financial Officer of Embecta Corp., certify that, to the best of my knowledge:</w:t>
      </w:r>
    </w:p>
    <w:p>
      <w:pPr>
        <w:spacing w:after="0" w:line="124" w:lineRule="exact"/>
        <w:rPr>
          <w:sz w:val="20"/>
          <w:szCs w:val="20"/>
          <w:color w:val="auto"/>
        </w:rPr>
      </w:pPr>
    </w:p>
    <w:p>
      <w:pPr>
        <w:ind w:left="400" w:hanging="394"/>
        <w:spacing w:after="0"/>
        <w:tabs>
          <w:tab w:leader="none" w:pos="4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Report fully complies with the requirements of Section 13(a) or 15(d) of the Securities Exchange Act of 1934; and</w:t>
      </w:r>
    </w:p>
    <w:p>
      <w:pPr>
        <w:spacing w:after="0" w:line="97" w:lineRule="exact"/>
        <w:rPr>
          <w:rFonts w:ascii="Arial" w:cs="Arial" w:eastAsia="Arial" w:hAnsi="Arial"/>
          <w:sz w:val="18"/>
          <w:szCs w:val="18"/>
          <w:color w:val="auto"/>
        </w:rPr>
      </w:pPr>
    </w:p>
    <w:p>
      <w:pPr>
        <w:ind w:left="400" w:hanging="394"/>
        <w:spacing w:after="0"/>
        <w:tabs>
          <w:tab w:leader="none" w:pos="4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Embecta Corp.</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2023</w:t>
      </w:r>
    </w:p>
    <w:p>
      <w:pPr>
        <w:spacing w:after="0" w:line="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4284980</wp:posOffset>
            </wp:positionH>
            <wp:positionV relativeFrom="paragraph">
              <wp:posOffset>19050</wp:posOffset>
            </wp:positionV>
            <wp:extent cx="2854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Jacob Elguicze</w:t>
      </w:r>
    </w:p>
    <w:p>
      <w:pPr>
        <w:spacing w:after="0" w:line="4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240"/>
      </w:cols>
      <w:pgMar w:left="320" w:top="9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
      <w:numFmt w:val="bullet"/>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66" Type="http://schemas.openxmlformats.org/officeDocument/2006/relationships/hyperlink" Target="http://www.sec.gov/Archives/edgar/data/1872789/000094787123000814/ss2350753_0301.htm" TargetMode="External"/><Relationship Id="rId67" Type="http://schemas.openxmlformats.org/officeDocument/2006/relationships/hyperlink" Target="http://www.sec.gov/Archives/edgar/data/1872789/000094787123000814/ss2350753_03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2023-08-08T12:30:19Z</dcterms:created>
  <dcterms:modified xsi:type="dcterms:W3CDTF">2023-08-08T12:30:19Z</dcterms:modified>
</cp:coreProperties>
</file>