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jc w:val="center"/>
              <w:ind w:left="418"/>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gridSpan w:val="4"/>
          </w:tcPr>
          <w:p>
            <w:pPr>
              <w:jc w:val="center"/>
              <w:ind w:left="1276"/>
              <w:spacing w:after="0"/>
              <w:rPr>
                <w:sz w:val="20"/>
                <w:szCs w:val="20"/>
                <w:color w:val="auto"/>
              </w:rPr>
            </w:pPr>
            <w:r>
              <w:rPr>
                <w:rFonts w:ascii="Arial" w:cs="Arial" w:eastAsia="Arial" w:hAnsi="Arial"/>
                <w:sz w:val="18"/>
                <w:szCs w:val="18"/>
                <w:b w:val="1"/>
                <w:bCs w:val="1"/>
                <w:color w:val="auto"/>
                <w:w w:val="88"/>
              </w:rPr>
              <w:t>001-41186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80" w:type="dxa"/>
            <w:vAlign w:val="bottom"/>
          </w:tcPr>
          <w:p>
            <w:pPr>
              <w:jc w:val="center"/>
              <w:ind w:right="280"/>
              <w:spacing w:after="0"/>
              <w:rPr>
                <w:sz w:val="20"/>
                <w:szCs w:val="20"/>
                <w:color w:val="auto"/>
              </w:rPr>
            </w:pPr>
            <w:r>
              <w:rPr>
                <w:rFonts w:ascii="Arial" w:cs="Arial" w:eastAsia="Arial" w:hAnsi="Arial"/>
                <w:sz w:val="18"/>
                <w:szCs w:val="18"/>
                <w:b w:val="1"/>
                <w:bCs w:val="1"/>
                <w:color w:val="auto"/>
                <w:w w:val="89"/>
              </w:rPr>
              <w:t>87-1583942</w:t>
            </w:r>
          </w:p>
        </w:tc>
        <w:tc>
          <w:tcPr>
            <w:tcW w:w="0" w:type="dxa"/>
            <w:vAlign w:val="bottom"/>
          </w:tcPr>
          <w:p>
            <w:pPr>
              <w:spacing w:after="0"/>
              <w:rPr>
                <w:sz w:val="1"/>
                <w:szCs w:val="1"/>
                <w:color w:val="auto"/>
              </w:rPr>
            </w:pPr>
          </w:p>
        </w:tc>
      </w:tr>
      <w:tr>
        <w:trPr>
          <w:trHeight w:val="148"/>
        </w:trPr>
        <w:tc>
          <w:tcPr>
            <w:tcW w:w="3220" w:type="dxa"/>
            <w:vAlign w:val="bottom"/>
          </w:tcPr>
          <w:p>
            <w:pPr>
              <w:jc w:val="center"/>
              <w:ind w:left="4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00" w:type="dxa"/>
            <w:vAlign w:val="bottom"/>
            <w:gridSpan w:val="4"/>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(Commission</w:t>
            </w:r>
          </w:p>
        </w:tc>
        <w:tc>
          <w:tcPr>
            <w:tcW w:w="318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220" w:type="dxa"/>
            <w:vAlign w:val="bottom"/>
          </w:tcPr>
          <w:p>
            <w:pPr>
              <w:jc w:val="center"/>
              <w:ind w:left="438"/>
              <w:spacing w:after="0"/>
              <w:rPr>
                <w:sz w:val="20"/>
                <w:szCs w:val="20"/>
                <w:color w:val="auto"/>
              </w:rPr>
            </w:pPr>
            <w:r>
              <w:rPr>
                <w:rFonts w:ascii="Arial" w:cs="Arial" w:eastAsia="Arial" w:hAnsi="Arial"/>
                <w:sz w:val="14"/>
                <w:szCs w:val="14"/>
                <w:b w:val="1"/>
                <w:bCs w:val="1"/>
                <w:color w:val="auto"/>
                <w:w w:val="94"/>
              </w:rPr>
              <w:t>of incorporation)</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8"/>
              </w:rPr>
              <w:t>File Number)</w:t>
            </w:r>
          </w:p>
        </w:tc>
        <w:tc>
          <w:tcPr>
            <w:tcW w:w="3180" w:type="dxa"/>
            <w:vAlign w:val="bottom"/>
          </w:tcPr>
          <w:p>
            <w:pPr>
              <w:jc w:val="center"/>
              <w:ind w:right="2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4"/>
        </w:trPr>
        <w:tc>
          <w:tcPr>
            <w:tcW w:w="3220" w:type="dxa"/>
            <w:vAlign w:val="bottom"/>
          </w:tcPr>
          <w:p>
            <w:pPr>
              <w:spacing w:after="0"/>
              <w:rPr>
                <w:sz w:val="24"/>
                <w:szCs w:val="24"/>
                <w:color w:val="auto"/>
              </w:rPr>
            </w:pPr>
          </w:p>
        </w:tc>
        <w:tc>
          <w:tcPr>
            <w:tcW w:w="46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90"/>
              </w:rPr>
              <w:t>1 Becton Drive, Franklin Lakes, New Jersey, 07417-1880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102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(201) 847-6880</w:t>
            </w:r>
          </w:p>
        </w:tc>
        <w:tc>
          <w:tcPr>
            <w:tcW w:w="0" w:type="dxa"/>
            <w:vAlign w:val="bottom"/>
          </w:tcPr>
          <w:p>
            <w:pPr>
              <w:spacing w:after="0"/>
              <w:rPr>
                <w:sz w:val="1"/>
                <w:szCs w:val="1"/>
                <w:color w:val="auto"/>
              </w:rPr>
            </w:pPr>
          </w:p>
        </w:tc>
      </w:tr>
      <w:tr>
        <w:trPr>
          <w:trHeight w:val="382"/>
        </w:trPr>
        <w:tc>
          <w:tcPr>
            <w:tcW w:w="3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00" w:type="dxa"/>
            <w:vAlign w:val="bottom"/>
            <w:gridSpan w:val="4"/>
          </w:tcPr>
          <w:p>
            <w:pPr>
              <w:jc w:val="center"/>
              <w:ind w:right="1180"/>
              <w:spacing w:after="0"/>
              <w:rPr>
                <w:sz w:val="20"/>
                <w:szCs w:val="20"/>
                <w:color w:val="auto"/>
              </w:rPr>
            </w:pPr>
            <w:r>
              <w:rPr>
                <w:rFonts w:ascii="Arial" w:cs="Arial" w:eastAsia="Arial" w:hAnsi="Arial"/>
                <w:sz w:val="18"/>
                <w:szCs w:val="18"/>
                <w:b w:val="1"/>
                <w:bCs w:val="1"/>
                <w:color w:val="auto"/>
              </w:rPr>
              <w:t>N/A</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46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7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84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220" w:type="dxa"/>
            <w:vAlign w:val="bottom"/>
            <w:vMerge w:val="restart"/>
          </w:tcPr>
          <w:p>
            <w:pPr>
              <w:jc w:val="center"/>
              <w:ind w:left="418"/>
              <w:spacing w:after="0"/>
              <w:rPr>
                <w:sz w:val="20"/>
                <w:szCs w:val="20"/>
                <w:color w:val="auto"/>
              </w:rPr>
            </w:pPr>
            <w:r>
              <w:rPr>
                <w:rFonts w:ascii="Arial" w:cs="Arial" w:eastAsia="Arial" w:hAnsi="Arial"/>
                <w:sz w:val="14"/>
                <w:szCs w:val="14"/>
                <w:b w:val="1"/>
                <w:bCs w:val="1"/>
                <w:color w:val="auto"/>
                <w:w w:val="89"/>
              </w:rPr>
              <w:t>Title of each class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3"/>
              </w:rPr>
              <w:t>Trading</w:t>
            </w:r>
          </w:p>
        </w:tc>
        <w:tc>
          <w:tcPr>
            <w:tcW w:w="3180" w:type="dxa"/>
            <w:vAlign w:val="bottom"/>
          </w:tcPr>
          <w:p>
            <w:pPr>
              <w:jc w:val="center"/>
              <w:ind w:right="280"/>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2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94"/>
              </w:rPr>
              <w:t>Symbol</w:t>
            </w:r>
          </w:p>
        </w:tc>
        <w:tc>
          <w:tcPr>
            <w:tcW w:w="3180" w:type="dxa"/>
            <w:vAlign w:val="bottom"/>
          </w:tcPr>
          <w:p>
            <w:pPr>
              <w:jc w:val="center"/>
              <w:ind w:right="280"/>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220" w:type="dxa"/>
            <w:vAlign w:val="bottom"/>
            <w:tcBorders>
              <w:top w:val="single" w:sz="8" w:color="auto"/>
            </w:tcBorders>
          </w:tcPr>
          <w:p>
            <w:pPr>
              <w:jc w:val="center"/>
              <w:ind w:left="438"/>
              <w:spacing w:after="0" w:line="191" w:lineRule="exact"/>
              <w:rPr>
                <w:sz w:val="20"/>
                <w:szCs w:val="20"/>
                <w:color w:val="auto"/>
              </w:rPr>
            </w:pPr>
            <w:r>
              <w:rPr>
                <w:rFonts w:ascii="Arial" w:cs="Arial" w:eastAsia="Arial" w:hAnsi="Arial"/>
                <w:sz w:val="18"/>
                <w:szCs w:val="18"/>
                <w:b w:val="1"/>
                <w:bCs w:val="1"/>
                <w:color w:val="auto"/>
                <w:w w:val="90"/>
              </w:rPr>
              <w:t>Common Stock, par value $0.01</w:t>
            </w: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rPr>
              <w:t>EMBC</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jc w:val="center"/>
              <w:ind w:right="280"/>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tcPr>
          <w:p>
            <w:pPr>
              <w:jc w:val="center"/>
              <w:ind w:right="280"/>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5.04.</w:t>
      </w:r>
      <w:r>
        <w:rPr>
          <w:sz w:val="20"/>
          <w:szCs w:val="20"/>
          <w:color w:val="auto"/>
        </w:rPr>
        <w:tab/>
      </w:r>
      <w:r>
        <w:rPr>
          <w:rFonts w:ascii="Arial" w:cs="Arial" w:eastAsia="Arial" w:hAnsi="Arial"/>
          <w:sz w:val="16"/>
          <w:szCs w:val="16"/>
          <w:b w:val="1"/>
          <w:bCs w:val="1"/>
          <w:color w:val="auto"/>
        </w:rPr>
        <w:t>Temporary Suspension of Trading Under Registrant’s Employee Benefits Plans.</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On March 1, 2022, Embecta Corp. (“Embecta”) received a notice from the administrator of the Embecta 401(k) Plan (the “Plan”). The notice stated that the BD Common Stock Fund in the Plan will be entering a blackout period due to the pending spin-off of Embecta from Becton, Dickinson and Company (“BD”), which is expected to occur on April 1, 2022. The reason for the blackout period is to facilitate (i) the transfer of participants from the BD 401(k) Plan to the Plan, and (ii) the addition of the Embecta Common Stock Fund and BD Common Stock Fund interests to accounts in the Plan. The blackout period is scheduled to being on March 31, 2022 and end during the week of April 3, 2022. During the blackout period, participants in the Plan will be unable to engage in any transactions in the BD Common Stock Fund or the Embecta Common Stock Fund, including exchange into or out of those funds, loans from, or partial withdrawals of, any portion of their account balances that are invested in those funds, or final distributions from their BD 401(k) Plan accounts if some or all of their account balances under the BD 401(k) Plan are invested in those funds.</w:t>
      </w:r>
    </w:p>
    <w:p>
      <w:pPr>
        <w:spacing w:after="0" w:line="16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During the blackout period, participants in the Plan, Embecta shareholders or other interested parties may obtain, without charge, the actual beginning and ending dates of the blackout period from, and may direct other inquiries about the blackout period to, Fidelity at 1-800-835-5095. During the two-year period following the ending date of the Plan blackout period, Embecta shareholders or other interested parties may obtain, without charge, the actual beginning and ending dates of the blackout period from, and may direct other inquires about the blackout period to Fidelity at 1-800-835-5095.</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Gary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Gary DeFazio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 March 4, 2022</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sectPr>
      <w:pgSz w:w="11900" w:h="16838" w:orient="portrait"/>
      <w:cols w:equalWidth="0" w:num="1">
        <w:col w:w="10700"/>
      </w:cols>
      <w:pgMar w:left="440" w:top="301"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2022-03-04T15:10:27Z</dcterms:created>
  <dcterms:modified xsi:type="dcterms:W3CDTF">2022-03-04T15:10:27Z</dcterms:modified>
</cp:coreProperties>
</file>