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5040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5040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Mann Jeffrey Z</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480" w:type="dxa"/>
            <w:vAlign w:val="bottom"/>
            <w:tcBorders>
              <w:top w:val="single" w:sz="8" w:color="0000EE"/>
              <w:bottom w:val="single" w:sz="8" w:color="9A9A9A"/>
            </w:tcBorders>
          </w:tcPr>
          <w:p>
            <w:pPr>
              <w:spacing w:after="0"/>
              <w:rPr>
                <w:sz w:val="17"/>
                <w:szCs w:val="17"/>
                <w:color w:val="auto"/>
              </w:rPr>
            </w:pPr>
          </w:p>
        </w:tc>
        <w:tc>
          <w:tcPr>
            <w:tcW w:w="15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04/01/2022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Embecta Corp.</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EMBC</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220" w:type="dxa"/>
            <w:vAlign w:val="bottom"/>
          </w:tcPr>
          <w:p>
            <w:pPr>
              <w:ind w:left="280"/>
              <w:spacing w:after="0"/>
              <w:rPr>
                <w:sz w:val="20"/>
                <w:szCs w:val="20"/>
                <w:color w:val="auto"/>
              </w:rPr>
            </w:pPr>
            <w:r>
              <w:rPr>
                <w:rFonts w:ascii="Arial" w:cs="Arial" w:eastAsia="Arial" w:hAnsi="Arial"/>
                <w:sz w:val="15"/>
                <w:szCs w:val="15"/>
                <w:color w:val="auto"/>
              </w:rPr>
              <w:t>(First)</w:t>
            </w:r>
          </w:p>
        </w:tc>
        <w:tc>
          <w:tcPr>
            <w:tcW w:w="1100" w:type="dxa"/>
            <w:vAlign w:val="bottom"/>
          </w:tcPr>
          <w:p>
            <w:pPr>
              <w:jc w:val="right"/>
              <w:ind w:right="374"/>
              <w:spacing w:after="0"/>
              <w:rPr>
                <w:sz w:val="20"/>
                <w:szCs w:val="20"/>
                <w:color w:val="auto"/>
              </w:rPr>
            </w:pPr>
            <w:r>
              <w:rPr>
                <w:rFonts w:ascii="Arial" w:cs="Arial" w:eastAsia="Arial" w:hAnsi="Arial"/>
                <w:sz w:val="15"/>
                <w:szCs w:val="15"/>
                <w:color w:val="auto"/>
              </w:rPr>
              <w:t>(Middle)</w:t>
            </w:r>
          </w:p>
        </w:tc>
      </w:tr>
      <w:tr>
        <w:trPr>
          <w:trHeight w:val="310"/>
        </w:trPr>
        <w:tc>
          <w:tcPr>
            <w:tcW w:w="20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EMBECTA CORP.</w:t>
            </w:r>
          </w:p>
        </w:tc>
        <w:tc>
          <w:tcPr>
            <w:tcW w:w="1100" w:type="dxa"/>
            <w:vAlign w:val="bottom"/>
          </w:tcPr>
          <w:p>
            <w:pPr>
              <w:spacing w:after="0"/>
              <w:rPr>
                <w:sz w:val="24"/>
                <w:szCs w:val="24"/>
                <w:color w:val="auto"/>
              </w:rPr>
            </w:pPr>
          </w:p>
        </w:tc>
      </w:tr>
      <w:tr>
        <w:trPr>
          <w:trHeight w:val="300"/>
        </w:trPr>
        <w:tc>
          <w:tcPr>
            <w:tcW w:w="20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300 KIMBALL DRIVE</w:t>
            </w:r>
          </w:p>
        </w:tc>
        <w:tc>
          <w:tcPr>
            <w:tcW w:w="1100" w:type="dxa"/>
            <w:vAlign w:val="bottom"/>
          </w:tcPr>
          <w:p>
            <w:pPr>
              <w:spacing w:after="0"/>
              <w:rPr>
                <w:sz w:val="24"/>
                <w:szCs w:val="24"/>
                <w:color w:val="auto"/>
              </w:rPr>
            </w:pPr>
          </w:p>
        </w:tc>
      </w:tr>
      <w:tr>
        <w:trPr>
          <w:trHeight w:val="177"/>
        </w:trPr>
        <w:tc>
          <w:tcPr>
            <w:tcW w:w="78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2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65"/>
        </w:trPr>
        <w:tc>
          <w:tcPr>
            <w:tcW w:w="20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PARSIPPANY NJ</w:t>
            </w:r>
          </w:p>
        </w:tc>
        <w:tc>
          <w:tcPr>
            <w:tcW w:w="1100" w:type="dxa"/>
            <w:vAlign w:val="bottom"/>
          </w:tcPr>
          <w:p>
            <w:pPr>
              <w:jc w:val="right"/>
              <w:ind w:right="354"/>
              <w:spacing w:after="0"/>
              <w:rPr>
                <w:sz w:val="20"/>
                <w:szCs w:val="20"/>
                <w:color w:val="auto"/>
              </w:rPr>
            </w:pPr>
            <w:r>
              <w:rPr>
                <w:rFonts w:ascii="Times New Roman" w:cs="Times New Roman" w:eastAsia="Times New Roman" w:hAnsi="Times New Roman"/>
                <w:sz w:val="20"/>
                <w:szCs w:val="20"/>
                <w:color w:val="0000FF"/>
              </w:rPr>
              <w:t>07054</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ind w:left="183"/>
        <w:spacing w:after="0"/>
        <w:tabs>
          <w:tab w:leader="none" w:pos="502" w:val="left"/>
          <w:tab w:leader="none" w:pos="2042" w:val="left"/>
        </w:tabs>
        <w:rPr>
          <w:sz w:val="20"/>
          <w:szCs w:val="20"/>
          <w:color w:val="auto"/>
        </w:rPr>
      </w:pPr>
      <w:r>
        <w:rPr>
          <w:rFonts w:ascii="Times New Roman" w:cs="Times New Roman" w:eastAsia="Times New Roman" w:hAnsi="Times New Roman"/>
          <w:sz w:val="26"/>
          <w:szCs w:val="26"/>
          <w:color w:val="0000FF"/>
          <w:vertAlign w:val="subscript"/>
        </w:rPr>
        <w:t>X</w:t>
      </w:r>
      <w:r>
        <w:rPr>
          <w:sz w:val="20"/>
          <w:szCs w:val="20"/>
          <w:color w:val="auto"/>
        </w:rPr>
        <w:tab/>
      </w: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263"/>
        <w:spacing w:after="0"/>
        <w:rPr>
          <w:sz w:val="20"/>
          <w:szCs w:val="20"/>
          <w:color w:val="auto"/>
        </w:rPr>
      </w:pPr>
      <w:r>
        <w:rPr>
          <w:rFonts w:ascii="Times New Roman" w:cs="Times New Roman" w:eastAsia="Times New Roman" w:hAnsi="Times New Roman"/>
          <w:sz w:val="20"/>
          <w:szCs w:val="20"/>
          <w:color w:val="0000FF"/>
        </w:rPr>
        <w:t>SVP, GC, Head Corp. Dev., Secy</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52"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13" w:lineRule="exact"/>
        <w:rPr>
          <w:sz w:val="24"/>
          <w:szCs w:val="24"/>
          <w:color w:val="auto"/>
        </w:rPr>
      </w:pPr>
    </w:p>
    <w:p>
      <w:pPr>
        <w:ind w:left="451" w:right="340" w:hanging="304"/>
        <w:spacing w:after="0" w:line="180"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7" w:lineRule="exact"/>
        <w:rPr>
          <w:rFonts w:ascii="Times New Roman" w:cs="Times New Roman" w:eastAsia="Times New Roman" w:hAnsi="Times New Roman"/>
          <w:sz w:val="29"/>
          <w:szCs w:val="29"/>
          <w:color w:val="0000FF"/>
          <w:vertAlign w:val="subscript"/>
        </w:rPr>
      </w:pPr>
    </w:p>
    <w:p>
      <w:pPr>
        <w:ind w:left="451" w:right="320"/>
        <w:spacing w:after="0" w:line="264"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380" w:type="dxa"/>
            <w:vAlign w:val="bottom"/>
          </w:tcPr>
          <w:p>
            <w:pPr>
              <w:ind w:left="800"/>
              <w:spacing w:after="0"/>
              <w:rPr>
                <w:sz w:val="20"/>
                <w:szCs w:val="20"/>
                <w:color w:val="auto"/>
              </w:rPr>
            </w:pPr>
            <w:r>
              <w:rPr>
                <w:rFonts w:ascii="Times New Roman" w:cs="Times New Roman" w:eastAsia="Times New Roman" w:hAnsi="Times New Roman"/>
                <w:sz w:val="20"/>
                <w:szCs w:val="20"/>
                <w:color w:val="0000FF"/>
              </w:rPr>
              <w:t>0</w:t>
            </w:r>
          </w:p>
        </w:tc>
        <w:tc>
          <w:tcPr>
            <w:tcW w:w="1180" w:type="dxa"/>
            <w:vAlign w:val="bottom"/>
            <w:gridSpan w:val="2"/>
          </w:tcPr>
          <w:p>
            <w:pPr>
              <w:ind w:left="1020"/>
              <w:spacing w:after="0"/>
              <w:rPr>
                <w:sz w:val="20"/>
                <w:szCs w:val="20"/>
                <w:color w:val="auto"/>
              </w:rPr>
            </w:pPr>
            <w:r>
              <w:rPr>
                <w:rFonts w:ascii="Times New Roman" w:cs="Times New Roman" w:eastAsia="Times New Roman" w:hAnsi="Times New Roman"/>
                <w:sz w:val="20"/>
                <w:szCs w:val="20"/>
                <w:color w:val="0000FF"/>
                <w:w w:val="96"/>
              </w:rPr>
              <w:t>D</w:t>
            </w:r>
          </w:p>
        </w:tc>
        <w:tc>
          <w:tcPr>
            <w:tcW w:w="9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380" w:type="dxa"/>
            <w:vAlign w:val="bottom"/>
            <w:tcBorders>
              <w:bottom w:val="single" w:sz="8" w:color="2C2C2C"/>
            </w:tcBorders>
            <w:gridSpan w:val="4"/>
          </w:tcPr>
          <w:p>
            <w:pPr>
              <w:spacing w:after="0"/>
              <w:rPr>
                <w:sz w:val="9"/>
                <w:szCs w:val="9"/>
                <w:color w:val="auto"/>
              </w:rPr>
            </w:pPr>
          </w:p>
        </w:tc>
        <w:tc>
          <w:tcPr>
            <w:tcW w:w="980" w:type="dxa"/>
            <w:vAlign w:val="bottom"/>
            <w:tcBorders>
              <w:bottom w:val="single" w:sz="8" w:color="2C2C2C"/>
            </w:tcBorders>
            <w:gridSpan w:val="2"/>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3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380" w:type="dxa"/>
            <w:vAlign w:val="bottom"/>
          </w:tcPr>
          <w:p>
            <w:pPr>
              <w:spacing w:after="0"/>
              <w:rPr>
                <w:sz w:val="5"/>
                <w:szCs w:val="5"/>
                <w:color w:val="auto"/>
              </w:rPr>
            </w:pPr>
          </w:p>
        </w:tc>
        <w:tc>
          <w:tcPr>
            <w:tcW w:w="1180" w:type="dxa"/>
            <w:vAlign w:val="bottom"/>
            <w:gridSpan w:val="2"/>
            <w:vMerge w:val="restart"/>
          </w:tcPr>
          <w:p>
            <w:pPr>
              <w:ind w:left="48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92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80" w:type="dxa"/>
            <w:vAlign w:val="bottom"/>
            <w:gridSpan w:val="2"/>
          </w:tcPr>
          <w:p>
            <w:pPr>
              <w:ind w:left="48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80" w:type="dxa"/>
            <w:vAlign w:val="bottom"/>
            <w:gridSpan w:val="2"/>
          </w:tcPr>
          <w:p>
            <w:pPr>
              <w:ind w:left="480"/>
              <w:spacing w:after="0" w:line="165"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380" w:type="dxa"/>
            <w:vAlign w:val="bottom"/>
          </w:tcPr>
          <w:p>
            <w:pPr>
              <w:spacing w:after="0"/>
              <w:rPr>
                <w:sz w:val="14"/>
                <w:szCs w:val="14"/>
                <w:color w:val="auto"/>
              </w:rPr>
            </w:pPr>
          </w:p>
        </w:tc>
        <w:tc>
          <w:tcPr>
            <w:tcW w:w="1180" w:type="dxa"/>
            <w:vAlign w:val="bottom"/>
            <w:gridSpan w:val="2"/>
          </w:tcPr>
          <w:p>
            <w:pPr>
              <w:ind w:left="48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38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180" w:type="dxa"/>
            <w:vAlign w:val="bottom"/>
            <w:gridSpan w:val="2"/>
          </w:tcPr>
          <w:p>
            <w:pPr>
              <w:ind w:left="48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The Power of Attorney dated April 5, 2022 is filed herewith.</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John D. Martini</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04/06/2022</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440" w:type="dxa"/>
            <w:vAlign w:val="bottom"/>
            <w:tcBorders>
              <w:top w:val="single" w:sz="8" w:color="auto"/>
              <w:bottom w:val="single" w:sz="8" w:color="auto"/>
            </w:tcBorders>
            <w:vMerge w:val="restart"/>
          </w:tcPr>
          <w:p>
            <w:pPr>
              <w:spacing w:after="0" w:line="220" w:lineRule="exact"/>
              <w:rPr>
                <w:sz w:val="20"/>
                <w:szCs w:val="20"/>
                <w:color w:val="auto"/>
              </w:rPr>
            </w:pPr>
            <w:r>
              <w:rPr>
                <w:rFonts w:ascii="Times New Roman" w:cs="Times New Roman" w:eastAsia="Times New Roman" w:hAnsi="Times New Roman"/>
                <w:sz w:val="20"/>
                <w:szCs w:val="20"/>
                <w:color w:val="0000FF"/>
                <w:w w:val="96"/>
              </w:rPr>
              <w:t>(Attorney-in-Fact)</w:t>
            </w:r>
          </w:p>
        </w:tc>
        <w:tc>
          <w:tcPr>
            <w:tcW w:w="20" w:type="dxa"/>
            <w:vAlign w:val="bottom"/>
            <w:tcBorders>
              <w:top w:val="single" w:sz="8" w:color="auto"/>
              <w:bottom w:val="single" w:sz="8" w:color="auto"/>
            </w:tcBorders>
            <w:vMerge w:val="restart"/>
          </w:tcPr>
          <w:p>
            <w:pPr>
              <w:spacing w:after="0"/>
              <w:rPr>
                <w:sz w:val="8"/>
                <w:szCs w:val="8"/>
                <w:color w:val="auto"/>
              </w:rPr>
            </w:pPr>
          </w:p>
        </w:tc>
        <w:tc>
          <w:tcPr>
            <w:tcW w:w="72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440" w:type="dxa"/>
            <w:vAlign w:val="bottom"/>
            <w:tcBorders>
              <w:bottom w:val="single" w:sz="8" w:color="auto"/>
            </w:tcBorders>
            <w:vMerge w:val="continue"/>
          </w:tcPr>
          <w:p>
            <w:pPr>
              <w:spacing w:after="0"/>
              <w:rPr>
                <w:sz w:val="8"/>
                <w:szCs w:val="8"/>
                <w:color w:val="auto"/>
              </w:rPr>
            </w:pPr>
          </w:p>
        </w:tc>
        <w:tc>
          <w:tcPr>
            <w:tcW w:w="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224" w:lineRule="exact"/>
        <w:rPr>
          <w:sz w:val="20"/>
          <w:szCs w:val="20"/>
          <w:color w:val="auto"/>
        </w:rPr>
      </w:pPr>
    </w:p>
    <w:p>
      <w:pPr>
        <w:ind w:right="619"/>
        <w:spacing w:after="0" w:line="257" w:lineRule="auto"/>
        <w:rPr>
          <w:sz w:val="20"/>
          <w:szCs w:val="20"/>
          <w:color w:val="auto"/>
        </w:rPr>
      </w:pPr>
      <w:r>
        <w:rPr>
          <w:rFonts w:ascii="Courier New" w:cs="Courier New" w:eastAsia="Courier New" w:hAnsi="Courier New"/>
          <w:sz w:val="20"/>
          <w:szCs w:val="20"/>
          <w:color w:val="auto"/>
        </w:rPr>
        <w:t>Know all by these presents, that the undersigned hereby constitutes and appoints John D. Martini, Kerry L. Halpern, Cory A. Thomas, or Brian Capone,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or any of them, the undersigned's true and lawful attorneys-in-fact to:</w:t>
      </w:r>
    </w:p>
    <w:p>
      <w:pPr>
        <w:spacing w:after="0" w:line="188" w:lineRule="exact"/>
        <w:rPr>
          <w:sz w:val="20"/>
          <w:szCs w:val="20"/>
          <w:color w:val="auto"/>
        </w:rPr>
      </w:pPr>
    </w:p>
    <w:p>
      <w:pPr>
        <w:ind w:right="619"/>
        <w:spacing w:after="0" w:line="275" w:lineRule="auto"/>
        <w:tabs>
          <w:tab w:leader="none" w:pos="468"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and on behalf of the undersigned, in the undersigned's capacity as an officer and/or director of Embecta Corp. (the "Company"), Forms 3, 4 and 5 in accordance with Section 16(a) of the Securities Exchange Act of 1934 and the rules thereunder;</w:t>
      </w:r>
    </w:p>
    <w:p>
      <w:pPr>
        <w:spacing w:after="0" w:line="87" w:lineRule="exact"/>
        <w:rPr>
          <w:rFonts w:ascii="Courier New" w:cs="Courier New" w:eastAsia="Courier New" w:hAnsi="Courier New"/>
          <w:sz w:val="20"/>
          <w:szCs w:val="20"/>
          <w:color w:val="auto"/>
        </w:rPr>
      </w:pPr>
    </w:p>
    <w:p>
      <w:pPr>
        <w:ind w:right="839"/>
        <w:spacing w:after="0" w:line="275" w:lineRule="auto"/>
        <w:tabs>
          <w:tab w:leader="none" w:pos="468"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Form 3, 4 or 5 and timely file such form with the United States Securities and Exchange Commission and any stock exchange or similar authority; and</w:t>
      </w:r>
    </w:p>
    <w:p>
      <w:pPr>
        <w:spacing w:after="0" w:line="87" w:lineRule="exact"/>
        <w:rPr>
          <w:rFonts w:ascii="Courier New" w:cs="Courier New" w:eastAsia="Courier New" w:hAnsi="Courier New"/>
          <w:sz w:val="20"/>
          <w:szCs w:val="20"/>
          <w:color w:val="auto"/>
        </w:rPr>
      </w:pPr>
    </w:p>
    <w:p>
      <w:pPr>
        <w:ind w:right="619"/>
        <w:spacing w:after="0" w:line="256" w:lineRule="auto"/>
        <w:tabs>
          <w:tab w:leader="none" w:pos="468"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attorneys-in-fact,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09" w:lineRule="exact"/>
        <w:rPr>
          <w:sz w:val="20"/>
          <w:szCs w:val="20"/>
          <w:color w:val="auto"/>
        </w:rPr>
      </w:pPr>
    </w:p>
    <w:p>
      <w:pPr>
        <w:ind w:right="619"/>
        <w:spacing w:after="0" w:line="278" w:lineRule="auto"/>
        <w:rPr>
          <w:sz w:val="20"/>
          <w:szCs w:val="20"/>
          <w:color w:val="auto"/>
        </w:rPr>
      </w:pPr>
      <w:r>
        <w:rPr>
          <w:rFonts w:ascii="Courier New" w:cs="Courier New" w:eastAsia="Courier New" w:hAnsi="Courier New"/>
          <w:sz w:val="18"/>
          <w:szCs w:val="18"/>
          <w:color w:val="auto"/>
        </w:rPr>
        <w:t>The undersigned hereby grants to such attorneys-in-fact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attorneys-in-fact, or such attorneys-in-fact's substitute or substitutes, shall lawfully do or cause to be done by virtue of this power of attorney and the rights and powers herein granted. The undersigned acknowledges that the foregoing attorneys-in-fact, in serving in such capacity at the request of the undersigned, is not assuming, nor is the Company assuming, any of the undersigned's responsibilities to comply with Section 16 of the Securities Exchange Act of 1934, as amended.</w:t>
      </w:r>
    </w:p>
    <w:p>
      <w:pPr>
        <w:spacing w:after="0" w:line="328" w:lineRule="exact"/>
        <w:rPr>
          <w:sz w:val="20"/>
          <w:szCs w:val="20"/>
          <w:color w:val="auto"/>
        </w:rPr>
      </w:pPr>
    </w:p>
    <w:p>
      <w:pPr>
        <w:ind w:right="739"/>
        <w:spacing w:after="0" w:line="265"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00" w:lineRule="exact"/>
        <w:rPr>
          <w:sz w:val="20"/>
          <w:szCs w:val="20"/>
          <w:color w:val="auto"/>
        </w:rPr>
      </w:pPr>
    </w:p>
    <w:p>
      <w:pPr>
        <w:ind w:right="1199"/>
        <w:spacing w:after="0" w:line="348"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5th day of April, 2022.</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 Jeffrey Z. Mann</w:t>
      </w:r>
    </w:p>
    <w:p>
      <w:pPr>
        <w:spacing w:after="0" w:line="35"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Jeffrey Z. Mann</w:t>
      </w:r>
    </w:p>
    <w:sectPr>
      <w:pgSz w:w="11900" w:h="16838" w:orient="portrait"/>
      <w:cols w:equalWidth="0" w:num="1">
        <w:col w:w="9979"/>
      </w:cols>
      <w:pgMar w:left="480" w:top="1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784562" TargetMode="External"/><Relationship Id="rId11" Type="http://schemas.openxmlformats.org/officeDocument/2006/relationships/hyperlink" Target="http://www.sec.gov/cgi-bin/browse-edgar?action=getcompany&amp;CIK=00018727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2022-04-06T12:05:43Z</dcterms:created>
  <dcterms:modified xsi:type="dcterms:W3CDTF">2022-04-06T12:05:43Z</dcterms:modified>
</cp:coreProperties>
</file>