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Incorporation)</w:t>
      </w:r>
    </w:p>
    <w:p>
      <w:pPr>
        <w:sectPr>
          <w:pgSz w:w="11900" w:h="16838" w:orient="portrait"/>
          <w:cols w:equalWidth="0" w:num="1">
            <w:col w:w="11240"/>
          </w:cols>
          <w:pgMar w:left="320" w:top="646" w:right="339" w:bottom="1440" w:gutter="0" w:footer="0" w:header="0"/>
        </w:sectPr>
      </w:pPr>
    </w:p>
    <w:p>
      <w:pPr>
        <w:spacing w:after="0" w:line="230"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001-41186</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87-1583942</w:t>
      </w:r>
    </w:p>
    <w:p>
      <w:pPr>
        <w:spacing w:after="0" w:line="63" w:lineRule="exact"/>
        <w:rPr>
          <w:sz w:val="24"/>
          <w:szCs w:val="24"/>
          <w:color w:val="auto"/>
        </w:rPr>
      </w:pPr>
    </w:p>
    <w:p>
      <w:pPr>
        <w:sectPr>
          <w:pgSz w:w="11900" w:h="16838" w:orient="portrait"/>
          <w:cols w:equalWidth="0" w:num="2">
            <w:col w:w="6960" w:space="720"/>
            <w:col w:w="3560"/>
          </w:cols>
          <w:pgMar w:left="320" w:top="646" w:right="33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31"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2">
            <w:col w:w="6700" w:space="720"/>
            <w:col w:w="3820"/>
          </w:cols>
          <w:pgMar w:left="320" w:top="646" w:right="339" w:bottom="1440" w:gutter="0" w:footer="0" w:header="0"/>
          <w:type w:val="continuous"/>
        </w:sectPr>
      </w:pPr>
    </w:p>
    <w:p>
      <w:pPr>
        <w:spacing w:after="0" w:line="68"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300 Kimball Drive, Suite 300, Parsippany, New Jersey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07054</w:t>
      </w:r>
    </w:p>
    <w:p>
      <w:pPr>
        <w:spacing w:after="0" w:line="63" w:lineRule="exact"/>
        <w:rPr>
          <w:sz w:val="24"/>
          <w:szCs w:val="24"/>
          <w:color w:val="auto"/>
        </w:rPr>
      </w:pPr>
    </w:p>
    <w:p>
      <w:pPr>
        <w:sectPr>
          <w:pgSz w:w="11900" w:h="16838" w:orient="portrait"/>
          <w:cols w:equalWidth="0" w:num="2">
            <w:col w:w="9120" w:space="720"/>
            <w:col w:w="1400"/>
          </w:cols>
          <w:pgMar w:left="320" w:top="646" w:right="339" w:bottom="1440" w:gutter="0" w:footer="0" w:header="0"/>
          <w:type w:val="continuous"/>
        </w:sectPr>
      </w:pPr>
    </w:p>
    <w:p>
      <w:pPr>
        <w:ind w:left="296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8920" w:space="720"/>
            <w:col w:w="1600"/>
          </w:cols>
          <w:pgMar w:left="320" w:top="646" w:right="339" w:bottom="1440" w:gutter="0" w:footer="0" w:header="0"/>
          <w:type w:val="continuous"/>
        </w:sectPr>
      </w:pP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(862) 401-0000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380" w:hanging="35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MS PGothic" w:cs="MS PGothic" w:eastAsia="MS PGothic" w:hAnsi="MS PGothic"/>
          <w:sz w:val="18"/>
          <w:szCs w:val="18"/>
          <w:color w:val="auto"/>
        </w:rPr>
      </w:pPr>
    </w:p>
    <w:p>
      <w:pPr>
        <w:ind w:left="380" w:hanging="35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320" w:hanging="290"/>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320" w:hanging="290"/>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65"/>
        </w:trPr>
        <w:tc>
          <w:tcPr>
            <w:tcW w:w="4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symbol(s)</w:t>
            </w: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36"/>
        </w:trPr>
        <w:tc>
          <w:tcPr>
            <w:tcW w:w="4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EMBC</w:t>
            </w: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 (Nasdaq Global Select Market)</w:t>
            </w:r>
          </w:p>
        </w:tc>
      </w:tr>
    </w:tbl>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26, 2024, Embecta Corp. (the “Company”) appointed Anthony Roth as Vice President, Chief Accounting Officer and Corporate Controller of the Company and principal accounting officer of the Company, effective as of December 2, 2024.</w:t>
      </w:r>
    </w:p>
    <w:p>
      <w:pPr>
        <w:spacing w:after="0" w:line="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Prior to joining the Company, Mr. Roth, 51, served as Senior Vice President, Chief Accounting Officer for Ascential plc’s Digital Commerce business during 2023 and as Chief Accounting Officer and Corporate Controller for Summit Health, from 2020 to 2023. Prior to his time with Summit Health, he served as Senior Vice President, Finance and Corporate Controller with Phibro Animal Health Corporation. Mr. Roth, a certified public accountant, has also held various accounting and financial reporting positions across several companies, including Squarespace, Inc., ConvaTec Inc. and Travelport Limited.</w:t>
      </w: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Mr. Roth’s appointment, the Company entered into an offer letter (the “Offer Letter”) pursuant to which Mr. Roth will receive: (i) an annual base salary of $400,000, (ii) eligibility to participate in the Company’s annual incentive plan, with a target bonus opportunity of 40% of his base salary, (iii) eligibility to participate in the long-term incentive (“LTI”) program of the Company, with an annual target grant award of $325,000, (iv) a one-time grant of time-based restricted stock units under the LTI program with an aggregate grant date value of $325,000, vesting in equal installments over three years and (v) eligibility to participate in the Company’s employee benefit plans or programs.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of Mr. Roth’s severance and change in control arrangements are consistent with those of Tier III executives under the Company’s Executive Severance and Change in Control Plan (the “Severance and CIC Plan”). The Severance and CIC Plan is Exhibit 10.6 to the Company’s Annual Report on Form 10-K filed by the Company with the Securities and Exchange Commission (the “Commission”) on November 29, 2023. A description of the Severance and CIC Plan can be found in the Definitive Proxy Statement on Schedule 14A filed by the Company with the Commission on December 19, 2023 under the caption “Executive Severance and Change in Control Plan,” which is incorporated into this Item 5.02 by reference.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Roth and any other person pursuant to which Mr. Roth was appointed, other than as set forth herein. There are no family relationships between Mr. Roth and any of the Company’s executive officers or directors. Mr. Roth is neither party to nor has an interest in any transaction with the Company required to be disclosed pursuant to Item 404(a)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appointment of Mr. Roth, Jake Elguicze stepped down as the Company’s principal accounting officer, effective December 2,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Elguicze will continue to serve as the Company’s Chief Financial Officer and principal financial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3"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ind w:left="5540"/>
        <w:spacing w:after="0"/>
        <w:rPr>
          <w:sz w:val="20"/>
          <w:szCs w:val="20"/>
          <w:color w:val="auto"/>
        </w:rPr>
      </w:pPr>
      <w:r>
        <w:rPr>
          <w:rFonts w:ascii="Times New Roman" w:cs="Times New Roman" w:eastAsia="Times New Roman" w:hAnsi="Times New Roman"/>
          <w:sz w:val="18"/>
          <w:szCs w:val="18"/>
          <w:color w:val="auto"/>
        </w:rPr>
        <w:t>EMBECTA CORP.</w:t>
      </w:r>
    </w:p>
    <w:p>
      <w:pPr>
        <w:spacing w:after="0" w:line="279" w:lineRule="exact"/>
        <w:rPr>
          <w:sz w:val="20"/>
          <w:szCs w:val="20"/>
          <w:color w:val="auto"/>
        </w:rPr>
      </w:pPr>
    </w:p>
    <w:p>
      <w:pPr>
        <w:ind w:left="554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34290</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Jeff Mann</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Senior Vice President, General Counsel, Head of Business</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Development and Corporate Secretary</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720"/>
      </w:cols>
      <w:pgMar w:left="320" w:top="68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2024-12-02T15:51:28Z</dcterms:created>
  <dcterms:modified xsi:type="dcterms:W3CDTF">2024-12-02T15:51:28Z</dcterms:modified>
</cp:coreProperties>
</file>