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107315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139065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34" w:lineRule="exact"/>
        <w:rPr>
          <w:sz w:val="24"/>
          <w:szCs w:val="24"/>
          <w:color w:val="auto"/>
        </w:rPr>
      </w:pPr>
    </w:p>
    <w:tbl>
      <w:tblPr>
        <w:tblLayout w:type="fixed"/>
        <w:tblInd w:w="120" w:type="dxa"/>
        <w:tblCellMar>
          <w:top w:w="0" w:type="dxa"/>
          <w:left w:w="0" w:type="dxa"/>
          <w:bottom w:w="0" w:type="dxa"/>
          <w:right w:w="0" w:type="dxa"/>
        </w:tblCellMar>
      </w:tblPr>
      <w:tr>
        <w:trPr>
          <w:trHeight w:val="214"/>
        </w:trPr>
        <w:tc>
          <w:tcPr>
            <w:tcW w:w="8400" w:type="dxa"/>
            <w:vAlign w:val="bottom"/>
          </w:tcPr>
          <w:p>
            <w:pPr>
              <w:jc w:val="center"/>
              <w:ind w:right="4717"/>
              <w:spacing w:after="0"/>
              <w:rPr>
                <w:sz w:val="20"/>
                <w:szCs w:val="20"/>
                <w:color w:val="auto"/>
              </w:rPr>
            </w:pPr>
            <w:r>
              <w:rPr>
                <w:rFonts w:ascii="Times New Roman" w:cs="Times New Roman" w:eastAsia="Times New Roman" w:hAnsi="Times New Roman"/>
                <w:sz w:val="18"/>
                <w:szCs w:val="18"/>
                <w:b w:val="1"/>
                <w:bCs w:val="1"/>
                <w:color w:val="auto"/>
                <w:w w:val="97"/>
              </w:rPr>
              <w:t>001-41186</w:t>
            </w: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48"/>
        </w:trPr>
        <w:tc>
          <w:tcPr>
            <w:tcW w:w="8400" w:type="dxa"/>
            <w:vAlign w:val="bottom"/>
          </w:tcPr>
          <w:p>
            <w:pPr>
              <w:jc w:val="center"/>
              <w:ind w:right="4717"/>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440" w:type="dxa"/>
            <w:vAlign w:val="bottom"/>
          </w:tcPr>
          <w:p>
            <w:pPr>
              <w:jc w:val="center"/>
              <w:ind w:left="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8400" w:type="dxa"/>
            <w:vAlign w:val="bottom"/>
          </w:tcPr>
          <w:p>
            <w:pPr>
              <w:spacing w:after="0"/>
              <w:rPr>
                <w:sz w:val="16"/>
                <w:szCs w:val="16"/>
                <w:color w:val="auto"/>
              </w:rPr>
            </w:pP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6"/>
        </w:trPr>
        <w:tc>
          <w:tcPr>
            <w:tcW w:w="8400" w:type="dxa"/>
            <w:vAlign w:val="bottom"/>
          </w:tcPr>
          <w:p>
            <w:pPr>
              <w:jc w:val="center"/>
              <w:ind w:right="4717"/>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w:t>
            </w: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16"/>
        </w:trPr>
        <w:tc>
          <w:tcPr>
            <w:tcW w:w="8400" w:type="dxa"/>
            <w:vAlign w:val="bottom"/>
          </w:tcPr>
          <w:p>
            <w:pPr>
              <w:jc w:val="center"/>
              <w:ind w:right="4717"/>
              <w:spacing w:after="0"/>
              <w:rPr>
                <w:sz w:val="20"/>
                <w:szCs w:val="20"/>
                <w:color w:val="auto"/>
              </w:rPr>
            </w:pPr>
            <w:r>
              <w:rPr>
                <w:rFonts w:ascii="Times New Roman" w:cs="Times New Roman" w:eastAsia="Times New Roman" w:hAnsi="Times New Roman"/>
                <w:sz w:val="18"/>
                <w:szCs w:val="18"/>
                <w:b w:val="1"/>
                <w:bCs w:val="1"/>
                <w:color w:val="auto"/>
                <w:w w:val="97"/>
              </w:rPr>
              <w:t>Jersey</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8400" w:type="dxa"/>
            <w:vAlign w:val="bottom"/>
          </w:tcPr>
          <w:p>
            <w:pPr>
              <w:jc w:val="center"/>
              <w:ind w:right="47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spacing w:after="0"/>
              <w:rPr>
                <w:sz w:val="16"/>
                <w:szCs w:val="16"/>
                <w:color w:val="auto"/>
              </w:rPr>
            </w:pPr>
          </w:p>
        </w:tc>
      </w:tr>
      <w:tr>
        <w:trPr>
          <w:trHeight w:val="361"/>
        </w:trPr>
        <w:tc>
          <w:tcPr>
            <w:tcW w:w="8400" w:type="dxa"/>
            <w:vAlign w:val="bottom"/>
          </w:tcPr>
          <w:p>
            <w:pPr>
              <w:jc w:val="center"/>
              <w:ind w:left="251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(862) 401-0000</w:t>
            </w:r>
          </w:p>
        </w:tc>
        <w:tc>
          <w:tcPr>
            <w:tcW w:w="1440" w:type="dxa"/>
            <w:vAlign w:val="bottom"/>
          </w:tcPr>
          <w:p>
            <w:pPr>
              <w:spacing w:after="0"/>
              <w:rPr>
                <w:sz w:val="24"/>
                <w:szCs w:val="24"/>
                <w:color w:val="auto"/>
              </w:rPr>
            </w:pPr>
          </w:p>
        </w:tc>
      </w:tr>
      <w:tr>
        <w:trPr>
          <w:trHeight w:val="353"/>
        </w:trPr>
        <w:tc>
          <w:tcPr>
            <w:tcW w:w="8400" w:type="dxa"/>
            <w:vAlign w:val="bottom"/>
          </w:tcPr>
          <w:p>
            <w:pPr>
              <w:jc w:val="center"/>
              <w:ind w:left="2517"/>
              <w:spacing w:after="0"/>
              <w:rPr>
                <w:sz w:val="20"/>
                <w:szCs w:val="20"/>
                <w:color w:val="auto"/>
              </w:rPr>
            </w:pPr>
            <w:r>
              <w:rPr>
                <w:rFonts w:ascii="Times New Roman" w:cs="Times New Roman" w:eastAsia="Times New Roman" w:hAnsi="Times New Roman"/>
                <w:sz w:val="18"/>
                <w:szCs w:val="18"/>
                <w:b w:val="1"/>
                <w:bCs w:val="1"/>
                <w:color w:val="auto"/>
              </w:rPr>
              <w:t>N/A</w:t>
            </w:r>
          </w:p>
        </w:tc>
        <w:tc>
          <w:tcPr>
            <w:tcW w:w="1440" w:type="dxa"/>
            <w:vAlign w:val="bottom"/>
          </w:tcPr>
          <w:p>
            <w:pPr>
              <w:spacing w:after="0"/>
              <w:rPr>
                <w:sz w:val="24"/>
                <w:szCs w:val="24"/>
                <w:color w:val="auto"/>
              </w:rPr>
            </w:pPr>
          </w:p>
        </w:tc>
      </w:tr>
      <w:tr>
        <w:trPr>
          <w:trHeight w:val="190"/>
        </w:trPr>
        <w:tc>
          <w:tcPr>
            <w:tcW w:w="8400" w:type="dxa"/>
            <w:vAlign w:val="bottom"/>
          </w:tcPr>
          <w:p>
            <w:pPr>
              <w:jc w:val="center"/>
              <w:ind w:left="2517"/>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177800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4" w:lineRule="exact"/>
        <w:rPr>
          <w:sz w:val="24"/>
          <w:szCs w:val="24"/>
          <w:color w:val="auto"/>
        </w:rPr>
      </w:pPr>
    </w:p>
    <w:tbl>
      <w:tblPr>
        <w:tblLayout w:type="fixed"/>
        <w:tblInd w:w="10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80" w:type="dxa"/>
            <w:vAlign w:val="bottom"/>
          </w:tcPr>
          <w:p>
            <w:pPr>
              <w:spacing w:after="0"/>
              <w:rPr>
                <w:sz w:val="18"/>
                <w:szCs w:val="18"/>
                <w:color w:val="auto"/>
              </w:rPr>
            </w:pP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186"/>
        </w:trPr>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80" w:type="dxa"/>
            <w:vAlign w:val="bottom"/>
          </w:tcPr>
          <w:p>
            <w:pPr>
              <w:spacing w:after="0"/>
              <w:rPr>
                <w:sz w:val="16"/>
                <w:szCs w:val="16"/>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EMBC</w:t>
            </w:r>
          </w:p>
        </w:tc>
        <w:tc>
          <w:tcPr>
            <w:tcW w:w="180" w:type="dxa"/>
            <w:vAlign w:val="bottom"/>
          </w:tcPr>
          <w:p>
            <w:pPr>
              <w:spacing w:after="0"/>
              <w:rPr>
                <w:sz w:val="16"/>
                <w:szCs w:val="16"/>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12"/>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31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 May 15, 2026, Embecta Corp. (“embecta”) completed its previously announced acquisition (the “Transaction”) of all of the issued share capital of Owen Mumford Holdings Limited (“Owen Mumford”), a privately held, UK-based innovator and manufacturer of medical devices and drug-delivery technologies. The Transaction was completed pursuant to an Agreement for the Sale and Purchase of Owen Mumford Holdings Limited (the “Purchase Agreement”), dated as of March 19, 2026, between embecta and Mark Owen, Adam Mumford (in his individual capacity and in his capacity as trustee of the Mumford Family 2026 Trust), Anne Mumford (in her capacity as trustee of the Mumford Family 2026 Trust), Ellen Owen, Kim Priddis and Nancy Millington.</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Pursuant to the terms and conditions of the Purchase Agreement, embecta acquired Owen Mumford for an upfront cash payment of £100 million at closing (subject to customary adjustments, including for closing net cash) and will pay up to an additional £50 million upon the achievement of certain commercial milestones related to sales of the Aidaptus® next-generation auto-injector platform through the period ending June 30, 2029.</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and the Transaction does not purport to be complete and is subject to, and qualified by reference in its entirety to the full text of the Purchase Agreement, a copy of which was filed as Exhibit 2.1 to the Company’s Current Report on Form 8-K filed with the U.S. Securities and Exchange Commission (the “SEC”) on March 20, 2026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May 15, 2026, embecta issued a press release announcing the completion of the Transaction, a copy of which is attached as Exhibit 99.1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Item 9.01(a) of Form 8-K will be filed by amendment to this Current Report on Form 8-K no later than 71 calendar days following the date on which this Current Report on Form 8-K was required to be filed pursuant to Item 2.01.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required by Item 9.01(b) of Form 8-K will be filed by amendment to this Current Report on Form 8-K no later than 71 calendar days following the date on which this Current Report on Form 8-K was required to be filed pursuant to Item 2.01.</w:t>
      </w:r>
    </w:p>
    <w:p>
      <w:pPr>
        <w:spacing w:after="0" w:line="162"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0" w:right="140" w:hanging="566"/>
        <w:spacing w:after="0" w:line="266" w:lineRule="auto"/>
        <w:tabs>
          <w:tab w:leader="none" w:pos="580" w:val="left"/>
        </w:tabs>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2.1</w:t>
        </w:r>
      </w:hyperlink>
      <w:r>
        <w:rPr>
          <w:rFonts w:ascii="Times New Roman" w:cs="Times New Roman" w:eastAsia="Times New Roman" w:hAnsi="Times New Roman"/>
          <w:sz w:val="18"/>
          <w:szCs w:val="18"/>
          <w:u w:val="single" w:color="auto"/>
          <w:color w:val="0000EE"/>
        </w:rPr>
        <w:tab/>
      </w:r>
      <w:hyperlink r:id="rId18">
        <w:r>
          <w:rPr>
            <w:rFonts w:ascii="Times New Roman" w:cs="Times New Roman" w:eastAsia="Times New Roman" w:hAnsi="Times New Roman"/>
            <w:sz w:val="18"/>
            <w:szCs w:val="18"/>
            <w:u w:val="single" w:color="auto"/>
            <w:color w:val="0000EE"/>
          </w:rPr>
          <w:t>Agreement for the Sale and Purchase of Owen Mumford Holdings Limited, dated March 19, 2026, among Embecta Corp. and the Sellers listed in</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Schedule 1 thereto (incorporated by reference to Exhibit 2.1 to the Current Report on Form 8-K filed by embecta with the SEC on March 20,</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2026).</w:t>
        </w:r>
      </w:hyperlink>
    </w:p>
    <w:p>
      <w:pPr>
        <w:spacing w:after="0" w:line="14" w:lineRule="exact"/>
        <w:rPr>
          <w:rFonts w:ascii="Times New Roman" w:cs="Times New Roman" w:eastAsia="Times New Roman" w:hAnsi="Times New Roman"/>
          <w:sz w:val="18"/>
          <w:szCs w:val="18"/>
          <w:u w:val="single" w:color="auto"/>
          <w:color w:val="0000EE"/>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15, 2026.</w:t>
      </w:r>
    </w:p>
    <w:p>
      <w:pPr>
        <w:spacing w:after="0" w:line="63" w:lineRule="exact"/>
        <w:rPr>
          <w:rFonts w:ascii="Times New Roman" w:cs="Times New Roman" w:eastAsia="Times New Roman" w:hAnsi="Times New Roman"/>
          <w:sz w:val="18"/>
          <w:szCs w:val="18"/>
          <w:u w:val="single" w:color="auto"/>
          <w:color w:val="0000EE"/>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7"/>
          <w:szCs w:val="17"/>
          <w:b w:val="1"/>
          <w:bCs w:val="1"/>
          <w:color w:val="auto"/>
        </w:rPr>
        <w:t>EMBECTA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Jeff Mann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General Counsel &amp; Product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Development,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1240155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792" w:right="659" w:bottom="1440" w:gutter="0" w:footer="0" w:header="0"/>
        </w:sectPr>
      </w:pPr>
    </w:p>
    <w:bookmarkStart w:id="3" w:name="page4"/>
    <w:bookmarkEnd w:id="3"/>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994410" cy="419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94410" cy="419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embecta Completes Acquisition of Owen Mumford Holdings Limited</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PARSIPPANY, N.J., May 15, 2026 -- Embecta Corp. ("embecta") (Nasdaq: EMBC), a global leader in diabetes care technology, today announced that it has completed its previously announced transaction to acquire Owen Mumford Holdings Limited ("Owen Mumford"), a privately held, UK-based innovator and manufacturer of medical devices and drug delivery technologies.</w:t>
      </w:r>
    </w:p>
    <w:p>
      <w:pPr>
        <w:spacing w:after="0" w:line="15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On March 19, 2026, the two companies announced a definitive agreement for embecta to acquire Owen Mumford for an upfront cash payment of £100 million and up to an additional £50 million in performance-based payments based on net sales of the Aidaptus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next generation auto-injector platform in the three-year period following the closing.</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transaction accelerates embecta's strategic transformation into a broad-based medical supplies company which provides drug delivery platforms to pharmaceutical companies and serves chronic care patients in the obesity, diabetes, autoimmune diseases and anaphylaxis markets. It provides embecta a differentiated drug-delivery platform designed to support pharmaceutical partners across multiple therapeutic areas and a strong underlying intellectual property portfolio, including the next-generation Aidaptus® auto-injector platform. It further adds a product portfolio of chronic care devices and leverages core manufacturing strengths in high volume medical products by combining Owen Mumford's device design, molding and assembly capabilities in drug-delivery systems with embecta's global commercial and distribution infrastructure, and large-scale manufacturing expertise, creating opportunities for expanding geographic reach and operational efficiencies.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embecta</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embecta is a global company that is advancing its 100-year legacy in insulin delivery to become a broad-based medical supplies company, helping to improve lives through innovative solutions, partnerships, and the passion of approximately 2,500 employees around the globe. For more information, visit embecta.com or follow our social channels on LinkedIn, Facebook, and Instagram.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Owen Mumford</w:t>
      </w:r>
    </w:p>
    <w:p>
      <w:pPr>
        <w:spacing w:after="0" w:line="1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Founded in 1952 and headquartered in Oxfordshire, United Kingdom, Owen Mumford is a medical technology company with more than 70 years of innovation in healthcare device development. The company has built a strong reputation as a trusted partner to pharmaceutical and biotechnology companies, developing drug delivery technologies that support the administration of complex therapies, including its next-generation Aidaptus® auto-injector platform designed to enable future pharmaceutical partnerships. In addition to its drug delivery capabilities, Owen Mumford also offers a portfolio of medical devices used in chronic care and point-of-care applications, including self-injection, diagnostics and other patient-focused healthcare solutions distributed in markets around the world.</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REGARDING FORWARD-LOOKING STATEMENTS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express or implied "forward-looking statements" as that term is defined in the Private Securities Litigation Reform Act of 1995 and other securities laws. These forward-looking statements concern our current expectations regarding strategic direction and priorities and expectations regarding our acquisition of Owen Mumford.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“intends,” “plans,” “pursue,” “will,” “goal” or similar expressions, we are making forward-looking statements.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the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gridSpan w:val="3"/>
          </w:tcPr>
          <w:p>
            <w:pPr>
              <w:ind w:left="100"/>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 </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03"/>
        </w:trPr>
        <w:tc>
          <w:tcPr>
            <w:tcW w:w="45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Media</w:t>
            </w:r>
          </w:p>
        </w:tc>
        <w:tc>
          <w:tcPr>
            <w:tcW w:w="67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Investors </w:t>
            </w:r>
          </w:p>
        </w:tc>
      </w:tr>
      <w:tr>
        <w:trPr>
          <w:trHeight w:val="203"/>
        </w:trPr>
        <w:tc>
          <w:tcPr>
            <w:tcW w:w="45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Christian Glazar</w:t>
            </w:r>
          </w:p>
        </w:tc>
        <w:tc>
          <w:tcPr>
            <w:tcW w:w="67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Pravesh Khandelwal</w:t>
            </w:r>
          </w:p>
        </w:tc>
      </w:tr>
      <w:tr>
        <w:trPr>
          <w:trHeight w:val="202"/>
        </w:trPr>
        <w:tc>
          <w:tcPr>
            <w:tcW w:w="45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Sr. Director, Corporate Communications</w:t>
            </w:r>
          </w:p>
        </w:tc>
        <w:tc>
          <w:tcPr>
            <w:tcW w:w="67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VP, Head of Investor Relations</w:t>
            </w:r>
          </w:p>
        </w:tc>
      </w:tr>
      <w:tr>
        <w:trPr>
          <w:trHeight w:val="203"/>
        </w:trPr>
        <w:tc>
          <w:tcPr>
            <w:tcW w:w="20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908-821-6922</w:t>
            </w:r>
          </w:p>
        </w:tc>
        <w:tc>
          <w:tcPr>
            <w:tcW w:w="2440" w:type="dxa"/>
            <w:vAlign w:val="bottom"/>
          </w:tcPr>
          <w:p>
            <w:pPr>
              <w:spacing w:after="0"/>
              <w:rPr>
                <w:sz w:val="17"/>
                <w:szCs w:val="17"/>
                <w:color w:val="auto"/>
              </w:rPr>
            </w:pPr>
          </w:p>
        </w:tc>
        <w:tc>
          <w:tcPr>
            <w:tcW w:w="674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551-264-6547 </w:t>
            </w:r>
          </w:p>
        </w:tc>
      </w:tr>
      <w:tr>
        <w:trPr>
          <w:trHeight w:val="194"/>
        </w:trPr>
        <w:tc>
          <w:tcPr>
            <w:tcW w:w="4500" w:type="dxa"/>
            <w:vAlign w:val="bottom"/>
            <w:gridSpan w:val="3"/>
          </w:tcPr>
          <w:p>
            <w:pPr>
              <w:ind w:left="100"/>
              <w:spacing w:after="0" w:line="195" w:lineRule="exact"/>
              <w:rPr>
                <w:sz w:val="20"/>
                <w:szCs w:val="20"/>
                <w:color w:val="auto"/>
              </w:rPr>
            </w:pPr>
            <w:r>
              <w:rPr>
                <w:rFonts w:ascii="Arial" w:cs="Arial" w:eastAsia="Arial" w:hAnsi="Arial"/>
                <w:sz w:val="18"/>
                <w:szCs w:val="18"/>
                <w:color w:val="0000FF"/>
              </w:rPr>
              <w:t>Contact Media Relations</w:t>
            </w:r>
          </w:p>
        </w:tc>
        <w:tc>
          <w:tcPr>
            <w:tcW w:w="6740" w:type="dxa"/>
            <w:vAlign w:val="bottom"/>
            <w:gridSpan w:val="3"/>
          </w:tcPr>
          <w:p>
            <w:pPr>
              <w:ind w:left="1220"/>
              <w:spacing w:after="0" w:line="195" w:lineRule="exact"/>
              <w:rPr>
                <w:sz w:val="20"/>
                <w:szCs w:val="20"/>
                <w:color w:val="auto"/>
              </w:rPr>
            </w:pPr>
            <w:r>
              <w:rPr>
                <w:rFonts w:ascii="Arial" w:cs="Arial" w:eastAsia="Arial" w:hAnsi="Arial"/>
                <w:sz w:val="18"/>
                <w:szCs w:val="18"/>
                <w:color w:val="0000FF"/>
              </w:rPr>
              <w:t>Contact IR</w:t>
            </w:r>
          </w:p>
        </w:tc>
      </w:tr>
      <w:tr>
        <w:trPr>
          <w:trHeight w:val="595"/>
        </w:trPr>
        <w:tc>
          <w:tcPr>
            <w:tcW w:w="100" w:type="dxa"/>
            <w:vAlign w:val="bottom"/>
            <w:tcBorders>
              <w:bottom w:val="single" w:sz="8" w:color="auto"/>
            </w:tcBorders>
          </w:tcPr>
          <w:p>
            <w:pPr>
              <w:spacing w:after="0"/>
              <w:rPr>
                <w:sz w:val="24"/>
                <w:szCs w:val="24"/>
                <w:color w:val="auto"/>
              </w:rPr>
            </w:pPr>
          </w:p>
        </w:tc>
        <w:tc>
          <w:tcPr>
            <w:tcW w:w="1960" w:type="dxa"/>
            <w:vAlign w:val="bottom"/>
            <w:tcBorders>
              <w:top w:val="single" w:sz="8" w:color="0000FF"/>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60" w:type="dxa"/>
            <w:vAlign w:val="bottom"/>
            <w:tcBorders>
              <w:top w:val="single" w:sz="8" w:color="0000FF"/>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jpeg"/><Relationship Id="rId17" Type="http://schemas.openxmlformats.org/officeDocument/2006/relationships/hyperlink" Target="http://www.sec.gov/Archives/edgar/data/1872789/000094787126000310/ss6090062_ex0201.htm" TargetMode="External"/><Relationship Id="rId18" Type="http://schemas.openxmlformats.org/officeDocument/2006/relationships/hyperlink" Target="https://www.sec.gov/Archives/edgar/data/1872789/000094787126000310/ss6090062_ex02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2026-05-15T08:16:53Z</dcterms:created>
  <dcterms:modified xsi:type="dcterms:W3CDTF">2026-05-15T08:16:53Z</dcterms:modified>
</cp:coreProperties>
</file>