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March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143510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EMBECTA CORP.</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Delaware</w:t>
      </w:r>
    </w:p>
    <w:p>
      <w:pPr>
        <w:jc w:val="center"/>
        <w:spacing w:after="0" w:line="236" w:lineRule="auto"/>
        <w:rPr>
          <w:sz w:val="20"/>
          <w:szCs w:val="20"/>
          <w:color w:val="auto"/>
        </w:rPr>
      </w:pPr>
      <w:r>
        <w:rPr>
          <w:rFonts w:ascii="Arial" w:cs="Arial" w:eastAsia="Arial" w:hAnsi="Arial"/>
          <w:sz w:val="10"/>
          <w:szCs w:val="10"/>
          <w:b w:val="1"/>
          <w:bCs w:val="1"/>
          <w:color w:val="auto"/>
        </w:rPr>
        <w:t>(State or Other Jurisdiction</w:t>
      </w:r>
    </w:p>
    <w:p>
      <w:pPr>
        <w:jc w:val="center"/>
        <w:spacing w:after="0" w:line="237" w:lineRule="auto"/>
        <w:rPr>
          <w:sz w:val="20"/>
          <w:szCs w:val="20"/>
          <w:color w:val="auto"/>
        </w:rPr>
      </w:pPr>
      <w:r>
        <w:rPr>
          <w:rFonts w:ascii="Arial" w:cs="Arial" w:eastAsia="Arial" w:hAnsi="Arial"/>
          <w:sz w:val="10"/>
          <w:szCs w:val="10"/>
          <w:b w:val="1"/>
          <w:bCs w:val="1"/>
          <w:color w:val="auto"/>
        </w:rPr>
        <w:t>of Incorporation)</w:t>
      </w:r>
    </w:p>
    <w:p>
      <w:pPr>
        <w:spacing w:after="0" w:line="121" w:lineRule="exact"/>
        <w:rPr>
          <w:sz w:val="24"/>
          <w:szCs w:val="24"/>
          <w:color w:val="auto"/>
        </w:rPr>
      </w:pPr>
    </w:p>
    <w:tbl>
      <w:tblPr>
        <w:tblLayout w:type="fixed"/>
        <w:tblInd w:w="1560" w:type="dxa"/>
        <w:tblCellMar>
          <w:top w:w="0" w:type="dxa"/>
          <w:left w:w="0" w:type="dxa"/>
          <w:bottom w:w="0" w:type="dxa"/>
          <w:right w:w="0" w:type="dxa"/>
        </w:tblCellMar>
      </w:tblPr>
      <w:tr>
        <w:trPr>
          <w:trHeight w:val="142"/>
        </w:trPr>
        <w:tc>
          <w:tcPr>
            <w:tcW w:w="3360" w:type="dxa"/>
            <w:vAlign w:val="bottom"/>
          </w:tcPr>
          <w:p>
            <w:pPr>
              <w:jc w:val="center"/>
              <w:ind w:right="1067"/>
              <w:spacing w:after="0"/>
              <w:rPr>
                <w:sz w:val="20"/>
                <w:szCs w:val="20"/>
                <w:color w:val="auto"/>
              </w:rPr>
            </w:pPr>
            <w:r>
              <w:rPr>
                <w:rFonts w:ascii="Arial" w:cs="Arial" w:eastAsia="Arial" w:hAnsi="Arial"/>
                <w:sz w:val="12"/>
                <w:szCs w:val="12"/>
                <w:b w:val="1"/>
                <w:bCs w:val="1"/>
                <w:color w:val="auto"/>
                <w:w w:val="90"/>
              </w:rPr>
              <w:t>001-41186</w:t>
            </w:r>
          </w:p>
        </w:tc>
        <w:tc>
          <w:tcPr>
            <w:tcW w:w="1840" w:type="dxa"/>
            <w:vAlign w:val="bottom"/>
          </w:tcPr>
          <w:p>
            <w:pPr>
              <w:jc w:val="center"/>
              <w:ind w:left="1047"/>
              <w:spacing w:after="0"/>
              <w:rPr>
                <w:sz w:val="20"/>
                <w:szCs w:val="20"/>
                <w:color w:val="auto"/>
              </w:rPr>
            </w:pPr>
            <w:r>
              <w:rPr>
                <w:rFonts w:ascii="Arial" w:cs="Arial" w:eastAsia="Arial" w:hAnsi="Arial"/>
                <w:sz w:val="12"/>
                <w:szCs w:val="12"/>
                <w:b w:val="1"/>
                <w:bCs w:val="1"/>
                <w:color w:val="auto"/>
                <w:w w:val="90"/>
              </w:rPr>
              <w:t>87-1583942</w:t>
            </w:r>
          </w:p>
        </w:tc>
      </w:tr>
      <w:tr>
        <w:trPr>
          <w:trHeight w:val="99"/>
        </w:trPr>
        <w:tc>
          <w:tcPr>
            <w:tcW w:w="3360" w:type="dxa"/>
            <w:vAlign w:val="bottom"/>
          </w:tcPr>
          <w:p>
            <w:pPr>
              <w:jc w:val="center"/>
              <w:ind w:right="1047"/>
              <w:spacing w:after="0" w:line="99" w:lineRule="exact"/>
              <w:rPr>
                <w:sz w:val="20"/>
                <w:szCs w:val="20"/>
                <w:color w:val="auto"/>
              </w:rPr>
            </w:pPr>
            <w:r>
              <w:rPr>
                <w:rFonts w:ascii="Arial" w:cs="Arial" w:eastAsia="Arial" w:hAnsi="Arial"/>
                <w:sz w:val="10"/>
                <w:szCs w:val="10"/>
                <w:b w:val="1"/>
                <w:bCs w:val="1"/>
                <w:color w:val="auto"/>
                <w:w w:val="85"/>
              </w:rPr>
              <w:t>(Commission</w:t>
            </w:r>
          </w:p>
        </w:tc>
        <w:tc>
          <w:tcPr>
            <w:tcW w:w="1840" w:type="dxa"/>
            <w:vAlign w:val="bottom"/>
          </w:tcPr>
          <w:p>
            <w:pPr>
              <w:jc w:val="center"/>
              <w:ind w:left="1047"/>
              <w:spacing w:after="0" w:line="99" w:lineRule="exact"/>
              <w:rPr>
                <w:sz w:val="20"/>
                <w:szCs w:val="20"/>
                <w:color w:val="auto"/>
              </w:rPr>
            </w:pPr>
            <w:r>
              <w:rPr>
                <w:rFonts w:ascii="Arial" w:cs="Arial" w:eastAsia="Arial" w:hAnsi="Arial"/>
                <w:sz w:val="10"/>
                <w:szCs w:val="10"/>
                <w:b w:val="1"/>
                <w:bCs w:val="1"/>
                <w:color w:val="auto"/>
                <w:w w:val="90"/>
              </w:rPr>
              <w:t>(IRS Employer</w:t>
            </w:r>
          </w:p>
        </w:tc>
      </w:tr>
      <w:tr>
        <w:trPr>
          <w:trHeight w:val="123"/>
        </w:trPr>
        <w:tc>
          <w:tcPr>
            <w:tcW w:w="3360" w:type="dxa"/>
            <w:vAlign w:val="bottom"/>
          </w:tcPr>
          <w:p>
            <w:pPr>
              <w:jc w:val="center"/>
              <w:ind w:right="1047"/>
              <w:spacing w:after="0"/>
              <w:rPr>
                <w:sz w:val="20"/>
                <w:szCs w:val="20"/>
                <w:color w:val="auto"/>
              </w:rPr>
            </w:pPr>
            <w:r>
              <w:rPr>
                <w:rFonts w:ascii="Arial" w:cs="Arial" w:eastAsia="Arial" w:hAnsi="Arial"/>
                <w:sz w:val="10"/>
                <w:szCs w:val="10"/>
                <w:b w:val="1"/>
                <w:bCs w:val="1"/>
                <w:color w:val="auto"/>
                <w:w w:val="88"/>
              </w:rPr>
              <w:t>File Number)</w:t>
            </w:r>
          </w:p>
        </w:tc>
        <w:tc>
          <w:tcPr>
            <w:tcW w:w="1840" w:type="dxa"/>
            <w:vAlign w:val="bottom"/>
          </w:tcPr>
          <w:p>
            <w:pPr>
              <w:jc w:val="center"/>
              <w:ind w:left="1047"/>
              <w:spacing w:after="0"/>
              <w:rPr>
                <w:sz w:val="20"/>
                <w:szCs w:val="20"/>
                <w:color w:val="auto"/>
              </w:rPr>
            </w:pPr>
            <w:r>
              <w:rPr>
                <w:rFonts w:ascii="Arial" w:cs="Arial" w:eastAsia="Arial" w:hAnsi="Arial"/>
                <w:sz w:val="10"/>
                <w:szCs w:val="10"/>
                <w:b w:val="1"/>
                <w:bCs w:val="1"/>
                <w:color w:val="auto"/>
                <w:w w:val="87"/>
              </w:rPr>
              <w:t>Identification No.)</w:t>
            </w:r>
          </w:p>
        </w:tc>
      </w:tr>
      <w:tr>
        <w:trPr>
          <w:trHeight w:val="264"/>
        </w:trPr>
        <w:tc>
          <w:tcPr>
            <w:tcW w:w="3360" w:type="dxa"/>
            <w:vAlign w:val="bottom"/>
          </w:tcPr>
          <w:p>
            <w:pPr>
              <w:jc w:val="center"/>
              <w:ind w:right="1047"/>
              <w:spacing w:after="0"/>
              <w:rPr>
                <w:sz w:val="20"/>
                <w:szCs w:val="20"/>
                <w:color w:val="auto"/>
              </w:rPr>
            </w:pPr>
            <w:r>
              <w:rPr>
                <w:rFonts w:ascii="Arial" w:cs="Arial" w:eastAsia="Arial" w:hAnsi="Arial"/>
                <w:sz w:val="12"/>
                <w:szCs w:val="12"/>
                <w:b w:val="1"/>
                <w:bCs w:val="1"/>
                <w:color w:val="auto"/>
                <w:w w:val="91"/>
              </w:rPr>
              <w:t>1 Becton Drive, Franklin Lakes, New Jersey</w:t>
            </w:r>
          </w:p>
        </w:tc>
        <w:tc>
          <w:tcPr>
            <w:tcW w:w="1840" w:type="dxa"/>
            <w:vAlign w:val="bottom"/>
          </w:tcPr>
          <w:p>
            <w:pPr>
              <w:jc w:val="center"/>
              <w:ind w:left="1047"/>
              <w:spacing w:after="0"/>
              <w:rPr>
                <w:sz w:val="20"/>
                <w:szCs w:val="20"/>
                <w:color w:val="auto"/>
              </w:rPr>
            </w:pPr>
            <w:r>
              <w:rPr>
                <w:rFonts w:ascii="Arial" w:cs="Arial" w:eastAsia="Arial" w:hAnsi="Arial"/>
                <w:sz w:val="12"/>
                <w:szCs w:val="12"/>
                <w:b w:val="1"/>
                <w:bCs w:val="1"/>
                <w:color w:val="auto"/>
                <w:w w:val="90"/>
              </w:rPr>
              <w:t>07417-1880</w:t>
            </w:r>
          </w:p>
        </w:tc>
      </w:tr>
      <w:tr>
        <w:trPr>
          <w:trHeight w:val="123"/>
        </w:trPr>
        <w:tc>
          <w:tcPr>
            <w:tcW w:w="3360" w:type="dxa"/>
            <w:vAlign w:val="bottom"/>
          </w:tcPr>
          <w:p>
            <w:pPr>
              <w:jc w:val="center"/>
              <w:ind w:right="1047"/>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1840" w:type="dxa"/>
            <w:vAlign w:val="bottom"/>
          </w:tcPr>
          <w:p>
            <w:pPr>
              <w:jc w:val="center"/>
              <w:ind w:left="1067"/>
              <w:spacing w:after="0"/>
              <w:rPr>
                <w:sz w:val="20"/>
                <w:szCs w:val="20"/>
                <w:color w:val="auto"/>
              </w:rPr>
            </w:pPr>
            <w:r>
              <w:rPr>
                <w:rFonts w:ascii="Arial" w:cs="Arial" w:eastAsia="Arial" w:hAnsi="Arial"/>
                <w:sz w:val="10"/>
                <w:szCs w:val="10"/>
                <w:b w:val="1"/>
                <w:bCs w:val="1"/>
                <w:color w:val="auto"/>
                <w:w w:val="88"/>
              </w:rPr>
              <w:t>(Zip Code)</w:t>
            </w:r>
          </w:p>
        </w:tc>
      </w:tr>
    </w:tbl>
    <w:p>
      <w:pPr>
        <w:spacing w:after="0" w:line="8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(201) 847-6880</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130810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9"/>
        </w:trPr>
        <w:tc>
          <w:tcPr>
            <w:tcW w:w="2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Common Stock, par value $0.01 per share</w:t>
            </w:r>
          </w:p>
        </w:tc>
        <w:tc>
          <w:tcPr>
            <w:tcW w:w="80" w:type="dxa"/>
            <w:vAlign w:val="bottom"/>
          </w:tcPr>
          <w:p>
            <w:pPr>
              <w:spacing w:after="0"/>
              <w:rPr>
                <w:sz w:val="11"/>
                <w:szCs w:val="11"/>
                <w:color w:val="auto"/>
              </w:rPr>
            </w:pPr>
          </w:p>
        </w:tc>
        <w:tc>
          <w:tcPr>
            <w:tcW w:w="2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EMBC</w:t>
            </w:r>
          </w:p>
        </w:tc>
        <w:tc>
          <w:tcPr>
            <w:tcW w:w="60" w:type="dxa"/>
            <w:vAlign w:val="bottom"/>
          </w:tcPr>
          <w:p>
            <w:pPr>
              <w:spacing w:after="0"/>
              <w:rPr>
                <w:sz w:val="11"/>
                <w:szCs w:val="11"/>
                <w:color w:val="auto"/>
              </w:rPr>
            </w:pPr>
          </w:p>
        </w:tc>
        <w:tc>
          <w:tcPr>
            <w:tcW w:w="2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4"/>
              </w:rPr>
              <w:t>The Nasdaq Stock Market LLC</w:t>
            </w:r>
          </w:p>
        </w:tc>
      </w:tr>
      <w:tr>
        <w:trPr>
          <w:trHeight w:val="157"/>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99" w:lineRule="exact"/>
        <w:rPr>
          <w:sz w:val="24"/>
          <w:szCs w:val="24"/>
          <w:color w:val="auto"/>
        </w:rPr>
      </w:pPr>
    </w:p>
    <w:p>
      <w:pPr>
        <w:ind w:left="840" w:right="9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56" w:lineRule="exact"/>
        <w:rPr>
          <w:sz w:val="24"/>
          <w:szCs w:val="24"/>
          <w:color w:val="auto"/>
        </w:rPr>
      </w:pPr>
    </w:p>
    <w:p>
      <w:pPr>
        <w:ind w:left="67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48"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1179" w:firstLine="294"/>
        <w:spacing w:after="0" w:line="276" w:lineRule="auto"/>
        <w:rPr>
          <w:sz w:val="20"/>
          <w:szCs w:val="20"/>
          <w:color w:val="auto"/>
        </w:rPr>
      </w:pPr>
      <w:r>
        <w:rPr>
          <w:rFonts w:ascii="Arial" w:cs="Arial" w:eastAsia="Arial" w:hAnsi="Arial"/>
          <w:sz w:val="12"/>
          <w:szCs w:val="12"/>
          <w:color w:val="auto"/>
        </w:rPr>
        <w:t>On February 23, 2022, Becton, Dickinson and Company (“BD”) announced that, in connection with the previously announced separation of Embecta Corp. (the “Company”) from BD, the Company will host an investor day on March 7, 2022.</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The Company’s investor day will begin at 8:00 a.m. Eastern Time on March 7, 2022.</w:t>
      </w:r>
    </w:p>
    <w:p>
      <w:pPr>
        <w:spacing w:after="0" w:line="150" w:lineRule="exact"/>
        <w:rPr>
          <w:sz w:val="20"/>
          <w:szCs w:val="20"/>
          <w:color w:val="auto"/>
        </w:rPr>
      </w:pPr>
    </w:p>
    <w:p>
      <w:pPr>
        <w:jc w:val="both"/>
        <w:ind w:left="840" w:right="899" w:firstLine="294"/>
        <w:spacing w:after="0" w:line="263" w:lineRule="auto"/>
        <w:rPr>
          <w:sz w:val="20"/>
          <w:szCs w:val="20"/>
          <w:color w:val="auto"/>
        </w:rPr>
      </w:pPr>
      <w:r>
        <w:rPr>
          <w:rFonts w:ascii="Arial" w:cs="Arial" w:eastAsia="Arial" w:hAnsi="Arial"/>
          <w:sz w:val="12"/>
          <w:szCs w:val="12"/>
          <w:color w:val="auto"/>
        </w:rPr>
        <w:t>A copy of the materials to be presented at the Company’s investor day is attached hereto as Exhibit 99.1, and is incorporated herein by reference. In addition, the presentation materials will be available shortly before the commencement of the investor day on the “Investors” page of BD’s corporate website, www.bd.com.</w:t>
      </w:r>
    </w:p>
    <w:p>
      <w:pPr>
        <w:spacing w:after="0" w:line="122" w:lineRule="exact"/>
        <w:rPr>
          <w:sz w:val="20"/>
          <w:szCs w:val="20"/>
          <w:color w:val="auto"/>
        </w:rPr>
      </w:pPr>
    </w:p>
    <w:p>
      <w:pPr>
        <w:ind w:left="840" w:right="959" w:firstLine="294"/>
        <w:spacing w:after="0" w:line="255" w:lineRule="auto"/>
        <w:rPr>
          <w:sz w:val="20"/>
          <w:szCs w:val="20"/>
          <w:color w:val="auto"/>
        </w:rPr>
      </w:pPr>
      <w:r>
        <w:rPr>
          <w:rFonts w:ascii="Arial" w:cs="Arial" w:eastAsia="Arial" w:hAnsi="Arial"/>
          <w:sz w:val="12"/>
          <w:szCs w:val="12"/>
          <w:color w:val="auto"/>
        </w:rPr>
        <w:t>In accordance with General Instruction B.2 of Form 8-K, the information in Item 7.01 and in Exhibit 99.1 of this Current Report on Form 8-K is being furnished and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In addition, the furnishing of this Item 7.01 of Form 8-K and Exhibit 99.1 will not be deemed an admission that such information includes material information that is not otherwise publicly available.</w:t>
      </w:r>
    </w:p>
    <w:p>
      <w:pPr>
        <w:spacing w:after="0" w:line="223"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91" w:lineRule="exact"/>
        <w:rPr>
          <w:sz w:val="20"/>
          <w:szCs w:val="20"/>
          <w:color w:val="auto"/>
        </w:rPr>
      </w:pPr>
    </w:p>
    <w:p>
      <w:pPr>
        <w:ind w:left="1240" w:hanging="408"/>
        <w:spacing w:after="0"/>
        <w:tabs>
          <w:tab w:leader="none" w:pos="1240"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Exhibits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following is furnished as an exhibit to this report:</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Embecta Corp. Investor Presentation, dated March 7, 2022</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Inline XBRL document)</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0" w:lineRule="exact"/>
        <w:rPr>
          <w:sz w:val="20"/>
          <w:szCs w:val="20"/>
          <w:color w:val="auto"/>
        </w:rPr>
      </w:pPr>
    </w:p>
    <w:p>
      <w:pPr>
        <w:ind w:left="840" w:right="859" w:firstLine="661"/>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EMBECTA CORP.</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Gary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Gary DeFazio</w:t>
      </w:r>
    </w:p>
    <w:p>
      <w:pPr>
        <w:spacing w:after="0" w:line="6"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Secretary</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Dated: March 7, 2022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48" w:right="1440"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2022-03-07T07:37:50Z</dcterms:created>
  <dcterms:modified xsi:type="dcterms:W3CDTF">2022-03-07T07:37:50Z</dcterms:modified>
</cp:coreProperties>
</file>