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ind w:right="-39"/>
        <w:spacing w:after="0" w:line="204"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SCHEDULE 13G</w:t>
      </w:r>
    </w:p>
    <w:p>
      <w:pPr>
        <w:jc w:val="center"/>
        <w:ind w:right="-39"/>
        <w:spacing w:after="0" w:line="211" w:lineRule="auto"/>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1 ) *</w:t>
      </w:r>
    </w:p>
    <w:p>
      <w:pPr>
        <w:spacing w:after="0" w:line="3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29082K105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Check the appropriate box to designate the rule pursuant to which this Schedule is filed:</w:t>
      </w:r>
    </w:p>
    <w:p>
      <w:pPr>
        <w:spacing w:after="0" w:line="121"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Rule 13d-1(b)</w:t>
      </w:r>
    </w:p>
    <w:p>
      <w:pPr>
        <w:spacing w:after="0" w:line="66" w:lineRule="exact"/>
        <w:rPr>
          <w:rFonts w:ascii="Times New Roman" w:cs="Times New Roman" w:eastAsia="Times New Roman" w:hAnsi="Times New Roman"/>
          <w:sz w:val="20"/>
          <w:szCs w:val="20"/>
          <w:b w:val="1"/>
          <w:bCs w:val="1"/>
          <w:color w:val="auto"/>
        </w:rPr>
      </w:pPr>
    </w:p>
    <w:p>
      <w:pPr>
        <w:jc w:val="both"/>
        <w:ind w:right="9680"/>
        <w:spacing w:after="0" w:line="336" w:lineRule="exact"/>
        <w:rPr>
          <w:rFonts w:ascii="Times New Roman" w:cs="Times New Roman" w:eastAsia="Times New Roman" w:hAnsi="Times New Roman"/>
          <w:sz w:val="20"/>
          <w:szCs w:val="20"/>
          <w:b w:val="1"/>
          <w:bCs w:val="1"/>
          <w:color w:val="auto"/>
        </w:rPr>
      </w:pP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Rule 13d-1(c)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Rule 13d-1(d)</w:t>
      </w:r>
    </w:p>
    <w:p>
      <w:pPr>
        <w:spacing w:after="0" w:line="63" w:lineRule="exact"/>
        <w:rPr>
          <w:sz w:val="24"/>
          <w:szCs w:val="24"/>
          <w:color w:val="auto"/>
        </w:rPr>
      </w:pPr>
    </w:p>
    <w:p>
      <w:pPr>
        <w:ind w:right="400"/>
        <w:spacing w:after="0" w:line="251" w:lineRule="auto"/>
        <w:rPr>
          <w:sz w:val="20"/>
          <w:szCs w:val="20"/>
          <w:color w:val="auto"/>
        </w:rPr>
      </w:pP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3" w:lineRule="exact"/>
        <w:rPr>
          <w:sz w:val="24"/>
          <w:szCs w:val="24"/>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w:t>
      </w:r>
    </w:p>
    <w:p>
      <w:pPr>
        <w:spacing w:after="0"/>
        <w:rPr>
          <w:sz w:val="20"/>
          <w:szCs w:val="20"/>
          <w:color w:val="auto"/>
        </w:rPr>
      </w:pPr>
      <w:r>
        <w:rPr>
          <w:rFonts w:ascii="Times New Roman" w:cs="Times New Roman" w:eastAsia="Times New Roman" w:hAnsi="Times New Roman"/>
          <w:sz w:val="20"/>
          <w:szCs w:val="20"/>
          <w:color w:val="auto"/>
        </w:rPr>
        <w:t>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5366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Page 1 of 8 Pages</w:t>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100"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22"/>
          <w:szCs w:val="22"/>
          <w:b w:val="1"/>
          <w:bCs w:val="1"/>
          <w:color w:val="auto"/>
        </w:rPr>
        <w:t>CUSIP No. 29082K105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366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69" w:lineRule="exact"/>
        <w:rPr>
          <w:sz w:val="20"/>
          <w:szCs w:val="20"/>
          <w:color w:val="auto"/>
        </w:rPr>
      </w:pPr>
    </w:p>
    <w:p>
      <w:pPr>
        <w:ind w:left="640" w:hanging="328"/>
        <w:spacing w:after="0"/>
        <w:tabs>
          <w:tab w:leader="none" w:pos="6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Names of Reporting Persons</w:t>
      </w:r>
    </w:p>
    <w:p>
      <w:pPr>
        <w:ind w:left="6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American Century Investment Management, Inc.</w:t>
      </w:r>
    </w:p>
    <w:p>
      <w:pPr>
        <w:spacing w:after="0" w:line="26" w:lineRule="exact"/>
        <w:rPr>
          <w:rFonts w:ascii="Times New Roman" w:cs="Times New Roman" w:eastAsia="Times New Roman" w:hAnsi="Times New Roman"/>
          <w:sz w:val="22"/>
          <w:szCs w:val="22"/>
          <w:b w:val="1"/>
          <w:bCs w:val="1"/>
          <w:color w:val="auto"/>
        </w:rPr>
      </w:pPr>
    </w:p>
    <w:p>
      <w:pPr>
        <w:ind w:left="640" w:hanging="328"/>
        <w:spacing w:after="0"/>
        <w:tabs>
          <w:tab w:leader="none" w:pos="6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the Appropriate Box if a Member of a Group (See Instructions)</w:t>
      </w:r>
    </w:p>
    <w:p>
      <w:pPr>
        <w:ind w:left="1280" w:hanging="320"/>
        <w:spacing w:after="0" w:line="216" w:lineRule="exact"/>
        <w:tabs>
          <w:tab w:leader="none" w:pos="1280" w:val="left"/>
        </w:tabs>
        <w:numPr>
          <w:ilvl w:val="1"/>
          <w:numId w:val="2"/>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ind w:left="1280" w:hanging="320"/>
        <w:spacing w:after="0" w:line="253" w:lineRule="exact"/>
        <w:tabs>
          <w:tab w:leader="none" w:pos="1280" w:val="left"/>
        </w:tabs>
        <w:numPr>
          <w:ilvl w:val="1"/>
          <w:numId w:val="2"/>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spacing w:after="0" w:line="186" w:lineRule="exact"/>
        <w:rPr>
          <w:rFonts w:ascii="Times New Roman" w:cs="Times New Roman" w:eastAsia="Times New Roman" w:hAnsi="Times New Roman"/>
          <w:sz w:val="22"/>
          <w:szCs w:val="22"/>
          <w:b w:val="1"/>
          <w:bCs w:val="1"/>
          <w:color w:val="auto"/>
        </w:rPr>
      </w:pPr>
    </w:p>
    <w:p>
      <w:pPr>
        <w:ind w:left="640" w:hanging="328"/>
        <w:spacing w:after="0"/>
        <w:tabs>
          <w:tab w:leader="none" w:pos="6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 Use Only</w:t>
      </w:r>
    </w:p>
    <w:p>
      <w:pPr>
        <w:spacing w:after="0" w:line="287" w:lineRule="exact"/>
        <w:rPr>
          <w:rFonts w:ascii="Times New Roman" w:cs="Times New Roman" w:eastAsia="Times New Roman" w:hAnsi="Times New Roman"/>
          <w:sz w:val="22"/>
          <w:szCs w:val="22"/>
          <w:b w:val="1"/>
          <w:bCs w:val="1"/>
          <w:color w:val="auto"/>
        </w:rPr>
      </w:pPr>
    </w:p>
    <w:p>
      <w:pPr>
        <w:ind w:left="640" w:right="7040" w:hanging="328"/>
        <w:spacing w:after="0" w:line="238" w:lineRule="auto"/>
        <w:tabs>
          <w:tab w:leader="none" w:pos="6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Citizenship or Place of Organization </w:t>
      </w:r>
      <w:r>
        <w:rPr>
          <w:rFonts w:ascii="Times New Roman" w:cs="Times New Roman" w:eastAsia="Times New Roman" w:hAnsi="Times New Roman"/>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-1266825</wp:posOffset>
            </wp:positionV>
            <wp:extent cx="5366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-692150</wp:posOffset>
            </wp:positionV>
            <wp:extent cx="5366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-358140</wp:posOffset>
            </wp:positionV>
            <wp:extent cx="5366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663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40" w:top="1440" w:right="519" w:bottom="1440" w:gutter="0" w:footer="0" w:header="0"/>
        </w:sect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339"/>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Number of</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6.</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225"/>
        </w:trPr>
        <w:tc>
          <w:tcPr>
            <w:tcW w:w="1460" w:type="dxa"/>
            <w:vAlign w:val="bottom"/>
          </w:tcPr>
          <w:p>
            <w:pPr>
              <w:spacing w:after="0" w:line="225" w:lineRule="exact"/>
              <w:rPr>
                <w:sz w:val="20"/>
                <w:szCs w:val="20"/>
                <w:color w:val="auto"/>
              </w:rPr>
            </w:pPr>
            <w:r>
              <w:rPr>
                <w:rFonts w:ascii="Times New Roman" w:cs="Times New Roman" w:eastAsia="Times New Roman" w:hAnsi="Times New Roman"/>
                <w:sz w:val="22"/>
                <w:szCs w:val="22"/>
                <w:b w:val="1"/>
                <w:bCs w:val="1"/>
                <w:color w:val="auto"/>
              </w:rPr>
              <w:t>Beneficially</w:t>
            </w:r>
          </w:p>
        </w:tc>
        <w:tc>
          <w:tcPr>
            <w:tcW w:w="6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Owned by</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Each</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Reporting</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7.</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Person With:</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8.</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58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9.</w:t>
            </w:r>
          </w:p>
        </w:tc>
        <w:tc>
          <w:tcPr>
            <w:tcW w:w="6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6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2"/>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10.</w:t>
            </w:r>
          </w:p>
        </w:tc>
        <w:tc>
          <w:tcPr>
            <w:tcW w:w="648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Check if the Aggregate Amount in Row (9) Excludes Certain Shares</w:t>
            </w:r>
          </w:p>
        </w:tc>
        <w:tc>
          <w:tcPr>
            <w:tcW w:w="0" w:type="dxa"/>
            <w:vAlign w:val="bottom"/>
          </w:tcPr>
          <w:p>
            <w:pPr>
              <w:spacing w:after="0"/>
              <w:rPr>
                <w:sz w:val="1"/>
                <w:szCs w:val="1"/>
                <w:color w:val="auto"/>
              </w:rPr>
            </w:pPr>
          </w:p>
        </w:tc>
      </w:tr>
      <w:tr>
        <w:trPr>
          <w:trHeight w:val="383"/>
        </w:trPr>
        <w:tc>
          <w:tcPr>
            <w:tcW w:w="1460" w:type="dxa"/>
            <w:vAlign w:val="bottom"/>
          </w:tcPr>
          <w:p>
            <w:pPr>
              <w:spacing w:after="0"/>
              <w:rPr>
                <w:sz w:val="24"/>
                <w:szCs w:val="24"/>
                <w:color w:val="auto"/>
              </w:rPr>
            </w:pPr>
          </w:p>
        </w:tc>
        <w:tc>
          <w:tcPr>
            <w:tcW w:w="6480" w:type="dxa"/>
            <w:vAlign w:val="bottom"/>
            <w:gridSpan w:val="2"/>
          </w:tcPr>
          <w:p>
            <w:pPr>
              <w:ind w:left="220"/>
              <w:spacing w:after="0" w:line="253" w:lineRule="exact"/>
              <w:rPr>
                <w:sz w:val="20"/>
                <w:szCs w:val="20"/>
                <w:color w:val="auto"/>
              </w:rPr>
            </w:pPr>
            <w:r>
              <w:rPr>
                <w:rFonts w:ascii="Times New Roman" w:cs="Times New Roman" w:eastAsia="Times New Roman" w:hAnsi="Times New Roman"/>
                <w:sz w:val="22"/>
                <w:szCs w:val="22"/>
                <w:b w:val="1"/>
                <w:bCs w:val="1"/>
                <w:color w:val="auto"/>
              </w:rPr>
              <w:t xml:space="preserve">(See Instructions) </w:t>
            </w:r>
            <w:r>
              <w:rPr>
                <w:rFonts w:ascii="MS PGothic" w:cs="MS PGothic" w:eastAsia="MS PGothic" w:hAnsi="MS PGothic"/>
                <w:sz w:val="22"/>
                <w:szCs w:val="22"/>
                <w:color w:val="auto"/>
                <w:highlight w:val="black"/>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-567690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-1038860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-1458595</wp:posOffset>
            </wp:positionV>
            <wp:extent cx="60693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-1930400</wp:posOffset>
            </wp:positionV>
            <wp:extent cx="60693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-2590165</wp:posOffset>
            </wp:positionV>
            <wp:extent cx="60693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69330" cy="17145"/>
                    </a:xfrm>
                    <a:prstGeom prst="rect">
                      <a:avLst/>
                    </a:prstGeom>
                    <a:noFill/>
                  </pic:spPr>
                </pic:pic>
              </a:graphicData>
            </a:graphic>
          </wp:anchor>
        </w:drawing>
      </w:r>
    </w:p>
    <w:p>
      <w:pPr>
        <w:spacing w:after="0" w:line="196" w:lineRule="exact"/>
        <w:rPr>
          <w:sz w:val="20"/>
          <w:szCs w:val="20"/>
          <w:color w:val="auto"/>
        </w:rPr>
      </w:pPr>
    </w:p>
    <w:p>
      <w:pPr>
        <w:ind w:left="1680" w:hanging="1296"/>
        <w:spacing w:after="0"/>
        <w:tabs>
          <w:tab w:leader="none" w:pos="1680" w:val="left"/>
        </w:tabs>
        <w:numPr>
          <w:ilvl w:val="0"/>
          <w:numId w:val="3"/>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0" w:type="dxa"/>
            <w:vAlign w:val="bottom"/>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w w:val="94"/>
              </w:rPr>
              <w:t>12.</w:t>
            </w:r>
          </w:p>
        </w:tc>
        <w:tc>
          <w:tcPr>
            <w:tcW w:w="474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w w:val="97"/>
              </w:rPr>
              <w:t>Type of Reporting Person (See Instructions)</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3,235,919</w:t>
      </w:r>
    </w:p>
    <w:p>
      <w:pPr>
        <w:spacing w:after="0" w:line="200" w:lineRule="exact"/>
        <w:rPr>
          <w:sz w:val="20"/>
          <w:szCs w:val="20"/>
          <w:color w:val="auto"/>
        </w:rPr>
      </w:pPr>
    </w:p>
    <w:p>
      <w:pPr>
        <w:spacing w:after="0" w:line="3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3,354,708</w:t>
      </w: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3,354,708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5.81%</w:t>
      </w:r>
    </w:p>
    <w:p>
      <w:pPr>
        <w:spacing w:after="0" w:line="3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IA</w:t>
      </w:r>
    </w:p>
    <w:p>
      <w:pPr>
        <w:spacing w:after="0" w:line="229" w:lineRule="exact"/>
        <w:rPr>
          <w:sz w:val="20"/>
          <w:szCs w:val="20"/>
          <w:color w:val="auto"/>
        </w:rPr>
      </w:pPr>
    </w:p>
    <w:p>
      <w:pPr>
        <w:sectPr>
          <w:pgSz w:w="11900" w:h="16838" w:orient="portrait"/>
          <w:cols w:equalWidth="0" w:num="2">
            <w:col w:w="9520" w:space="720"/>
            <w:col w:w="800"/>
          </w:cols>
          <w:pgMar w:left="340"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Page 2 of 8 Pages</w:t>
      </w:r>
    </w:p>
    <w:p>
      <w:pPr>
        <w:sectPr>
          <w:pgSz w:w="11900" w:h="16838" w:orient="portrait"/>
          <w:cols w:equalWidth="0" w:num="1">
            <w:col w:w="11040"/>
          </w:cols>
          <w:pgMar w:left="340" w:top="1440" w:right="519" w:bottom="1440" w:gutter="0" w:footer="0" w:header="0"/>
          <w:type w:val="continuous"/>
        </w:sectPr>
      </w:pPr>
    </w:p>
    <w:bookmarkStart w:id="2" w:name="page3"/>
    <w:bookmarkEnd w:id="2"/>
    <w:p>
      <w:pPr>
        <w:spacing w:after="0" w:line="10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22"/>
          <w:szCs w:val="22"/>
          <w:b w:val="1"/>
          <w:bCs w:val="1"/>
          <w:color w:val="auto"/>
        </w:rPr>
        <w:t>CUSIP No. 29082K105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3663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78" w:lineRule="exact"/>
        <w:rPr>
          <w:sz w:val="20"/>
          <w:szCs w:val="20"/>
          <w:color w:val="auto"/>
        </w:rPr>
      </w:pPr>
    </w:p>
    <w:p>
      <w:pPr>
        <w:ind w:left="640" w:right="7340" w:hanging="328"/>
        <w:spacing w:after="0" w:line="259" w:lineRule="auto"/>
        <w:tabs>
          <w:tab w:leader="none" w:pos="64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Names of Reporting Persons </w:t>
      </w:r>
      <w:r>
        <w:rPr>
          <w:rFonts w:ascii="Times New Roman" w:cs="Times New Roman" w:eastAsia="Times New Roman" w:hAnsi="Times New Roman"/>
          <w:sz w:val="21"/>
          <w:szCs w:val="21"/>
          <w:color w:val="auto"/>
        </w:rPr>
        <w:t>American Century Companies, Inc.</w:t>
      </w:r>
    </w:p>
    <w:p>
      <w:pPr>
        <w:spacing w:after="0" w:line="1" w:lineRule="exact"/>
        <w:rPr>
          <w:rFonts w:ascii="Times New Roman" w:cs="Times New Roman" w:eastAsia="Times New Roman" w:hAnsi="Times New Roman"/>
          <w:sz w:val="21"/>
          <w:szCs w:val="21"/>
          <w:b w:val="1"/>
          <w:bCs w:val="1"/>
          <w:color w:val="auto"/>
        </w:rPr>
      </w:pPr>
    </w:p>
    <w:p>
      <w:pPr>
        <w:ind w:left="640" w:hanging="328"/>
        <w:spacing w:after="0"/>
        <w:tabs>
          <w:tab w:leader="none" w:pos="6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the Appropriate Box if a Member of a Group (See Instructions)</w:t>
      </w:r>
    </w:p>
    <w:p>
      <w:pPr>
        <w:ind w:left="1280" w:hanging="320"/>
        <w:spacing w:after="0" w:line="216" w:lineRule="exact"/>
        <w:tabs>
          <w:tab w:leader="none" w:pos="1280" w:val="left"/>
        </w:tabs>
        <w:numPr>
          <w:ilvl w:val="1"/>
          <w:numId w:val="4"/>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ind w:left="1280" w:hanging="320"/>
        <w:spacing w:after="0" w:line="253" w:lineRule="exact"/>
        <w:tabs>
          <w:tab w:leader="none" w:pos="1280" w:val="left"/>
        </w:tabs>
        <w:numPr>
          <w:ilvl w:val="1"/>
          <w:numId w:val="4"/>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spacing w:after="0" w:line="186" w:lineRule="exact"/>
        <w:rPr>
          <w:rFonts w:ascii="Times New Roman" w:cs="Times New Roman" w:eastAsia="Times New Roman" w:hAnsi="Times New Roman"/>
          <w:sz w:val="22"/>
          <w:szCs w:val="22"/>
          <w:b w:val="1"/>
          <w:bCs w:val="1"/>
          <w:color w:val="auto"/>
        </w:rPr>
      </w:pPr>
    </w:p>
    <w:p>
      <w:pPr>
        <w:ind w:left="640" w:hanging="328"/>
        <w:spacing w:after="0"/>
        <w:tabs>
          <w:tab w:leader="none" w:pos="6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 Use Only</w:t>
      </w:r>
    </w:p>
    <w:p>
      <w:pPr>
        <w:spacing w:after="0" w:line="287" w:lineRule="exact"/>
        <w:rPr>
          <w:rFonts w:ascii="Times New Roman" w:cs="Times New Roman" w:eastAsia="Times New Roman" w:hAnsi="Times New Roman"/>
          <w:sz w:val="22"/>
          <w:szCs w:val="22"/>
          <w:b w:val="1"/>
          <w:bCs w:val="1"/>
          <w:color w:val="auto"/>
        </w:rPr>
      </w:pPr>
    </w:p>
    <w:p>
      <w:pPr>
        <w:ind w:left="640" w:right="7040" w:hanging="328"/>
        <w:spacing w:after="0" w:line="238" w:lineRule="auto"/>
        <w:tabs>
          <w:tab w:leader="none" w:pos="6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Citizenship or Place of Organization </w:t>
      </w:r>
      <w:r>
        <w:rPr>
          <w:rFonts w:ascii="Times New Roman" w:cs="Times New Roman" w:eastAsia="Times New Roman" w:hAnsi="Times New Roman"/>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-1266825</wp:posOffset>
            </wp:positionV>
            <wp:extent cx="53663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6638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-692150</wp:posOffset>
            </wp:positionV>
            <wp:extent cx="53663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-358140</wp:posOffset>
            </wp:positionV>
            <wp:extent cx="53663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663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95885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3,235,919</w:t>
      </w:r>
    </w:p>
    <w:p>
      <w:pPr>
        <w:sectPr>
          <w:pgSz w:w="11900" w:h="16838" w:orient="portrait"/>
          <w:cols w:equalWidth="0" w:num="1">
            <w:col w:w="11040"/>
          </w:cols>
          <w:pgMar w:left="340" w:top="1440" w:right="519" w:bottom="1440" w:gutter="0" w:footer="0" w:header="0"/>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244"/>
        </w:trPr>
        <w:tc>
          <w:tcPr>
            <w:tcW w:w="1460" w:type="dxa"/>
            <w:vAlign w:val="bottom"/>
          </w:tcPr>
          <w:p>
            <w:pPr>
              <w:spacing w:after="0" w:line="244" w:lineRule="exact"/>
              <w:rPr>
                <w:sz w:val="20"/>
                <w:szCs w:val="20"/>
                <w:color w:val="auto"/>
              </w:rPr>
            </w:pPr>
            <w:r>
              <w:rPr>
                <w:rFonts w:ascii="Times New Roman" w:cs="Times New Roman" w:eastAsia="Times New Roman" w:hAnsi="Times New Roman"/>
                <w:sz w:val="22"/>
                <w:szCs w:val="22"/>
                <w:b w:val="1"/>
                <w:bCs w:val="1"/>
                <w:color w:val="auto"/>
              </w:rPr>
              <w:t>Number of</w:t>
            </w:r>
          </w:p>
        </w:tc>
        <w:tc>
          <w:tcPr>
            <w:tcW w:w="68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6.</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225"/>
        </w:trPr>
        <w:tc>
          <w:tcPr>
            <w:tcW w:w="1460" w:type="dxa"/>
            <w:vAlign w:val="bottom"/>
          </w:tcPr>
          <w:p>
            <w:pPr>
              <w:spacing w:after="0" w:line="225" w:lineRule="exact"/>
              <w:rPr>
                <w:sz w:val="20"/>
                <w:szCs w:val="20"/>
                <w:color w:val="auto"/>
              </w:rPr>
            </w:pPr>
            <w:r>
              <w:rPr>
                <w:rFonts w:ascii="Times New Roman" w:cs="Times New Roman" w:eastAsia="Times New Roman" w:hAnsi="Times New Roman"/>
                <w:sz w:val="22"/>
                <w:szCs w:val="22"/>
                <w:b w:val="1"/>
                <w:bCs w:val="1"/>
                <w:color w:val="auto"/>
              </w:rPr>
              <w:t>Beneficially</w:t>
            </w:r>
          </w:p>
        </w:tc>
        <w:tc>
          <w:tcPr>
            <w:tcW w:w="6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Owned by</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460" w:type="dxa"/>
            <w:vAlign w:val="bottom"/>
          </w:tcPr>
          <w:p>
            <w:pPr>
              <w:spacing w:after="0" w:line="244" w:lineRule="exact"/>
              <w:rPr>
                <w:sz w:val="20"/>
                <w:szCs w:val="20"/>
                <w:color w:val="auto"/>
              </w:rPr>
            </w:pPr>
            <w:r>
              <w:rPr>
                <w:rFonts w:ascii="Times New Roman" w:cs="Times New Roman" w:eastAsia="Times New Roman" w:hAnsi="Times New Roman"/>
                <w:sz w:val="22"/>
                <w:szCs w:val="22"/>
                <w:b w:val="1"/>
                <w:bCs w:val="1"/>
                <w:color w:val="auto"/>
              </w:rPr>
              <w:t>Each</w:t>
            </w:r>
          </w:p>
        </w:tc>
        <w:tc>
          <w:tcPr>
            <w:tcW w:w="68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Reporting</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7.</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Person With:</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8.</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58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9.</w:t>
            </w:r>
          </w:p>
        </w:tc>
        <w:tc>
          <w:tcPr>
            <w:tcW w:w="6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6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2"/>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10.</w:t>
            </w:r>
          </w:p>
        </w:tc>
        <w:tc>
          <w:tcPr>
            <w:tcW w:w="648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Check if the Aggregate Amount in Row (9) Excludes Certain Shares</w:t>
            </w:r>
          </w:p>
        </w:tc>
        <w:tc>
          <w:tcPr>
            <w:tcW w:w="0" w:type="dxa"/>
            <w:vAlign w:val="bottom"/>
          </w:tcPr>
          <w:p>
            <w:pPr>
              <w:spacing w:after="0"/>
              <w:rPr>
                <w:sz w:val="1"/>
                <w:szCs w:val="1"/>
                <w:color w:val="auto"/>
              </w:rPr>
            </w:pPr>
          </w:p>
        </w:tc>
      </w:tr>
      <w:tr>
        <w:trPr>
          <w:trHeight w:val="383"/>
        </w:trPr>
        <w:tc>
          <w:tcPr>
            <w:tcW w:w="1460" w:type="dxa"/>
            <w:vAlign w:val="bottom"/>
          </w:tcPr>
          <w:p>
            <w:pPr>
              <w:spacing w:after="0"/>
              <w:rPr>
                <w:sz w:val="24"/>
                <w:szCs w:val="24"/>
                <w:color w:val="auto"/>
              </w:rPr>
            </w:pPr>
          </w:p>
        </w:tc>
        <w:tc>
          <w:tcPr>
            <w:tcW w:w="6480" w:type="dxa"/>
            <w:vAlign w:val="bottom"/>
            <w:gridSpan w:val="2"/>
          </w:tcPr>
          <w:p>
            <w:pPr>
              <w:ind w:left="220"/>
              <w:spacing w:after="0" w:line="253" w:lineRule="exact"/>
              <w:rPr>
                <w:sz w:val="20"/>
                <w:szCs w:val="20"/>
                <w:color w:val="auto"/>
              </w:rPr>
            </w:pPr>
            <w:r>
              <w:rPr>
                <w:rFonts w:ascii="Times New Roman" w:cs="Times New Roman" w:eastAsia="Times New Roman" w:hAnsi="Times New Roman"/>
                <w:sz w:val="22"/>
                <w:szCs w:val="22"/>
                <w:b w:val="1"/>
                <w:bCs w:val="1"/>
                <w:color w:val="auto"/>
              </w:rPr>
              <w:t xml:space="preserve">(See Instructions) </w:t>
            </w:r>
            <w:r>
              <w:rPr>
                <w:rFonts w:ascii="MS PGothic" w:cs="MS PGothic" w:eastAsia="MS PGothic" w:hAnsi="MS PGothic"/>
                <w:sz w:val="22"/>
                <w:szCs w:val="22"/>
                <w:color w:val="auto"/>
                <w:highlight w:val="black"/>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-567055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-1038860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-1458595</wp:posOffset>
            </wp:positionV>
            <wp:extent cx="60693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-1904365</wp:posOffset>
            </wp:positionV>
            <wp:extent cx="60693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-2564765</wp:posOffset>
            </wp:positionV>
            <wp:extent cx="60693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9330" cy="1714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11.</w:t>
            </w:r>
          </w:p>
        </w:tc>
        <w:tc>
          <w:tcPr>
            <w:tcW w:w="55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w w:val="97"/>
              </w:rPr>
              <w:t>Percent of Class Represented by Amount in Row (9)</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12.</w:t>
            </w:r>
          </w:p>
        </w:tc>
        <w:tc>
          <w:tcPr>
            <w:tcW w:w="55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Type of Reporting Person (See Instructions)</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3,354,708</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3,354,708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5.81%</w:t>
      </w: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HC</w:t>
      </w:r>
    </w:p>
    <w:p>
      <w:pPr>
        <w:spacing w:after="0" w:line="229" w:lineRule="exact"/>
        <w:rPr>
          <w:sz w:val="20"/>
          <w:szCs w:val="20"/>
          <w:color w:val="auto"/>
        </w:rPr>
      </w:pPr>
    </w:p>
    <w:p>
      <w:pPr>
        <w:sectPr>
          <w:pgSz w:w="11900" w:h="16838" w:orient="portrait"/>
          <w:cols w:equalWidth="0" w:num="2">
            <w:col w:w="9520" w:space="720"/>
            <w:col w:w="800"/>
          </w:cols>
          <w:pgMar w:left="340"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Page 3 of 8 Pages</w:t>
      </w:r>
    </w:p>
    <w:p>
      <w:pPr>
        <w:sectPr>
          <w:pgSz w:w="11900" w:h="16838" w:orient="portrait"/>
          <w:cols w:equalWidth="0" w:num="1">
            <w:col w:w="11040"/>
          </w:cols>
          <w:pgMar w:left="340" w:top="1440" w:right="519" w:bottom="1440" w:gutter="0" w:footer="0" w:header="0"/>
          <w:type w:val="continuous"/>
        </w:sectPr>
      </w:pPr>
    </w:p>
    <w:bookmarkStart w:id="3" w:name="page4"/>
    <w:bookmarkEnd w:id="3"/>
    <w:p>
      <w:pPr>
        <w:spacing w:after="0" w:line="10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22"/>
          <w:szCs w:val="22"/>
          <w:b w:val="1"/>
          <w:bCs w:val="1"/>
          <w:color w:val="auto"/>
        </w:rPr>
        <w:t>CUSIP No. 29082K105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3663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78" w:lineRule="exact"/>
        <w:rPr>
          <w:sz w:val="20"/>
          <w:szCs w:val="20"/>
          <w:color w:val="auto"/>
        </w:rPr>
      </w:pPr>
    </w:p>
    <w:p>
      <w:pPr>
        <w:ind w:left="640" w:right="7040" w:hanging="328"/>
        <w:spacing w:after="0" w:line="259" w:lineRule="auto"/>
        <w:tabs>
          <w:tab w:leader="none" w:pos="640" w:val="left"/>
        </w:tabs>
        <w:numPr>
          <w:ilvl w:val="0"/>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Names of Reporting Persons </w:t>
      </w:r>
      <w:r>
        <w:rPr>
          <w:rFonts w:ascii="Times New Roman" w:cs="Times New Roman" w:eastAsia="Times New Roman" w:hAnsi="Times New Roman"/>
          <w:sz w:val="21"/>
          <w:szCs w:val="21"/>
          <w:color w:val="auto"/>
        </w:rPr>
        <w:t>Stowers Institute for Medical Research</w:t>
      </w:r>
    </w:p>
    <w:p>
      <w:pPr>
        <w:spacing w:after="0" w:line="1" w:lineRule="exact"/>
        <w:rPr>
          <w:rFonts w:ascii="Times New Roman" w:cs="Times New Roman" w:eastAsia="Times New Roman" w:hAnsi="Times New Roman"/>
          <w:sz w:val="21"/>
          <w:szCs w:val="21"/>
          <w:b w:val="1"/>
          <w:bCs w:val="1"/>
          <w:color w:val="auto"/>
        </w:rPr>
      </w:pPr>
    </w:p>
    <w:p>
      <w:pPr>
        <w:ind w:left="640" w:hanging="328"/>
        <w:spacing w:after="0"/>
        <w:tabs>
          <w:tab w:leader="none" w:pos="6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the Appropriate Box if a Member of a Group (See Instructions)</w:t>
      </w:r>
    </w:p>
    <w:p>
      <w:pPr>
        <w:ind w:left="1280" w:hanging="320"/>
        <w:spacing w:after="0" w:line="216" w:lineRule="exact"/>
        <w:tabs>
          <w:tab w:leader="none" w:pos="1280" w:val="left"/>
        </w:tabs>
        <w:numPr>
          <w:ilvl w:val="1"/>
          <w:numId w:val="5"/>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ind w:left="1280" w:hanging="320"/>
        <w:spacing w:after="0" w:line="253" w:lineRule="exact"/>
        <w:tabs>
          <w:tab w:leader="none" w:pos="1280" w:val="left"/>
        </w:tabs>
        <w:numPr>
          <w:ilvl w:val="1"/>
          <w:numId w:val="5"/>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spacing w:after="0" w:line="186" w:lineRule="exact"/>
        <w:rPr>
          <w:rFonts w:ascii="Times New Roman" w:cs="Times New Roman" w:eastAsia="Times New Roman" w:hAnsi="Times New Roman"/>
          <w:sz w:val="22"/>
          <w:szCs w:val="22"/>
          <w:b w:val="1"/>
          <w:bCs w:val="1"/>
          <w:color w:val="auto"/>
        </w:rPr>
      </w:pPr>
    </w:p>
    <w:p>
      <w:pPr>
        <w:ind w:left="640" w:hanging="328"/>
        <w:spacing w:after="0"/>
        <w:tabs>
          <w:tab w:leader="none" w:pos="6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 Use Only</w:t>
      </w:r>
    </w:p>
    <w:p>
      <w:pPr>
        <w:spacing w:after="0" w:line="287" w:lineRule="exact"/>
        <w:rPr>
          <w:rFonts w:ascii="Times New Roman" w:cs="Times New Roman" w:eastAsia="Times New Roman" w:hAnsi="Times New Roman"/>
          <w:sz w:val="22"/>
          <w:szCs w:val="22"/>
          <w:b w:val="1"/>
          <w:bCs w:val="1"/>
          <w:color w:val="auto"/>
        </w:rPr>
      </w:pPr>
    </w:p>
    <w:p>
      <w:pPr>
        <w:ind w:left="640" w:right="7040" w:hanging="328"/>
        <w:spacing w:after="0" w:line="238" w:lineRule="auto"/>
        <w:tabs>
          <w:tab w:leader="none" w:pos="6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Citizenship or Place of Organization </w:t>
      </w:r>
      <w:r>
        <w:rPr>
          <w:rFonts w:ascii="Times New Roman" w:cs="Times New Roman" w:eastAsia="Times New Roman" w:hAnsi="Times New Roman"/>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-1266825</wp:posOffset>
            </wp:positionV>
            <wp:extent cx="53663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-692150</wp:posOffset>
            </wp:positionV>
            <wp:extent cx="53663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-358140</wp:posOffset>
            </wp:positionV>
            <wp:extent cx="53663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663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95885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3,235,919</w:t>
      </w:r>
    </w:p>
    <w:p>
      <w:pPr>
        <w:sectPr>
          <w:pgSz w:w="11900" w:h="16838" w:orient="portrait"/>
          <w:cols w:equalWidth="0" w:num="1">
            <w:col w:w="11040"/>
          </w:cols>
          <w:pgMar w:left="340" w:top="1440" w:right="519" w:bottom="1440" w:gutter="0" w:footer="0" w:header="0"/>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244"/>
        </w:trPr>
        <w:tc>
          <w:tcPr>
            <w:tcW w:w="1460" w:type="dxa"/>
            <w:vAlign w:val="bottom"/>
          </w:tcPr>
          <w:p>
            <w:pPr>
              <w:spacing w:after="0" w:line="244" w:lineRule="exact"/>
              <w:rPr>
                <w:sz w:val="20"/>
                <w:szCs w:val="20"/>
                <w:color w:val="auto"/>
              </w:rPr>
            </w:pPr>
            <w:r>
              <w:rPr>
                <w:rFonts w:ascii="Times New Roman" w:cs="Times New Roman" w:eastAsia="Times New Roman" w:hAnsi="Times New Roman"/>
                <w:sz w:val="22"/>
                <w:szCs w:val="22"/>
                <w:b w:val="1"/>
                <w:bCs w:val="1"/>
                <w:color w:val="auto"/>
              </w:rPr>
              <w:t>Number of</w:t>
            </w:r>
          </w:p>
        </w:tc>
        <w:tc>
          <w:tcPr>
            <w:tcW w:w="68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6.</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225"/>
        </w:trPr>
        <w:tc>
          <w:tcPr>
            <w:tcW w:w="1460" w:type="dxa"/>
            <w:vAlign w:val="bottom"/>
          </w:tcPr>
          <w:p>
            <w:pPr>
              <w:spacing w:after="0" w:line="225" w:lineRule="exact"/>
              <w:rPr>
                <w:sz w:val="20"/>
                <w:szCs w:val="20"/>
                <w:color w:val="auto"/>
              </w:rPr>
            </w:pPr>
            <w:r>
              <w:rPr>
                <w:rFonts w:ascii="Times New Roman" w:cs="Times New Roman" w:eastAsia="Times New Roman" w:hAnsi="Times New Roman"/>
                <w:sz w:val="22"/>
                <w:szCs w:val="22"/>
                <w:b w:val="1"/>
                <w:bCs w:val="1"/>
                <w:color w:val="auto"/>
              </w:rPr>
              <w:t>Beneficially</w:t>
            </w:r>
          </w:p>
        </w:tc>
        <w:tc>
          <w:tcPr>
            <w:tcW w:w="6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Owned by</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Each</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Reporting</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7.</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Person With:</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8.</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58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9.</w:t>
            </w:r>
          </w:p>
        </w:tc>
        <w:tc>
          <w:tcPr>
            <w:tcW w:w="6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6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2"/>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10.</w:t>
            </w:r>
          </w:p>
        </w:tc>
        <w:tc>
          <w:tcPr>
            <w:tcW w:w="648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Check if the Aggregate Amount in Row (9) Excludes Certain Shares</w:t>
            </w:r>
          </w:p>
        </w:tc>
        <w:tc>
          <w:tcPr>
            <w:tcW w:w="0" w:type="dxa"/>
            <w:vAlign w:val="bottom"/>
          </w:tcPr>
          <w:p>
            <w:pPr>
              <w:spacing w:after="0"/>
              <w:rPr>
                <w:sz w:val="1"/>
                <w:szCs w:val="1"/>
                <w:color w:val="auto"/>
              </w:rPr>
            </w:pPr>
          </w:p>
        </w:tc>
      </w:tr>
      <w:tr>
        <w:trPr>
          <w:trHeight w:val="383"/>
        </w:trPr>
        <w:tc>
          <w:tcPr>
            <w:tcW w:w="1460" w:type="dxa"/>
            <w:vAlign w:val="bottom"/>
          </w:tcPr>
          <w:p>
            <w:pPr>
              <w:spacing w:after="0"/>
              <w:rPr>
                <w:sz w:val="24"/>
                <w:szCs w:val="24"/>
                <w:color w:val="auto"/>
              </w:rPr>
            </w:pPr>
          </w:p>
        </w:tc>
        <w:tc>
          <w:tcPr>
            <w:tcW w:w="6480" w:type="dxa"/>
            <w:vAlign w:val="bottom"/>
            <w:gridSpan w:val="2"/>
          </w:tcPr>
          <w:p>
            <w:pPr>
              <w:ind w:left="220"/>
              <w:spacing w:after="0" w:line="253" w:lineRule="exact"/>
              <w:rPr>
                <w:sz w:val="20"/>
                <w:szCs w:val="20"/>
                <w:color w:val="auto"/>
              </w:rPr>
            </w:pPr>
            <w:r>
              <w:rPr>
                <w:rFonts w:ascii="Times New Roman" w:cs="Times New Roman" w:eastAsia="Times New Roman" w:hAnsi="Times New Roman"/>
                <w:sz w:val="22"/>
                <w:szCs w:val="22"/>
                <w:b w:val="1"/>
                <w:bCs w:val="1"/>
                <w:color w:val="auto"/>
              </w:rPr>
              <w:t xml:space="preserve">(See Instructions) </w:t>
            </w:r>
            <w:r>
              <w:rPr>
                <w:rFonts w:ascii="MS PGothic" w:cs="MS PGothic" w:eastAsia="MS PGothic" w:hAnsi="MS PGothic"/>
                <w:sz w:val="22"/>
                <w:szCs w:val="22"/>
                <w:color w:val="auto"/>
                <w:highlight w:val="black"/>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-567055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-1038860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-1458595</wp:posOffset>
            </wp:positionV>
            <wp:extent cx="60693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-1930400</wp:posOffset>
            </wp:positionV>
            <wp:extent cx="60693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-2590165</wp:posOffset>
            </wp:positionV>
            <wp:extent cx="60693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69330" cy="1714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11.</w:t>
            </w:r>
          </w:p>
        </w:tc>
        <w:tc>
          <w:tcPr>
            <w:tcW w:w="55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w w:val="97"/>
              </w:rPr>
              <w:t>Percent of Class Represented by Amount in Row (9)</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12.</w:t>
            </w:r>
          </w:p>
        </w:tc>
        <w:tc>
          <w:tcPr>
            <w:tcW w:w="55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Type of Reporting Person (See Instructions)</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3,354,708</w:t>
      </w: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3,354,708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5.81%</w:t>
      </w: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HC</w:t>
      </w:r>
    </w:p>
    <w:p>
      <w:pPr>
        <w:spacing w:after="0" w:line="229" w:lineRule="exact"/>
        <w:rPr>
          <w:sz w:val="20"/>
          <w:szCs w:val="20"/>
          <w:color w:val="auto"/>
        </w:rPr>
      </w:pPr>
    </w:p>
    <w:p>
      <w:pPr>
        <w:sectPr>
          <w:pgSz w:w="11900" w:h="16838" w:orient="portrait"/>
          <w:cols w:equalWidth="0" w:num="2">
            <w:col w:w="9520" w:space="720"/>
            <w:col w:w="800"/>
          </w:cols>
          <w:pgMar w:left="340"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Page 4 of 8 Pages</w:t>
      </w:r>
    </w:p>
    <w:p>
      <w:pPr>
        <w:sectPr>
          <w:pgSz w:w="11900" w:h="16838" w:orient="portrait"/>
          <w:cols w:equalWidth="0" w:num="1">
            <w:col w:w="11040"/>
          </w:cols>
          <w:pgMar w:left="340" w:top="1440" w:right="519" w:bottom="1440" w:gutter="0" w:footer="0" w:header="0"/>
          <w:type w:val="continuous"/>
        </w:sectPr>
      </w:pPr>
    </w:p>
    <w:bookmarkStart w:id="4" w:name="page5"/>
    <w:bookmarkEnd w:id="4"/>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98" w:lineRule="exact"/>
        <w:rPr>
          <w:sz w:val="20"/>
          <w:szCs w:val="20"/>
          <w:color w:val="auto"/>
        </w:rPr>
      </w:pPr>
    </w:p>
    <w:p>
      <w:pPr>
        <w:ind w:left="660" w:right="8099" w:hanging="328"/>
        <w:spacing w:after="0" w:line="456" w:lineRule="auto"/>
        <w:tabs>
          <w:tab w:leader="none" w:pos="651" w:val="left"/>
        </w:tabs>
        <w:numPr>
          <w:ilvl w:val="0"/>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Embecta Corp.</w:t>
      </w:r>
    </w:p>
    <w:p>
      <w:pPr>
        <w:ind w:left="640" w:hanging="308"/>
        <w:spacing w:after="0"/>
        <w:tabs>
          <w:tab w:leader="none" w:pos="64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300 Kimball Drive, Suite 300</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Parsippany, New Jersey 07054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93"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15"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American Century Investment Management, Inc.</w:t>
      </w:r>
    </w:p>
    <w:p>
      <w:pPr>
        <w:spacing w:after="0" w:line="12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American Century Companies, Inc.</w:t>
      </w:r>
    </w:p>
    <w:p>
      <w:pPr>
        <w:spacing w:after="0" w:line="12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Stowers Institute for Medical Research</w:t>
      </w:r>
    </w:p>
    <w:p>
      <w:pPr>
        <w:spacing w:after="0" w:line="364" w:lineRule="exact"/>
        <w:rPr>
          <w:sz w:val="20"/>
          <w:szCs w:val="20"/>
          <w:color w:val="auto"/>
        </w:rPr>
      </w:pPr>
    </w:p>
    <w:p>
      <w:pPr>
        <w:ind w:left="660" w:right="4079" w:hanging="328"/>
        <w:spacing w:after="0" w:line="250" w:lineRule="auto"/>
        <w:tabs>
          <w:tab w:leader="none" w:pos="651"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4500 Main Street</w:t>
      </w:r>
    </w:p>
    <w:p>
      <w:pPr>
        <w:ind w:left="660"/>
        <w:spacing w:after="0" w:line="23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Kansas City, Missouri 64111</w:t>
      </w:r>
    </w:p>
    <w:p>
      <w:pPr>
        <w:spacing w:after="0" w:line="340"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15"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w:t>
      </w:r>
    </w:p>
    <w:p>
      <w:pPr>
        <w:spacing w:after="0" w:line="12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w:t>
      </w:r>
    </w:p>
    <w:p>
      <w:pPr>
        <w:spacing w:after="0" w:line="12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w:t>
      </w:r>
    </w:p>
    <w:p>
      <w:pPr>
        <w:spacing w:after="0" w:line="364"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Title of Class of Securities</w:t>
      </w:r>
    </w:p>
    <w:p>
      <w:pPr>
        <w:spacing w:after="0" w:line="12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Reference is made to the cover page of this filing.</w:t>
      </w:r>
    </w:p>
    <w:p>
      <w:pPr>
        <w:spacing w:after="0" w:line="364" w:lineRule="exact"/>
        <w:rPr>
          <w:rFonts w:ascii="Times New Roman" w:cs="Times New Roman" w:eastAsia="Times New Roman" w:hAnsi="Times New Roman"/>
          <w:sz w:val="22"/>
          <w:szCs w:val="22"/>
          <w:b w:val="1"/>
          <w:bCs w:val="1"/>
          <w:color w:val="auto"/>
        </w:rPr>
      </w:pPr>
    </w:p>
    <w:p>
      <w:pPr>
        <w:ind w:left="640" w:hanging="308"/>
        <w:spacing w:after="0"/>
        <w:tabs>
          <w:tab w:leader="none" w:pos="64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CUSIP Number.</w:t>
      </w:r>
    </w:p>
    <w:p>
      <w:pPr>
        <w:spacing w:after="0" w:line="115"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Reference is made to the cover page of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3799"/>
        <w:spacing w:after="0"/>
        <w:rPr>
          <w:sz w:val="20"/>
          <w:szCs w:val="20"/>
          <w:color w:val="auto"/>
        </w:rPr>
      </w:pPr>
      <w:r>
        <w:rPr>
          <w:rFonts w:ascii="Times New Roman" w:cs="Times New Roman" w:eastAsia="Times New Roman" w:hAnsi="Times New Roman"/>
          <w:sz w:val="20"/>
          <w:szCs w:val="20"/>
          <w:b w:val="1"/>
          <w:bCs w:val="1"/>
          <w:color w:val="auto"/>
        </w:rPr>
        <w:t>Page 5 of 8 Pages</w:t>
      </w:r>
    </w:p>
    <w:p>
      <w:pPr>
        <w:sectPr>
          <w:pgSz w:w="11900" w:h="16838" w:orient="portrait"/>
          <w:cols w:equalWidth="0" w:num="1">
            <w:col w:w="10139"/>
          </w:cols>
          <w:pgMar w:left="320" w:top="1440" w:right="1440" w:bottom="1440" w:gutter="0" w:footer="0" w:header="0"/>
        </w:sectPr>
      </w:pPr>
    </w:p>
    <w:bookmarkStart w:id="5" w:name="page6"/>
    <w:bookmarkEnd w:id="5"/>
    <w:p>
      <w:pPr>
        <w:spacing w:after="0" w:line="10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§§240.13d-1(b) or 240.13d-2(b) or (c), check whether the person filing is a:</w:t>
      </w:r>
    </w:p>
    <w:p>
      <w:pPr>
        <w:spacing w:after="0" w:line="101"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American Century Investment Management, Inc. is an investment adviser in accordance with §240.13d-1(b)(1)(ii)</w:t>
      </w:r>
    </w:p>
    <w:p>
      <w:pPr>
        <w:ind w:left="1300"/>
        <w:spacing w:after="0" w:line="204"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(E).</w:t>
      </w:r>
    </w:p>
    <w:p>
      <w:pPr>
        <w:ind w:left="1300" w:right="160" w:hanging="320"/>
        <w:spacing w:after="0" w:line="204" w:lineRule="auto"/>
        <w:tabs>
          <w:tab w:leader="none" w:pos="1291"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American Century Companies, Inc. is a parent holding company or control person in accordance with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240.13d-1(b)(1)(ii)(G).</w:t>
      </w:r>
    </w:p>
    <w:p>
      <w:pPr>
        <w:spacing w:after="0" w:line="1" w:lineRule="exact"/>
        <w:rPr>
          <w:rFonts w:ascii="Times New Roman" w:cs="Times New Roman" w:eastAsia="Times New Roman" w:hAnsi="Times New Roman"/>
          <w:sz w:val="22"/>
          <w:szCs w:val="22"/>
          <w:b w:val="1"/>
          <w:bCs w:val="1"/>
          <w:color w:val="auto"/>
        </w:rPr>
      </w:pPr>
    </w:p>
    <w:p>
      <w:pPr>
        <w:ind w:left="1300" w:right="800" w:hanging="320"/>
        <w:spacing w:after="0" w:line="225" w:lineRule="auto"/>
        <w:tabs>
          <w:tab w:leader="none" w:pos="1291"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Stowers Institute for Medical Research is a parent holding company or control person in accordance with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240.13d-1(b)(1)(ii)(G).</w:t>
      </w:r>
    </w:p>
    <w:p>
      <w:pPr>
        <w:spacing w:after="0" w:line="200" w:lineRule="exact"/>
        <w:rPr>
          <w:sz w:val="20"/>
          <w:szCs w:val="20"/>
          <w:color w:val="auto"/>
        </w:rPr>
      </w:pPr>
    </w:p>
    <w:p>
      <w:pPr>
        <w:spacing w:after="0" w:line="2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Reference is made to Items 5-9 and 11 on the cover page of this filing.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Ownership of Five Percent or Less of a Class.</w:t>
      </w:r>
    </w:p>
    <w:p>
      <w:pPr>
        <w:spacing w:after="0" w:line="116" w:lineRule="exact"/>
        <w:rPr>
          <w:sz w:val="20"/>
          <w:szCs w:val="20"/>
          <w:color w:val="auto"/>
        </w:rPr>
      </w:pPr>
    </w:p>
    <w:p>
      <w:pPr>
        <w:ind w:left="980" w:right="400"/>
        <w:spacing w:after="0" w:line="236"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Ownership of More than Five Percent on Behalf of Another Person.</w:t>
      </w:r>
    </w:p>
    <w:p>
      <w:pPr>
        <w:spacing w:after="0" w:line="116" w:lineRule="exact"/>
        <w:rPr>
          <w:sz w:val="20"/>
          <w:szCs w:val="20"/>
          <w:color w:val="auto"/>
        </w:rPr>
      </w:pPr>
    </w:p>
    <w:p>
      <w:pPr>
        <w:ind w:left="980"/>
        <w:spacing w:after="0" w:line="217" w:lineRule="auto"/>
        <w:rPr>
          <w:sz w:val="20"/>
          <w:szCs w:val="20"/>
          <w:color w:val="auto"/>
        </w:rPr>
      </w:pPr>
      <w:r>
        <w:rPr>
          <w:rFonts w:ascii="Times New Roman" w:cs="Times New Roman" w:eastAsia="Times New Roman" w:hAnsi="Times New Roman"/>
          <w:sz w:val="22"/>
          <w:szCs w:val="22"/>
          <w:color w:val="auto"/>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p>
      <w:pPr>
        <w:spacing w:after="0" w:line="81" w:lineRule="exact"/>
        <w:rPr>
          <w:sz w:val="20"/>
          <w:szCs w:val="20"/>
          <w:color w:val="auto"/>
        </w:rPr>
      </w:pPr>
    </w:p>
    <w:p>
      <w:pPr>
        <w:ind w:left="980" w:right="40" w:hanging="971"/>
        <w:spacing w:after="0" w:line="238" w:lineRule="auto"/>
        <w:rPr>
          <w:sz w:val="20"/>
          <w:szCs w:val="20"/>
          <w:color w:val="auto"/>
        </w:rPr>
      </w:pPr>
      <w:r>
        <w:rPr>
          <w:rFonts w:ascii="Times New Roman" w:cs="Times New Roman" w:eastAsia="Times New Roman" w:hAnsi="Times New Roman"/>
          <w:sz w:val="22"/>
          <w:szCs w:val="22"/>
          <w:b w:val="1"/>
          <w:bCs w:val="1"/>
          <w:color w:val="auto"/>
        </w:rPr>
        <w:t>Item 7. Identification and Classification of the Subsidiary Which Acquired the Security Being Reported on By the Parent Holding Company or Control Person.</w:t>
      </w:r>
    </w:p>
    <w:p>
      <w:pPr>
        <w:spacing w:after="0" w:line="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See attached Exhibit 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 Identification and Classification of Members of the Group.</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 Notice of Dissolution of Group</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Page 6 of 8 Pages</w:t>
      </w:r>
    </w:p>
    <w:p>
      <w:pPr>
        <w:sectPr>
          <w:pgSz w:w="11900" w:h="16838" w:orient="portrait"/>
          <w:cols w:equalWidth="0" w:num="1">
            <w:col w:w="11180"/>
          </w:cols>
          <w:pgMar w:left="320" w:top="1440" w:right="399" w:bottom="1440" w:gutter="0" w:footer="0" w:header="0"/>
        </w:sectPr>
      </w:pPr>
    </w:p>
    <w:bookmarkStart w:id="6" w:name="page7"/>
    <w:bookmarkEnd w:id="6"/>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10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3" w:lineRule="exact"/>
        <w:rPr>
          <w:sz w:val="20"/>
          <w:szCs w:val="20"/>
          <w:color w:val="auto"/>
        </w:rPr>
      </w:pPr>
    </w:p>
    <w:p>
      <w:pPr>
        <w:ind w:right="700" w:firstLine="648"/>
        <w:spacing w:after="0" w:line="230"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this 8th day of November, 2024.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CENTURY INVESTMENT MANAGEMENT, INC. (“ACIM”)</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CENTURY COMPANIES, INC. (“ACC”)</w:t>
      </w:r>
    </w:p>
    <w:p>
      <w:pPr>
        <w:spacing w:after="0" w:line="31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By:</w:t>
      </w:r>
      <w:r>
        <w:rPr>
          <w:sz w:val="20"/>
          <w:szCs w:val="20"/>
          <w:color w:val="auto"/>
        </w:rPr>
        <w:tab/>
      </w: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/s/ John Pak</w:t>
      </w:r>
      <w:r>
        <w:rPr>
          <w:rFonts w:ascii="Times New Roman" w:cs="Times New Roman" w:eastAsia="Times New Roman" w:hAnsi="Times New Roman"/>
          <w:sz w:val="22"/>
          <w:szCs w:val="22"/>
          <w:color w:val="auto"/>
        </w:rPr>
        <w:t>______________</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John Pak</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Senior Vice President, ACIM and ACC</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STOWERS INSTITUTE FOR MEDICAL RESEARCH, solely in its capacity as control entity of ACC</w:t>
      </w:r>
    </w:p>
    <w:p>
      <w:pPr>
        <w:spacing w:after="0" w:line="31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By:</w:t>
      </w:r>
      <w:r>
        <w:rPr>
          <w:sz w:val="20"/>
          <w:szCs w:val="20"/>
          <w:color w:val="auto"/>
        </w:rPr>
        <w:tab/>
      </w: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Richard W. Brown</w:t>
      </w:r>
      <w:r>
        <w:rPr>
          <w:rFonts w:ascii="Times New Roman" w:cs="Times New Roman" w:eastAsia="Times New Roman" w:hAnsi="Times New Roman"/>
          <w:sz w:val="21"/>
          <w:szCs w:val="21"/>
          <w:color w:val="auto"/>
        </w:rPr>
        <w:t>_______</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Richard W. Brown</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Chairman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13G – To be included in statements filed pursuant to Rule 13d-1(b) or 13d-2(b).</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ind w:firstLine="648"/>
        <w:spacing w:after="0" w:line="219" w:lineRule="auto"/>
        <w:rPr>
          <w:sz w:val="20"/>
          <w:szCs w:val="20"/>
          <w:color w:val="auto"/>
        </w:rPr>
      </w:pPr>
      <w:r>
        <w:rPr>
          <w:rFonts w:ascii="Times New Roman" w:cs="Times New Roman" w:eastAsia="Times New Roman" w:hAnsi="Times New Roman"/>
          <w:sz w:val="22"/>
          <w:szCs w:val="22"/>
          <w:color w:val="auto"/>
        </w:rPr>
        <w:t>This Exhibit has been prepared to identify each subsidiary of American Century Companies, Inc. (“ACC”), which is controlled by the Stowers Institute for Medical Research, that is a beneficial owner of securities that are the subject of this schedule (the “Subject Securities”). American Century Investment Management, Inc. (“ACIM”) is a wholly-owned subsidiary of ACC and an investment adviser registered under §203 of the Investment Advisers Act of 1940.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13G – To be included in statements filed pursuant to Rule 13d-1(b) or 13d-2(b) and Rule 13d-1(f) (1)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Page 7 of 8 Pages</w:t>
      </w:r>
    </w:p>
    <w:p>
      <w:pPr>
        <w:sectPr>
          <w:pgSz w:w="11900" w:h="16838" w:orient="portrait"/>
          <w:cols w:equalWidth="0" w:num="1">
            <w:col w:w="11180"/>
          </w:cols>
          <w:pgMar w:left="320" w:top="1440" w:right="399" w:bottom="1440" w:gutter="0" w:footer="0" w:header="0"/>
        </w:sectPr>
      </w:pPr>
    </w:p>
    <w:bookmarkStart w:id="7" w:name="page8"/>
    <w:bookmarkEnd w:id="7"/>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33" w:lineRule="exact"/>
        <w:rPr>
          <w:sz w:val="20"/>
          <w:szCs w:val="20"/>
          <w:color w:val="auto"/>
        </w:rPr>
      </w:pPr>
    </w:p>
    <w:p>
      <w:pPr>
        <w:ind w:firstLine="648"/>
        <w:spacing w:after="0" w:line="221" w:lineRule="auto"/>
        <w:rPr>
          <w:sz w:val="20"/>
          <w:szCs w:val="20"/>
          <w:color w:val="auto"/>
        </w:rPr>
      </w:pPr>
      <w:r>
        <w:rPr>
          <w:rFonts w:ascii="Times New Roman" w:cs="Times New Roman" w:eastAsia="Times New Roman" w:hAnsi="Times New Roman"/>
          <w:sz w:val="22"/>
          <w:szCs w:val="22"/>
          <w:color w:val="auto"/>
        </w:rPr>
        <w:t>Each of the undersigned hereby agrees and consents to the execution and joint filing on its behalf by American Century Investment Management, Inc. of this Schedule 13G respecting the beneficial ownership of the securities which are the subject of this schedule.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this 8th day of November, 2024.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CENTURY INVESTMENT MANAGEMENT, INC. (“ACIM”)</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CENTURY COMPANIES, INC. (“ACC”)</w:t>
      </w:r>
    </w:p>
    <w:p>
      <w:pPr>
        <w:spacing w:after="0" w:line="31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By:</w:t>
      </w:r>
      <w:r>
        <w:rPr>
          <w:sz w:val="20"/>
          <w:szCs w:val="20"/>
          <w:color w:val="auto"/>
        </w:rPr>
        <w:tab/>
      </w: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/s/ John Pak</w:t>
      </w:r>
      <w:r>
        <w:rPr>
          <w:rFonts w:ascii="Times New Roman" w:cs="Times New Roman" w:eastAsia="Times New Roman" w:hAnsi="Times New Roman"/>
          <w:sz w:val="22"/>
          <w:szCs w:val="22"/>
          <w:color w:val="auto"/>
        </w:rPr>
        <w:t>______________</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John Pak</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Senior Vice President, ACIM and ACC</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STOWERS INSTITUTE FOR MEDICAL RESEARCH, solely in its capacity as control entity of ACC</w:t>
      </w:r>
    </w:p>
    <w:p>
      <w:pPr>
        <w:spacing w:after="0" w:line="31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By:</w:t>
      </w:r>
      <w:r>
        <w:rPr>
          <w:sz w:val="20"/>
          <w:szCs w:val="20"/>
          <w:color w:val="auto"/>
        </w:rPr>
        <w:tab/>
      </w: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Richard W. Brown</w:t>
      </w:r>
      <w:r>
        <w:rPr>
          <w:rFonts w:ascii="Times New Roman" w:cs="Times New Roman" w:eastAsia="Times New Roman" w:hAnsi="Times New Roman"/>
          <w:sz w:val="21"/>
          <w:szCs w:val="21"/>
          <w:color w:val="auto"/>
        </w:rPr>
        <w:t>________</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Richard W. Brown</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Page 8 of 8 Pages</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11"/>
    </w:lvl>
  </w:abstractNum>
  <w:abstractNum w:abstractNumId="3">
    <w:nsid w:val="41B71EFB"/>
    <w:multiLevelType w:val="hybridMultilevel"/>
    <w:lvl w:ilvl="0">
      <w:lvlJc w:val="left"/>
      <w:lvlText w:val="%1."/>
      <w:numFmt w:val="decimal"/>
      <w:start w:val="1"/>
    </w:lvl>
    <w:lvl w:ilvl="1">
      <w:lvlJc w:val="left"/>
      <w:lvlText w:val="%2)"/>
      <w:numFmt w:val="lowerLetter"/>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lvl w:ilvl="1">
      <w:lvlJc w:val="left"/>
      <w:lvlText w:val="%2)"/>
      <w:numFmt w:val="decimal"/>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2024-11-08T10:03:38Z</dcterms:created>
  <dcterms:modified xsi:type="dcterms:W3CDTF">2024-11-08T10:03:38Z</dcterms:modified>
</cp:coreProperties>
</file>