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ss3739869_8k.htm"/>
      <w:bookmarkStart w:id="1" w:name="ksss3739869_8k"/>
      <w:bookmarkEnd w:id="0"/>
      <w:bookmarkEnd w:id="1"/>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40812__20"/>
      <w:bookmarkEnd w:id="2"/>
      <w:r>
        <w:rPr>
          <w:rFonts w:ascii="Times New Roman;Times;Serif" w:hAnsi="Times New Roman;Times;Serif"/>
          <w:b/>
          <w:i w:val="false"/>
          <w:caps w:val="false"/>
          <w:smallCaps w:val="false"/>
          <w:sz w:val="36"/>
        </w:rPr>
        <w:t>8-K</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4"/>
        </w:rPr>
        <w:t>August 12, 2024</w:t>
      </w:r>
    </w:p>
    <w:p>
      <w:pPr>
        <w:pStyle w:val="TextBody"/>
        <w:bidi w:val="0"/>
        <w:jc w:val="center"/>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48"/>
        </w:rPr>
      </w:pPr>
      <w:bookmarkStart w:id="4" w:name="xdx_903_edei--EntityRegistrantName_c2024"/>
      <w:bookmarkEnd w:id="4"/>
      <w:r>
        <w:rPr>
          <w:rFonts w:ascii="Times New Roman;Times;Serif" w:hAnsi="Times New Roman;Times;Serif"/>
          <w:b/>
          <w:i w:val="false"/>
          <w:caps w:val="false"/>
          <w:smallCaps w:val="false"/>
          <w:sz w:val="48"/>
        </w:rPr>
        <w:t>EMBECTA CORP.</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p>
      <w:pPr>
        <w:pStyle w:val="TextBody"/>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(State or Other Jurisdiction</w:t>
      </w:r>
    </w:p>
    <w:p>
      <w:pPr>
        <w:pStyle w:val="TextBody"/>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of Incorporation)</w:t>
      </w:r>
    </w:p>
    <w:p>
      <w:pPr>
        <w:pStyle w:val="TextBody"/>
        <w:bidi w:val="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995"/>
        <w:gridCol w:w="60"/>
        <w:gridCol w:w="1370"/>
      </w:tblGrid>
      <w:tr>
        <w:trPr/>
        <w:tc>
          <w:tcPr>
            <w:tcW w:w="9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40812"/>
            <w:bookmarkEnd w:id="6"/>
            <w:r>
              <w:rPr>
                <w:rFonts w:ascii="Times New Roman;Times;Serif" w:hAnsi="Times New Roman;Times;Serif"/>
                <w:b/>
                <w:i w:val="false"/>
                <w:caps w:val="false"/>
                <w:smallCaps w:val="false"/>
                <w:sz w:val="20"/>
              </w:rPr>
              <w:t>001-41186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87-1583942</w:t>
            </w:r>
          </w:p>
        </w:tc>
      </w:tr>
      <w:tr>
        <w:trPr/>
        <w:tc>
          <w:tcPr>
            <w:tcW w:w="995" w:type="dxa"/>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(Commission</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(IRS Employer</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Identification No.)</w:t>
            </w:r>
          </w:p>
        </w:tc>
      </w:tr>
    </w:tbl>
    <w:p>
      <w:pPr>
        <w:pStyle w:val="TextBody"/>
        <w:bidi w:val="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4610"/>
        <w:gridCol w:w="60"/>
        <w:gridCol w:w="815"/>
      </w:tblGrid>
      <w:tr>
        <w:trPr/>
        <w:tc>
          <w:tcPr>
            <w:tcW w:w="46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300 Kimball Drive, </w:t>
            </w:r>
            <w:bookmarkStart w:id="9" w:name="xdx_907_edei--EntityAddressAddressLine2_"/>
            <w:bookmarkEnd w:id="9"/>
            <w:r>
              <w:rPr>
                <w:rFonts w:ascii="Times New Roman;Times;Serif" w:hAnsi="Times New Roman;Times;Serif"/>
                <w:b/>
                <w:i w:val="false"/>
                <w:caps w:val="false"/>
                <w:smallCaps w:val="false"/>
                <w:sz w:val="20"/>
              </w:rPr>
              <w:t xml:space="preserve">Suite 300, </w:t>
            </w:r>
            <w:bookmarkStart w:id="10" w:name="xdx_90B_edei--EntityAddressCityOrTown_c2"/>
            <w:bookmarkEnd w:id="10"/>
            <w:r>
              <w:rPr>
                <w:rFonts w:ascii="Times New Roman;Times;Serif" w:hAnsi="Times New Roman;Times;Serif"/>
                <w:b/>
                <w:i w:val="false"/>
                <w:caps w:val="false"/>
                <w:smallCaps w:val="false"/>
                <w:sz w:val="20"/>
              </w:rPr>
              <w:t xml:space="preserve">Parsippany, </w:t>
            </w:r>
            <w:bookmarkStart w:id="11" w:name="xdx_90C_edei--EntityAddressStateOrProvin"/>
            <w:bookmarkEnd w:id="11"/>
            <w:r>
              <w:rPr>
                <w:rFonts w:ascii="Times New Roman;Times;Serif" w:hAnsi="Times New Roman;Times;Serif"/>
                <w:b/>
                <w:i w:val="false"/>
                <w:caps w:val="false"/>
                <w:smallCaps w:val="false"/>
                <w:sz w:val="20"/>
              </w:rPr>
              <w:t>New Jersey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5_edei--EntityAddressPostalZipCode"/>
            <w:bookmarkEnd w:id="12"/>
            <w:r>
              <w:rPr>
                <w:rFonts w:ascii="Times New Roman;Times;Serif" w:hAnsi="Times New Roman;Times;Serif"/>
                <w:b/>
                <w:i w:val="false"/>
                <w:caps w:val="false"/>
                <w:smallCaps w:val="false"/>
                <w:sz w:val="20"/>
              </w:rPr>
              <w:t>07054</w:t>
            </w:r>
          </w:p>
        </w:tc>
      </w:tr>
      <w:tr>
        <w:trPr/>
        <w:tc>
          <w:tcPr>
            <w:tcW w:w="4610"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(Zip Code)</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E_edei--CityAreaCode_c20240812__20"/>
      <w:bookmarkEnd w:id="13"/>
      <w:r>
        <w:rPr>
          <w:rFonts w:ascii="Times New Roman;Times;Serif" w:hAnsi="Times New Roman;Times;Serif"/>
          <w:b/>
          <w:i w:val="false"/>
          <w:caps w:val="false"/>
          <w:smallCaps w:val="false"/>
          <w:sz w:val="20"/>
        </w:rPr>
        <w:t xml:space="preserve">(862) </w:t>
      </w:r>
      <w:bookmarkStart w:id="14" w:name="xdx_90D_edei--LocalPhoneNumber_c20240812"/>
      <w:bookmarkEnd w:id="14"/>
      <w:r>
        <w:rPr>
          <w:rFonts w:ascii="Times New Roman;Times;Serif" w:hAnsi="Times New Roman;Times;Serif"/>
          <w:b/>
          <w:i w:val="false"/>
          <w:caps w:val="false"/>
          <w:smallCaps w:val="false"/>
          <w:sz w:val="20"/>
        </w:rPr>
        <w:t>401-0000</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5" w:name="xdx_901_edei--WrittenCommunications_c202"/>
            <w:bookmarkEnd w:id="15"/>
            <w:r>
              <w:rPr>
                <w:caps w:val="false"/>
                <w:smallCaps w:val="false"/>
              </w:rPr>
              <w:t>☐</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6" w:name="xdx_90C_edei--SolicitingMaterial_c202408"/>
            <w:bookmarkEnd w:id="16"/>
            <w:r>
              <w:rPr>
                <w:caps w:val="false"/>
                <w:smallCaps w:val="false"/>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C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8" w:name="xdx_901_edei--PreCommencementIssuerTende"/>
            <w:bookmarkEnd w:id="18"/>
            <w:r>
              <w:rPr>
                <w:caps w:val="false"/>
                <w:smallCaps w:val="false"/>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tbl>
      <w:tblPr>
        <w:tblW w:w="9720" w:type="dxa"/>
        <w:jc w:val="left"/>
        <w:tblInd w:w="0" w:type="dxa"/>
        <w:tblLayout w:type="fixed"/>
        <w:tblCellMar>
          <w:top w:w="0" w:type="dxa"/>
          <w:left w:w="0" w:type="dxa"/>
          <w:bottom w:w="0" w:type="dxa"/>
          <w:right w:w="0" w:type="dxa"/>
        </w:tblCellMar>
      </w:tblPr>
      <w:tblGrid>
        <w:gridCol w:w="3575"/>
        <w:gridCol w:w="60"/>
        <w:gridCol w:w="710"/>
        <w:gridCol w:w="60"/>
        <w:gridCol w:w="5315"/>
      </w:tblGrid>
      <w:tr>
        <w:trPr/>
        <w:tc>
          <w:tcPr>
            <w:tcW w:w="357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Title of each class</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Trading</w:t>
            </w:r>
          </w:p>
          <w:p>
            <w:pPr>
              <w:pStyle w:val="TableContents"/>
              <w:bidi w:val="0"/>
              <w:spacing w:before="0" w:after="2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symbol(s)</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Name of each exchange</w:t>
            </w:r>
          </w:p>
          <w:p>
            <w:pPr>
              <w:pStyle w:val="TableContents"/>
              <w:bidi w:val="0"/>
              <w:spacing w:before="0" w:after="2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on which registered</w:t>
            </w:r>
          </w:p>
        </w:tc>
      </w:tr>
      <w:tr>
        <w:trPr/>
        <w:tc>
          <w:tcPr>
            <w:tcW w:w="3575"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0_edei--Security12bTitle_c20240812"/>
            <w:bookmarkEnd w:id="19"/>
            <w:r>
              <w:rPr>
                <w:rFonts w:ascii="Times New Roman;Times;Serif" w:hAnsi="Times New Roman;Times;Serif"/>
                <w:b/>
                <w:i w:val="false"/>
                <w:caps w:val="false"/>
                <w:smallCaps w:val="false"/>
                <w:sz w:val="20"/>
              </w:rPr>
              <w:t>Common Stock, par value $0.01 per share</w:t>
            </w:r>
          </w:p>
        </w:tc>
        <w:tc>
          <w:tcPr>
            <w:tcW w:w="60" w:type="dxa"/>
            <w:tcBorders/>
            <w:vAlign w:val="center"/>
          </w:tcPr>
          <w:p>
            <w:pPr>
              <w:pStyle w:val="TableContents"/>
              <w:bidi w:val="0"/>
              <w:spacing w:before="0" w:after="283"/>
              <w:jc w:val="left"/>
              <w:rPr/>
            </w:pPr>
            <w:r>
              <w:rPr/>
              <w:t> </w:t>
            </w:r>
          </w:p>
        </w:tc>
        <w:tc>
          <w:tcPr>
            <w:tcW w:w="71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D_edei--TradingSymbol_c20240812__2"/>
            <w:bookmarkEnd w:id="20"/>
            <w:r>
              <w:rPr>
                <w:rFonts w:ascii="Times New Roman;Times;Serif" w:hAnsi="Times New Roman;Times;Serif"/>
                <w:b/>
                <w:i w:val="false"/>
                <w:caps w:val="false"/>
                <w:smallCaps w:val="false"/>
                <w:sz w:val="20"/>
              </w:rPr>
              <w:t>EMBC</w:t>
            </w:r>
          </w:p>
        </w:tc>
        <w:tc>
          <w:tcPr>
            <w:tcW w:w="60" w:type="dxa"/>
            <w:tcBorders/>
            <w:vAlign w:val="center"/>
          </w:tcPr>
          <w:p>
            <w:pPr>
              <w:pStyle w:val="TableContents"/>
              <w:bidi w:val="0"/>
              <w:spacing w:before="0" w:after="283"/>
              <w:jc w:val="left"/>
              <w:rPr/>
            </w:pPr>
            <w:r>
              <w:rPr/>
              <w:t> </w:t>
            </w:r>
          </w:p>
        </w:tc>
        <w:tc>
          <w:tcPr>
            <w:tcW w:w="5315"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1" w:name="xdx_909_edei--SecurityExchangeName_c2024"/>
            <w:bookmarkEnd w:id="21"/>
            <w:r>
              <w:rPr>
                <w:rFonts w:ascii="Times New Roman;Times;Serif" w:hAnsi="Times New Roman;Times;Serif"/>
                <w:b/>
                <w:i w:val="false"/>
                <w:caps w:val="false"/>
                <w:smallCaps w:val="false"/>
                <w:sz w:val="20"/>
              </w:rPr>
              <w:t>The Nasdaq Stock Market LLC (Nasdaq Global Select Market)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4_edei--EntityEmergingGrowthCompan"/>
      <w:bookmarkEnd w:id="22"/>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Item 5.02 Departure of Directors or Certain Officers; Election of Directors; Appointment of Certain Officers; Compensatory Arrangements of Certain Officers.</w:t>
      </w:r>
      <w:r>
        <w:rPr>
          <w:rFonts w:ascii="Times New Roman;Times;Serif" w:hAnsi="Times New Roman;Times;Serif"/>
          <w:b w:val="false"/>
          <w:i w:val="false"/>
          <w:caps w:val="false"/>
          <w:smallCaps w:val="false"/>
          <w:sz w:val="20"/>
          <w:shd w:fill="FFFFFF" w:val="clea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August 7, 2024, Brian Capone notified </w:t>
      </w:r>
      <w:r>
        <w:rPr>
          <w:rFonts w:ascii="Times New Roman;Times;Serif" w:hAnsi="Times New Roman;Times;Serif"/>
          <w:b w:val="false"/>
          <w:i w:val="false"/>
          <w:caps w:val="false"/>
          <w:smallCaps w:val="false"/>
          <w:sz w:val="20"/>
        </w:rPr>
        <w:t xml:space="preserve">Embecta Corp. </w:t>
      </w:r>
      <w:r>
        <w:rPr>
          <w:rFonts w:ascii="Times New Roman;Times;Serif" w:hAnsi="Times New Roman;Times;Serif"/>
          <w:b w:val="false"/>
          <w:i w:val="false"/>
          <w:caps w:val="false"/>
          <w:smallCaps w:val="false"/>
          <w:sz w:val="20"/>
          <w:shd w:fill="FFFFFF" w:val="clear"/>
        </w:rPr>
        <w:t xml:space="preserve">(the “Company”) of his resignation as Chief Accounting Officer of the Company (“CAO”) and principal accounting officer of the Company (“PAO”), to be effective as of August 12, 2024, in order to pursue another opportunity. Mr. Capone’s departure is not due to any disagreement with the Company on any matter relating to the Company’s financial statements, internal control over financial reporting, operations, policies or practices.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Effective as of August 12, 2024, and until such time as a replacement is named, Jake Elguicze, the Chief Financial Officer of the Company (“CFO”) and principal financial officer of the Company (“PFO”), is expected to assume the role of PAO on an interim basis. Mr. Elguicze will continue to serve as CFO and PFO, positions which he has held since April 2022. Biographical and other information regarding Mr. Elguicze is set forth in the Company’s proxy statement, filed with the Securities and Exchange Commission on December 19, 2023, under the section “Management,” and such information is incorporated by reference herein.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There is no arrangement or understanding between Mr. Elguicze and any other person pursuant to which Mr. Elguicze was selected as interim PAO, and there are no family relationships between Mr. Elguicze and any of the Company’s directors or executive officers. There have been no transactions involving Mr. Elguicze that would be required to be disclosed by Item 404(a) of Regulation S-K. Mr. Elguicze will not receive any additional compensation in connection with assuming the responsibilities of PAO on an interim basis.</w:t>
      </w:r>
    </w:p>
    <w:p>
      <w:pPr>
        <w:pStyle w:val="TextBody"/>
        <w:bidi w:val="0"/>
        <w:spacing w:before="0" w:after="120"/>
        <w:jc w:val="both"/>
        <w:rPr>
          <w:caps w:val="false"/>
          <w:smallCaps w:val="false"/>
        </w:rPr>
      </w:pPr>
      <w:r>
        <w:rPr>
          <w:caps w:val="false"/>
          <w:smallCaps w:val="false"/>
        </w:rPr>
        <w:t> </w:t>
      </w:r>
    </w:p>
    <w:p>
      <w:pPr>
        <w:pStyle w:val="TextBody"/>
        <w:bidi w:val="0"/>
        <w:spacing w:before="0" w:after="12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Item 9.01 Financial Statements and Exhibits.</w:t>
      </w:r>
    </w:p>
    <w:p>
      <w:pPr>
        <w:pStyle w:val="TextBody"/>
        <w:bidi w:val="0"/>
        <w:spacing w:before="0" w:after="1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 </w:t>
      </w:r>
      <w:r>
        <w:rPr>
          <w:rFonts w:ascii="Times New Roman;Times;Serif" w:hAnsi="Times New Roman;Times;Serif"/>
          <w:b w:val="false"/>
          <w:i w:val="false"/>
          <w:caps w:val="false"/>
          <w:smallCaps w:val="false"/>
          <w:sz w:val="20"/>
          <w:u w:val="single"/>
          <w:shd w:fill="FFFFFF" w:val="clear"/>
        </w:rPr>
        <w:t>Exhibits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furnished as an exhibit to this report:</w:t>
      </w:r>
    </w:p>
    <w:p>
      <w:pPr>
        <w:pStyle w:val="TextBody"/>
        <w:bidi w:val="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350"/>
        <w:gridCol w:w="6485"/>
      </w:tblGrid>
      <w:tr>
        <w:trPr/>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240" w:after="240"/>
        <w:ind w:left="240" w:right="240" w:firstLine="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0"/>
        <w:gridCol w:w="319"/>
        <w:gridCol w:w="60"/>
        <w:gridCol w:w="7816"/>
      </w:tblGrid>
      <w:tr>
        <w:trPr/>
        <w:tc>
          <w:tcPr>
            <w:tcW w:w="2010" w:type="dxa"/>
            <w:tcBorders/>
            <w:vAlign w:val="center"/>
          </w:tcPr>
          <w:p>
            <w:pPr>
              <w:pStyle w:val="TableContents"/>
              <w:bidi w:val="0"/>
              <w:spacing w:before="0" w:after="283"/>
              <w:jc w:val="left"/>
              <w:rPr/>
            </w:pPr>
            <w:r>
              <w:rPr/>
              <w:t> </w:t>
            </w:r>
          </w:p>
        </w:tc>
        <w:tc>
          <w:tcPr>
            <w:tcW w:w="819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EMBECTA CORP.</w:t>
            </w:r>
          </w:p>
        </w:tc>
      </w:tr>
      <w:tr>
        <w:trPr/>
        <w:tc>
          <w:tcPr>
            <w:tcW w:w="201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7876" w:type="dxa"/>
            <w:gridSpan w:val="2"/>
            <w:tcBorders/>
            <w:vAlign w:val="center"/>
          </w:tcPr>
          <w:p>
            <w:pPr>
              <w:pStyle w:val="TableContents"/>
              <w:bidi w:val="0"/>
              <w:spacing w:before="0" w:after="283"/>
              <w:jc w:val="left"/>
              <w:rPr/>
            </w:pPr>
            <w:r>
              <w:rPr/>
              <w:t> </w:t>
            </w:r>
          </w:p>
        </w:tc>
      </w:tr>
      <w:tr>
        <w:trPr/>
        <w:tc>
          <w:tcPr>
            <w:tcW w:w="201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pPr>
            <w:r>
              <w:rPr/>
              <w:t> </w:t>
            </w:r>
          </w:p>
        </w:tc>
        <w:tc>
          <w:tcPr>
            <w:tcW w:w="78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 Mann</w:t>
            </w:r>
          </w:p>
        </w:tc>
      </w:tr>
      <w:tr>
        <w:trPr/>
        <w:tc>
          <w:tcPr>
            <w:tcW w:w="201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16" w:type="dxa"/>
            <w:tcBorders>
              <w:top w:val="single" w:sz="8" w:space="0" w:color="000000"/>
            </w:tcBorders>
            <w:tcMar>
              <w:top w:w="3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 Mann</w:t>
            </w:r>
          </w:p>
          <w:p>
            <w:pPr>
              <w:pStyle w:val="TableContents"/>
              <w:bidi w:val="0"/>
              <w:spacing w:before="0" w:after="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General Counsel, Head of Business Development and Corporate Secretary</w:t>
            </w:r>
          </w:p>
        </w:tc>
      </w:tr>
      <w:tr>
        <w:trPr/>
        <w:tc>
          <w:tcPr>
            <w:tcW w:w="2010" w:type="dxa"/>
            <w:tcBorders/>
            <w:vAlign w:val="center"/>
          </w:tcPr>
          <w:p>
            <w:pPr>
              <w:pStyle w:val="TableContents"/>
              <w:bidi w:val="0"/>
              <w:spacing w:before="0" w:after="283"/>
              <w:jc w:val="left"/>
              <w:rPr/>
            </w:pPr>
            <w:r>
              <w:rPr/>
              <w:t> </w:t>
            </w:r>
          </w:p>
        </w:tc>
        <w:tc>
          <w:tcPr>
            <w:tcW w:w="819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2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August 12, 2024 </w:t>
            </w:r>
          </w:p>
        </w:tc>
        <w:tc>
          <w:tcPr>
            <w:tcW w:w="8195" w:type="dxa"/>
            <w:gridSpan w:val="3"/>
            <w:tcBorders/>
            <w:vAlign w:val="center"/>
          </w:tcPr>
          <w:p>
            <w:pPr>
              <w:pStyle w:val="TableContents"/>
              <w:bidi w:val="0"/>
              <w:spacing w:before="0" w:after="283"/>
              <w:jc w:val="left"/>
              <w:rPr/>
            </w:pPr>
            <w:r>
              <w:rPr/>
              <w:t> </w:t>
            </w:r>
          </w:p>
        </w:tc>
      </w:tr>
    </w:tbl>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60" w:after="60"/>
        <w:ind w:left="240" w:right="240" w:hanging="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665</Words>
  <Characters>3656</Characters>
  <CharactersWithSpaces>4343</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