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80" w:after="283"/>
        <w:jc w:val="center"/>
        <w:rPr>
          <w:rFonts w:ascii="Times New Roman;sans-serif" w:hAnsi="Times New Roman;sans-serif"/>
          <w:b/>
          <w:color w:val="000000"/>
          <w:sz w:val="32"/>
        </w:rPr>
      </w:pPr>
      <w:r>
        <w:rPr>
          <w:rFonts w:ascii="Times New Roman;sans-serif" w:hAnsi="Times New Roman;sans-serif"/>
          <w:b/>
          <w:color w:val="000000"/>
          <w:sz w:val="32"/>
        </w:rPr>
        <w:t xml:space="preserve">UNITED STATES </w:t>
      </w:r>
    </w:p>
    <w:p>
      <w:pPr>
        <w:pStyle w:val="TextBody"/>
        <w:spacing w:lineRule="auto" w:line="276"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SECURITIES AND EXCHANGE COMMISSION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jc w:val="center"/>
        <w:rPr>
          <w:rFonts w:ascii="Times New Roman;sans-serif" w:hAnsi="Times New Roman;sans-serif"/>
          <w:b/>
          <w:color w:val="000000"/>
          <w:sz w:val="32"/>
        </w:rPr>
      </w:pPr>
      <w:r>
        <w:rPr>
          <w:rFonts w:ascii="Times New Roman;sans-serif" w:hAnsi="Times New Roman;sans-serif"/>
          <w:b/>
          <w:color w:val="000000"/>
          <w:sz w:val="32"/>
        </w:rPr>
        <w:t>FORM 10-Q</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rPr>
          <w:rFonts w:ascii="Times New Roman;sans-serif" w:hAnsi="Times New Roman;sans-serif"/>
          <w:b/>
          <w:color w:val="000000"/>
          <w:sz w:val="20"/>
        </w:rPr>
      </w:pPr>
      <w:r>
        <w:rPr>
          <w:rFonts w:ascii="Times New Roman;sans-serif" w:hAnsi="Times New Roman;sans-serif"/>
          <w:b/>
          <w:color w:val="000000"/>
          <w:sz w:val="20"/>
        </w:rPr>
        <w:t xml:space="preserve">(Mark One) </w:t>
      </w:r>
    </w:p>
    <w:tbl>
      <w:tblPr>
        <w:tblW w:w="10205" w:type="dxa"/>
        <w:jc w:val="left"/>
        <w:tblInd w:w="0" w:type="dxa"/>
        <w:tblCellMar>
          <w:top w:w="28" w:type="dxa"/>
          <w:left w:w="28" w:type="dxa"/>
          <w:bottom w:w="28" w:type="dxa"/>
          <w:right w:w="28" w:type="dxa"/>
        </w:tblCellMar>
      </w:tblPr>
      <w:tblGrid>
        <w:gridCol w:w="124"/>
        <w:gridCol w:w="109"/>
        <w:gridCol w:w="109"/>
        <w:gridCol w:w="2886"/>
        <w:gridCol w:w="2886"/>
        <w:gridCol w:w="40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2886" w:type="dxa"/>
            <w:tcBorders/>
            <w:shd w:fill="auto" w:val="clear"/>
            <w:vAlign w:val="center"/>
          </w:tcPr>
          <w:p>
            <w:pPr>
              <w:pStyle w:val="TableContents"/>
              <w:spacing w:before="0" w:after="283"/>
              <w:rPr>
                <w:sz w:val="4"/>
                <w:szCs w:val="4"/>
              </w:rPr>
            </w:pPr>
            <w:r>
              <w:rPr>
                <w:sz w:val="4"/>
                <w:szCs w:val="4"/>
              </w:rPr>
            </w:r>
          </w:p>
        </w:tc>
        <w:tc>
          <w:tcPr>
            <w:tcW w:w="40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2"/>
              </w:rPr>
            </w:pPr>
            <w:r>
              <w:rPr>
                <w:rFonts w:ascii="Times New Roman;sans-serif" w:hAnsi="Times New Roman;sans-serif"/>
                <w:b/>
                <w:color w:val="000000"/>
                <w:sz w:val="22"/>
              </w:rPr>
              <w:t xml:space="preserve">QUARTERLY REPORT PURSUANT TO SECTION 13 OR 15(d) OF THE SECURITIES EXCHANGE ACT OF 1934 </w:t>
            </w:r>
          </w:p>
        </w:tc>
      </w:tr>
    </w:tbl>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spacing w:lineRule="auto" w:line="276" w:before="280" w:after="283"/>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to </w:t>
      </w: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001-41186</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jc w:val="center"/>
        <w:rPr>
          <w:rFonts w:ascii="Times New Roman;sans-serif" w:hAnsi="Times New Roman;sans-serif"/>
          <w:b/>
          <w:color w:val="000000"/>
          <w:sz w:val="48"/>
        </w:rPr>
      </w:pPr>
      <w:r>
        <w:rPr>
          <w:rFonts w:ascii="Times New Roman;sans-serif" w:hAnsi="Times New Roman;sans-serif"/>
          <w:b/>
          <w:color w:val="000000"/>
          <w:sz w:val="48"/>
        </w:rPr>
        <w:t>EMBECTA CORP.</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(Exact name of registrant as specified in its charter)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5591" w:type="dxa"/>
        <w:jc w:val="center"/>
        <w:tblInd w:w="0" w:type="dxa"/>
        <w:tblCellMar>
          <w:top w:w="28" w:type="dxa"/>
          <w:left w:w="28" w:type="dxa"/>
          <w:bottom w:w="28" w:type="dxa"/>
          <w:right w:w="28" w:type="dxa"/>
        </w:tblCellMar>
      </w:tblPr>
      <w:tblGrid>
        <w:gridCol w:w="1383"/>
        <w:gridCol w:w="1212"/>
        <w:gridCol w:w="1230"/>
        <w:gridCol w:w="109"/>
        <w:gridCol w:w="109"/>
        <w:gridCol w:w="109"/>
        <w:gridCol w:w="420"/>
        <w:gridCol w:w="420"/>
        <w:gridCol w:w="599"/>
      </w:tblGrid>
      <w:tr>
        <w:trPr/>
        <w:tc>
          <w:tcPr>
            <w:tcW w:w="138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87-1583942</w:t>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(I.R.S. employer</w:t>
            </w:r>
          </w:p>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identification no.)</w:t>
            </w:r>
          </w:p>
        </w:tc>
      </w:tr>
      <w:tr>
        <w:trPr/>
        <w:tc>
          <w:tcPr>
            <w:tcW w:w="38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300 Kimball Drive, Parsippany, New Jersey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07054</w:t>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9"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(201) 847-6880</w:t>
      </w:r>
    </w:p>
    <w:p>
      <w:pPr>
        <w:pStyle w:val="TextBody"/>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(Registrant’s telephone number, including area code) </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center"/>
        <w:tblInd w:w="0" w:type="dxa"/>
        <w:tblCellMar>
          <w:top w:w="28" w:type="dxa"/>
          <w:left w:w="28" w:type="dxa"/>
          <w:bottom w:w="28" w:type="dxa"/>
          <w:right w:w="28" w:type="dxa"/>
        </w:tblCellMar>
      </w:tblPr>
      <w:tblGrid>
        <w:gridCol w:w="1286"/>
        <w:gridCol w:w="1119"/>
        <w:gridCol w:w="1129"/>
        <w:gridCol w:w="109"/>
        <w:gridCol w:w="109"/>
        <w:gridCol w:w="109"/>
        <w:gridCol w:w="262"/>
        <w:gridCol w:w="262"/>
        <w:gridCol w:w="264"/>
        <w:gridCol w:w="109"/>
        <w:gridCol w:w="109"/>
        <w:gridCol w:w="109"/>
        <w:gridCol w:w="1529"/>
        <w:gridCol w:w="1529"/>
        <w:gridCol w:w="2171"/>
      </w:tblGrid>
      <w:tr>
        <w:trPr/>
        <w:tc>
          <w:tcPr>
            <w:tcW w:w="1286"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1529" w:type="dxa"/>
            <w:tcBorders/>
            <w:shd w:fill="auto" w:val="clear"/>
            <w:vAlign w:val="center"/>
          </w:tcPr>
          <w:p>
            <w:pPr>
              <w:pStyle w:val="TableContents"/>
              <w:spacing w:before="0" w:after="283"/>
              <w:rPr>
                <w:sz w:val="4"/>
                <w:szCs w:val="4"/>
              </w:rPr>
            </w:pPr>
            <w:r>
              <w:rPr>
                <w:sz w:val="4"/>
                <w:szCs w:val="4"/>
              </w:rPr>
            </w:r>
          </w:p>
        </w:tc>
        <w:tc>
          <w:tcPr>
            <w:tcW w:w="2171" w:type="dxa"/>
            <w:tcBorders/>
            <w:shd w:fill="auto" w:val="clear"/>
            <w:vAlign w:val="center"/>
          </w:tcPr>
          <w:p>
            <w:pPr>
              <w:pStyle w:val="TableContents"/>
              <w:spacing w:before="0" w:after="283"/>
              <w:rPr>
                <w:sz w:val="4"/>
                <w:szCs w:val="4"/>
              </w:rPr>
            </w:pPr>
            <w:r>
              <w:rPr>
                <w:sz w:val="4"/>
                <w:szCs w:val="4"/>
              </w:rPr>
            </w:r>
          </w:p>
        </w:tc>
      </w:tr>
      <w:tr>
        <w:trPr/>
        <w:tc>
          <w:tcPr>
            <w:tcW w:w="353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shd w:fill="auto" w:val="clear"/>
            <w:tcMar>
              <w:top w:w="0" w:type="dxa"/>
              <w:left w:w="0" w:type="dxa"/>
              <w:bottom w:w="0" w:type="dxa"/>
              <w:right w:w="0" w:type="dxa"/>
            </w:tcMar>
            <w:vAlign w:val="center"/>
          </w:tcPr>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9" w:type="dxa"/>
            <w:gridSpan w:val="3"/>
            <w:tcBorders/>
            <w:shd w:fill="auto" w:val="clear"/>
            <w:tcMar>
              <w:top w:w="0" w:type="dxa"/>
              <w:left w:w="0" w:type="dxa"/>
              <w:bottom w:w="0" w:type="dxa"/>
              <w:right w:w="0" w:type="dxa"/>
            </w:tcMar>
            <w:vAlign w:val="center"/>
          </w:tcPr>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Name of each exchange</w:t>
            </w:r>
          </w:p>
          <w:p>
            <w:pPr>
              <w:pStyle w:val="TableContents"/>
              <w:spacing w:lineRule="auto" w:line="276" w:before="0" w:after="20"/>
              <w:jc w:val="center"/>
              <w:rPr>
                <w:rFonts w:ascii="Times New Roman;sans-serif" w:hAnsi="Times New Roman;sans-serif"/>
                <w:b/>
                <w:color w:val="000000"/>
                <w:sz w:val="16"/>
              </w:rPr>
            </w:pPr>
            <w:r>
              <w:rPr>
                <w:rFonts w:ascii="Times New Roman;sans-serif" w:hAnsi="Times New Roman;sans-serif"/>
                <w:b/>
                <w:color w:val="000000"/>
                <w:sz w:val="16"/>
              </w:rPr>
              <w:t>on which registered</w:t>
            </w:r>
          </w:p>
        </w:tc>
      </w:tr>
      <w:tr>
        <w:trPr/>
        <w:tc>
          <w:tcPr>
            <w:tcW w:w="35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 per share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EMBC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0"/>
              <w:jc w:val="center"/>
              <w:rPr>
                <w:rFonts w:ascii="Times New Roman;sans-serif" w:hAnsi="Times New Roman;sans-serif"/>
                <w:b/>
                <w:color w:val="000000"/>
                <w:sz w:val="20"/>
              </w:rPr>
            </w:pPr>
            <w:r>
              <w:rPr>
                <w:rFonts w:ascii="Times New Roman;sans-serif" w:hAnsi="Times New Roman;sans-serif"/>
                <w:b/>
                <w:color w:val="000000"/>
                <w:sz w:val="20"/>
              </w:rPr>
              <w:t>The Nasdaq Stock Market LLC (Nasdaq Global Select Market)</w:t>
            </w:r>
          </w:p>
        </w:tc>
      </w:tr>
    </w:tbl>
    <w:p>
      <w:pPr>
        <w:pStyle w:val="TextBody"/>
        <w:spacing w:lineRule="auto" w:line="276" w:before="24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(1) has filed all reports required to be filed by Section 13 or 15(d) of the Securities Exchange Act of 1934 (the “Exchange Act”) during the preceding 12 months (or for such shorter period that the </w:t>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registrant was required to file such reports), and (2) has been subject to such filing requirements for the past 90 days. Yes ☐ No ☒ </w:t>
      </w:r>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 No ☐ </w:t>
      </w:r>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or a smaller reporting company. See the definitions of “large accelerated filer,” “accelerated filer” and “smaller reporting company” in Rule 12b-2 of the Exchange Act. </w:t>
      </w:r>
    </w:p>
    <w:tbl>
      <w:tblPr>
        <w:tblW w:w="9676" w:type="dxa"/>
        <w:jc w:val="center"/>
        <w:tblInd w:w="0" w:type="dxa"/>
        <w:tblCellMar>
          <w:top w:w="28" w:type="dxa"/>
          <w:left w:w="28" w:type="dxa"/>
          <w:bottom w:w="28" w:type="dxa"/>
          <w:right w:w="28" w:type="dxa"/>
        </w:tblCellMar>
      </w:tblPr>
      <w:tblGrid>
        <w:gridCol w:w="695"/>
        <w:gridCol w:w="611"/>
        <w:gridCol w:w="613"/>
        <w:gridCol w:w="109"/>
        <w:gridCol w:w="109"/>
        <w:gridCol w:w="109"/>
        <w:gridCol w:w="1363"/>
        <w:gridCol w:w="1363"/>
        <w:gridCol w:w="1368"/>
        <w:gridCol w:w="109"/>
        <w:gridCol w:w="109"/>
        <w:gridCol w:w="109"/>
        <w:gridCol w:w="769"/>
        <w:gridCol w:w="769"/>
        <w:gridCol w:w="772"/>
        <w:gridCol w:w="109"/>
        <w:gridCol w:w="109"/>
        <w:gridCol w:w="109"/>
        <w:gridCol w:w="109"/>
        <w:gridCol w:w="109"/>
        <w:gridCol w:w="154"/>
      </w:tblGrid>
      <w:tr>
        <w:trPr/>
        <w:tc>
          <w:tcPr>
            <w:tcW w:w="695"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63"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7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r>
      <w:tr>
        <w:trPr/>
        <w:tc>
          <w:tcPr>
            <w:tcW w:w="19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91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xml:space="preserve">☒ </w:t>
            </w:r>
            <w:r>
              <w:rPr>
                <w:rFonts w:ascii="Times New Roman;sans-serif" w:hAnsi="Times New Roman;sans-serif"/>
                <w:b w:val="false"/>
                <w:color w:val="000000"/>
                <w:sz w:val="20"/>
              </w:rPr>
              <w:t>(Do not check if a 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w:t>
            </w:r>
          </w:p>
        </w:tc>
      </w:tr>
    </w:tbl>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by Rule 12b-2 of the Exchange Act). Yes ☐ No ☒</w:t>
      </w:r>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Embecta Corp. common stock outstanding as of May 5, 2022 was 57,798,098 shares, par value $0.01 per share. </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EMBECTA CORP. </w:t>
      </w: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2022</w:t>
      </w: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Table of Contents </w:t>
      </w:r>
    </w:p>
    <w:tbl>
      <w:tblPr>
        <w:tblW w:w="9707" w:type="dxa"/>
        <w:jc w:val="center"/>
        <w:tblInd w:w="0" w:type="dxa"/>
        <w:tblCellMar>
          <w:top w:w="28" w:type="dxa"/>
          <w:left w:w="28" w:type="dxa"/>
          <w:bottom w:w="28" w:type="dxa"/>
          <w:right w:w="28" w:type="dxa"/>
        </w:tblCellMar>
      </w:tblPr>
      <w:tblGrid>
        <w:gridCol w:w="497"/>
        <w:gridCol w:w="267"/>
        <w:gridCol w:w="267"/>
        <w:gridCol w:w="267"/>
        <w:gridCol w:w="267"/>
        <w:gridCol w:w="267"/>
        <w:gridCol w:w="2430"/>
        <w:gridCol w:w="2430"/>
        <w:gridCol w:w="2504"/>
        <w:gridCol w:w="149"/>
        <w:gridCol w:w="149"/>
        <w:gridCol w:w="213"/>
      </w:tblGrid>
      <w:tr>
        <w:trPr/>
        <w:tc>
          <w:tcPr>
            <w:tcW w:w="49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430" w:type="dxa"/>
            <w:tcBorders/>
            <w:shd w:fill="auto" w:val="clear"/>
            <w:vAlign w:val="center"/>
          </w:tcPr>
          <w:p>
            <w:pPr>
              <w:pStyle w:val="TableContents"/>
              <w:spacing w:before="0" w:after="283"/>
              <w:rPr>
                <w:sz w:val="4"/>
                <w:szCs w:val="4"/>
              </w:rPr>
            </w:pPr>
            <w:r>
              <w:rPr>
                <w:sz w:val="4"/>
                <w:szCs w:val="4"/>
              </w:rPr>
            </w:r>
          </w:p>
        </w:tc>
        <w:tc>
          <w:tcPr>
            <w:tcW w:w="2504"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196" w:type="dxa"/>
            <w:gridSpan w:val="9"/>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10">
              <w:r>
                <w:rPr>
                  <w:rStyle w:val="InternetLink"/>
                  <w:rFonts w:ascii="Times New Roman;sans-serif" w:hAnsi="Times New Roman;sans-serif"/>
                  <w:b w:val="false"/>
                  <w:color w:val="0000FF"/>
                  <w:sz w:val="20"/>
                  <w:u w:val="single"/>
                </w:rPr>
                <w:t xml:space="preserve">Part I. Financial Information </w:t>
              </w:r>
            </w:hyperlink>
          </w:p>
        </w:tc>
        <w:tc>
          <w:tcPr>
            <w:tcW w:w="5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0"/>
              <w:jc w:val="right"/>
              <w:rPr/>
            </w:pPr>
            <w:hyperlink w:anchor="i2b8de7a111e646fda1ff40855905f325_10">
              <w:r>
                <w:rPr>
                  <w:rStyle w:val="InternetLink"/>
                  <w:rFonts w:ascii="Times New Roman;sans-serif" w:hAnsi="Times New Roman;sans-serif"/>
                  <w:b w:val="false"/>
                  <w:strike w:val="false"/>
                  <w:dstrike w:val="false"/>
                  <w:color w:val="000000"/>
                  <w:sz w:val="20"/>
                  <w:u w:val="none"/>
                  <w:effect w:val="none"/>
                </w:rPr>
                <w:t>1</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13">
              <w:r>
                <w:rPr>
                  <w:rStyle w:val="InternetLink"/>
                  <w:rFonts w:ascii="Times New Roman;sans-serif" w:hAnsi="Times New Roman;sans-serif"/>
                  <w:b w:val="false"/>
                  <w:color w:val="0000FF"/>
                  <w:sz w:val="20"/>
                  <w:u w:val="single"/>
                </w:rPr>
                <w:t>Financial Statements and Supplementary Data</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13">
              <w:r>
                <w:rPr>
                  <w:rStyle w:val="InternetLink"/>
                  <w:rFonts w:ascii="Times New Roman;sans-serif" w:hAnsi="Times New Roman;sans-serif"/>
                  <w:b w:val="false"/>
                  <w:strike w:val="false"/>
                  <w:dstrike w:val="false"/>
                  <w:color w:val="000000"/>
                  <w:sz w:val="20"/>
                  <w:u w:val="none"/>
                  <w:effect w:val="none"/>
                </w:rPr>
                <w:t>1</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16">
              <w:r>
                <w:rPr>
                  <w:rStyle w:val="InternetLink"/>
                  <w:rFonts w:ascii="Times New Roman;sans-serif" w:hAnsi="Times New Roman;sans-serif"/>
                  <w:b w:val="false"/>
                  <w:color w:val="0000FF"/>
                  <w:sz w:val="20"/>
                  <w:u w:val="single"/>
                </w:rPr>
                <w:t>Condensed Combined Statements of Income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16">
              <w:r>
                <w:rPr>
                  <w:rStyle w:val="InternetLink"/>
                  <w:rFonts w:ascii="Times New Roman;sans-serif" w:hAnsi="Times New Roman;sans-serif"/>
                  <w:b w:val="false"/>
                  <w:strike w:val="false"/>
                  <w:dstrike w:val="false"/>
                  <w:color w:val="000000"/>
                  <w:sz w:val="20"/>
                  <w:u w:val="none"/>
                  <w:effect w:val="none"/>
                </w:rPr>
                <w:t>1</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19">
              <w:r>
                <w:rPr>
                  <w:rStyle w:val="InternetLink"/>
                </w:rPr>
                <w:t>Condensed Combined Statement</w:t>
              </w:r>
            </w:hyperlink>
            <w:hyperlink w:anchor="i2b8de7a111e646fda1ff40855905f325_19">
              <w:r>
                <w:rPr>
                  <w:rStyle w:val="InternetLink"/>
                </w:rPr>
                <w:t>s</w:t>
              </w:r>
            </w:hyperlink>
            <w:hyperlink w:anchor="i2b8de7a111e646fda1ff40855905f325_19">
              <w:r>
                <w:rPr>
                  <w:rStyle w:val="InternetLink"/>
                </w:rPr>
                <w:t xml:space="preserve"> of Comprehensive Income</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19">
              <w:r>
                <w:rPr>
                  <w:rStyle w:val="InternetLink"/>
                  <w:rFonts w:ascii="Times New Roman;sans-serif" w:hAnsi="Times New Roman;sans-serif"/>
                  <w:b w:val="false"/>
                  <w:strike w:val="false"/>
                  <w:dstrike w:val="false"/>
                  <w:color w:val="000000"/>
                  <w:sz w:val="20"/>
                  <w:u w:val="none"/>
                  <w:effect w:val="none"/>
                </w:rPr>
                <w:t>2</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22">
              <w:r>
                <w:rPr>
                  <w:rStyle w:val="InternetLink"/>
                  <w:rFonts w:ascii="Times New Roman;sans-serif" w:hAnsi="Times New Roman;sans-serif"/>
                  <w:b w:val="false"/>
                  <w:color w:val="0000FF"/>
                  <w:sz w:val="20"/>
                  <w:u w:val="single"/>
                </w:rPr>
                <w:t>Condensed Combined Balance Sheets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22">
              <w:r>
                <w:rPr>
                  <w:rStyle w:val="InternetLink"/>
                  <w:rFonts w:ascii="Times New Roman;sans-serif" w:hAnsi="Times New Roman;sans-serif"/>
                  <w:b w:val="false"/>
                  <w:strike w:val="false"/>
                  <w:dstrike w:val="false"/>
                  <w:color w:val="000000"/>
                  <w:sz w:val="20"/>
                  <w:u w:val="none"/>
                  <w:effect w:val="none"/>
                </w:rPr>
                <w:t>3</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25">
              <w:r>
                <w:rPr>
                  <w:rStyle w:val="InternetLink"/>
                </w:rPr>
                <w:t>Condensed Combined Statement</w:t>
              </w:r>
            </w:hyperlink>
            <w:hyperlink w:anchor="i2b8de7a111e646fda1ff40855905f325_25">
              <w:r>
                <w:rPr>
                  <w:rStyle w:val="InternetLink"/>
                </w:rPr>
                <w:t>s</w:t>
              </w:r>
            </w:hyperlink>
            <w:hyperlink w:anchor="i2b8de7a111e646fda1ff40855905f325_25">
              <w:r>
                <w:rPr>
                  <w:rStyle w:val="InternetLink"/>
                </w:rPr>
                <w:t xml:space="preserve"> of Cash Flows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25">
              <w:r>
                <w:rPr>
                  <w:rStyle w:val="InternetLink"/>
                  <w:rFonts w:ascii="Times New Roman;sans-serif" w:hAnsi="Times New Roman;sans-serif"/>
                  <w:b w:val="false"/>
                  <w:strike w:val="false"/>
                  <w:dstrike w:val="false"/>
                  <w:color w:val="000000"/>
                  <w:sz w:val="20"/>
                  <w:u w:val="none"/>
                  <w:effect w:val="none"/>
                </w:rPr>
                <w:t>4</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28">
              <w:r>
                <w:rPr>
                  <w:rStyle w:val="InternetLink"/>
                  <w:rFonts w:ascii="Times New Roman;sans-serif" w:hAnsi="Times New Roman;sans-serif"/>
                  <w:b w:val="false"/>
                  <w:color w:val="0000FF"/>
                  <w:sz w:val="20"/>
                  <w:u w:val="single"/>
                </w:rPr>
                <w:t>Notes to Condensed Combined Financial Statements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28">
              <w:r>
                <w:rPr>
                  <w:rStyle w:val="InternetLink"/>
                  <w:rFonts w:ascii="Times New Roman;sans-serif" w:hAnsi="Times New Roman;sans-serif"/>
                  <w:b w:val="false"/>
                  <w:strike w:val="false"/>
                  <w:dstrike w:val="false"/>
                  <w:color w:val="000000"/>
                  <w:sz w:val="20"/>
                  <w:u w:val="none"/>
                  <w:effect w:val="none"/>
                </w:rPr>
                <w:t>5</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6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67">
              <w:r>
                <w:rPr>
                  <w:rStyle w:val="InternetLink"/>
                  <w:rFonts w:ascii="Times New Roman;sans-serif" w:hAnsi="Times New Roman;sans-serif"/>
                  <w:b w:val="false"/>
                  <w:strike w:val="false"/>
                  <w:dstrike w:val="false"/>
                  <w:color w:val="000000"/>
                  <w:sz w:val="20"/>
                  <w:u w:val="none"/>
                  <w:effect w:val="none"/>
                </w:rPr>
                <w:t>15</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91">
              <w:r>
                <w:rPr>
                  <w:rStyle w:val="InternetLink"/>
                  <w:rFonts w:ascii="Times New Roman;sans-serif" w:hAnsi="Times New Roman;sans-serif"/>
                  <w:b w:val="false"/>
                  <w:color w:val="0000FF"/>
                  <w:sz w:val="20"/>
                  <w:u w:val="single"/>
                </w:rPr>
                <w:t>Quantitative and Qualitative Disclosures About Market Risk</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91">
              <w:r>
                <w:rPr>
                  <w:rStyle w:val="InternetLink"/>
                  <w:rFonts w:ascii="Times New Roman;sans-serif" w:hAnsi="Times New Roman;sans-serif"/>
                  <w:b w:val="false"/>
                  <w:strike w:val="false"/>
                  <w:dstrike w:val="false"/>
                  <w:color w:val="000000"/>
                  <w:sz w:val="20"/>
                  <w:u w:val="none"/>
                  <w:effect w:val="none"/>
                </w:rPr>
                <w:t>25</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94">
              <w:r>
                <w:rPr>
                  <w:rStyle w:val="InternetLink"/>
                  <w:rFonts w:ascii="Times New Roman;sans-serif" w:hAnsi="Times New Roman;sans-serif"/>
                  <w:b w:val="false"/>
                  <w:color w:val="0000FF"/>
                  <w:sz w:val="20"/>
                  <w:u w:val="single"/>
                </w:rPr>
                <w:t>Controls and Procedures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94">
              <w:r>
                <w:rPr>
                  <w:rStyle w:val="InternetLink"/>
                  <w:rFonts w:ascii="Times New Roman;sans-serif" w:hAnsi="Times New Roman;sans-serif"/>
                  <w:b w:val="false"/>
                  <w:strike w:val="false"/>
                  <w:dstrike w:val="false"/>
                  <w:color w:val="000000"/>
                  <w:sz w:val="20"/>
                  <w:u w:val="none"/>
                  <w:effect w:val="none"/>
                </w:rPr>
                <w:t>25</w:t>
              </w:r>
            </w:hyperlink>
          </w:p>
        </w:tc>
      </w:tr>
      <w:tr>
        <w:trPr/>
        <w:tc>
          <w:tcPr>
            <w:tcW w:w="9196" w:type="dxa"/>
            <w:gridSpan w:val="9"/>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97">
              <w:r>
                <w:rPr>
                  <w:rStyle w:val="InternetLink"/>
                  <w:rFonts w:ascii="Times New Roman;sans-serif" w:hAnsi="Times New Roman;sans-serif"/>
                  <w:b w:val="false"/>
                  <w:color w:val="0000FF"/>
                  <w:sz w:val="20"/>
                  <w:u w:val="single"/>
                </w:rPr>
                <w:t xml:space="preserve">Part II. Other Information </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97">
              <w:r>
                <w:rPr>
                  <w:rStyle w:val="InternetLink"/>
                  <w:rFonts w:ascii="Times New Roman;sans-serif" w:hAnsi="Times New Roman;sans-serif"/>
                  <w:b w:val="false"/>
                  <w:strike w:val="false"/>
                  <w:dstrike w:val="false"/>
                  <w:color w:val="000000"/>
                  <w:sz w:val="20"/>
                  <w:u w:val="none"/>
                  <w:effect w:val="none"/>
                </w:rPr>
                <w:t>26</w:t>
              </w:r>
            </w:hyperlink>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7364"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103">
              <w:r>
                <w:rPr>
                  <w:rStyle w:val="InternetLink"/>
                  <w:rFonts w:ascii="Times New Roman;sans-serif" w:hAnsi="Times New Roman;sans-serif"/>
                  <w:b w:val="false"/>
                  <w:color w:val="0000FF"/>
                  <w:sz w:val="20"/>
                  <w:u w:val="single"/>
                </w:rPr>
                <w:t>Risk Factors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103">
              <w:r>
                <w:rPr>
                  <w:rStyle w:val="InternetLink"/>
                  <w:rFonts w:ascii="Times New Roman;sans-serif" w:hAnsi="Times New Roman;sans-serif"/>
                  <w:b w:val="false"/>
                  <w:strike w:val="false"/>
                  <w:dstrike w:val="false"/>
                  <w:color w:val="000000"/>
                  <w:sz w:val="20"/>
                  <w:u w:val="none"/>
                  <w:effect w:val="none"/>
                </w:rPr>
                <w:t>26</w:t>
              </w:r>
            </w:hyperlink>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7364"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7364"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7364"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7364" w:type="dxa"/>
            <w:gridSpan w:val="3"/>
            <w:tcBorders/>
            <w:shd w:fill="auto" w:val="clear"/>
            <w:vAlign w:val="center"/>
          </w:tcPr>
          <w:p>
            <w:pPr>
              <w:pStyle w:val="TableContents"/>
              <w:spacing w:before="0" w:after="283"/>
              <w:rPr>
                <w:sz w:val="4"/>
                <w:szCs w:val="4"/>
              </w:rPr>
            </w:pPr>
            <w:r>
              <w:rPr>
                <w:sz w:val="4"/>
                <w:szCs w:val="4"/>
              </w:rPr>
            </w:r>
          </w:p>
        </w:tc>
        <w:tc>
          <w:tcPr>
            <w:tcW w:w="511" w:type="dxa"/>
            <w:gridSpan w:val="3"/>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118">
              <w:r>
                <w:rPr>
                  <w:rStyle w:val="InternetLink"/>
                  <w:rFonts w:ascii="Times New Roman;sans-serif" w:hAnsi="Times New Roman;sans-serif"/>
                  <w:b w:val="false"/>
                  <w:color w:val="0000FF"/>
                  <w:sz w:val="20"/>
                  <w:u w:val="single"/>
                </w:rPr>
                <w:t>Exhibits</w:t>
              </w:r>
            </w:hyperlink>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118">
              <w:r>
                <w:rPr>
                  <w:rStyle w:val="InternetLink"/>
                  <w:rFonts w:ascii="Times New Roman;sans-serif" w:hAnsi="Times New Roman;sans-serif"/>
                  <w:b w:val="false"/>
                  <w:strike w:val="false"/>
                  <w:dstrike w:val="false"/>
                  <w:color w:val="000000"/>
                  <w:sz w:val="20"/>
                  <w:u w:val="none"/>
                  <w:effect w:val="none"/>
                </w:rPr>
                <w:t>26</w:t>
              </w:r>
            </w:hyperlink>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73" w:before="0" w:after="0"/>
              <w:jc w:val="left"/>
              <w:rPr/>
            </w:pPr>
            <w:hyperlink w:anchor="i2b8de7a111e646fda1ff40855905f325_121">
              <w:r>
                <w:rPr>
                  <w:rStyle w:val="InternetLink"/>
                  <w:rFonts w:ascii="Times New Roman;sans-serif" w:hAnsi="Times New Roman;sans-serif"/>
                  <w:b w:val="false"/>
                  <w:color w:val="0000FF"/>
                  <w:sz w:val="20"/>
                  <w:u w:val="single"/>
                </w:rPr>
                <w:t>Signatures</w:t>
              </w:r>
            </w:hyperlink>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73" w:before="0" w:after="0"/>
              <w:jc w:val="right"/>
              <w:rPr/>
            </w:pPr>
            <w:hyperlink w:anchor="i2b8de7a111e646fda1ff40855905f325_121">
              <w:r>
                <w:rPr>
                  <w:rStyle w:val="InternetLink"/>
                  <w:rFonts w:ascii="Times New Roman;sans-serif" w:hAnsi="Times New Roman;sans-serif"/>
                  <w:b w:val="false"/>
                  <w:strike w:val="false"/>
                  <w:dstrike w:val="false"/>
                  <w:color w:val="000000"/>
                  <w:sz w:val="20"/>
                  <w:u w:val="none"/>
                  <w:effect w:val="none"/>
                </w:rPr>
                <w:t>29</w:t>
              </w:r>
            </w:hyperlink>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 FINANCIAL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240" w:after="283"/>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and Supplementary Data.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Condensed Combined Statements of Income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Diabetes Care Business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8950" w:type="dxa"/>
        <w:jc w:val="center"/>
        <w:tblInd w:w="0" w:type="dxa"/>
        <w:tblCellMar>
          <w:top w:w="28" w:type="dxa"/>
          <w:left w:w="28" w:type="dxa"/>
          <w:bottom w:w="28" w:type="dxa"/>
          <w:right w:w="28" w:type="dxa"/>
        </w:tblCellMar>
      </w:tblPr>
      <w:tblGrid>
        <w:gridCol w:w="1321"/>
        <w:gridCol w:w="1158"/>
        <w:gridCol w:w="1165"/>
        <w:gridCol w:w="250"/>
        <w:gridCol w:w="711"/>
        <w:gridCol w:w="109"/>
        <w:gridCol w:w="109"/>
        <w:gridCol w:w="109"/>
        <w:gridCol w:w="109"/>
        <w:gridCol w:w="250"/>
        <w:gridCol w:w="711"/>
        <w:gridCol w:w="109"/>
        <w:gridCol w:w="109"/>
        <w:gridCol w:w="109"/>
        <w:gridCol w:w="109"/>
        <w:gridCol w:w="250"/>
        <w:gridCol w:w="711"/>
        <w:gridCol w:w="109"/>
        <w:gridCol w:w="109"/>
        <w:gridCol w:w="109"/>
        <w:gridCol w:w="109"/>
        <w:gridCol w:w="250"/>
        <w:gridCol w:w="711"/>
        <w:gridCol w:w="154"/>
      </w:tblGrid>
      <w:tr>
        <w:trPr/>
        <w:tc>
          <w:tcPr>
            <w:tcW w:w="1321" w:type="dxa"/>
            <w:tcBorders/>
            <w:shd w:fill="auto" w:val="clear"/>
            <w:vAlign w:val="center"/>
          </w:tcPr>
          <w:p>
            <w:pPr>
              <w:pStyle w:val="TableContents"/>
              <w:spacing w:before="0" w:after="283"/>
              <w:rPr>
                <w:sz w:val="4"/>
                <w:szCs w:val="4"/>
              </w:rPr>
            </w:pPr>
            <w:r>
              <w:rPr>
                <w:sz w:val="4"/>
                <w:szCs w:val="4"/>
              </w:rPr>
            </w:r>
          </w:p>
        </w:tc>
        <w:tc>
          <w:tcPr>
            <w:tcW w:w="1158"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46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March 31,</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hanging="200"/>
              <w:jc w:val="left"/>
              <w:rPr/>
            </w:pPr>
            <w:r>
              <w:rPr>
                <w:rFonts w:ascii="Times New Roman;sans-serif" w:hAnsi="Times New Roman;sans-serif"/>
                <w:b w:val="false"/>
                <w:color w:val="000000"/>
                <w:sz w:val="18"/>
              </w:rPr>
              <w:t>Cost of products sold</w:t>
            </w:r>
            <w:r>
              <w:rPr>
                <w:rFonts w:ascii="Times New Roman;sans-serif" w:hAnsi="Times New Roman;sans-serif"/>
                <w:b w:val="false"/>
                <w:color w:val="000000"/>
                <w:sz w:val="12"/>
              </w:rPr>
              <w:t>(1)</w:t>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administrative expense</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w:t>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 Basic and Diluted:</w:t>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6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Basic and Diluted Shares Outstanding</w:t>
            </w:r>
          </w:p>
        </w:tc>
        <w:tc>
          <w:tcPr>
            <w:tcW w:w="96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09"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54" w:type="dxa"/>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644"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costs of products sold from related party inventory purchases of $10.6 million and $10.0 million during the three month periods ended March 31, 2022 and 2021, respectively. Costs of products sold from related party inventory purchases were $22.1 million and $19.0 million during the six month periods ended March 31, 2022 and 2021, respectively.</w:t>
      </w:r>
    </w:p>
    <w:p>
      <w:pPr>
        <w:pStyle w:val="TextBody"/>
        <w:spacing w:lineRule="auto" w:line="276" w:before="360" w:after="283"/>
        <w:jc w:val="center"/>
        <w:rPr/>
      </w:pPr>
      <w:r>
        <w:rPr>
          <w:rFonts w:ascii="Times New Roman;sans-serif" w:hAnsi="Times New Roman;sans-serif"/>
          <w:b w:val="false"/>
          <w:i/>
          <w:color w:val="000000"/>
          <w:sz w:val="20"/>
        </w:rPr>
        <w:t>See notes to the condensed combined financial statements.</w:t>
      </w:r>
      <w:r>
        <w:rPr>
          <w:color w:val="000000"/>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7860"/>
                <wp:effectExtent l="0" t="0" r="0" b="0"/>
                <wp:wrapNone/>
                <wp:docPr id="4" name="Frame4"/>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Combined Statements of Comprehensive Income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Diabetes Care Business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(Unaudited) </w:t>
      </w:r>
    </w:p>
    <w:tbl>
      <w:tblPr>
        <w:tblW w:w="7380" w:type="dxa"/>
        <w:jc w:val="center"/>
        <w:tblInd w:w="0" w:type="dxa"/>
        <w:tblCellMar>
          <w:top w:w="28" w:type="dxa"/>
          <w:left w:w="28" w:type="dxa"/>
          <w:bottom w:w="28" w:type="dxa"/>
          <w:right w:w="28" w:type="dxa"/>
        </w:tblCellMar>
      </w:tblPr>
      <w:tblGrid>
        <w:gridCol w:w="1084"/>
        <w:gridCol w:w="951"/>
        <w:gridCol w:w="965"/>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1084"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95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March 31,</w:t>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7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66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w:t>
            </w:r>
          </w:p>
        </w:tc>
        <w:tc>
          <w:tcPr>
            <w:tcW w:w="154"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notes to the condensed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7860"/>
                <wp:effectExtent l="0" t="0" r="0" b="0"/>
                <wp:wrapNone/>
                <wp:docPr id="5" name="Frame5"/>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Combined Balance Sheets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Diabetes Care Business</w:t>
      </w:r>
    </w:p>
    <w:tbl>
      <w:tblPr>
        <w:tblW w:w="6745" w:type="dxa"/>
        <w:jc w:val="center"/>
        <w:tblInd w:w="0" w:type="dxa"/>
        <w:tblCellMar>
          <w:top w:w="28" w:type="dxa"/>
          <w:left w:w="28" w:type="dxa"/>
          <w:bottom w:w="28" w:type="dxa"/>
          <w:right w:w="28" w:type="dxa"/>
        </w:tblCellMar>
      </w:tblPr>
      <w:tblGrid>
        <w:gridCol w:w="1244"/>
        <w:gridCol w:w="1093"/>
        <w:gridCol w:w="1098"/>
        <w:gridCol w:w="279"/>
        <w:gridCol w:w="900"/>
        <w:gridCol w:w="155"/>
        <w:gridCol w:w="109"/>
        <w:gridCol w:w="109"/>
        <w:gridCol w:w="109"/>
        <w:gridCol w:w="356"/>
        <w:gridCol w:w="1011"/>
        <w:gridCol w:w="282"/>
      </w:tblGrid>
      <w:tr>
        <w:trPr/>
        <w:tc>
          <w:tcPr>
            <w:tcW w:w="1244"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1098" w:type="dxa"/>
            <w:tcBorders/>
            <w:shd w:fill="auto" w:val="clear"/>
            <w:vAlign w:val="center"/>
          </w:tcPr>
          <w:p>
            <w:pPr>
              <w:pStyle w:val="TableContents"/>
              <w:spacing w:before="0" w:after="283"/>
              <w:rPr>
                <w:sz w:val="4"/>
                <w:szCs w:val="4"/>
              </w:rPr>
            </w:pPr>
            <w:r>
              <w:rPr>
                <w:sz w:val="4"/>
                <w:szCs w:val="4"/>
              </w:rPr>
            </w:r>
          </w:p>
        </w:tc>
        <w:tc>
          <w:tcPr>
            <w:tcW w:w="27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011"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2022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2021</w:t>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18"/>
              </w:rPr>
              <w:t>(Unaudited)</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left"/>
              <w:rPr>
                <w:color w:val="000000"/>
              </w:rPr>
            </w:pPr>
            <w:r>
              <w:rPr>
                <w:color w:val="000000"/>
              </w:rPr>
              <w:t> </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7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Materials</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products</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291.8 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 and Other Intangible Assets</w:t>
            </w:r>
          </w:p>
        </w:tc>
        <w:tc>
          <w:tcPr>
            <w:tcW w:w="11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PARENT’S EQUITY</w:t>
            </w:r>
          </w:p>
        </w:tc>
        <w:tc>
          <w:tcPr>
            <w:tcW w:w="1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FFFFFF" w:val="clear"/>
            <w:tcMar>
              <w:left w:w="0" w:type="dxa"/>
              <w:bottom w:w="0" w:type="dxa"/>
              <w:right w:w="0" w:type="dxa"/>
            </w:tcMar>
            <w:vAlign w:val="center"/>
          </w:tcPr>
          <w:p>
            <w:pPr>
              <w:pStyle w:val="TableContents"/>
              <w:spacing w:before="0" w:after="283"/>
              <w:ind w:left="0" w:right="0" w:hanging="45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3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79"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54.2 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1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81.6 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Salaries, wages and related items</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debt obligations</w:t>
            </w:r>
          </w:p>
        </w:tc>
        <w:tc>
          <w:tcPr>
            <w:tcW w:w="11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 and Other Liabilities</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11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1,403.7 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Note Payable</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5)</w:t>
            </w:r>
          </w:p>
        </w:tc>
        <w:tc>
          <w:tcPr>
            <w:tcW w:w="11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Parent’s Equity</w:t>
            </w:r>
          </w:p>
        </w:tc>
        <w:tc>
          <w:tcPr>
            <w:tcW w:w="13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parent investment</w:t>
            </w:r>
          </w:p>
        </w:tc>
        <w:tc>
          <w:tcPr>
            <w:tcW w:w="117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864.8 </w:t>
            </w:r>
          </w:p>
        </w:tc>
        <w:tc>
          <w:tcPr>
            <w:tcW w:w="28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1179"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w:t>
            </w:r>
          </w:p>
        </w:tc>
        <w:tc>
          <w:tcPr>
            <w:tcW w:w="282"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Parent’s Equity</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Parent’s Equity</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833.5 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788.0 </w:t>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notes to the condensed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7860"/>
                <wp:effectExtent l="0" t="0" r="0" b="0"/>
                <wp:wrapNone/>
                <wp:docPr id="6" name="Frame6"/>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3</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Combined Statements of Cash Flows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Diabetes Care Business </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7776" w:type="dxa"/>
        <w:jc w:val="center"/>
        <w:tblInd w:w="0" w:type="dxa"/>
        <w:tblCellMar>
          <w:top w:w="28" w:type="dxa"/>
          <w:left w:w="28" w:type="dxa"/>
          <w:bottom w:w="28" w:type="dxa"/>
          <w:right w:w="28" w:type="dxa"/>
        </w:tblCellMar>
      </w:tblPr>
      <w:tblGrid>
        <w:gridCol w:w="2025"/>
        <w:gridCol w:w="1781"/>
        <w:gridCol w:w="1788"/>
        <w:gridCol w:w="199"/>
        <w:gridCol w:w="566"/>
        <w:gridCol w:w="109"/>
        <w:gridCol w:w="109"/>
        <w:gridCol w:w="109"/>
        <w:gridCol w:w="109"/>
        <w:gridCol w:w="196"/>
        <w:gridCol w:w="631"/>
        <w:gridCol w:w="154"/>
      </w:tblGrid>
      <w:tr>
        <w:trPr/>
        <w:tc>
          <w:tcPr>
            <w:tcW w:w="2025" w:type="dxa"/>
            <w:tcBorders/>
            <w:shd w:fill="auto" w:val="clear"/>
            <w:vAlign w:val="center"/>
          </w:tcPr>
          <w:p>
            <w:pPr>
              <w:pStyle w:val="TableContents"/>
              <w:spacing w:before="0" w:after="283"/>
              <w:rPr>
                <w:sz w:val="4"/>
                <w:szCs w:val="4"/>
              </w:rPr>
            </w:pPr>
            <w:r>
              <w:rPr>
                <w:sz w:val="4"/>
                <w:szCs w:val="4"/>
              </w:rPr>
            </w:r>
          </w:p>
        </w:tc>
        <w:tc>
          <w:tcPr>
            <w:tcW w:w="1781" w:type="dxa"/>
            <w:tcBorders/>
            <w:shd w:fill="auto" w:val="clear"/>
            <w:vAlign w:val="center"/>
          </w:tcPr>
          <w:p>
            <w:pPr>
              <w:pStyle w:val="TableContents"/>
              <w:spacing w:before="0" w:after="283"/>
              <w:rPr>
                <w:sz w:val="4"/>
                <w:szCs w:val="4"/>
              </w:rPr>
            </w:pPr>
            <w:r>
              <w:rPr>
                <w:sz w:val="4"/>
                <w:szCs w:val="4"/>
              </w:rPr>
            </w:r>
          </w:p>
        </w:tc>
        <w:tc>
          <w:tcPr>
            <w:tcW w:w="1788"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5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18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March 31,</w:t>
            </w:r>
          </w:p>
        </w:tc>
      </w:tr>
      <w:tr>
        <w:trPr/>
        <w:tc>
          <w:tcPr>
            <w:tcW w:w="55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59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87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net income to derive net cash provided by operating activities:</w:t>
            </w:r>
          </w:p>
        </w:tc>
        <w:tc>
          <w:tcPr>
            <w:tcW w:w="8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property, plant and equipment</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expense</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operating assets and liabilities:</w:t>
            </w:r>
          </w:p>
        </w:tc>
        <w:tc>
          <w:tcPr>
            <w:tcW w:w="87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receivables, net</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63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intangible assets</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Investing Activities</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the issuance of long-term debt</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long-term debt issuance costs</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consideration paid to Parent in connection with the spin off</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revolving credit facility fees</w:t>
            </w:r>
          </w:p>
        </w:tc>
        <w:tc>
          <w:tcPr>
            <w:tcW w:w="7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for Financing Activities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76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cash equivalents</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Opening Cash and cash equivalents</w:t>
            </w:r>
          </w:p>
        </w:tc>
        <w:tc>
          <w:tcPr>
            <w:tcW w:w="765"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Closing Cash and cash equivalents</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36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See notes to the condensed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7860"/>
                <wp:effectExtent l="0" t="0" r="0" b="0"/>
                <wp:wrapNone/>
                <wp:docPr id="7" name="Frame7"/>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4</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Combined Financial Statements</w:t>
      </w:r>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Diabetes Care Business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240" w:after="283"/>
        <w:rPr>
          <w:rFonts w:ascii="Times New Roman;sans-serif" w:hAnsi="Times New Roman;sans-serif"/>
          <w:b/>
          <w:color w:val="000000"/>
          <w:sz w:val="20"/>
        </w:rPr>
      </w:pPr>
      <w:r>
        <w:rPr>
          <w:rFonts w:ascii="Times New Roman;sans-serif" w:hAnsi="Times New Roman;sans-serif"/>
          <w:b/>
          <w:color w:val="000000"/>
          <w:sz w:val="20"/>
        </w:rPr>
        <w:t xml:space="preserve">Note 1—Background and Basis of Presentation </w:t>
      </w:r>
    </w:p>
    <w:p>
      <w:pPr>
        <w:pStyle w:val="TextBody"/>
        <w:spacing w:lineRule="auto" w:line="276"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Background </w:t>
      </w:r>
    </w:p>
    <w:p>
      <w:pPr>
        <w:pStyle w:val="TextBody"/>
        <w:spacing w:lineRule="auto" w:line="268" w:before="0" w:after="0"/>
        <w:jc w:val="both"/>
        <w:rPr/>
      </w:pPr>
      <w:r>
        <w:rPr>
          <w:rFonts w:ascii="Times New Roman;sans-serif" w:hAnsi="Times New Roman;sans-serif"/>
          <w:b w:val="false"/>
          <w:color w:val="000000"/>
          <w:sz w:val="20"/>
        </w:rPr>
        <w:t>On May 6, 2021, Becton, Dickinson and Company (“BD” or “Parent”) announced that its Board of Directors approved a plan to spin off its diabetes care business, comprising pen needles, syringes, and other products related to the injection or infusion of insulin and other drugs used in the treatment of diabetes (collectively, the “Company” or “Diabetes Care Business”).</w:t>
      </w:r>
      <w:r>
        <w:rPr>
          <w:color w:val="2B2A29"/>
        </w:rPr>
        <w:t xml:space="preserve"> </w:t>
      </w:r>
      <w:r>
        <w:rPr>
          <w:rFonts w:ascii="Times New Roman;sans-serif" w:hAnsi="Times New Roman;sans-serif"/>
          <w:b w:val="false"/>
          <w:color w:val="2B2A29"/>
          <w:sz w:val="20"/>
        </w:rPr>
        <w:t xml:space="preserve">Under the plan, BD would transfer certain assets and liabilities associated with the Diabetes Care Business to Embecta Corp. (“embecta”), a newly formed wholly owned subsidiary of BD incorporated on July 8, 2021, and execute a spin off of embecta by way of a pro-rata distribution of common stock of embecta to BD’s shareholders at the close of business on the record date of the spin off. </w:t>
      </w:r>
      <w:r>
        <w:rPr>
          <w:rFonts w:ascii="Times New Roman;sans-serif" w:hAnsi="Times New Roman;sans-serif"/>
          <w:b w:val="false"/>
          <w:color w:val="000000"/>
          <w:sz w:val="20"/>
        </w:rPr>
        <w:t xml:space="preserve">During the first half of 2022, in contemplation of the spin off, certain assets, liabilities, and operations attributable to the Diabetes Care Business were contributed to embecta, </w:t>
      </w:r>
      <w:r>
        <w:rPr>
          <w:rFonts w:ascii="Times New Roman;sans-serif" w:hAnsi="Times New Roman;sans-serif"/>
          <w:b w:val="false"/>
          <w:color w:val="2B2A29"/>
          <w:sz w:val="20"/>
        </w:rPr>
        <w:t>which has been reflected in these unaudited condensed combined financial statements. These condensed combined financial statements reflect the historical results of operations, financial position and cash flows of the Company.</w:t>
      </w:r>
    </w:p>
    <w:p>
      <w:pPr>
        <w:pStyle w:val="TextBody"/>
        <w:spacing w:lineRule="auto" w:line="276" w:before="120" w:after="120"/>
        <w:jc w:val="both"/>
        <w:rPr/>
      </w:pPr>
      <w:r>
        <w:rPr>
          <w:rFonts w:ascii="Times New Roman;sans-serif" w:hAnsi="Times New Roman;sans-serif"/>
          <w:b w:val="false"/>
          <w:color w:val="2B2A29"/>
          <w:sz w:val="20"/>
        </w:rPr>
        <w:t xml:space="preserve">In February 2022 and in connection with separation and distribution, embecta issued $500.0 million of senior secured 5.00% notes due February 15, 2030. Furthermore, on March 31, 2022 and also in connection with the spin off, embecta issued to BD $200.0 million of senior secured </w:t>
      </w:r>
      <w:r>
        <w:rPr>
          <w:rFonts w:ascii="Times New Roman;sans-serif" w:hAnsi="Times New Roman;sans-serif"/>
          <w:b w:val="false"/>
          <w:color w:val="000000"/>
          <w:sz w:val="20"/>
        </w:rPr>
        <w:t>6.75%</w:t>
      </w:r>
      <w:r>
        <w:rPr>
          <w:color w:val="2B2A29"/>
        </w:rPr>
        <w:t xml:space="preserve"> </w:t>
      </w:r>
      <w:r>
        <w:rPr>
          <w:rFonts w:ascii="Times New Roman;sans-serif" w:hAnsi="Times New Roman;sans-serif"/>
          <w:b w:val="false"/>
          <w:color w:val="2B2A29"/>
          <w:sz w:val="20"/>
        </w:rPr>
        <w:t xml:space="preserve">notes due February 2030, entered into a $950.0 million senior secured seven-year term loan B facility, and entered into a $500.0 million senior secured five-year credit facility. </w:t>
      </w:r>
    </w:p>
    <w:p>
      <w:pPr>
        <w:pStyle w:val="TextBody"/>
        <w:spacing w:lineRule="auto" w:line="27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Refer to Note 3 and Note 10 for further details regarding the related party notes and long-term debt.</w:t>
      </w:r>
    </w:p>
    <w:p>
      <w:pPr>
        <w:pStyle w:val="TextBody"/>
        <w:spacing w:lineRule="auto" w:line="27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On February 1, 2022, BD’s Board of Directors approved the spin off of the Diabetes Care Business. On February 10, 2022, the Securities and Exchange Commission ("SEC") declared effective embecta’s Registration Statement on Form 10, as amended. The spin off occurred by means of a pro-rata distribution of all of embecta’s issued and outstanding shares of common stock on the basis of one share of embecta common stock for every five shares of BD common stock held as of the close of business on March 22, 2022, the record date for the distribution. The distribution, which qualified as tax-free to BD and its shareholders for U.S. federal income tax purposes, was completed on April 1, 2022.</w:t>
      </w:r>
    </w:p>
    <w:p>
      <w:pPr>
        <w:pStyle w:val="TextBody"/>
        <w:spacing w:lineRule="auto" w:line="27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 xml:space="preserve">Upon completion of the distribution, embecta became an independent, publicly traded company and BD retained no ownership interest. “When-issued” trading of embecta common stock began on the record date of March 22, 2022, under the ticker symbol “EMBCV”, and continued until the distribution date. “Regular-way” trading of embecta common stock began on the spin off date of April 1, 2022, under the ticker symbol of “EMBC”. </w:t>
      </w:r>
    </w:p>
    <w:p>
      <w:pPr>
        <w:pStyle w:val="TextBody"/>
        <w:spacing w:lineRule="auto" w:line="288"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In connection with the spin off, BD and embecta entered into various agreements to effect the spin off and provide a framework for the relationship between BD and embecta after the spin off, including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w:t>
      </w:r>
    </w:p>
    <w:p>
      <w:pPr>
        <w:pStyle w:val="TextBody"/>
        <w:spacing w:lineRule="auto" w:line="27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 xml:space="preserve">Refer to Note 14 for further details regarding the spin off. </w:t>
      </w:r>
    </w:p>
    <w:p>
      <w:pPr>
        <w:pStyle w:val="TextBody"/>
        <w:spacing w:lineRule="auto" w:line="276"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Basis of Presentation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condensed combined financial statements have been derived from BD’s historical accounting records and were prepared on a standalone basis in accordance with U.S. generally accepted accounting principles (“GAAP”) and pursuant to the rules and regulations of the SEC. The assets, liabilities, revenue and expenses of the Company have been reflected in these condensed combined financial statements on a historical cost basis, as included in the consolidated financial statements of BD, using the historical accounting policies applied by BD. Historically, separate financial statements have not been prepared for the Company and it has not operated as a standalone business from BD. The historical results of operations, financial position, and cash flows of the Company presented in these condensed combined financial statements may not be indicative of what they would have been had the Company actually been an independent standalone public company, nor are they necessarily indicative of the Company’s future results of operations, financial position, and cash flows. The results of operations for the interim periods are not necessarily indicative of the results of operations to be expected for the full year.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combined financial statements have been prepared in accordance with the instructions to Form 10-Q and, in the opinion of management, include all adjustments which are of a normal recurring nature, necessary for a fair presentation of the financial position and the results of operations and cash flows for the periods presented. The accounting policies and basis of preparation adopted in the preparation of these condensed combined financial statements are consistent with those followed in the preparation of the Company’s combined financial statements issued for the year ended September 30, 2021. However, the financial statements do not include all information and accompanying notes required for a presentation in accordance with GAAP. These condensed combined financial statements should be read in </w:t>
      </w: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7860"/>
                <wp:effectExtent l="0" t="0" r="0" b="0"/>
                <wp:wrapNone/>
                <wp:docPr id="8" name="Frame8"/>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5</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conjunction with the audited combined financial statements and the notes thereto included in the Company’s Registration Statement on Form 10. All intercompany transactions and accounts within the Diabetes Care Business have been eliminated.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income taxes for the three and six months ended March 31, 2022 and 2021 was calculated by applying an estimated annual effective income tax rate for the full year to ordinary income adjusted by the tax impact of discrete items. </w:t>
      </w:r>
    </w:p>
    <w:p>
      <w:pPr>
        <w:pStyle w:val="TextBody"/>
        <w:spacing w:lineRule="auto" w:line="276"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Use of Estimates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GAAP requires management to make estimates and assumptions. These estimates or assumptions affect reported assets, liabilities, revenues and expenses, including determining the allocation of shared costs and expenses from BD, depreciable and amortizable lives, sales returns and allowances, rebate accruals, inventory reserves and taxes on income as reflected in the condensed combined financial statements. Actual results could differ from these estimates.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2 — Parent’s Equity </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certain components of Parent’s Equity were as follows: </w:t>
      </w:r>
    </w:p>
    <w:tbl>
      <w:tblPr>
        <w:tblW w:w="6488" w:type="dxa"/>
        <w:jc w:val="left"/>
        <w:tblInd w:w="0" w:type="dxa"/>
        <w:tblCellMar>
          <w:top w:w="28" w:type="dxa"/>
          <w:left w:w="28" w:type="dxa"/>
          <w:bottom w:w="28" w:type="dxa"/>
          <w:right w:w="28" w:type="dxa"/>
        </w:tblCellMar>
      </w:tblPr>
      <w:tblGrid>
        <w:gridCol w:w="814"/>
        <w:gridCol w:w="716"/>
        <w:gridCol w:w="719"/>
        <w:gridCol w:w="231"/>
        <w:gridCol w:w="675"/>
        <w:gridCol w:w="129"/>
        <w:gridCol w:w="109"/>
        <w:gridCol w:w="109"/>
        <w:gridCol w:w="109"/>
        <w:gridCol w:w="292"/>
        <w:gridCol w:w="851"/>
        <w:gridCol w:w="163"/>
        <w:gridCol w:w="109"/>
        <w:gridCol w:w="109"/>
        <w:gridCol w:w="109"/>
        <w:gridCol w:w="248"/>
        <w:gridCol w:w="801"/>
        <w:gridCol w:w="195"/>
      </w:tblGrid>
      <w:tr>
        <w:trPr/>
        <w:tc>
          <w:tcPr>
            <w:tcW w:w="8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35"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Net Parent</w:t>
            </w:r>
          </w:p>
          <w:p>
            <w:pPr>
              <w:pStyle w:val="TableContents"/>
              <w:spacing w:lineRule="auto" w:line="276" w:before="0" w:after="0"/>
              <w:jc w:val="center"/>
              <w:rPr/>
            </w:pPr>
            <w:r>
              <w:rPr>
                <w:rFonts w:ascii="Times New Roman;sans-serif" w:hAnsi="Times New Roman;sans-serif"/>
                <w:b/>
                <w:color w:val="000000"/>
                <w:sz w:val="18"/>
              </w:rPr>
              <w:t>Investment</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spacing w:lineRule="auto" w:line="276" w:before="0" w:after="0"/>
              <w:jc w:val="center"/>
              <w:rPr/>
            </w:pPr>
            <w:r>
              <w:rPr>
                <w:rFonts w:ascii="Times New Roman;sans-serif" w:hAnsi="Times New Roman;sans-serif"/>
                <w:b/>
                <w:color w:val="000000"/>
                <w:sz w:val="18"/>
              </w:rPr>
              <w:t>Loss</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Total Parent’s</w:t>
            </w:r>
          </w:p>
          <w:p>
            <w:pPr>
              <w:pStyle w:val="TableContents"/>
              <w:spacing w:lineRule="auto" w:line="276" w:before="0" w:after="0"/>
              <w:ind w:left="0" w:right="0" w:hanging="200"/>
              <w:jc w:val="center"/>
              <w:rPr/>
            </w:pPr>
            <w:r>
              <w:rPr>
                <w:rFonts w:ascii="Times New Roman;sans-serif" w:hAnsi="Times New Roman;sans-serif"/>
                <w:b/>
                <w:color w:val="000000"/>
                <w:sz w:val="18"/>
              </w:rPr>
              <w:t>Equity</w:t>
            </w:r>
            <w:r>
              <w:rPr>
                <w:color w:val="000000"/>
              </w:rPr>
              <w:t xml:space="preserve"> </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October 1, 2021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594.3 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98.8 </w:t>
            </w:r>
          </w:p>
        </w:tc>
        <w:tc>
          <w:tcPr>
            <w:tcW w:w="195"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19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w:t>
            </w:r>
          </w:p>
        </w:tc>
        <w:tc>
          <w:tcPr>
            <w:tcW w:w="9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(133.8)</w:t>
            </w:r>
          </w:p>
        </w:tc>
        <w:tc>
          <w:tcPr>
            <w:tcW w:w="195"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2021</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829.8 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95"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0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195"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w:t>
            </w:r>
          </w:p>
        </w:tc>
        <w:tc>
          <w:tcPr>
            <w:tcW w:w="90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(1,590.5)</w:t>
            </w:r>
          </w:p>
        </w:tc>
        <w:tc>
          <w:tcPr>
            <w:tcW w:w="12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(1,590.5)</w:t>
            </w:r>
          </w:p>
        </w:tc>
        <w:tc>
          <w:tcPr>
            <w:tcW w:w="195"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2022</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(681.1)</w:t>
            </w:r>
          </w:p>
        </w:tc>
        <w:tc>
          <w:tcPr>
            <w:tcW w:w="1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(286.4)</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(967.5)</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6487" w:type="dxa"/>
        <w:jc w:val="left"/>
        <w:tblInd w:w="0" w:type="dxa"/>
        <w:tblCellMar>
          <w:top w:w="28" w:type="dxa"/>
          <w:left w:w="28" w:type="dxa"/>
          <w:bottom w:w="28" w:type="dxa"/>
          <w:right w:w="28" w:type="dxa"/>
        </w:tblCellMar>
      </w:tblPr>
      <w:tblGrid>
        <w:gridCol w:w="814"/>
        <w:gridCol w:w="716"/>
        <w:gridCol w:w="719"/>
        <w:gridCol w:w="235"/>
        <w:gridCol w:w="668"/>
        <w:gridCol w:w="131"/>
        <w:gridCol w:w="109"/>
        <w:gridCol w:w="109"/>
        <w:gridCol w:w="109"/>
        <w:gridCol w:w="292"/>
        <w:gridCol w:w="851"/>
        <w:gridCol w:w="163"/>
        <w:gridCol w:w="109"/>
        <w:gridCol w:w="109"/>
        <w:gridCol w:w="109"/>
        <w:gridCol w:w="269"/>
        <w:gridCol w:w="764"/>
        <w:gridCol w:w="211"/>
      </w:tblGrid>
      <w:tr>
        <w:trPr/>
        <w:tc>
          <w:tcPr>
            <w:tcW w:w="814"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66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8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3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Net Parent</w:t>
            </w:r>
          </w:p>
          <w:p>
            <w:pPr>
              <w:pStyle w:val="TableContents"/>
              <w:spacing w:lineRule="auto" w:line="276" w:before="0" w:after="0"/>
              <w:jc w:val="center"/>
              <w:rPr/>
            </w:pPr>
            <w:r>
              <w:rPr>
                <w:rFonts w:ascii="Times New Roman;sans-serif" w:hAnsi="Times New Roman;sans-serif"/>
                <w:b/>
                <w:color w:val="000000"/>
                <w:sz w:val="18"/>
              </w:rPr>
              <w:t>Investment</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6"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Accumulated</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Other</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Comprehensive</w:t>
            </w:r>
          </w:p>
          <w:p>
            <w:pPr>
              <w:pStyle w:val="TableContents"/>
              <w:spacing w:lineRule="auto" w:line="276" w:before="0" w:after="0"/>
              <w:jc w:val="center"/>
              <w:rPr/>
            </w:pPr>
            <w:r>
              <w:rPr>
                <w:rFonts w:ascii="Times New Roman;sans-serif" w:hAnsi="Times New Roman;sans-serif"/>
                <w:b/>
                <w:color w:val="000000"/>
                <w:sz w:val="18"/>
              </w:rPr>
              <w:t>Loss</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Total Parent’s</w:t>
            </w:r>
          </w:p>
          <w:p>
            <w:pPr>
              <w:pStyle w:val="TableContents"/>
              <w:spacing w:lineRule="auto" w:line="276" w:before="0" w:after="0"/>
              <w:ind w:left="0" w:right="0" w:hanging="200"/>
              <w:jc w:val="center"/>
              <w:rPr/>
            </w:pPr>
            <w:r>
              <w:rPr>
                <w:rFonts w:ascii="Times New Roman;sans-serif" w:hAnsi="Times New Roman;sans-serif"/>
                <w:b/>
                <w:color w:val="000000"/>
                <w:sz w:val="18"/>
              </w:rPr>
              <w:t>Equity</w:t>
            </w:r>
            <w:r>
              <w:rPr>
                <w:color w:val="000000"/>
              </w:rPr>
              <w:t xml:space="preserve"> </w:t>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October 1, 2020</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(261.6)</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572.2 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0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105.3 </w:t>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1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w:t>
            </w:r>
          </w:p>
        </w:tc>
        <w:tc>
          <w:tcPr>
            <w:tcW w:w="90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w:t>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December 31, 2020</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847.3 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90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w:t>
            </w:r>
          </w:p>
        </w:tc>
        <w:tc>
          <w:tcPr>
            <w:tcW w:w="90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21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w:t>
            </w:r>
          </w:p>
        </w:tc>
        <w:tc>
          <w:tcPr>
            <w:tcW w:w="90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w:t>
            </w:r>
          </w:p>
        </w:tc>
        <w:tc>
          <w:tcPr>
            <w:tcW w:w="13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w:t>
            </w:r>
          </w:p>
        </w:tc>
        <w:tc>
          <w:tcPr>
            <w:tcW w:w="211"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Balance, March 31, 2021</w:t>
            </w:r>
          </w:p>
        </w:tc>
        <w:tc>
          <w:tcPr>
            <w:tcW w:w="2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846.0 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(265.3)</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580.7 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3 — Related Party Transactions and Parent Company Investment </w:t>
      </w:r>
    </w:p>
    <w:p>
      <w:pPr>
        <w:pStyle w:val="TextBody"/>
        <w:spacing w:lineRule="auto" w:line="276"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Corporate and Medical Segment Allocations </w:t>
      </w:r>
    </w:p>
    <w:p>
      <w:pPr>
        <w:pStyle w:val="TextBody"/>
        <w:spacing w:lineRule="auto" w:line="276" w:before="120" w:after="120"/>
        <w:jc w:val="both"/>
        <w:rPr/>
      </w:pPr>
      <w:r>
        <w:rPr>
          <w:rFonts w:ascii="Times New Roman;sans-serif" w:hAnsi="Times New Roman;sans-serif"/>
          <w:b w:val="false"/>
          <w:color w:val="000000"/>
          <w:sz w:val="20"/>
        </w:rPr>
        <w:t xml:space="preserve">The Company’s condensed combined financial statements include general corporate expenses of BD and shared segment expenses which were not historically allocated to the Company for certain support functions that are provided on a centralized basis by Parent and not recorded at the business unit level, such as expenses related to finance, human resources, information technology, facilities, and legal, among others (collectively, “General Corporate Expenses”). For purposes of these condensed combined financial statements, the General Corporate Expenses have been allocated to the Company. The General Corporate Expenses are included in the condensed combined statements of income in </w:t>
      </w:r>
      <w:r>
        <w:rPr>
          <w:rFonts w:ascii="Times New Roman;sans-serif" w:hAnsi="Times New Roman;sans-serif"/>
          <w:b w:val="false"/>
          <w:i/>
          <w:color w:val="000000"/>
          <w:sz w:val="20"/>
        </w:rPr>
        <w:t>Cost of products sold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Selling and administrative expense</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i/>
          <w:color w:val="000000"/>
          <w:sz w:val="20"/>
        </w:rPr>
        <w:t>Research and development expense</w:t>
      </w:r>
      <w:r>
        <w:rPr>
          <w:rFonts w:ascii="Times New Roman;sans-serif" w:hAnsi="Times New Roman;sans-serif"/>
          <w:b w:val="false"/>
          <w:color w:val="000000"/>
          <w:sz w:val="20"/>
        </w:rPr>
        <w:t xml:space="preserve">, and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 xml:space="preserve">and, accordingly, as a component of </w:t>
      </w:r>
      <w:r>
        <w:rPr>
          <w:rFonts w:ascii="Times New Roman;sans-serif" w:hAnsi="Times New Roman;sans-serif"/>
          <w:b w:val="false"/>
          <w:i/>
          <w:color w:val="000000"/>
          <w:sz w:val="20"/>
        </w:rPr>
        <w:t xml:space="preserve">Net parent investment </w:t>
      </w:r>
      <w:r>
        <w:rPr>
          <w:rFonts w:ascii="Times New Roman;sans-serif" w:hAnsi="Times New Roman;sans-serif"/>
          <w:b w:val="false"/>
          <w:color w:val="000000"/>
          <w:sz w:val="20"/>
        </w:rPr>
        <w:t xml:space="preserve">on the condensed combined balance sheets. These expenses </w:t>
      </w: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7860"/>
                <wp:effectExtent l="0" t="0" r="0" b="0"/>
                <wp:wrapNone/>
                <wp:docPr id="9" name="Frame9"/>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6</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have been allocated to the Company on a pro rata basis of global and regional revenues, headcount, research and development spend and other drivers. Management believes the assumptions underlying the condensed combined financial statements, including the assumptions regarding allocating General Corporate Expenses from BD, are reasonable. Nevertheless, the condensed combined financial statements may not include all of the actual expenses that would have been incurred and may not reflect the Company’s condensed combined results of operations, financial position and cash flows had it been a standalone public company during the periods presented. Actual costs that would have been incurred if the Company had been a standalone public company would depend on multiple factors, including organizational structure and strategic decisions made in various areas, including information technology and infrastructure. </w:t>
      </w:r>
    </w:p>
    <w:p>
      <w:pPr>
        <w:pStyle w:val="TextBody"/>
        <w:spacing w:lineRule="auto" w:line="276"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allocations of General Corporate Expenses are reflected in the condensed combined statements of income as follows: </w:t>
      </w:r>
    </w:p>
    <w:tbl>
      <w:tblPr>
        <w:tblW w:w="7824" w:type="dxa"/>
        <w:jc w:val="left"/>
        <w:tblInd w:w="0" w:type="dxa"/>
        <w:tblCellMar>
          <w:top w:w="28" w:type="dxa"/>
          <w:left w:w="28" w:type="dxa"/>
          <w:bottom w:w="28" w:type="dxa"/>
          <w:right w:w="28" w:type="dxa"/>
        </w:tblCellMar>
      </w:tblPr>
      <w:tblGrid>
        <w:gridCol w:w="949"/>
        <w:gridCol w:w="834"/>
        <w:gridCol w:w="842"/>
        <w:gridCol w:w="264"/>
        <w:gridCol w:w="628"/>
        <w:gridCol w:w="147"/>
        <w:gridCol w:w="147"/>
        <w:gridCol w:w="147"/>
        <w:gridCol w:w="147"/>
        <w:gridCol w:w="264"/>
        <w:gridCol w:w="628"/>
        <w:gridCol w:w="147"/>
        <w:gridCol w:w="109"/>
        <w:gridCol w:w="109"/>
        <w:gridCol w:w="109"/>
        <w:gridCol w:w="241"/>
        <w:gridCol w:w="573"/>
        <w:gridCol w:w="134"/>
        <w:gridCol w:w="134"/>
        <w:gridCol w:w="134"/>
        <w:gridCol w:w="134"/>
        <w:gridCol w:w="241"/>
        <w:gridCol w:w="573"/>
        <w:gridCol w:w="189"/>
      </w:tblGrid>
      <w:tr>
        <w:trPr/>
        <w:tc>
          <w:tcPr>
            <w:tcW w:w="94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5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administrative expense</w:t>
            </w:r>
          </w:p>
        </w:tc>
        <w:tc>
          <w:tcPr>
            <w:tcW w:w="103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w:t>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47.9</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48.1</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w:t>
            </w:r>
          </w:p>
        </w:tc>
        <w:tc>
          <w:tcPr>
            <w:tcW w:w="10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103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General Corporate Expenses</w:t>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56.4 </w:t>
            </w:r>
          </w:p>
        </w:tc>
        <w:tc>
          <w:tcPr>
            <w:tcW w:w="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Purchases from Parent </w:t>
      </w:r>
    </w:p>
    <w:p>
      <w:pPr>
        <w:pStyle w:val="TextBody"/>
        <w:spacing w:lineRule="auto" w:line="268" w:before="120" w:after="18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purchases from BD certain materials for use in production of certain medical products, the terms of which prior to separation from BD were not at arm’s length. The following table summarizes related party purchases for the three and six month periods ended March 31, 2022 and 2021: </w:t>
      </w:r>
    </w:p>
    <w:tbl>
      <w:tblPr>
        <w:tblW w:w="6924" w:type="dxa"/>
        <w:jc w:val="center"/>
        <w:tblInd w:w="0" w:type="dxa"/>
        <w:tblCellMar>
          <w:top w:w="28" w:type="dxa"/>
          <w:left w:w="28" w:type="dxa"/>
          <w:bottom w:w="28" w:type="dxa"/>
          <w:right w:w="28" w:type="dxa"/>
        </w:tblCellMar>
      </w:tblPr>
      <w:tblGrid>
        <w:gridCol w:w="623"/>
        <w:gridCol w:w="550"/>
        <w:gridCol w:w="552"/>
        <w:gridCol w:w="264"/>
        <w:gridCol w:w="628"/>
        <w:gridCol w:w="147"/>
        <w:gridCol w:w="147"/>
        <w:gridCol w:w="147"/>
        <w:gridCol w:w="147"/>
        <w:gridCol w:w="264"/>
        <w:gridCol w:w="628"/>
        <w:gridCol w:w="147"/>
        <w:gridCol w:w="109"/>
        <w:gridCol w:w="109"/>
        <w:gridCol w:w="109"/>
        <w:gridCol w:w="241"/>
        <w:gridCol w:w="573"/>
        <w:gridCol w:w="134"/>
        <w:gridCol w:w="134"/>
        <w:gridCol w:w="134"/>
        <w:gridCol w:w="134"/>
        <w:gridCol w:w="241"/>
        <w:gridCol w:w="573"/>
        <w:gridCol w:w="189"/>
      </w:tblGrid>
      <w:tr>
        <w:trPr/>
        <w:tc>
          <w:tcPr>
            <w:tcW w:w="623" w:type="dxa"/>
            <w:tcBorders/>
            <w:shd w:fill="auto" w:val="clear"/>
            <w:vAlign w:val="center"/>
          </w:tcPr>
          <w:p>
            <w:pPr>
              <w:pStyle w:val="TableContents"/>
              <w:spacing w:before="0" w:after="283"/>
              <w:rPr>
                <w:sz w:val="4"/>
                <w:szCs w:val="4"/>
              </w:rPr>
            </w:pPr>
            <w:r>
              <w:rPr>
                <w:sz w:val="4"/>
                <w:szCs w:val="4"/>
              </w:rPr>
            </w:r>
          </w:p>
        </w:tc>
        <w:tc>
          <w:tcPr>
            <w:tcW w:w="550" w:type="dxa"/>
            <w:tcBorders/>
            <w:shd w:fill="auto" w:val="clear"/>
            <w:vAlign w:val="center"/>
          </w:tcPr>
          <w:p>
            <w:pPr>
              <w:pStyle w:val="TableContents"/>
              <w:spacing w:before="0" w:after="283"/>
              <w:rPr>
                <w:sz w:val="4"/>
                <w:szCs w:val="4"/>
              </w:rPr>
            </w:pPr>
            <w:r>
              <w:rPr>
                <w:sz w:val="4"/>
                <w:szCs w:val="4"/>
              </w:rPr>
            </w:r>
          </w:p>
        </w:tc>
        <w:tc>
          <w:tcPr>
            <w:tcW w:w="55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62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5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17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7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from Parent</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20.3 </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240" w:after="120"/>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payable to BD for such purchases as of March 31, 2022 and September 30, 2021 were immaterial. </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Parent Company Investment </w:t>
      </w:r>
    </w:p>
    <w:p>
      <w:pPr>
        <w:pStyle w:val="TextBody"/>
        <w:spacing w:lineRule="auto" w:line="276" w:before="120" w:after="283"/>
        <w:jc w:val="both"/>
        <w:rPr/>
      </w:pPr>
      <w:r>
        <w:rPr>
          <w:rFonts w:ascii="Times New Roman;sans-serif" w:hAnsi="Times New Roman;sans-serif"/>
          <w:b w:val="false"/>
          <w:color w:val="000000"/>
          <w:sz w:val="20"/>
        </w:rPr>
        <w:t xml:space="preserve">All significant intercompany transactions between the Company and BD have been included in the condensed combined financial statements and are considered to be effectively settled for cash at the time the transaction is recorded. The total net effect of the settlement of these intercompany transactions is reflected in the condensed combined statements of cash flows as a financing activity and in the condensed combined balance sheets as </w:t>
      </w:r>
      <w:r>
        <w:rPr>
          <w:rFonts w:ascii="Times New Roman;sans-serif" w:hAnsi="Times New Roman;sans-serif"/>
          <w:b w:val="false"/>
          <w:i/>
          <w:color w:val="000000"/>
          <w:sz w:val="20"/>
        </w:rPr>
        <w:t>Net parent investment</w:t>
      </w:r>
      <w:r>
        <w:rPr>
          <w:rFonts w:ascii="Times New Roman;sans-serif" w:hAnsi="Times New Roman;sans-serif"/>
          <w:b w:val="false"/>
          <w:color w:val="000000"/>
          <w:sz w:val="20"/>
        </w:rPr>
        <w:t xml:space="preserve">.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components of net transfers to Parent for the three months ended March 31, 2022 and 2021: </w:t>
      </w:r>
    </w:p>
    <w:p>
      <w:pPr>
        <w:pStyle w:val="TextBody"/>
        <w:spacing w:before="0" w:after="0"/>
        <w:jc w:val="both"/>
        <w:rPr/>
      </w:pPr>
      <w:r>
        <w:rPr/>
      </w:r>
    </w:p>
    <w:tbl>
      <w:tblPr>
        <w:tblW w:w="7197" w:type="dxa"/>
        <w:jc w:val="left"/>
        <w:tblInd w:w="0" w:type="dxa"/>
        <w:tblCellMar>
          <w:top w:w="28" w:type="dxa"/>
          <w:left w:w="28" w:type="dxa"/>
          <w:bottom w:w="28" w:type="dxa"/>
          <w:right w:w="28" w:type="dxa"/>
        </w:tblCellMar>
      </w:tblPr>
      <w:tblGrid>
        <w:gridCol w:w="1680"/>
        <w:gridCol w:w="1472"/>
        <w:gridCol w:w="1483"/>
        <w:gridCol w:w="225"/>
        <w:gridCol w:w="795"/>
        <w:gridCol w:w="125"/>
        <w:gridCol w:w="125"/>
        <w:gridCol w:w="125"/>
        <w:gridCol w:w="125"/>
        <w:gridCol w:w="225"/>
        <w:gridCol w:w="640"/>
        <w:gridCol w:w="177"/>
      </w:tblGrid>
      <w:tr>
        <w:trPr/>
        <w:tc>
          <w:tcPr>
            <w:tcW w:w="1680" w:type="dxa"/>
            <w:tcBorders/>
            <w:shd w:fill="auto" w:val="clear"/>
            <w:vAlign w:val="center"/>
          </w:tcPr>
          <w:p>
            <w:pPr>
              <w:pStyle w:val="TableContents"/>
              <w:spacing w:before="0" w:after="283"/>
              <w:rPr>
                <w:sz w:val="4"/>
                <w:szCs w:val="4"/>
              </w:rPr>
            </w:pPr>
            <w:r>
              <w:rPr>
                <w:sz w:val="4"/>
                <w:szCs w:val="4"/>
              </w:rPr>
            </w:r>
          </w:p>
        </w:tc>
        <w:tc>
          <w:tcPr>
            <w:tcW w:w="1472"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6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7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Cash pooling and general financing activities</w:t>
            </w:r>
            <w:r>
              <w:rPr>
                <w:rFonts w:ascii="Times New Roman;sans-serif" w:hAnsi="Times New Roman;sans-serif"/>
                <w:b w:val="false"/>
                <w:color w:val="000000"/>
                <w:sz w:val="12"/>
              </w:rPr>
              <w:t>(1)</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segment allocations</w:t>
            </w:r>
          </w:p>
        </w:tc>
        <w:tc>
          <w:tcPr>
            <w:tcW w:w="1145"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deemed settled with Parent</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Consideration paid to Parent in connection with the spin off</w:t>
            </w:r>
          </w:p>
        </w:tc>
        <w:tc>
          <w:tcPr>
            <w:tcW w:w="102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senior secured notes</w:t>
            </w:r>
          </w:p>
        </w:tc>
        <w:tc>
          <w:tcPr>
            <w:tcW w:w="10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5"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463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transfers to Parent, net</w:t>
            </w:r>
          </w:p>
        </w:tc>
        <w:tc>
          <w:tcPr>
            <w:tcW w:w="102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78.0 </w:t>
            </w:r>
          </w:p>
        </w:tc>
        <w:tc>
          <w:tcPr>
            <w:tcW w:w="1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r>
      <w:tr>
        <w:trPr/>
        <w:tc>
          <w:tcPr>
            <w:tcW w:w="463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 (Note 2)</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1,590.5 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109.2 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657860"/>
                <wp:effectExtent l="0" t="0" r="0" b="0"/>
                <wp:wrapNone/>
                <wp:docPr id="10" name="Frame10"/>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7</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80" w:after="283"/>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The nature of activities includes financing activities for capital transfers, cash sweeps and other treasury services. As part of this activity, cash balances are swept to BD on a daily basis under the BD Treasury function and the Company receives capital from BD for its cash needs.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components of the net transfers to Parent for the six months ended March 31, 2022 and 2021:</w:t>
      </w:r>
    </w:p>
    <w:tbl>
      <w:tblPr>
        <w:tblW w:w="8653" w:type="dxa"/>
        <w:jc w:val="left"/>
        <w:tblInd w:w="0" w:type="dxa"/>
        <w:tblCellMar>
          <w:top w:w="28" w:type="dxa"/>
          <w:left w:w="28" w:type="dxa"/>
          <w:bottom w:w="28" w:type="dxa"/>
          <w:right w:w="28" w:type="dxa"/>
        </w:tblCellMar>
      </w:tblPr>
      <w:tblGrid>
        <w:gridCol w:w="2277"/>
        <w:gridCol w:w="2007"/>
        <w:gridCol w:w="2016"/>
        <w:gridCol w:w="207"/>
        <w:gridCol w:w="730"/>
        <w:gridCol w:w="115"/>
        <w:gridCol w:w="115"/>
        <w:gridCol w:w="115"/>
        <w:gridCol w:w="115"/>
        <w:gridCol w:w="207"/>
        <w:gridCol w:w="587"/>
        <w:gridCol w:w="162"/>
      </w:tblGrid>
      <w:tr>
        <w:trPr/>
        <w:tc>
          <w:tcPr>
            <w:tcW w:w="2277" w:type="dxa"/>
            <w:tcBorders/>
            <w:shd w:fill="auto" w:val="clear"/>
            <w:vAlign w:val="center"/>
          </w:tcPr>
          <w:p>
            <w:pPr>
              <w:pStyle w:val="TableContents"/>
              <w:spacing w:before="0" w:after="283"/>
              <w:rPr>
                <w:sz w:val="4"/>
                <w:szCs w:val="4"/>
              </w:rPr>
            </w:pPr>
            <w:r>
              <w:rPr>
                <w:sz w:val="4"/>
                <w:szCs w:val="4"/>
              </w:rPr>
            </w:r>
          </w:p>
        </w:tc>
        <w:tc>
          <w:tcPr>
            <w:tcW w:w="2007" w:type="dxa"/>
            <w:tcBorders/>
            <w:shd w:fill="auto" w:val="clear"/>
            <w:vAlign w:val="center"/>
          </w:tcPr>
          <w:p>
            <w:pPr>
              <w:pStyle w:val="TableContents"/>
              <w:spacing w:before="0" w:after="283"/>
              <w:rPr>
                <w:sz w:val="4"/>
                <w:szCs w:val="4"/>
              </w:rPr>
            </w:pPr>
            <w:r>
              <w:rPr>
                <w:sz w:val="4"/>
                <w:szCs w:val="4"/>
              </w:rPr>
            </w:r>
          </w:p>
        </w:tc>
        <w:tc>
          <w:tcPr>
            <w:tcW w:w="2016"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35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200"/>
              <w:jc w:val="left"/>
              <w:rPr/>
            </w:pPr>
            <w:r>
              <w:rPr>
                <w:rFonts w:ascii="Times New Roman;sans-serif" w:hAnsi="Times New Roman;sans-serif"/>
                <w:b w:val="false"/>
                <w:color w:val="000000"/>
                <w:sz w:val="18"/>
              </w:rPr>
              <w:t>Cash pooling and general financing activities</w:t>
            </w:r>
            <w:r>
              <w:rPr>
                <w:rFonts w:ascii="Times New Roman;sans-serif" w:hAnsi="Times New Roman;sans-serif"/>
                <w:b w:val="false"/>
                <w:color w:val="000000"/>
                <w:sz w:val="12"/>
              </w:rPr>
              <w:t>(1)</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and segment allocations, excluding non-cash share-based compensation</w:t>
            </w:r>
          </w:p>
        </w:tc>
        <w:tc>
          <w:tcPr>
            <w:tcW w:w="105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(53.7)</w:t>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deemed settled with Parent</w:t>
            </w:r>
          </w:p>
        </w:tc>
        <w:tc>
          <w:tcPr>
            <w:tcW w:w="105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(26.5)</w:t>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 as reflected in the condensed combined statements of cash flows</w:t>
            </w:r>
          </w:p>
        </w:tc>
        <w:tc>
          <w:tcPr>
            <w:tcW w:w="10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222.9</w:t>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1052"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expense</w:t>
            </w:r>
          </w:p>
        </w:tc>
        <w:tc>
          <w:tcPr>
            <w:tcW w:w="1052"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Consideration paid to Parent in connection with the spin off</w:t>
            </w:r>
          </w:p>
        </w:tc>
        <w:tc>
          <w:tcPr>
            <w:tcW w:w="9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1,266.0 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Related party senior secured notes</w:t>
            </w:r>
          </w:p>
        </w:tc>
        <w:tc>
          <w:tcPr>
            <w:tcW w:w="937"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197.0 </w:t>
            </w:r>
          </w:p>
        </w:tc>
        <w:tc>
          <w:tcPr>
            <w:tcW w:w="1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62"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0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transfers to (from) Parent, net</w:t>
            </w:r>
          </w:p>
        </w:tc>
        <w:tc>
          <w:tcPr>
            <w:tcW w:w="93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w:t>
            </w:r>
          </w:p>
        </w:tc>
        <w:tc>
          <w:tcPr>
            <w:tcW w:w="162"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630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transfers to Parent (Note 2)</w:t>
            </w:r>
          </w:p>
        </w:tc>
        <w:tc>
          <w:tcPr>
            <w:tcW w:w="2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1,724.3 </w:t>
            </w:r>
          </w:p>
        </w:tc>
        <w:tc>
          <w:tcPr>
            <w:tcW w:w="11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201.0 </w:t>
            </w:r>
          </w:p>
        </w:tc>
        <w:tc>
          <w:tcPr>
            <w:tcW w:w="16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40"/>
        <w:rPr/>
      </w:pPr>
      <w:r>
        <w:rPr/>
      </w:r>
    </w:p>
    <w:p>
      <w:pPr>
        <w:pStyle w:val="TextBody"/>
        <w:spacing w:lineRule="auto" w:line="276"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The nature of activities includes financing activities for capital transfers, cash sweeps and other treasury services. As part of this activity, cash balances are swept to BD on a daily basis under the BD Treasury function and the Company receives capital from BD for its cash needs. </w:t>
      </w:r>
    </w:p>
    <w:p>
      <w:pPr>
        <w:pStyle w:val="TextBody"/>
        <w:spacing w:before="0" w:after="0"/>
        <w:jc w:val="both"/>
        <w:rPr/>
      </w:pPr>
      <w:r>
        <w:rPr/>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Related Party Senior Secured Notes</w:t>
      </w:r>
    </w:p>
    <w:p>
      <w:pPr>
        <w:pStyle w:val="TextBody"/>
        <w:spacing w:lineRule="auto" w:line="276" w:before="120" w:after="283"/>
        <w:jc w:val="both"/>
        <w:rPr/>
      </w:pPr>
      <w:r>
        <w:rPr>
          <w:rFonts w:ascii="Times New Roman;sans-serif" w:hAnsi="Times New Roman;sans-serif"/>
          <w:b w:val="false"/>
          <w:color w:val="000000"/>
          <w:sz w:val="20"/>
        </w:rPr>
        <w:t>On March 31, 2022, embecta issued $200.0 million of senior secured notes to BD</w:t>
      </w:r>
      <w:r>
        <w:rPr>
          <w:color w:val="000000"/>
          <w:highlight w:val="white"/>
        </w:rPr>
        <w:t xml:space="preserve"> </w:t>
      </w:r>
      <w:r>
        <w:rPr>
          <w:rFonts w:ascii="Times New Roman;sans-serif" w:hAnsi="Times New Roman;sans-serif"/>
          <w:b w:val="false"/>
          <w:color w:val="000000"/>
          <w:sz w:val="20"/>
          <w:highlight w:val="white"/>
        </w:rPr>
        <w:t>(the "Related Party Notes") at a discount of $3.0 million</w:t>
      </w:r>
      <w:r>
        <w:rPr>
          <w:rFonts w:ascii="Times New Roman;sans-serif" w:hAnsi="Times New Roman;sans-serif"/>
          <w:b w:val="false"/>
          <w:color w:val="000000"/>
          <w:sz w:val="20"/>
        </w:rPr>
        <w:t xml:space="preserve">. The Related Party Notes carry an interest rate of 6.75% and are due February 2030. </w:t>
      </w:r>
      <w:r>
        <w:rPr>
          <w:rFonts w:ascii="Times New Roman;sans-serif" w:hAnsi="Times New Roman;sans-serif"/>
          <w:b w:val="false"/>
          <w:color w:val="2B2A29"/>
          <w:sz w:val="20"/>
        </w:rPr>
        <w:t xml:space="preserve">Interest payments on the Related Party Notes are due semi-annually in February and August until maturity, with the first interest payment due in August 2022. The discount on the Related Party Notes is reported in the condensed combined balance sheet as a reduction of debt that is amortized as a component of interest expense over the term of the debt using the effective interest method. </w:t>
      </w:r>
    </w:p>
    <w:p>
      <w:pPr>
        <w:pStyle w:val="TextBody"/>
        <w:spacing w:lineRule="auto" w:line="276" w:before="120" w:after="283"/>
        <w:jc w:val="both"/>
        <w:rPr>
          <w:rFonts w:ascii="Times New Roman;sans-serif" w:hAnsi="Times New Roman;sans-serif"/>
          <w:b w:val="false"/>
          <w:color w:val="2B2A29"/>
          <w:sz w:val="20"/>
        </w:rPr>
      </w:pPr>
      <w:r>
        <w:rPr>
          <w:rFonts w:ascii="Times New Roman;sans-serif" w:hAnsi="Times New Roman;sans-serif"/>
          <w:b w:val="false"/>
          <w:color w:val="2B2A29"/>
          <w:sz w:val="20"/>
        </w:rPr>
        <w:t xml:space="preserve">The Related Party Notes issued to BD were not issued for cash and instead were subject to a debt-for-debt exchange which occurred on April 1, 2022. As such, the issuance of the Related Party Notes is a non-cash financing activity and is not presented on the condensed combined statements of cash flows for the six months ended March 31, 2022. Refer to Note 14 for further information. </w:t>
      </w:r>
    </w:p>
    <w:p>
      <w:pPr>
        <w:pStyle w:val="TextBody"/>
        <w:spacing w:lineRule="auto" w:line="276" w:before="120" w:after="283"/>
        <w:jc w:val="both"/>
        <w:rPr>
          <w:rFonts w:ascii="Times New Roman;sans-serif" w:hAnsi="Times New Roman;sans-serif"/>
          <w:b w:val="false"/>
          <w:color w:val="2B2A29"/>
          <w:sz w:val="20"/>
        </w:rPr>
      </w:pPr>
      <w:r>
        <w:rPr>
          <w:rFonts w:ascii="Times New Roman;sans-serif" w:hAnsi="Times New Roman;sans-serif"/>
          <w:b w:val="false"/>
          <w:color w:val="2B2A29"/>
          <w:sz w:val="20"/>
        </w:rPr>
        <w:t>The estimated fair value of the Related Party Notes at March 31, 2022 was $200.0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pStyle w:val="TextBody"/>
        <w:spacing w:lineRule="auto" w:line="276" w:before="180" w:after="283"/>
        <w:rPr>
          <w:rFonts w:ascii="Times New Roman;sans-serif" w:hAnsi="Times New Roman;sans-serif"/>
          <w:b w:val="false"/>
          <w:i/>
          <w:color w:val="2B2A29"/>
          <w:sz w:val="20"/>
        </w:rPr>
      </w:pPr>
      <w:r>
        <w:rPr>
          <w:rFonts w:ascii="Times New Roman;sans-serif" w:hAnsi="Times New Roman;sans-serif"/>
          <w:b w:val="false"/>
          <w:i/>
          <w:color w:val="2B2A29"/>
          <w:sz w:val="20"/>
        </w:rPr>
        <w:t>Related Party Trade Receivables Factoring</w:t>
      </w:r>
    </w:p>
    <w:p>
      <w:pPr>
        <w:pStyle w:val="TextBody"/>
        <w:spacing w:lineRule="auto" w:line="276" w:before="120" w:after="283"/>
        <w:jc w:val="both"/>
        <w:rPr/>
      </w:pPr>
      <w:r>
        <w:rPr>
          <w:rFonts w:ascii="Times New Roman;sans-serif" w:hAnsi="Times New Roman;sans-serif"/>
          <w:b w:val="false"/>
          <w:color w:val="000000"/>
          <w:sz w:val="20"/>
        </w:rPr>
        <w:t>As part of the spin off, embecta entered into a trade receivables factoring agreement with BD (the "Factoring Agreement"), under which embecta transfers certain trade receivable assets to BD, and pays a service fee calculated as 0.1% of annual revenues related to countries subject to the Factoring Agreement in exchange for the services provided by BD. Per the terms of the Factoring Agreement, the Company surrenders control of such trade receivables upon transfer. Accordingly, embecta accounts for the transfer as sales of trade receivables by recognizing an increase to</w:t>
      </w:r>
      <w:r>
        <w:rPr>
          <w:color w:val="000000"/>
        </w:rPr>
        <w:t xml:space="preserve"> </w:t>
      </w: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 xml:space="preserve">and a decrease to </w:t>
      </w:r>
      <w:r>
        <w:rPr>
          <w:rFonts w:ascii="Times New Roman;sans-serif" w:hAnsi="Times New Roman;sans-serif"/>
          <w:b w:val="false"/>
          <w:i/>
          <w:color w:val="000000"/>
          <w:sz w:val="20"/>
        </w:rPr>
        <w:t>Trade Receivables, net</w:t>
      </w:r>
      <w:r>
        <w:rPr>
          <w:color w:val="000000"/>
        </w:rPr>
        <w:t xml:space="preserve"> </w:t>
      </w:r>
      <w:r>
        <w:rPr>
          <w:rFonts w:ascii="Times New Roman;sans-serif" w:hAnsi="Times New Roman;sans-serif"/>
          <w:b w:val="false"/>
          <w:color w:val="000000"/>
          <w:sz w:val="20"/>
        </w:rPr>
        <w:t xml:space="preserve">on the condensed combined balance sheets when proceeds from the transactions are received. The transfers are presented on the condensed combined statements of cash flows as operating activities and the related service fee is presented as a component of </w:t>
      </w:r>
      <w:r>
        <w:rPr>
          <w:rFonts w:ascii="Times New Roman;sans-serif" w:hAnsi="Times New Roman;sans-serif"/>
          <w:b w:val="false"/>
          <w:i/>
          <w:color w:val="000000"/>
          <w:sz w:val="20"/>
        </w:rPr>
        <w:t>Other income (expense), net</w:t>
      </w:r>
      <w:r>
        <w:rPr>
          <w:color w:val="000000"/>
        </w:rPr>
        <w:t xml:space="preserve"> </w:t>
      </w:r>
      <w:r>
        <w:rPr>
          <w:rFonts w:ascii="Times New Roman;sans-serif" w:hAnsi="Times New Roman;sans-serif"/>
          <w:b w:val="false"/>
          <w:color w:val="000000"/>
          <w:sz w:val="20"/>
        </w:rPr>
        <w:t xml:space="preserve">in the condensed combined statements of income. </w:t>
      </w:r>
    </w:p>
    <w:p>
      <w:pPr>
        <w:pStyle w:val="TextBody"/>
        <w:spacing w:lineRule="auto" w:line="276" w:before="120" w:after="120"/>
        <w:jc w:val="both"/>
        <w:rPr/>
      </w:pPr>
      <w:r>
        <w:rPr>
          <w:rFonts w:ascii="Times New Roman;sans-serif" w:hAnsi="Times New Roman;sans-serif"/>
          <w:b w:val="false"/>
          <w:color w:val="000000"/>
          <w:sz w:val="20"/>
        </w:rPr>
        <w:t xml:space="preserve">As of March 31, 2022, the Company transferred </w:t>
      </w:r>
      <w:r>
        <w:rPr>
          <w:rFonts w:ascii="Times New Roman;sans-serif" w:hAnsi="Times New Roman;sans-serif"/>
          <w:b w:val="false"/>
          <w:color w:val="2B2A29"/>
          <w:sz w:val="20"/>
        </w:rPr>
        <w:t>$105.2 million</w:t>
      </w:r>
      <w:r>
        <w:rPr>
          <w:color w:val="000000"/>
        </w:rPr>
        <w:t xml:space="preserve"> </w:t>
      </w:r>
      <w:r>
        <w:rPr>
          <w:rFonts w:ascii="Times New Roman;sans-serif" w:hAnsi="Times New Roman;sans-serif"/>
          <w:b w:val="false"/>
          <w:color w:val="000000"/>
          <w:sz w:val="20"/>
        </w:rPr>
        <w:t>of trade receivables to BD pursuant to the Factoring Agreement. The service fee incurred by the Company during the three and six months ended March 31, 2022 was immaterial to the Company's condensed combined financial results.</w:t>
      </w:r>
      <w:r>
        <w:rPr>
          <w:color w:val="EE2724"/>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4 — Spin-off Costs </w:t>
      </w:r>
    </w:p>
    <w:p>
      <w:pPr>
        <w:pStyle w:val="TextBody"/>
        <w:spacing w:lineRule="auto" w:line="276" w:before="120" w:after="120"/>
        <w:jc w:val="both"/>
        <w:rPr/>
      </w:pPr>
      <w:r>
        <w:rPr>
          <w:rFonts w:ascii="Times New Roman;sans-serif" w:hAnsi="Times New Roman;sans-serif"/>
          <w:b w:val="false"/>
          <w:color w:val="000000"/>
          <w:sz w:val="20"/>
        </w:rPr>
        <w:t xml:space="preserve">In connection with the spin off further described in Note 1, the Company incurred separation and stand-up costs of approximately </w:t>
      </w:r>
      <w:r>
        <w:rPr>
          <w:rFonts w:ascii="Times New Roman;sans-serif" w:hAnsi="Times New Roman;sans-serif"/>
          <w:b w:val="false"/>
          <w:color w:val="2B2A29"/>
          <w:sz w:val="20"/>
        </w:rPr>
        <w:t>$7.4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2B2A29"/>
          <w:sz w:val="20"/>
        </w:rPr>
        <w:t>$15.8 million</w:t>
      </w:r>
      <w:r>
        <w:rPr>
          <w:color w:val="000000"/>
        </w:rPr>
        <w:t xml:space="preserve"> </w:t>
      </w:r>
      <w:r>
        <w:rPr>
          <w:rFonts w:ascii="Times New Roman;sans-serif" w:hAnsi="Times New Roman;sans-serif"/>
          <w:b w:val="false"/>
          <w:color w:val="000000"/>
          <w:sz w:val="20"/>
        </w:rPr>
        <w:t xml:space="preserve">during the three and six months ended March 31, 2022, respectively,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657860"/>
                <wp:effectExtent l="0" t="0" r="0" b="0"/>
                <wp:wrapNone/>
                <wp:docPr id="11" name="Frame11"/>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8</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120"/>
        <w:jc w:val="both"/>
        <w:rPr/>
      </w:pPr>
      <w:r>
        <w:rPr>
          <w:rFonts w:ascii="Times New Roman;sans-serif" w:hAnsi="Times New Roman;sans-serif"/>
          <w:b w:val="false"/>
          <w:color w:val="000000"/>
          <w:sz w:val="20"/>
        </w:rPr>
        <w:t xml:space="preserve">reflected within </w:t>
      </w:r>
      <w:r>
        <w:rPr>
          <w:rFonts w:ascii="Times New Roman;sans-serif" w:hAnsi="Times New Roman;sans-serif"/>
          <w:b w:val="false"/>
          <w:i/>
          <w:color w:val="000000"/>
          <w:sz w:val="20"/>
        </w:rPr>
        <w:t>Other operating expenses</w:t>
      </w:r>
      <w:r>
        <w:rPr>
          <w:color w:val="000000"/>
        </w:rPr>
        <w:t xml:space="preserve"> </w:t>
      </w:r>
      <w:r>
        <w:rPr>
          <w:rFonts w:ascii="Times New Roman;sans-serif" w:hAnsi="Times New Roman;sans-serif"/>
          <w:b w:val="false"/>
          <w:color w:val="000000"/>
          <w:sz w:val="20"/>
        </w:rPr>
        <w:t xml:space="preserve">in the condensed combined statements of income. The costs incurred primarily consist of costs associated with legal, supply chain, employee retention and certain other costs to establish certain stand-alone functions to transition to being a stand-alone entity. There were no spin off costs incurred during the three and six months ended March 31, 2021. </w:t>
      </w:r>
    </w:p>
    <w:p>
      <w:pPr>
        <w:pStyle w:val="TextBody"/>
        <w:spacing w:lineRule="auto" w:line="276" w:before="120" w:after="120"/>
        <w:jc w:val="both"/>
        <w:rPr/>
      </w:pPr>
      <w:r>
        <w:rPr>
          <w:rFonts w:ascii="Times New Roman;sans-serif" w:hAnsi="Times New Roman;sans-serif"/>
          <w:b w:val="false"/>
          <w:color w:val="000000"/>
          <w:sz w:val="20"/>
        </w:rPr>
        <w:t xml:space="preserve">The total amount of spin off costs accrued as of March 31, 2022 and September 30, 2021 was approximately </w:t>
      </w:r>
      <w:r>
        <w:rPr>
          <w:rFonts w:ascii="Times New Roman;sans-serif" w:hAnsi="Times New Roman;sans-serif"/>
          <w:b w:val="false"/>
          <w:color w:val="2B2A29"/>
          <w:sz w:val="20"/>
        </w:rPr>
        <w:t>$1.0 million</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2B2A29"/>
          <w:sz w:val="20"/>
        </w:rPr>
        <w:t>$1.6 million</w:t>
      </w:r>
      <w:r>
        <w:rPr>
          <w:rFonts w:ascii="Times New Roman;sans-serif" w:hAnsi="Times New Roman;sans-serif"/>
          <w:b w:val="false"/>
          <w:color w:val="000000"/>
          <w:sz w:val="20"/>
        </w:rPr>
        <w:t xml:space="preserve">, respectively.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5 — Contingencies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regularly monitors and evaluates the status of product liability and other legal matters, and may, from time-to-time, engage in settlement and mediation discussions taking into consideration developments in the matters and the risks and uncertainties surrounding litigation. These discussions could result in settlements of one or more of these claims at any time. The Company has not identified material legal matters where it believes an unfavorable, material outcome is probable and estimable and, therefore, no reserve is established. Although management currently believes that resolving claims against the Company, including claims where an unfavorable outcome is reasonably possible, will not have a material impact on the liquidity, results of operations, or financial condition of the Company, these matters are subject to inherent uncertainties and management’s view of these matters may change in the future. It is possible that an unfavorable outcome resulting from legal matters or other contingencies could have a material impact on the liquidity, results of operations or financial condition of the Company.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Significant judgment is required in both the determination of probability of loss and the determination as to whether the amount can be reasonably estimated. Accruals are based only on information available at the time of the assessment, due to the uncertain nature of such matters. As additional information becomes available, management reassesses potential liabilities related to pending claims and litigation and may revise its previous estimates, which could materially affect the Company’s results of operations in a given period. The Company was not a party to any material legal proceedings at March 31, 2022 or September 30, 2021, nor is it a party to any material legal proceedings as of the date of issuance of these condensed combined financial statements.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6 — Revenues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policies for recognizing sales have not changed from those described in the Company’s Registration Statement on Form 10. The Company sells syringes, pen needles and other products used in the treatment of diabetes which are sold to wholesalers and distributors, which in turn sell these products to customers through retail and acute care hospitals, clinics and other institutional channels. End-users of the Company’s products include healthcare institutions, physicians, life science researchers, clinical laboratories, the pharmaceutical industry, and the general public. </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Measurement of Revenues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terms extended to the Company’s customers are based upon commercially reasonable terms for the markets in which the Company’s products are sold. Because the Company generally expects to receive payment within one year or less from when control of a product is transferred to the customer, the Company does not generally adjust its revenues for the effects of a financing component. The Company’s allowance for doubtful accounts reflects the current estimate of credit losses expected to be incurred over the life of its trade receivables. Such estimated credit losses are determined based on historical loss experiences, customer specific credit risk, and reasonable and supportable forward-looking information, such as country or regional risks that are not captured in the historical loss information. Amounts are written off against the allowances for doubtful accounts when the Company determines that a customer account is uncollectible. The allowance for doubtful accounts for trade receivables is not material to the Company’s condensed combined financial results. </w:t>
      </w:r>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gross revenues are subject to a variety of deductions which are recorded in the same period that the underlying revenues are recognized. Such variable consideration includes rebates, sales discounts, and sales returns. Because these deductions represent estimates of the related obligations, judgment is required when determining the impact of these revenue deductions on gross revenues for a reporting period. Rebates provided by the Company are based upon prices determined under the Company’s agreements primarily with its end-user customers. Additional factors considered in the estimate of the Company’s rebate liability include the quantification of inventory that is either in stock at or in transit to the Company’s distributors, as well as the estimated lag time between the sale of product and the payment of corresponding rebates. The Company’s rebate liability at March 31, 2022 and September 30, 2021 was $43.1 million and $71.7 million, respectively. Rebates recorded as a reduction of gross revenues during the three months ended March 31, 2022 and 2021 were $69.1 million and $71.0 million, respectively. Rebates recorded as a reduction of gross revenues during the six months ended March 31, 2022 and 2021 were $145.5 million and $143.1 million, respectively. Sales discounts and sales returns were not material.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657860"/>
                <wp:effectExtent l="0" t="0" r="0" b="0"/>
                <wp:wrapNone/>
                <wp:docPr id="12" name="Frame12"/>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9</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Disaggregation of Revenues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Disaggregation of revenue by geographic region is provided within Note 7. </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Assets and Liabilities </w:t>
      </w:r>
    </w:p>
    <w:p>
      <w:pPr>
        <w:pStyle w:val="TextBody"/>
        <w:spacing w:lineRule="auto" w:line="276" w:before="120" w:after="283"/>
        <w:jc w:val="both"/>
        <w:rPr/>
      </w:pPr>
      <w:r>
        <w:rPr>
          <w:rFonts w:ascii="Times New Roman;sans-serif" w:hAnsi="Times New Roman;sans-serif"/>
          <w:b w:val="false"/>
          <w:color w:val="000000"/>
          <w:sz w:val="20"/>
        </w:rPr>
        <w:t xml:space="preserve">The Company does not have contract liabilities. Contract assets consist of the Company’s right to consideration that is conditional upon its future performance pursuant to private label agreements and are presented within </w:t>
      </w:r>
      <w:r>
        <w:rPr>
          <w:rFonts w:ascii="Times New Roman;sans-serif" w:hAnsi="Times New Roman;sans-serif"/>
          <w:b w:val="false"/>
          <w:i/>
          <w:color w:val="000000"/>
          <w:sz w:val="20"/>
        </w:rPr>
        <w:t>Prepaid expenses and other</w:t>
      </w:r>
      <w:r>
        <w:rPr>
          <w:color w:val="000000"/>
        </w:rPr>
        <w:t xml:space="preserve"> </w:t>
      </w:r>
      <w:r>
        <w:rPr>
          <w:rFonts w:ascii="Times New Roman;sans-serif" w:hAnsi="Times New Roman;sans-serif"/>
          <w:b w:val="false"/>
          <w:color w:val="000000"/>
          <w:sz w:val="20"/>
        </w:rPr>
        <w:t xml:space="preserve">on the condensed combined balance sheets.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contract asset balance was $1.5 million as of March 31, 2022 and $1.4 million as of September 30, 2021.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7 — Segment and Geographical Data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identified as components of an enterprise in which discrete financial information is available for evaluation by the chief operating decision-maker (“CODM”) in making decisions regarding assessing business performance and allocating resources and capital. Management has concluded that the Company operates in one segment based upon the information used by the CODM in evaluating the performance of the Company’s business and allocating resources and capital. </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Disaggregation of Revenues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distribution agreements with regional or national distributors (including wholesalers and medical suppliers) to ensure broad availability of its products as well as a direct sales force in certain countries and regions around the world. In the United States and Canada, the Company utilizes its field-based sales representatives and internal sales teams. In certain markets within Europe, the Company has dedicated sales representatives and in certain regions of the Middle East and Africa, the Company has distribution agreements. In Greater Asia, the Company has distribution agreements and in China, the Company relies on its own commercial team to support sales execution. In Latin America, the Company maintains distribution agreements and direct sales representatives.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disaggregates its revenue by geography as management believes this category best depicts how the nature, amount and timing of revenues and cash flows are affected by economic factors. </w:t>
      </w:r>
    </w:p>
    <w:p>
      <w:pPr>
        <w:pStyle w:val="TextBody"/>
        <w:spacing w:lineRule="auto" w:line="276" w:before="12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Revenues by geographic region are as follows: </w:t>
      </w:r>
    </w:p>
    <w:tbl>
      <w:tblPr>
        <w:tblW w:w="6353" w:type="dxa"/>
        <w:jc w:val="left"/>
        <w:tblInd w:w="0" w:type="dxa"/>
        <w:tblCellMar>
          <w:top w:w="28" w:type="dxa"/>
          <w:left w:w="28" w:type="dxa"/>
          <w:bottom w:w="28" w:type="dxa"/>
          <w:right w:w="28" w:type="dxa"/>
        </w:tblCellMar>
      </w:tblPr>
      <w:tblGrid>
        <w:gridCol w:w="417"/>
        <w:gridCol w:w="367"/>
        <w:gridCol w:w="371"/>
        <w:gridCol w:w="241"/>
        <w:gridCol w:w="684"/>
        <w:gridCol w:w="134"/>
        <w:gridCol w:w="134"/>
        <w:gridCol w:w="134"/>
        <w:gridCol w:w="134"/>
        <w:gridCol w:w="241"/>
        <w:gridCol w:w="684"/>
        <w:gridCol w:w="134"/>
        <w:gridCol w:w="109"/>
        <w:gridCol w:w="109"/>
        <w:gridCol w:w="109"/>
        <w:gridCol w:w="220"/>
        <w:gridCol w:w="625"/>
        <w:gridCol w:w="122"/>
        <w:gridCol w:w="122"/>
        <w:gridCol w:w="122"/>
        <w:gridCol w:w="122"/>
        <w:gridCol w:w="220"/>
        <w:gridCol w:w="625"/>
        <w:gridCol w:w="173"/>
      </w:tblGrid>
      <w:tr>
        <w:trPr/>
        <w:tc>
          <w:tcPr>
            <w:tcW w:w="417"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68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520"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02"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hanging="200"/>
              <w:jc w:val="left"/>
              <w:rPr/>
            </w:pPr>
            <w:r>
              <w:rPr>
                <w:rFonts w:ascii="Times New Roman;sans-serif" w:hAnsi="Times New Roman;sans-serif"/>
                <w:b w:val="false"/>
                <w:color w:val="000000"/>
                <w:sz w:val="18"/>
              </w:rPr>
              <w:t>International</w:t>
            </w:r>
            <w:r>
              <w:rPr>
                <w:rFonts w:ascii="Times New Roman;sans-serif" w:hAnsi="Times New Roman;sans-serif"/>
                <w:b w:val="false"/>
                <w:color w:val="000000"/>
                <w:sz w:val="12"/>
              </w:rPr>
              <w:t>(1)</w:t>
            </w:r>
          </w:p>
        </w:tc>
        <w:tc>
          <w:tcPr>
            <w:tcW w:w="105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w:t>
            </w:r>
          </w:p>
        </w:tc>
        <w:tc>
          <w:tcPr>
            <w:tcW w:w="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271.6</w:t>
            </w:r>
          </w:p>
        </w:tc>
      </w:tr>
      <w:tr>
        <w:trPr/>
        <w:tc>
          <w:tcPr>
            <w:tcW w:w="115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6"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During the three and six months ended March 31, 2022 and 2021, no individual country outside of the United States generated revenue that represented more than 10.0% of total revenues.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8 — Share-Based Compensation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disclosure represents share-based compensation attributable to the Company based on the awards and terms previously granted to Company employees under BD share-based payment plans, and is representative of only those employees who are dedicated to the Company unless otherwise noted. Share-based compensation allocated to the Company for BD Corporate and Medical Segment employees who are not dedicated to the Company are included as a component of corporate allocations. The allocation of share-based compensation for BD Corporate and Medical Segment employees was $1.1 million and $1.1 million for the three months ended March 31, 2022 and 2021, respectively, and $2.7 million and $2.7 million for the six months ended March 31, 2022 and 2021, respectively.</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Share-Based Compensation Expense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share-based payments is recognized as compensation expense. BD estimates forfeitures based on experience at the time of grant and adjusts expense to reflect actual forfeitures.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657860"/>
                <wp:effectExtent l="0" t="0" r="0" b="0"/>
                <wp:wrapNone/>
                <wp:docPr id="13" name="Frame13"/>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10</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amounts and location of compensation cost relating to both the Company’s employees and an allocation for BD Corporate and Medical Segment employees included in the condensed combined statements of income is as follows: </w:t>
      </w:r>
    </w:p>
    <w:tbl>
      <w:tblPr>
        <w:tblW w:w="10205" w:type="dxa"/>
        <w:jc w:val="center"/>
        <w:tblInd w:w="0" w:type="dxa"/>
        <w:tblCellMar>
          <w:top w:w="28" w:type="dxa"/>
          <w:left w:w="28" w:type="dxa"/>
          <w:bottom w:w="28" w:type="dxa"/>
          <w:right w:w="28" w:type="dxa"/>
        </w:tblCellMar>
      </w:tblPr>
      <w:tblGrid>
        <w:gridCol w:w="1830"/>
        <w:gridCol w:w="1602"/>
        <w:gridCol w:w="1615"/>
        <w:gridCol w:w="289"/>
        <w:gridCol w:w="555"/>
        <w:gridCol w:w="160"/>
        <w:gridCol w:w="160"/>
        <w:gridCol w:w="160"/>
        <w:gridCol w:w="160"/>
        <w:gridCol w:w="289"/>
        <w:gridCol w:w="555"/>
        <w:gridCol w:w="160"/>
        <w:gridCol w:w="109"/>
        <w:gridCol w:w="109"/>
        <w:gridCol w:w="109"/>
        <w:gridCol w:w="264"/>
        <w:gridCol w:w="506"/>
        <w:gridCol w:w="146"/>
        <w:gridCol w:w="146"/>
        <w:gridCol w:w="146"/>
        <w:gridCol w:w="146"/>
        <w:gridCol w:w="264"/>
        <w:gridCol w:w="506"/>
        <w:gridCol w:w="219"/>
      </w:tblGrid>
      <w:tr>
        <w:trPr/>
        <w:tc>
          <w:tcPr>
            <w:tcW w:w="1830" w:type="dxa"/>
            <w:tcBorders/>
            <w:shd w:fill="auto" w:val="clear"/>
            <w:vAlign w:val="center"/>
          </w:tcPr>
          <w:p>
            <w:pPr>
              <w:pStyle w:val="TableContents"/>
              <w:spacing w:before="0" w:after="283"/>
              <w:rPr>
                <w:sz w:val="4"/>
                <w:szCs w:val="4"/>
              </w:rPr>
            </w:pPr>
            <w:r>
              <w:rPr>
                <w:sz w:val="4"/>
                <w:szCs w:val="4"/>
              </w:rPr>
            </w:r>
          </w:p>
        </w:tc>
        <w:tc>
          <w:tcPr>
            <w:tcW w:w="1602"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c>
          <w:tcPr>
            <w:tcW w:w="55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r>
      <w:tr>
        <w:trPr/>
        <w:tc>
          <w:tcPr>
            <w:tcW w:w="504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488"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43" w:type="dxa"/>
            <w:gridSpan w:val="9"/>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50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3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504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4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administrative expense</w:t>
            </w:r>
          </w:p>
        </w:tc>
        <w:tc>
          <w:tcPr>
            <w:tcW w:w="84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4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219"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w:t>
            </w:r>
          </w:p>
        </w:tc>
        <w:tc>
          <w:tcPr>
            <w:tcW w:w="84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219"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47"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Share-Based Compensation Expense</w:t>
            </w:r>
          </w:p>
        </w:tc>
        <w:tc>
          <w:tcPr>
            <w:tcW w:w="2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6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4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3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21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5047"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benefit associated with share-based compensation costs recognized</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9 — Goodwill and Other Intangible Assets </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and Other Intangible Assets consisted of: </w:t>
      </w:r>
    </w:p>
    <w:tbl>
      <w:tblPr>
        <w:tblW w:w="6534" w:type="dxa"/>
        <w:jc w:val="left"/>
        <w:tblInd w:w="0" w:type="dxa"/>
        <w:tblCellMar>
          <w:top w:w="28" w:type="dxa"/>
          <w:left w:w="28" w:type="dxa"/>
          <w:bottom w:w="28" w:type="dxa"/>
          <w:right w:w="28" w:type="dxa"/>
        </w:tblCellMar>
      </w:tblPr>
      <w:tblGrid>
        <w:gridCol w:w="1165"/>
        <w:gridCol w:w="1025"/>
        <w:gridCol w:w="1034"/>
        <w:gridCol w:w="339"/>
        <w:gridCol w:w="807"/>
        <w:gridCol w:w="188"/>
        <w:gridCol w:w="109"/>
        <w:gridCol w:w="109"/>
        <w:gridCol w:w="109"/>
        <w:gridCol w:w="396"/>
        <w:gridCol w:w="942"/>
        <w:gridCol w:w="311"/>
      </w:tblGrid>
      <w:tr>
        <w:trPr/>
        <w:tc>
          <w:tcPr>
            <w:tcW w:w="1165"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4"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942"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4"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2022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September 30, 2021</w:t>
            </w:r>
          </w:p>
        </w:tc>
      </w:tr>
      <w:tr>
        <w:trPr/>
        <w:tc>
          <w:tcPr>
            <w:tcW w:w="322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Amortized intangible assets</w:t>
            </w:r>
          </w:p>
        </w:tc>
        <w:tc>
          <w:tcPr>
            <w:tcW w:w="133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 – gross</w:t>
            </w:r>
          </w:p>
        </w:tc>
        <w:tc>
          <w:tcPr>
            <w:tcW w:w="339"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21.2 </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1146"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311"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 – net</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and Other – gross</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amortization</w:t>
            </w:r>
          </w:p>
        </w:tc>
        <w:tc>
          <w:tcPr>
            <w:tcW w:w="1146"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311"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 and Other – net</w:t>
            </w:r>
          </w:p>
        </w:tc>
        <w:tc>
          <w:tcPr>
            <w:tcW w:w="33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amortized intangible assets</w:t>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15.6 </w:t>
            </w:r>
          </w:p>
        </w:tc>
        <w:tc>
          <w:tcPr>
            <w:tcW w:w="31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Goodwill and Other Intangible Assets</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 amortization expense was $0.3 million and $0.5 million for the three months ended March 31, 2022 and 2021, respectively, and $0.3 million and $0.5 million for the six months ended March 31, 2022 and 2021,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Note 10 — Long-Term Debt</w:t>
      </w:r>
    </w:p>
    <w:p>
      <w:pPr>
        <w:pStyle w:val="TextBody"/>
        <w:spacing w:lineRule="auto" w:line="276" w:before="120" w:after="120"/>
        <w:rPr>
          <w:rFonts w:ascii="Times New Roman;sans-serif" w:hAnsi="Times New Roman;sans-serif"/>
          <w:b w:val="false"/>
          <w:i/>
          <w:color w:val="000000"/>
          <w:sz w:val="20"/>
        </w:rPr>
      </w:pPr>
      <w:r>
        <w:rPr>
          <w:rFonts w:ascii="Times New Roman;sans-serif" w:hAnsi="Times New Roman;sans-serif"/>
          <w:b w:val="false"/>
          <w:i/>
          <w:color w:val="000000"/>
          <w:sz w:val="20"/>
        </w:rPr>
        <w:t>Senior Secured Notes</w:t>
      </w:r>
    </w:p>
    <w:p>
      <w:pPr>
        <w:pStyle w:val="TextBody"/>
        <w:spacing w:lineRule="auto" w:line="276" w:before="0" w:after="0"/>
        <w:jc w:val="both"/>
        <w:rPr/>
      </w:pPr>
      <w:r>
        <w:rPr>
          <w:rFonts w:ascii="Times New Roman;sans-serif" w:hAnsi="Times New Roman;sans-serif"/>
          <w:b w:val="false"/>
          <w:color w:val="000000"/>
          <w:sz w:val="20"/>
        </w:rPr>
        <w:t xml:space="preserve">On February 10, 2022, and in connection with the spin off, embecta issued $500.0 million aggregate principal amount of 5.00% senior secured notes due February 15, 2030 (the “Notes”). </w:t>
      </w:r>
      <w:r>
        <w:rPr>
          <w:rFonts w:ascii="Times New Roman;sans-serif" w:hAnsi="Times New Roman;sans-serif"/>
          <w:b w:val="false"/>
          <w:color w:val="2B2A29"/>
          <w:sz w:val="20"/>
        </w:rPr>
        <w:t>Interest payments on the Notes are due semi-annually in February and August until maturity, with the first interest payment due in August 2022</w:t>
      </w:r>
      <w:r>
        <w:rPr>
          <w:rFonts w:ascii="Times New Roman;sans-serif" w:hAnsi="Times New Roman;sans-serif"/>
          <w:b w:val="false"/>
          <w:color w:val="000000"/>
          <w:sz w:val="20"/>
        </w:rPr>
        <w:t>.</w:t>
      </w:r>
    </w:p>
    <w:p>
      <w:pPr>
        <w:pStyle w:val="TextBody"/>
        <w:spacing w:lineRule="auto" w:line="276"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Credit Agreement</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embecta entered into a credit agreement (the “Credit Agreement”), providing for: </w:t>
      </w:r>
    </w:p>
    <w:p>
      <w:pPr>
        <w:pStyle w:val="TextBody"/>
        <w:spacing w:lineRule="auto" w:line="276" w:before="120" w:after="120"/>
        <w:ind w:left="0" w:right="0" w:hanging="630"/>
        <w:jc w:val="both"/>
        <w:rPr/>
      </w:pPr>
      <w:r>
        <w:rPr>
          <w:color w:val="2B2A29"/>
        </w:rPr>
        <w:t>•</w:t>
      </w:r>
      <w:r>
        <w:rPr>
          <w:rFonts w:ascii="Times New Roman;sans-serif" w:hAnsi="Times New Roman;sans-serif"/>
          <w:b w:val="false"/>
          <w:color w:val="000000"/>
          <w:sz w:val="20"/>
        </w:rPr>
        <w:t xml:space="preserve">a Term Loan B Facility (the "Term Loan") in the amount of $950.0 million, with a </w:t>
      </w:r>
      <w:r>
        <w:rPr>
          <w:rFonts w:ascii="Times New Roman;sans-serif" w:hAnsi="Times New Roman;sans-serif"/>
          <w:b w:val="false"/>
          <w:color w:val="2B2A29"/>
          <w:sz w:val="20"/>
        </w:rPr>
        <w:t>seven</w:t>
      </w:r>
      <w:r>
        <w:rPr>
          <w:rFonts w:ascii="Times New Roman;sans-serif" w:hAnsi="Times New Roman;sans-serif"/>
          <w:b w:val="false"/>
          <w:color w:val="000000"/>
          <w:sz w:val="20"/>
        </w:rPr>
        <w:t xml:space="preserve">-year </w:t>
      </w:r>
      <w:r>
        <w:rPr>
          <w:rFonts w:ascii="Times New Roman;sans-serif" w:hAnsi="Times New Roman;sans-serif"/>
          <w:b w:val="false"/>
          <w:color w:val="2B2A29"/>
          <w:sz w:val="20"/>
        </w:rPr>
        <w:t>term that matures in March 2029. The interest rate is 300 basis points over the secured overnight financing rate (“SOFR”), with a 0.50% SOFR floor. The Term Loan was issued at a discount of 0.50%. As of March 31, 2022, the initial draw of the Term Loan was for a 3-month period at an interest rate of 3.65%. Principal and interest payments on the Term Loan will begin on June 30, 2022. Such quarterly principal payments are calculated as 0.25% of the initial principal amount, with the remaining balance payable upon maturity;</w:t>
      </w:r>
      <w:r>
        <w:rPr>
          <w:color w:val="000000"/>
        </w:rPr>
        <w:t xml:space="preserve"> </w:t>
      </w:r>
      <w:r>
        <w:rPr>
          <w:rFonts w:ascii="Times New Roman;sans-serif" w:hAnsi="Times New Roman;sans-serif"/>
          <w:b w:val="false"/>
          <w:color w:val="000000"/>
          <w:sz w:val="20"/>
        </w:rPr>
        <w:t xml:space="preserve">and </w:t>
      </w:r>
    </w:p>
    <w:p>
      <w:pPr>
        <w:pStyle w:val="TextBody"/>
        <w:spacing w:lineRule="auto" w:line="276" w:before="120" w:after="120"/>
        <w:ind w:left="0" w:right="0" w:hanging="630"/>
        <w:jc w:val="both"/>
        <w:rPr/>
      </w:pPr>
      <w:r>
        <w:rPr>
          <w:color w:val="2B2A29"/>
        </w:rPr>
        <w:t>•</w:t>
      </w:r>
      <w:r>
        <w:rPr>
          <w:rFonts w:ascii="Times New Roman;sans-serif" w:hAnsi="Times New Roman;sans-serif"/>
          <w:b w:val="false"/>
          <w:color w:val="000000"/>
          <w:sz w:val="20"/>
        </w:rPr>
        <w:t xml:space="preserve">a Revolving Credit Facility (the "Revolving Credit Facility") in an aggregate principal amount of up to $500.0 million, with a </w:t>
      </w:r>
      <w:r>
        <w:rPr>
          <w:rFonts w:ascii="Times New Roman;sans-serif" w:hAnsi="Times New Roman;sans-serif"/>
          <w:b w:val="false"/>
          <w:color w:val="2B2A29"/>
          <w:sz w:val="20"/>
        </w:rPr>
        <w:t>five</w:t>
      </w:r>
      <w:r>
        <w:rPr>
          <w:rFonts w:ascii="Times New Roman;sans-serif" w:hAnsi="Times New Roman;sans-serif"/>
          <w:b w:val="false"/>
          <w:color w:val="000000"/>
          <w:sz w:val="20"/>
        </w:rPr>
        <w:t xml:space="preserve">-year term that matures in 2027. </w:t>
      </w:r>
      <w:r>
        <w:rPr>
          <w:rFonts w:ascii="Times New Roman;sans-serif" w:hAnsi="Times New Roman;sans-serif"/>
          <w:b w:val="false"/>
          <w:color w:val="2B2A29"/>
          <w:sz w:val="20"/>
        </w:rPr>
        <w:t xml:space="preserve">Borrowings under the Revolving Credit Facility bear interest, at embecta’s option, at an annual rate equal to (a) in the case of loans denominated in U.S.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sans-serif" w:hAnsi="Times New Roman;sans-serif"/>
          <w:b w:val="false"/>
          <w:color w:val="000000"/>
          <w:sz w:val="20"/>
        </w:rPr>
        <w:t xml:space="preserve">As of March 31, 2022, no amount has been drawn on the Revolving Credit Facility.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657860"/>
                <wp:effectExtent l="0" t="0" r="0" b="0"/>
                <wp:wrapNone/>
                <wp:docPr id="14" name="Frame14"/>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11</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and the indenture for the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embecta's total debt outstanding as of March 31, 2022:</w:t>
      </w:r>
    </w:p>
    <w:tbl>
      <w:tblPr>
        <w:tblW w:w="3797" w:type="dxa"/>
        <w:jc w:val="left"/>
        <w:tblInd w:w="0" w:type="dxa"/>
        <w:tblCellMar>
          <w:top w:w="28" w:type="dxa"/>
          <w:left w:w="28" w:type="dxa"/>
          <w:bottom w:w="28" w:type="dxa"/>
          <w:right w:w="28" w:type="dxa"/>
        </w:tblCellMar>
      </w:tblPr>
      <w:tblGrid>
        <w:gridCol w:w="1051"/>
        <w:gridCol w:w="927"/>
        <w:gridCol w:w="932"/>
        <w:gridCol w:w="196"/>
        <w:gridCol w:w="285"/>
        <w:gridCol w:w="406"/>
      </w:tblGrid>
      <w:tr>
        <w:trPr/>
        <w:tc>
          <w:tcPr>
            <w:tcW w:w="1051"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ind w:left="0" w:right="0" w:hanging="200"/>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Term Loan due 2029</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both"/>
              <w:rPr>
                <w:rFonts w:ascii="Times New Roman;sans-serif" w:hAnsi="Times New Roman;sans-serif"/>
                <w:b w:val="false"/>
                <w:color w:val="000000"/>
                <w:sz w:val="18"/>
              </w:rPr>
            </w:pPr>
            <w:r>
              <w:rPr>
                <w:rFonts w:ascii="Times New Roman;sans-serif" w:hAnsi="Times New Roman;sans-serif"/>
                <w:b w:val="false"/>
                <w:color w:val="000000"/>
                <w:sz w:val="18"/>
              </w:rPr>
              <w:t>5.00% senior secured notes due 2030</w:t>
            </w:r>
          </w:p>
        </w:tc>
        <w:tc>
          <w:tcPr>
            <w:tcW w:w="887"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principal debt issued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1,450.0</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debt obligations</w:t>
            </w:r>
          </w:p>
        </w:tc>
        <w:tc>
          <w:tcPr>
            <w:tcW w:w="887"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r>
      <w:tr>
        <w:trPr/>
        <w:tc>
          <w:tcPr>
            <w:tcW w:w="2910"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debt issuance costs and discounts</w:t>
            </w:r>
          </w:p>
        </w:tc>
        <w:tc>
          <w:tcPr>
            <w:tcW w:w="887"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w:t>
            </w:r>
          </w:p>
        </w:tc>
      </w:tr>
      <w:tr>
        <w:trPr/>
        <w:tc>
          <w:tcPr>
            <w:tcW w:w="2910" w:type="dxa"/>
            <w:gridSpan w:val="3"/>
            <w:tcBorders/>
            <w:shd w:fill="auto" w:val="clear"/>
            <w:tcMar>
              <w:top w:w="0" w:type="dxa"/>
              <w:left w:w="0" w:type="dxa"/>
              <w:bottom w:w="0" w:type="dxa"/>
              <w:right w:w="0" w:type="dxa"/>
            </w:tcMar>
            <w:vAlign w:val="center"/>
          </w:tcPr>
          <w:p>
            <w:pPr>
              <w:pStyle w:val="TableContents"/>
              <w:spacing w:lineRule="auto" w:line="273" w:before="0" w:after="0"/>
              <w:ind w:left="0" w:right="0" w:hanging="200"/>
              <w:jc w:val="left"/>
              <w:rPr/>
            </w:pPr>
            <w:r>
              <w:rPr>
                <w:rFonts w:ascii="Times New Roman;sans-serif" w:hAnsi="Times New Roman;sans-serif"/>
                <w:b w:val="false"/>
                <w:color w:val="000000"/>
                <w:sz w:val="18"/>
              </w:rPr>
              <w:t>Long-term debt</w:t>
            </w:r>
            <w:r>
              <w:rPr>
                <w:rFonts w:ascii="Times New Roman;sans-serif" w:hAnsi="Times New Roman;sans-serif"/>
                <w:b w:val="false"/>
                <w:color w:val="000000"/>
                <w:sz w:val="12"/>
              </w:rPr>
              <w:t>(1)</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gridSpan w:val="2"/>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1,403.7</w:t>
            </w:r>
          </w:p>
        </w:tc>
      </w:tr>
    </w:tbl>
    <w:p>
      <w:pPr>
        <w:pStyle w:val="TextBody"/>
        <w:spacing w:lineRule="auto" w:line="276" w:before="120" w:after="283"/>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9"/>
        </w:rPr>
        <w:t>Excludes Related Party Notes (See Note 3)</w:t>
      </w:r>
      <w:r>
        <w:rPr>
          <w:rFonts w:ascii="Times New Roman;sans-serif" w:hAnsi="Times New Roman;sans-serif"/>
          <w:b w:val="false"/>
          <w:color w:val="000000"/>
          <w:sz w:val="20"/>
        </w:rPr>
        <w:t>.</w:t>
      </w:r>
    </w:p>
    <w:p>
      <w:pPr>
        <w:pStyle w:val="TextBody"/>
        <w:spacing w:lineRule="auto" w:line="27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Long-term debt is recorded at amortized cost. During the three months ended March 31, 2022, embecta incurred approximately $36.7 million of debt issuance costs associated with the Credit Agreement and Note issuances. The Term Loan was issued at a discount of $5.8 million.</w:t>
      </w:r>
    </w:p>
    <w:p>
      <w:pPr>
        <w:pStyle w:val="TextBody"/>
        <w:spacing w:lineRule="auto" w:line="27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 xml:space="preserve">The debt issuance costs on the Term Loan and the Notes and the discount on the Term Loan are reported in the condensed combined balance sheet as a reduction of debt that are amortized as a component of interest expense over the term of the related debt using the effective interest method. The unamortized debt issuance costs related to the Term Loan and the Notes and the discount on the Term Loan approximate $36.8 million as of March 31, 2022. </w:t>
      </w:r>
    </w:p>
    <w:p>
      <w:pPr>
        <w:pStyle w:val="TextBody"/>
        <w:spacing w:lineRule="auto" w:line="276" w:before="120" w:after="120"/>
        <w:jc w:val="both"/>
        <w:rPr/>
      </w:pPr>
      <w:r>
        <w:rPr>
          <w:rFonts w:ascii="Times New Roman;sans-serif" w:hAnsi="Times New Roman;sans-serif"/>
          <w:b w:val="false"/>
          <w:color w:val="2B2A29"/>
          <w:sz w:val="20"/>
        </w:rPr>
        <w:t xml:space="preserve">The debt issuance costs on the Revolving Credit Facility are reported in the condensed combined balance sheet as a component of </w:t>
      </w:r>
      <w:r>
        <w:rPr>
          <w:rFonts w:ascii="Times New Roman;sans-serif" w:hAnsi="Times New Roman;sans-serif"/>
          <w:b w:val="false"/>
          <w:i/>
          <w:color w:val="2B2A29"/>
          <w:sz w:val="20"/>
        </w:rPr>
        <w:t>Other assets</w:t>
      </w:r>
      <w:r>
        <w:rPr>
          <w:color w:val="2B2A29"/>
        </w:rPr>
        <w:t xml:space="preserve"> </w:t>
      </w:r>
      <w:r>
        <w:rPr>
          <w:rFonts w:ascii="Times New Roman;sans-serif" w:hAnsi="Times New Roman;sans-serif"/>
          <w:b w:val="false"/>
          <w:color w:val="2B2A29"/>
          <w:sz w:val="20"/>
        </w:rPr>
        <w:t>and are amortized over the term of the Revolving Credit Facility as a component of interest expense using the effective interest method. The unamortized debt issuance costs related to Revolving Credit Facility approximate $5.6 million as of March 31, 2022.</w:t>
      </w:r>
    </w:p>
    <w:p>
      <w:pPr>
        <w:pStyle w:val="TextBody"/>
        <w:spacing w:lineRule="auto" w:line="276" w:before="120" w:after="120"/>
        <w:jc w:val="both"/>
        <w:rPr/>
      </w:pPr>
      <w:r>
        <w:rPr>
          <w:rFonts w:ascii="Times New Roman;sans-serif" w:hAnsi="Times New Roman;sans-serif"/>
          <w:b w:val="false"/>
          <w:color w:val="2B2A29"/>
          <w:sz w:val="20"/>
        </w:rPr>
        <w:t xml:space="preserve">During the three and six months ended March 31, 2022, embecta incurred approximately $3.4 million of interest expense related to the </w:t>
      </w:r>
      <w:r>
        <w:rPr>
          <w:rFonts w:ascii="Times New Roman;sans-serif" w:hAnsi="Times New Roman;sans-serif"/>
          <w:b w:val="false"/>
          <w:color w:val="000000"/>
          <w:sz w:val="20"/>
        </w:rPr>
        <w:t>$500.0 million</w:t>
      </w:r>
      <w:r>
        <w:rPr>
          <w:color w:val="2B2A29"/>
        </w:rPr>
        <w:t xml:space="preserve"> </w:t>
      </w:r>
      <w:r>
        <w:rPr>
          <w:rFonts w:ascii="Times New Roman;sans-serif" w:hAnsi="Times New Roman;sans-serif"/>
          <w:b w:val="false"/>
          <w:color w:val="2B2A29"/>
          <w:sz w:val="20"/>
        </w:rPr>
        <w:t xml:space="preserve">of senior secured </w:t>
      </w:r>
      <w:r>
        <w:rPr>
          <w:rFonts w:ascii="Times New Roman;sans-serif" w:hAnsi="Times New Roman;sans-serif"/>
          <w:b w:val="false"/>
          <w:color w:val="000000"/>
          <w:sz w:val="20"/>
        </w:rPr>
        <w:t>5.00%</w:t>
      </w:r>
      <w:r>
        <w:rPr>
          <w:color w:val="2B2A29"/>
        </w:rPr>
        <w:t xml:space="preserve"> </w:t>
      </w:r>
      <w:r>
        <w:rPr>
          <w:rFonts w:ascii="Times New Roman;sans-serif" w:hAnsi="Times New Roman;sans-serif"/>
          <w:b w:val="false"/>
          <w:color w:val="2B2A29"/>
          <w:sz w:val="20"/>
        </w:rPr>
        <w:t xml:space="preserve">notes and approximately $1.0 million of interest expense related to the Term Loan. These amounts are included within </w:t>
      </w:r>
      <w:r>
        <w:rPr>
          <w:rFonts w:ascii="Times New Roman;sans-serif" w:hAnsi="Times New Roman;sans-serif"/>
          <w:b w:val="false"/>
          <w:i/>
          <w:color w:val="2B2A29"/>
          <w:sz w:val="20"/>
        </w:rPr>
        <w:t>Interest expense</w:t>
      </w:r>
      <w:r>
        <w:rPr>
          <w:color w:val="2B2A29"/>
        </w:rPr>
        <w:t xml:space="preserve"> </w:t>
      </w:r>
      <w:r>
        <w:rPr>
          <w:rFonts w:ascii="Times New Roman;sans-serif" w:hAnsi="Times New Roman;sans-serif"/>
          <w:b w:val="false"/>
          <w:color w:val="2B2A29"/>
          <w:sz w:val="20"/>
        </w:rPr>
        <w:t>in the condensed combined statements of income.</w:t>
      </w:r>
    </w:p>
    <w:p>
      <w:pPr>
        <w:pStyle w:val="TextBody"/>
        <w:spacing w:lineRule="auto" w:line="27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embecta utilized the aggregate proceeds received from the issuance of the Notes and the Term Loan to make a distribution payment of approximately $1,466.0 million to BD in connection with the spin off. The $1,466.0 million payment to BD for the consideration for assets transferred consisted of $1,266.0 million of cash and $200.0 million of Related Party Notes (see Note 3).</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 of principal payments required on long-term debt for the next five fiscal years and thereafter is as follows:</w:t>
      </w:r>
    </w:p>
    <w:tbl>
      <w:tblPr>
        <w:tblW w:w="1882" w:type="dxa"/>
        <w:jc w:val="center"/>
        <w:tblInd w:w="0" w:type="dxa"/>
        <w:tblCellMar>
          <w:top w:w="28" w:type="dxa"/>
          <w:left w:w="28" w:type="dxa"/>
          <w:bottom w:w="28" w:type="dxa"/>
          <w:right w:w="28" w:type="dxa"/>
        </w:tblCellMar>
      </w:tblPr>
      <w:tblGrid>
        <w:gridCol w:w="304"/>
        <w:gridCol w:w="267"/>
        <w:gridCol w:w="270"/>
        <w:gridCol w:w="196"/>
        <w:gridCol w:w="691"/>
        <w:gridCol w:w="154"/>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ind w:left="0" w:right="0" w:firstLine="490"/>
        <w:jc w:val="both"/>
        <w:rPr>
          <w:rFonts w:ascii="Times New Roman;sans-serif" w:hAnsi="Times New Roman;sans-serif"/>
          <w:b w:val="false"/>
          <w:color w:val="2B2A29"/>
          <w:sz w:val="20"/>
        </w:rPr>
      </w:pPr>
      <w:r>
        <w:rPr>
          <w:rFonts w:ascii="Times New Roman;sans-serif" w:hAnsi="Times New Roman;sans-serif"/>
          <w:b w:val="false"/>
          <w:color w:val="2B2A29"/>
          <w:sz w:val="20"/>
        </w:rPr>
        <w:t>The estimated fair value of long-term debt (including current portion) at March 31, 2022 was $1,409.5 million compared with a carrying value (which includes a reduction for amortized debt issuance costs and discounts) of $1,413.2 million. Fair value was estimated using inputs other than quoted prices in active markets for identical assets and liabilities that are observable either directly or indirectly for substantially the full term of the asset or liability and would be considered Level 2 in the fair value hierarchy.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Note 11 — Earnings per Share</w:t>
      </w:r>
    </w:p>
    <w:p>
      <w:pPr>
        <w:pStyle w:val="TextBody"/>
        <w:spacing w:lineRule="auto" w:line="256" w:before="120" w:after="283"/>
        <w:jc w:val="both"/>
        <w:rPr/>
      </w:pPr>
      <w:r>
        <w:rPr>
          <w:rFonts w:ascii="Times New Roman;sans-serif" w:hAnsi="Times New Roman;sans-serif"/>
          <w:b w:val="false"/>
          <w:color w:val="000000"/>
          <w:sz w:val="20"/>
        </w:rPr>
        <w:t xml:space="preserve">On April 1, 2022, the effective date of the spin off, 57,797,841 shares of embecta's common stock, par value $0.01 per share, were distributed to BD shareholders of record as of March 22, 2022, the record date of the transaction. This share amount is utilized for the calculation of basic and diluted earnings per share for all periods presented prior to the spin off. For the </w:t>
      </w:r>
      <w:r>
        <w:rPr>
          <w:rFonts w:ascii="Times New Roman;sans-serif" w:hAnsi="Times New Roman;sans-serif"/>
          <w:b w:val="false"/>
          <w:color w:val="2B2A29"/>
          <w:sz w:val="20"/>
        </w:rPr>
        <w:t>three and six</w:t>
      </w:r>
      <w:r>
        <w:rPr>
          <w:color w:val="000000"/>
        </w:rPr>
        <w:t xml:space="preserve"> </w:t>
      </w:r>
      <w:r>
        <w:rPr>
          <w:rFonts w:ascii="Times New Roman;sans-serif" w:hAnsi="Times New Roman;sans-serif"/>
          <w:b w:val="false"/>
          <w:color w:val="000000"/>
          <w:sz w:val="20"/>
        </w:rPr>
        <w:t xml:space="preserve">months ended March 31, 2022 and 2021, these shares are treated as issued and outstanding for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657860"/>
                <wp:effectExtent l="0" t="0" r="0" b="0"/>
                <wp:wrapNone/>
                <wp:docPr id="15" name="Frame15"/>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12</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5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purposes of calculating historical earnings per share. For periods prior to the spin off, it is assumed that there are no dilutive equity instruments as there were no equity awards of embecta outstanding prior to the spin off.</w:t>
      </w:r>
    </w:p>
    <w:p>
      <w:pPr>
        <w:pStyle w:val="TextBody"/>
        <w:spacing w:lineRule="auto" w:line="25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On April 1, 2022, embecta also granted 48,192 of potential shares to non-employee directors in the form of restricted stock units ("RSUs"), which vest at the earlier of (i) the first anniversary of the grant date or (ii) the date of the first annual meeting of shareholders, subject to continued employment of the recipients.</w:t>
      </w:r>
    </w:p>
    <w:p>
      <w:pPr>
        <w:pStyle w:val="TextBody"/>
        <w:spacing w:lineRule="auto" w:line="256" w:before="120" w:after="120"/>
        <w:jc w:val="both"/>
        <w:rPr>
          <w:rFonts w:ascii="Times New Roman;sans-serif" w:hAnsi="Times New Roman;sans-serif"/>
          <w:b w:val="false"/>
          <w:color w:val="2B2A29"/>
          <w:sz w:val="20"/>
        </w:rPr>
      </w:pPr>
      <w:r>
        <w:rPr>
          <w:rFonts w:ascii="Times New Roman;sans-serif" w:hAnsi="Times New Roman;sans-serif"/>
          <w:b w:val="false"/>
          <w:color w:val="2B2A29"/>
          <w:sz w:val="20"/>
        </w:rPr>
        <w:t>On April 4, 2022 and in connection with the spin off, embecta granted 860,611 of potential shares to members of the embecta leadership team as a one-time sign-on equity grant, subject to continued employment, comprised of the following:</w:t>
      </w:r>
    </w:p>
    <w:p>
      <w:pPr>
        <w:pStyle w:val="TextBody"/>
        <w:spacing w:lineRule="auto" w:line="256" w:before="120" w:after="120"/>
        <w:ind w:left="0" w:right="0" w:hanging="360"/>
        <w:jc w:val="both"/>
        <w:rPr/>
      </w:pPr>
      <w:r>
        <w:rPr>
          <w:color w:val="2B2A29"/>
        </w:rPr>
        <w:t>•</w:t>
      </w:r>
      <w:r>
        <w:rPr>
          <w:rFonts w:ascii="Times New Roman;sans-serif" w:hAnsi="Times New Roman;sans-serif"/>
          <w:b w:val="false"/>
          <w:color w:val="2B2A29"/>
          <w:sz w:val="20"/>
        </w:rPr>
        <w:t>172,787 grants of time-vested restricted stock units (“TVUs”) which cliff vest on the third anniversary after grant date;</w:t>
      </w:r>
    </w:p>
    <w:p>
      <w:pPr>
        <w:pStyle w:val="TextBody"/>
        <w:spacing w:lineRule="auto" w:line="256" w:before="120" w:after="120"/>
        <w:ind w:left="0" w:right="0" w:hanging="360"/>
        <w:jc w:val="both"/>
        <w:rPr/>
      </w:pPr>
      <w:r>
        <w:rPr>
          <w:color w:val="2B2A29"/>
        </w:rPr>
        <w:t>•</w:t>
      </w:r>
      <w:r>
        <w:rPr>
          <w:rFonts w:ascii="Times New Roman;sans-serif" w:hAnsi="Times New Roman;sans-serif"/>
          <w:b w:val="false"/>
          <w:color w:val="2B2A29"/>
          <w:sz w:val="20"/>
        </w:rPr>
        <w:t>528,167 grants of stock appreciation rights (“SARs”) which cliff vest on the third anniversary after grant date and;</w:t>
      </w:r>
    </w:p>
    <w:p>
      <w:pPr>
        <w:pStyle w:val="TextBody"/>
        <w:spacing w:lineRule="auto" w:line="256" w:before="120" w:after="120"/>
        <w:ind w:left="0" w:right="0" w:hanging="360"/>
        <w:jc w:val="both"/>
        <w:rPr/>
      </w:pPr>
      <w:r>
        <w:rPr>
          <w:color w:val="2B2A29"/>
        </w:rPr>
        <w:t>•</w:t>
      </w:r>
      <w:r>
        <w:rPr>
          <w:rFonts w:ascii="Times New Roman;sans-serif" w:hAnsi="Times New Roman;sans-serif"/>
          <w:b w:val="false"/>
          <w:color w:val="2B2A29"/>
          <w:sz w:val="20"/>
        </w:rPr>
        <w:t>27,653 of TVUs and 132,004 of SARs granted to the CEO which vest evenly over three and four years, respectively.</w:t>
      </w:r>
    </w:p>
    <w:p>
      <w:pPr>
        <w:pStyle w:val="TextBody"/>
        <w:spacing w:lineRule="auto" w:line="256" w:before="120" w:after="180"/>
        <w:jc w:val="both"/>
        <w:rPr>
          <w:rFonts w:ascii="Times New Roman;sans-serif" w:hAnsi="Times New Roman;sans-serif"/>
          <w:b w:val="false"/>
          <w:color w:val="2B2A29"/>
          <w:sz w:val="20"/>
        </w:rPr>
      </w:pPr>
      <w:r>
        <w:rPr>
          <w:rFonts w:ascii="Times New Roman;sans-serif" w:hAnsi="Times New Roman;sans-serif"/>
          <w:b w:val="false"/>
          <w:color w:val="2B2A29"/>
          <w:sz w:val="20"/>
        </w:rPr>
        <w:t>The awards granted to members of embecta's leadership team and non-employee directors were not included in the computation of diluted earnings per share for the three and six months ended March 31, 2022 and 2021.</w:t>
      </w:r>
    </w:p>
    <w:tbl>
      <w:tblPr>
        <w:tblW w:w="8841" w:type="dxa"/>
        <w:jc w:val="center"/>
        <w:tblInd w:w="0" w:type="dxa"/>
        <w:tblCellMar>
          <w:top w:w="28" w:type="dxa"/>
          <w:left w:w="28" w:type="dxa"/>
          <w:bottom w:w="28" w:type="dxa"/>
          <w:right w:w="28" w:type="dxa"/>
        </w:tblCellMar>
      </w:tblPr>
      <w:tblGrid>
        <w:gridCol w:w="1317"/>
        <w:gridCol w:w="1155"/>
        <w:gridCol w:w="1173"/>
        <w:gridCol w:w="252"/>
        <w:gridCol w:w="599"/>
        <w:gridCol w:w="140"/>
        <w:gridCol w:w="140"/>
        <w:gridCol w:w="140"/>
        <w:gridCol w:w="140"/>
        <w:gridCol w:w="252"/>
        <w:gridCol w:w="715"/>
        <w:gridCol w:w="140"/>
        <w:gridCol w:w="109"/>
        <w:gridCol w:w="109"/>
        <w:gridCol w:w="109"/>
        <w:gridCol w:w="220"/>
        <w:gridCol w:w="625"/>
        <w:gridCol w:w="122"/>
        <w:gridCol w:w="122"/>
        <w:gridCol w:w="122"/>
        <w:gridCol w:w="122"/>
        <w:gridCol w:w="220"/>
        <w:gridCol w:w="625"/>
        <w:gridCol w:w="173"/>
      </w:tblGrid>
      <w:tr>
        <w:trPr/>
        <w:tc>
          <w:tcPr>
            <w:tcW w:w="1317" w:type="dxa"/>
            <w:tcBorders/>
            <w:shd w:fill="auto" w:val="clear"/>
            <w:vAlign w:val="center"/>
          </w:tcPr>
          <w:p>
            <w:pPr>
              <w:pStyle w:val="TableContents"/>
              <w:spacing w:before="0" w:after="283"/>
              <w:rPr>
                <w:sz w:val="4"/>
                <w:szCs w:val="4"/>
              </w:rPr>
            </w:pPr>
            <w:r>
              <w:rPr>
                <w:sz w:val="4"/>
                <w:szCs w:val="4"/>
              </w:rPr>
            </w:r>
          </w:p>
        </w:tc>
        <w:tc>
          <w:tcPr>
            <w:tcW w:w="1155"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25"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5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36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42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6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Number of Basic and Diluted Shares Outstanding</w:t>
            </w:r>
          </w:p>
        </w:tc>
        <w:tc>
          <w:tcPr>
            <w:tcW w:w="99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w:t>
            </w:r>
          </w:p>
        </w:tc>
        <w:tc>
          <w:tcPr>
            <w:tcW w:w="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w:t>
            </w:r>
          </w:p>
        </w:tc>
        <w:tc>
          <w:tcPr>
            <w:tcW w:w="3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w:t>
            </w:r>
          </w:p>
        </w:tc>
      </w:tr>
      <w:tr>
        <w:trPr/>
        <w:tc>
          <w:tcPr>
            <w:tcW w:w="36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per share - basic and diluted</w:t>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Note 12 — Financial Instruments and Fair Value Measurements </w:t>
      </w:r>
    </w:p>
    <w:p>
      <w:pPr>
        <w:pStyle w:val="TextBody"/>
        <w:spacing w:lineRule="auto" w:line="276" w:before="120" w:after="120"/>
        <w:jc w:val="both"/>
        <w:rPr/>
      </w:pPr>
      <w:r>
        <w:rPr>
          <w:rFonts w:ascii="Times New Roman;sans-serif" w:hAnsi="Times New Roman;sans-serif"/>
          <w:b w:val="false"/>
          <w:color w:val="000000"/>
          <w:sz w:val="20"/>
        </w:rPr>
        <w:t xml:space="preserve">The following reconciles </w:t>
      </w:r>
      <w:r>
        <w:rPr>
          <w:rFonts w:ascii="Times New Roman;sans-serif" w:hAnsi="Times New Roman;sans-serif"/>
          <w:b w:val="false"/>
          <w:i/>
          <w:color w:val="000000"/>
          <w:sz w:val="20"/>
        </w:rPr>
        <w:t>Cash and cash equivalents</w:t>
      </w:r>
      <w:r>
        <w:rPr>
          <w:color w:val="000000"/>
        </w:rPr>
        <w:t xml:space="preserve"> </w:t>
      </w:r>
      <w:r>
        <w:rPr>
          <w:rFonts w:ascii="Times New Roman;sans-serif" w:hAnsi="Times New Roman;sans-serif"/>
          <w:b w:val="false"/>
          <w:color w:val="000000"/>
          <w:sz w:val="20"/>
        </w:rPr>
        <w:t>reported within the condensed combined balance sheets as of March 31, 2022 and September 30, 2021, to the total amounts shown on the condensed combined statements of cash flows:</w:t>
      </w:r>
    </w:p>
    <w:tbl>
      <w:tblPr>
        <w:tblW w:w="5291" w:type="dxa"/>
        <w:jc w:val="center"/>
        <w:tblInd w:w="0" w:type="dxa"/>
        <w:tblCellMar>
          <w:top w:w="28" w:type="dxa"/>
          <w:left w:w="28" w:type="dxa"/>
          <w:bottom w:w="28" w:type="dxa"/>
          <w:right w:w="28" w:type="dxa"/>
        </w:tblCellMar>
      </w:tblPr>
      <w:tblGrid>
        <w:gridCol w:w="718"/>
        <w:gridCol w:w="629"/>
        <w:gridCol w:w="633"/>
        <w:gridCol w:w="304"/>
        <w:gridCol w:w="862"/>
        <w:gridCol w:w="169"/>
        <w:gridCol w:w="109"/>
        <w:gridCol w:w="109"/>
        <w:gridCol w:w="109"/>
        <w:gridCol w:w="427"/>
        <w:gridCol w:w="886"/>
        <w:gridCol w:w="336"/>
      </w:tblGrid>
      <w:tr>
        <w:trPr/>
        <w:tc>
          <w:tcPr>
            <w:tcW w:w="718"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3" w:type="dxa"/>
            <w:tcBorders/>
            <w:shd w:fill="auto" w:val="clear"/>
            <w:vAlign w:val="center"/>
          </w:tcPr>
          <w:p>
            <w:pPr>
              <w:pStyle w:val="TableContents"/>
              <w:spacing w:before="0" w:after="283"/>
              <w:rPr>
                <w:sz w:val="4"/>
                <w:szCs w:val="4"/>
              </w:rPr>
            </w:pPr>
            <w:r>
              <w:rPr>
                <w:sz w:val="4"/>
                <w:szCs w:val="4"/>
              </w:rPr>
            </w:r>
          </w:p>
        </w:tc>
        <w:tc>
          <w:tcPr>
            <w:tcW w:w="304"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7"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r>
      <w:tr>
        <w:trPr/>
        <w:tc>
          <w:tcPr>
            <w:tcW w:w="19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March 31, 2022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2021</w:t>
            </w:r>
          </w:p>
        </w:tc>
      </w:tr>
      <w:tr>
        <w:trPr/>
        <w:tc>
          <w:tcPr>
            <w:tcW w:w="19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80" w:after="120"/>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and cash equivalents as of March 31, 2022 includes cash held in money market funds and other cash equivalents. All cash and cash equivalents are Level 1 in the fair value hierarchy. </w:t>
      </w:r>
    </w:p>
    <w:p>
      <w:pPr>
        <w:pStyle w:val="TextBody"/>
        <w:spacing w:lineRule="auto" w:line="276" w:before="180" w:after="120"/>
        <w:rPr>
          <w:rFonts w:ascii="Times New Roman;sans-serif" w:hAnsi="Times New Roman;sans-serif"/>
          <w:b w:val="false"/>
          <w:i/>
          <w:color w:val="000000"/>
          <w:sz w:val="20"/>
        </w:rPr>
      </w:pPr>
      <w:r>
        <w:rPr>
          <w:rFonts w:ascii="Times New Roman;sans-serif" w:hAnsi="Times New Roman;sans-serif"/>
          <w:b w:val="false"/>
          <w:i/>
          <w:color w:val="000000"/>
          <w:sz w:val="20"/>
        </w:rPr>
        <w:t xml:space="preserve">Nonrecurring Fair Value Measurements </w:t>
      </w:r>
    </w:p>
    <w:p>
      <w:pPr>
        <w:pStyle w:val="TextBody"/>
        <w:spacing w:lineRule="auto" w:line="276"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Non-financial assets, including property, plant and equipment as well as intangible assets, are measured at fair value when there are indicators of impairment and these assets are recorded at fair value only when an impairment is recognized. These measurements of fair value are generally based upon Level 3 inputs, including values estimated using the income approach. </w:t>
      </w:r>
    </w:p>
    <w:p>
      <w:pPr>
        <w:pStyle w:val="TextBody"/>
        <w:spacing w:lineRule="auto" w:line="276" w:before="120" w:after="120"/>
        <w:jc w:val="both"/>
        <w:rPr/>
      </w:pPr>
      <w:r>
        <w:rPr>
          <w:rFonts w:ascii="Times New Roman;sans-serif" w:hAnsi="Times New Roman;sans-serif"/>
          <w:b w:val="false"/>
          <w:color w:val="000000"/>
          <w:sz w:val="20"/>
        </w:rPr>
        <w:t xml:space="preserve">During the six months ended March 31, 2021, the Company recorded impairment charges related to certain construction in progress assets related to discontinued projects totaling $10.0 million. The impairment charges were recorded to adjust the carrying amount of the assets to the assets’ fair values, which were estimated through a discounted cash flow model that utilized Level 3 inputs. The impairment charges are recognized within </w:t>
      </w:r>
      <w:r>
        <w:rPr>
          <w:rFonts w:ascii="Times New Roman;sans-serif" w:hAnsi="Times New Roman;sans-serif"/>
          <w:b w:val="false"/>
          <w:i/>
          <w:color w:val="000000"/>
          <w:sz w:val="20"/>
        </w:rPr>
        <w:t xml:space="preserve">Cost of products sold </w:t>
      </w:r>
      <w:r>
        <w:rPr>
          <w:rFonts w:ascii="Times New Roman;sans-serif" w:hAnsi="Times New Roman;sans-serif"/>
          <w:b w:val="false"/>
          <w:color w:val="000000"/>
          <w:sz w:val="20"/>
        </w:rPr>
        <w:t xml:space="preserve">in the condensed combined statement of income. There were no impairment charges during the three and six months ended March 31, 2022. </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Concentration of Credit Risk </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2022, the Company’s operations form part of BD’s monitoring of concentrations of credit risk associated with financial institutions with which BD conducts business. Therefore, the Company is exposed to credit loss in the event of nonperformance by such financial institutions. However, this loss is limited to the amounts, if any, by which the obligations of the counterparty to the financial instrument contract exceed the obligations of BD. BD also minimizes exposure to credit risk by dealing with a diversified group of major financial institutions. </w:t>
      </w:r>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Substantially all of the Company’s trade receivables are due from public and private entities involved in the healthcare industry. The Company does not normally require collateral from its customers. As of March 31, 2022, the Company had transferred the majority of its trade receivables to BD under the Factoring Agreement (see Note 3). As a result, the Company is no longer exposed to credit risk associated with those transferred receivables and does not have material credit risk exposure associated with the remaining $15.2 million of trade receivables. Three of the Company’s customers represent at least 10.0% of total revenues individually and, in the aggregate, represent approximately 43.6% for the three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657860"/>
                <wp:effectExtent l="0" t="0" r="0" b="0"/>
                <wp:wrapNone/>
                <wp:docPr id="16" name="Frame16"/>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13</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months ended March 31, 2022, and two customers represent at least 10.0% of total revenues individually and, in the aggregate, represent 31.2% of total revenues for the six months ended March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Note 13 — Property, Plant and Equipment</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consisted of: </w:t>
      </w:r>
    </w:p>
    <w:tbl>
      <w:tblPr>
        <w:tblW w:w="7212" w:type="dxa"/>
        <w:jc w:val="left"/>
        <w:tblInd w:w="0" w:type="dxa"/>
        <w:tblCellMar>
          <w:top w:w="28" w:type="dxa"/>
          <w:left w:w="28" w:type="dxa"/>
          <w:bottom w:w="28" w:type="dxa"/>
          <w:right w:w="28" w:type="dxa"/>
        </w:tblCellMar>
      </w:tblPr>
      <w:tblGrid>
        <w:gridCol w:w="1099"/>
        <w:gridCol w:w="965"/>
        <w:gridCol w:w="981"/>
        <w:gridCol w:w="396"/>
        <w:gridCol w:w="1124"/>
        <w:gridCol w:w="220"/>
        <w:gridCol w:w="109"/>
        <w:gridCol w:w="109"/>
        <w:gridCol w:w="109"/>
        <w:gridCol w:w="454"/>
        <w:gridCol w:w="1289"/>
        <w:gridCol w:w="357"/>
      </w:tblGrid>
      <w:tr>
        <w:trPr/>
        <w:tc>
          <w:tcPr>
            <w:tcW w:w="1099" w:type="dxa"/>
            <w:tcBorders/>
            <w:shd w:fill="auto" w:val="clear"/>
            <w:vAlign w:val="center"/>
          </w:tcPr>
          <w:p>
            <w:pPr>
              <w:pStyle w:val="TableContents"/>
              <w:spacing w:before="0" w:after="283"/>
              <w:rPr>
                <w:sz w:val="4"/>
                <w:szCs w:val="4"/>
              </w:rPr>
            </w:pPr>
            <w:r>
              <w:rPr>
                <w:sz w:val="4"/>
                <w:szCs w:val="4"/>
              </w:rPr>
            </w:r>
          </w:p>
        </w:tc>
        <w:tc>
          <w:tcPr>
            <w:tcW w:w="965" w:type="dxa"/>
            <w:tcBorders/>
            <w:shd w:fill="auto" w:val="clear"/>
            <w:vAlign w:val="center"/>
          </w:tcPr>
          <w:p>
            <w:pPr>
              <w:pStyle w:val="TableContents"/>
              <w:spacing w:before="0" w:after="283"/>
              <w:rPr>
                <w:sz w:val="4"/>
                <w:szCs w:val="4"/>
              </w:rPr>
            </w:pPr>
            <w:r>
              <w:rPr>
                <w:sz w:val="4"/>
                <w:szCs w:val="4"/>
              </w:rPr>
            </w:r>
          </w:p>
        </w:tc>
        <w:tc>
          <w:tcPr>
            <w:tcW w:w="981" w:type="dxa"/>
            <w:tcBorders/>
            <w:shd w:fill="auto" w:val="clear"/>
            <w:vAlign w:val="center"/>
          </w:tcPr>
          <w:p>
            <w:pPr>
              <w:pStyle w:val="TableContents"/>
              <w:spacing w:before="0" w:after="283"/>
              <w:rPr>
                <w:sz w:val="4"/>
                <w:szCs w:val="4"/>
              </w:rPr>
            </w:pPr>
            <w:r>
              <w:rPr>
                <w:sz w:val="4"/>
                <w:szCs w:val="4"/>
              </w:rPr>
            </w:r>
          </w:p>
        </w:tc>
        <w:tc>
          <w:tcPr>
            <w:tcW w:w="396"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1289" w:type="dxa"/>
            <w:tcBorders/>
            <w:shd w:fill="auto" w:val="clear"/>
            <w:vAlign w:val="center"/>
          </w:tcPr>
          <w:p>
            <w:pPr>
              <w:pStyle w:val="TableContents"/>
              <w:spacing w:before="0" w:after="283"/>
              <w:rPr>
                <w:sz w:val="4"/>
                <w:szCs w:val="4"/>
              </w:rPr>
            </w:pPr>
            <w:r>
              <w:rPr>
                <w:sz w:val="4"/>
                <w:szCs w:val="4"/>
              </w:rPr>
            </w:r>
          </w:p>
        </w:tc>
        <w:tc>
          <w:tcPr>
            <w:tcW w:w="357" w:type="dxa"/>
            <w:tcBorders/>
            <w:shd w:fill="auto" w:val="cle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As of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 September 30, 2021</w:t>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52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98.2 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120.4 </w:t>
            </w:r>
          </w:p>
        </w:tc>
        <w:tc>
          <w:tcPr>
            <w:tcW w:w="357"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equipment and fixtures</w:t>
            </w:r>
          </w:p>
        </w:tc>
        <w:tc>
          <w:tcPr>
            <w:tcW w:w="15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522.7 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570.8 </w:t>
            </w:r>
          </w:p>
        </w:tc>
        <w:tc>
          <w:tcPr>
            <w:tcW w:w="35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520"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2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357"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progress</w:t>
            </w:r>
          </w:p>
        </w:tc>
        <w:tc>
          <w:tcPr>
            <w:tcW w:w="15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190.8 </w:t>
            </w:r>
          </w:p>
        </w:tc>
        <w:tc>
          <w:tcPr>
            <w:tcW w:w="3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9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774.7 </w:t>
            </w:r>
          </w:p>
        </w:tc>
        <w:tc>
          <w:tcPr>
            <w:tcW w:w="220"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9"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891.7 </w:t>
            </w:r>
          </w:p>
        </w:tc>
        <w:tc>
          <w:tcPr>
            <w:tcW w:w="357"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520"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(419.0)</w:t>
            </w:r>
          </w:p>
        </w:tc>
        <w:tc>
          <w:tcPr>
            <w:tcW w:w="2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3"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(440.7)</w:t>
            </w:r>
          </w:p>
        </w:tc>
        <w:tc>
          <w:tcPr>
            <w:tcW w:w="357"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304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Plant and Equipment, Net</w:t>
            </w:r>
          </w:p>
        </w:tc>
        <w:tc>
          <w:tcPr>
            <w:tcW w:w="3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22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8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451.0 </w:t>
            </w:r>
          </w:p>
        </w:tc>
        <w:tc>
          <w:tcPr>
            <w:tcW w:w="35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Company's property, plant and equipment assets as of March 31, 2022 decreased by $95.3 million, primarily due to various transfer of assets from Embecta to BD. Approximately $67.5 million of these transferred assets relate to construction-in-progress machinery and equipment, primarily driven by the transfer of a production line in Ireland. Additionally, there was $4.8 million and $3.7 million of machinery and equipment transferred to BD from China and the United States, respectively. These assets will be retained by BD subsequent to the spin off. The remaining difference is due to a stronger U.S. dollar as compared to the prior-year period, which resulted in a decrease in Euro denominated property, plant and equipment.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Note 14 — Subsequent Events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Management has evaluated subsequent events through May 13, 2022, the date the condensed combined financial statements were available to be issued and determined that no subsequent events have occurred that would require recognition in the condensed combined financial statements or disclosure in the notes to the condensed combined financial statements, except as described below: </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Spin off Update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2022, the spin off was completed and became effective at 12:01 a.m. Eastern Daylight time. In connection with the spin off, 57,797,841 of embecta's outstanding shares of common stock, par value $0.01 per share, were distributed to BD stockholders of record as of the close of business on March 22, 2022.</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6.75% Senior Secured Notes due 2030</w:t>
      </w:r>
    </w:p>
    <w:p>
      <w:pPr>
        <w:pStyle w:val="TextBody"/>
        <w:spacing w:lineRule="auto" w:line="276" w:before="120" w:after="283"/>
        <w:jc w:val="both"/>
        <w:rPr/>
      </w:pPr>
      <w:r>
        <w:rPr>
          <w:rFonts w:ascii="Times New Roman;sans-serif" w:hAnsi="Times New Roman;sans-serif"/>
          <w:b w:val="false"/>
          <w:color w:val="2B2A29"/>
          <w:sz w:val="20"/>
        </w:rPr>
        <w:t xml:space="preserve">On April 1, 2022, BD transferred the related party senior secured notes with a notional of </w:t>
      </w:r>
      <w:r>
        <w:rPr>
          <w:rFonts w:ascii="Times New Roman;sans-serif" w:hAnsi="Times New Roman;sans-serif"/>
          <w:b w:val="false"/>
          <w:color w:val="000000"/>
          <w:sz w:val="20"/>
        </w:rPr>
        <w:t>$200.0 million</w:t>
      </w:r>
      <w:r>
        <w:rPr>
          <w:color w:val="2B2A29"/>
        </w:rPr>
        <w:t xml:space="preserve"> </w:t>
      </w:r>
      <w:r>
        <w:rPr>
          <w:rFonts w:ascii="Times New Roman;sans-serif" w:hAnsi="Times New Roman;sans-serif"/>
          <w:b w:val="false"/>
          <w:color w:val="2B2A29"/>
          <w:sz w:val="20"/>
        </w:rPr>
        <w:t xml:space="preserve">issued by embecta to Morgan Stanley in exchange for certain notes of BD that were purchased by Morgan Stanley pursuant to a tender offer. Morgan Stanley then sold the 6.75% senior secured notes to qualified institutional buyers in the United States pursuant to Rule 144A under the Securities Act of 1933, as amended. As of April 1, 2022, the senior secured notes became third party debt of embecta. </w:t>
      </w:r>
    </w:p>
    <w:p>
      <w:pPr>
        <w:pStyle w:val="TextBody"/>
        <w:spacing w:lineRule="auto" w:line="276" w:before="1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embecta and BD Agreements </w:t>
      </w:r>
    </w:p>
    <w:p>
      <w:pPr>
        <w:pStyle w:val="TextBody"/>
        <w:spacing w:lineRule="auto" w:line="276" w:before="120" w:after="283"/>
        <w:jc w:val="both"/>
        <w:rPr/>
      </w:pPr>
      <w:r>
        <w:rPr>
          <w:rFonts w:ascii="Times New Roman;sans-serif" w:hAnsi="Times New Roman;sans-serif"/>
          <w:b w:val="false"/>
          <w:color w:val="000000"/>
          <w:sz w:val="20"/>
        </w:rPr>
        <w:t>In connection with the spin off, BD and embecta have entered into various agreements to affect the spin off and provide a framework for the relationship between BD and embecta after the spin off,</w:t>
      </w:r>
      <w:r>
        <w:rPr>
          <w:color w:val="2B2A29"/>
        </w:rPr>
        <w:t xml:space="preserve"> </w:t>
      </w:r>
      <w:r>
        <w:rPr>
          <w:rFonts w:ascii="Times New Roman;sans-serif" w:hAnsi="Times New Roman;sans-serif"/>
          <w:b w:val="false"/>
          <w:color w:val="2B2A29"/>
          <w:sz w:val="20"/>
        </w:rPr>
        <w:t>including a separation and distribution agreement, a transition services agreement, a tax matters agreement, an employee matters agreement, a cannula supply agreement, contract manufacturing agreements, an intellectual property matters agreement, a logistics services agreement, distribution agreements and other transaction agreements.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2022, the Factoring Agreement is no longer an arrangement with a related party. embecta will continue to account for the transfer as sales of trade receivables and maintain the same presentation of amounts arising from the Factoring Agreement on the condensed combined balance sheets and condensed combined statements of income and cash flows.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657860"/>
                <wp:effectExtent l="0" t="0" r="0" b="0"/>
                <wp:wrapNone/>
                <wp:docPr id="17" name="Frame17"/>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14</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spacing w:lineRule="auto" w:line="276" w:before="120" w:after="283"/>
        <w:rPr>
          <w:rFonts w:ascii="Times New Roman;sans-serif" w:hAnsi="Times New Roman;sans-serif"/>
          <w:b/>
          <w:i/>
          <w:color w:val="000000"/>
          <w:sz w:val="20"/>
        </w:rPr>
      </w:pPr>
      <w:r>
        <w:rPr>
          <w:rFonts w:ascii="Times New Roman;sans-serif" w:hAnsi="Times New Roman;sans-serif"/>
          <w:b/>
          <w:i/>
          <w:color w:val="000000"/>
          <w:sz w:val="20"/>
        </w:rPr>
        <w:t xml:space="preserve">Certain Factors Affecting Forward-Looking Statements </w:t>
      </w:r>
    </w:p>
    <w:p>
      <w:pPr>
        <w:pStyle w:val="TextBody"/>
        <w:spacing w:lineRule="auto" w:line="276"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should be read in conjunction with the condensed combined financial statements and accompanying notes contained elsewhere in this Quarterly Report on Form 10-Q. This discussion contains a number of forward-looking statements, all of which are based on our current expectations and could be affected by the uncertainties and other factors described throughout this discussion and analysis, particularly in the section “Cautionary Statement Concerning Forward-Looking Statements.” </w:t>
      </w:r>
    </w:p>
    <w:p>
      <w:pPr>
        <w:pStyle w:val="TextBody"/>
        <w:spacing w:lineRule="auto" w:line="276"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References in this section to the “Diabetes Care Business” refer to the Diabetes Care Business as defined in the condensed combined financial statements included within this report. References in this section to “embecta” refer to embecta Corp. as defined in the condensed combined financial statements included within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Company Overview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leading global medical device company focused on providing solutions to improve the health and well-being of people living with diabetes. Over the close to 100 year history of our business, we believe that our products have become one of the most widely recognized and respected brands in diabetes management in the world. We estimate that our products are used by nearly 30 million people in over 100 countries for insulin administration and to aid with the daily management of diabetes. Our business traces its origins to 1924, when Becton, Dickinson and Company (“BD” or “Parent”) developed the first dedicated insulin syringe. Since then, we have built a world-class organization with a unique manufacturing supply chain and commercial footprint, delivering over 7.6 billion units of diabetes injection devices globally in 2021. We generated revenues of $274.5 million and $284.2 million during the three months ended March 31, 2022 and 2021, respectively, and $563.8 million and $569.5 million during the six months ended March 31, 2022 and 2021, respectively.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broad portfolio of marketed products, including a variety of pen needles, syringes and safety devices, which are complemented by our proprietary digital applications designed to assist people with managing their diabetes. Our pen needles are sterile, single-use, medical devices, designed to be used in conjunction with insulin pens and are used to inject insulin or other diabetes medications. We also sell safety pen needles, which include resin injection-molded shields on both ends of the cannula that automatically deploy to help prevent needlestick exposure and injury during injection and disposal. Our traditional and safety pen needles are compatible and frequently used with widely available pen injectors in the market today. In addition to pen needles, we sell sterile, single-use insulin syringes, which are used to inject insulin drawn from insulin vials. We also sell safety insulin syringes, which incorporate a manually activated sliding sleeve to help prevent needlestick exposure and injury during injection and disposal.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primarily sell our products to wholesalers and distributors, which in turn sell such products to customers in primarily retail and institutional channels.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Separation from BD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2021, BD announced its plan to separate its diabetes care business into an independent public company through a distribution of all of the outstanding shares of common stock of embecta Corp. to BD shareholders as of the close of business on March 22, 2022, the record date for the distribution (the "Spin Off Distribution").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 2022, BD’s Board of Directors approved the Spin Off Distribution. On February 10, 2022, the SEC declared effective embecta’s Registration Statement on Form 10, as amended (the "Form 10"). "When-issued" trading of embecta common stock began on the record date of March 22, 2022, under the ticker symbol "EMBCV." The Spin Off Distribution was completed at 12:01 a.m., Eastern Time, on April 1, 2022.</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spin off, 57,797,841 shares of embecta common stock were distributed to BD stockholders, determined by applying a ratio of one share of embecta common stock for every five shares of BD common stock. "Regular-way" trading of embecta common stock began on April 1, 2022, the distribution date, under the ticker symbol "EMBC."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Basis of Presentation of Our Financial Information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historical unaudited condensed combined financial statements included in this report were derived from the unaudited interim condensed consolidated financial statements and accounting records of BD. These condensed combined financial statements reflect the historical results of operations, financial position and cash flows of BD’s Diabetes Care Business as they were historically managed in conformity with U.S. generally accepted accounting principles (“GAAP”). Therefore, the historical combined financial information may not be indicative of our future performance and does not necessarily reflect what our combined results of operations, financial condition and cash flows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657860"/>
                <wp:effectExtent l="0" t="0" r="0" b="0"/>
                <wp:wrapNone/>
                <wp:docPr id="18" name="Frame18"/>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15</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would have been had the Diabetes Care Business operated as a separate, publicly traded company during the periods presented, particularly because of changes that we expect to experience in the future as a result of our separation from BD, including changes in the financing, cash management, operations, cost structure and personnel needs of our business. The results of operations for the interim periods are not necessarily indicative of the results of operations to be expected for the full year.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condensed combined financial statements include certain assets and liabilities that have historically been held at the BD corporate level but are specifically identifiable or otherwise allocable to the Diabetes Care Business. During the first half of 2022, in contemplation of the spin off, certain assets, liabilities, and operations attributable to the Diabetes Care Business were contributed to embecta.</w:t>
      </w:r>
    </w:p>
    <w:p>
      <w:pPr>
        <w:pStyle w:val="TextBody"/>
        <w:spacing w:lineRule="auto" w:line="276" w:before="120" w:after="283"/>
        <w:jc w:val="both"/>
        <w:rPr/>
      </w:pPr>
      <w:r>
        <w:rPr>
          <w:rFonts w:ascii="Times New Roman;sans-serif" w:hAnsi="Times New Roman;sans-serif"/>
          <w:b w:val="false"/>
          <w:color w:val="000000"/>
          <w:sz w:val="20"/>
        </w:rPr>
        <w:t xml:space="preserve">BD uses a centralized approach to cash management and financing of its operations. While certain cash and cash equivalents relate to and are specifically identifiable to embecta, the cash and cash equivalents held by BD at the corporate level are not specifically identifiable to the Diabetes Care Business and therefore were not allocated for any of the periods presented. These arrangements are not reflective of the manner in which the Diabetes Care Business would have financed its operations had it been a standalone company separate from BD during the periods presented. Cash pooling, related interest and intercompany arrangements are excluded from the asset and liability balances in the combined balance sheets. These amounts have instead been reported as </w:t>
      </w:r>
      <w:r>
        <w:rPr>
          <w:rFonts w:ascii="Times New Roman;sans-serif" w:hAnsi="Times New Roman;sans-serif"/>
          <w:b w:val="false"/>
          <w:i/>
          <w:color w:val="000000"/>
          <w:sz w:val="20"/>
        </w:rPr>
        <w:t>Net parent investment</w:t>
      </w:r>
      <w:r>
        <w:rPr>
          <w:color w:val="000000"/>
        </w:rPr>
        <w:t xml:space="preserve"> </w:t>
      </w:r>
      <w:r>
        <w:rPr>
          <w:rFonts w:ascii="Times New Roman;sans-serif" w:hAnsi="Times New Roman;sans-serif"/>
          <w:b w:val="false"/>
          <w:color w:val="000000"/>
          <w:sz w:val="20"/>
        </w:rPr>
        <w:t xml:space="preserve">as a component of Parent’s Equity.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BD provides certain services, such as legal, accounting, information technology, human resources and other infrastructure support to the Diabetes Care Business. The cost of these services has been allocated to the Diabetes Care Business on the basis of the proportion of net sales, headcount, and other drivers. The Diabetes Care Business and BD consider these allocations to be a reasonable reflection of the benefits received by the Diabetes Care Business. Actual costs that would have been incurred if the Diabetes Care Business had been a standalone company would depend on multiple factors, including organizational structure and strategic decisions made in various areas, such as information technology and infrastructure. </w:t>
      </w:r>
    </w:p>
    <w:p>
      <w:pPr>
        <w:pStyle w:val="TextBody"/>
        <w:spacing w:lineRule="auto" w:line="276" w:before="120" w:after="283"/>
        <w:jc w:val="both"/>
        <w:rPr/>
      </w:pPr>
      <w:r>
        <w:rPr>
          <w:rFonts w:ascii="Times New Roman;sans-serif" w:hAnsi="Times New Roman;sans-serif"/>
          <w:b w:val="false"/>
          <w:color w:val="000000"/>
          <w:sz w:val="20"/>
        </w:rPr>
        <w:t xml:space="preserve">Subsequent to the completion of the separation and distribution, we expect to incur expenditures consisting of employee-related costs, costs to start up certain standalone functions and information technology systems and other one-time transaction related costs. Recurring standalone costs include establishing the internal audit, treasury, investor relations, tax and corporate secretary functions as well as the annual expenses associated with running an independent publicly traded company, including listing fees, compensation of non-employee directors, related board of director fees and other fees and expenses related to insurance, legal and external audit. During the three and six months ended March 31, 2022, we incurred separation and stand-up costs of approximately $7.4 million and $15.8 million, respectively, reflected within </w:t>
      </w:r>
      <w:r>
        <w:rPr>
          <w:rFonts w:ascii="Times New Roman;sans-serif" w:hAnsi="Times New Roman;sans-serif"/>
          <w:b w:val="false"/>
          <w:i/>
          <w:color w:val="000000"/>
          <w:sz w:val="20"/>
        </w:rPr>
        <w:t>Other operating expenses</w:t>
      </w:r>
      <w:r>
        <w:rPr>
          <w:color w:val="000000"/>
        </w:rPr>
        <w:t xml:space="preserve"> </w:t>
      </w:r>
      <w:r>
        <w:rPr>
          <w:rFonts w:ascii="Times New Roman;sans-serif" w:hAnsi="Times New Roman;sans-serif"/>
          <w:b w:val="false"/>
          <w:color w:val="000000"/>
          <w:sz w:val="20"/>
        </w:rPr>
        <w:t xml:space="preserve">within the condensed combined statement of income, and as further discussed below. There were no spin off costs incurred during the three and six months ended March 31, 2021. </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Percentages presented are calculated from the underlying amounts.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Relationship with BD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several agreements with BD to effect the spin off and provide a framework for the relationship between BD and embecta after the spin off, including the following: </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Separation and Distribution Agreement;</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Transition Services Agreement ("TSA");</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 xml:space="preserve">Tax Matters Agreement; </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Employee Matters Agreement;</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Intellectual Property Matters Agreement;</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Contract Manufacturing Agreements;</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Cannula Supply Agreement;</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Lease Agreement for Holdrege, Nebraska;</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 xml:space="preserve">Logistics Services Agreement; and </w:t>
      </w:r>
    </w:p>
    <w:p>
      <w:pPr>
        <w:pStyle w:val="TextBody"/>
        <w:spacing w:lineRule="auto" w:line="276" w:before="120" w:after="283"/>
        <w:ind w:left="0" w:right="0" w:hanging="360"/>
        <w:rPr/>
      </w:pPr>
      <w:r>
        <w:rPr>
          <w:color w:val="000000"/>
        </w:rPr>
        <w:t>•</w:t>
      </w:r>
      <w:r>
        <w:rPr>
          <w:rFonts w:ascii="Times New Roman;sans-serif" w:hAnsi="Times New Roman;sans-serif"/>
          <w:b w:val="false"/>
          <w:color w:val="000000"/>
          <w:sz w:val="20"/>
        </w:rPr>
        <w:t>Distribution Agreements.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functions that BD provided to the Diabetes Care Business prior to the distribution will either continue to be provided to embecta by BD under the TSA or will be performed using embecta’s own resources or third-party service providers. Additionally, under the under the cannula supply agreement and certain contract manufacturing agreements, BD will supply certain raw materials and components to, and manufacture certain products for, embecta and its subsidiaries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657860"/>
                <wp:effectExtent l="0" t="0" r="0" b="0"/>
                <wp:wrapNone/>
                <wp:docPr id="19" name="Frame19"/>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16</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embecta will manufacture certain products for BD and its subsidiaries. BD and embecta also entered into a Trade Receivables Factoring Agreement, in which embecta remits BD a service fee calculated as 0.1% of annual revenues related to countries subject to the agreement, in exchange for the services provided by BD pursuant to the agreement.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Due to these aforementioned contracts, we expect potential changes in costs and cash flows in the quarters immediately subsequent to the spin off. Specifically, we expect the TSA to result in higher expenses to operate as a standalone entity as compared to the costs we previously incurred in carrying out these functions as a component of BD. Following the spin off, we expect to incur certain one-time costs related to becoming a stand-alone entity; however, we also anticipate a decrease in certain separation costs related to the formation of new legal entities as well as expenses to complete the transfer of assets and liabilities from BD to embecta that we are currently incurring once the spin off is complete. Refer to the Other Operating Expenses fluctuation in the “Results of Operations” section for further details on these expenses. Furthermore, we expect the Trade Receivables Factoring Agreement to have an impact on the timing of our cash flows related to our outstanding trade receivables. In addition to the above, we also planned and executed a build up of inventory in the current period in preparation for the spin off. We anticipate this trend to continue as we operate as a stand-alone entity.</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COVID-19 Pandemic Impacts and Response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Various governmental measures to slow and control the spread of COVID-19 have led to a shift in healthcare priorities, supply chain constraints and the disruption of economic activities worldwide. As further discussed below, our future operating performance may be subject to further volatility due to the significant uncertainty with respect to the duration and overall impact of the COVID-19 pandemic. The impacts of the COVID-19 pandemic on our business, results of operations, financial condition and cash flows is dependent on certain factors including: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the extent to which resurgences in COVID-19 infections or new strains of the virus, including the Delta and Omicron variants, result in the imposition of new governmental lockdowns, quarantine requirements or other restrictions that may disrupt our operations;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the continued momentum of the global economy’s recovery from the pandemic and the degree of pressure that a weakened macroeconomic environment would put on the global demand for our products; and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the effectiveness of vaccines and vaccination efforts. </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Russia and Ukraine Conflict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military conflict in Russia and Ukraine and the sanctions imposed by the United States government and other nations in response to this conflict have caused significant volatility and disruptions to the global markets. During both the three and six months ended March 31, 2022 net sales in Russia and Ukraine were not material to our consolidated net revenues in both periods. Although operations in both Russia and Ukraine do not constitute a material portion of our business, there is uncertainty around the military conflict and the impact it will have on the global economy, supply chains and fuel prices generally, and therefore our business. Refer to Part II, Item 1A. "Risk Factors" for further details.</w:t>
      </w:r>
    </w:p>
    <w:p>
      <w:pPr>
        <w:pStyle w:val="TextBody"/>
        <w:spacing w:before="0" w:after="0"/>
        <w:rPr/>
      </w:pPr>
      <w:r>
        <w:rPr/>
      </w:r>
    </w:p>
    <w:p>
      <w:pPr>
        <w:pStyle w:val="TextBody"/>
        <w:spacing w:lineRule="auto" w:line="268" w:before="0" w:after="0"/>
        <w:rPr>
          <w:rFonts w:ascii="Times New Roman;sans-serif" w:hAnsi="Times New Roman;sans-serif"/>
          <w:b/>
          <w:i/>
          <w:color w:val="000000"/>
          <w:sz w:val="20"/>
        </w:rPr>
      </w:pPr>
      <w:r>
        <w:rPr>
          <w:rFonts w:ascii="Times New Roman;sans-serif" w:hAnsi="Times New Roman;sans-serif"/>
          <w:b/>
          <w:i/>
          <w:color w:val="000000"/>
          <w:sz w:val="20"/>
        </w:rPr>
        <w:t>Three Months Ended March 31, 2022 Summary (on a comparative basis)</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Key GAAP financial results for the three months ended March 31, 2022 were as follows: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Revenue decreased by $9.7 million to $274.5 million from $284.2 million;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Gross profit decreased by $5.1 million to $191.2 million from $196.3 million. Gross profit as a percent of revenue was 69.7%, as compared to 69.1% in the prior year comparative period;</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Operating income decreased by $27.5 million to $98.9 million from $126.4 million; and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Net income decreased by $28.3 million to $79.6 million from $107.9 million.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Key Non-GAAP financial results for the three months ended March 31, 2022 were as follows: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Constant Currency Revenues decreased by 1.3%;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EBITDA decreased by $33.2 million to $105.5 million from $138.7 million; and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Adjusted EBITDA decreased by $24.8 million to $116.8 million from $141.6 million.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657860"/>
                <wp:effectExtent l="0" t="0" r="0" b="0"/>
                <wp:wrapNone/>
                <wp:docPr id="20" name="Frame20"/>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17</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Six Months Ended March 31, 2022 Summary (on a comparative basis)</w:t>
      </w:r>
    </w:p>
    <w:p>
      <w:pPr>
        <w:pStyle w:val="TextBody"/>
        <w:spacing w:lineRule="auto" w:line="276"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Key GAAP financial results for the six months ended March 31, 2022 were as follows: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Revenue decreased by $5.7 million to $563.8 million from $569.5 million;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Gross profit increased $7.5 million to $395.1 million, compared to $387.6 million. Gross profit as a percent of revenue was 70.1%, as compared to 68.1% in the prior year comparative period;</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Operating income decreased by $35.0 million to $215.5 million from $250.5 million; and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Net income decreased by $34.8 million to $178.4 million from $213.2 million.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Key Non-GAAP financial results for the six months ended March 31, 2022 were as follows: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Constant Currency Revenues increased by 0.2%;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EBITDA decreased by $42.6 million to $230.5 million from $273.1 million; and </w:t>
      </w:r>
    </w:p>
    <w:p>
      <w:pPr>
        <w:pStyle w:val="TextBody"/>
        <w:spacing w:lineRule="auto" w:line="276" w:before="160" w:after="283"/>
        <w:ind w:left="0" w:right="0" w:hanging="360"/>
        <w:rPr/>
      </w:pPr>
      <w:r>
        <w:rPr>
          <w:color w:val="000000"/>
        </w:rPr>
        <w:t>•</w:t>
      </w:r>
      <w:r>
        <w:rPr>
          <w:rFonts w:ascii="Times New Roman;sans-serif" w:hAnsi="Times New Roman;sans-serif"/>
          <w:b w:val="false"/>
          <w:color w:val="000000"/>
          <w:sz w:val="20"/>
        </w:rPr>
        <w:t xml:space="preserve">Adjusted EBITDA decreased by $35.0 million to $254.8 million from $289.8 million. </w:t>
      </w:r>
    </w:p>
    <w:p>
      <w:pPr>
        <w:pStyle w:val="TextBody"/>
        <w:spacing w:lineRule="auto" w:line="276" w:before="280" w:after="283"/>
        <w:rPr>
          <w:rFonts w:ascii="Times New Roman;sans-serif" w:hAnsi="Times New Roman;sans-serif"/>
          <w:b w:val="false"/>
          <w:i/>
          <w:color w:val="000000"/>
          <w:sz w:val="20"/>
        </w:rPr>
      </w:pPr>
      <w:r>
        <w:rPr>
          <w:rFonts w:ascii="Times New Roman;sans-serif" w:hAnsi="Times New Roman;sans-serif"/>
          <w:b w:val="false"/>
          <w:i/>
          <w:color w:val="000000"/>
          <w:sz w:val="20"/>
        </w:rPr>
        <w:t xml:space="preserve">Please see a description of our Non-GAAP Financial Measures below.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Results of Operations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unaudited condensed combined statement of income is as follows: </w:t>
      </w:r>
    </w:p>
    <w:tbl>
      <w:tblPr>
        <w:tblW w:w="10205" w:type="dxa"/>
        <w:jc w:val="left"/>
        <w:tblInd w:w="0" w:type="dxa"/>
        <w:tblCellMar>
          <w:top w:w="28" w:type="dxa"/>
          <w:left w:w="28" w:type="dxa"/>
          <w:bottom w:w="28" w:type="dxa"/>
          <w:right w:w="28" w:type="dxa"/>
        </w:tblCellMar>
      </w:tblPr>
      <w:tblGrid>
        <w:gridCol w:w="997"/>
        <w:gridCol w:w="762"/>
        <w:gridCol w:w="764"/>
        <w:gridCol w:w="250"/>
        <w:gridCol w:w="711"/>
        <w:gridCol w:w="109"/>
        <w:gridCol w:w="109"/>
        <w:gridCol w:w="109"/>
        <w:gridCol w:w="109"/>
        <w:gridCol w:w="250"/>
        <w:gridCol w:w="711"/>
        <w:gridCol w:w="109"/>
        <w:gridCol w:w="109"/>
        <w:gridCol w:w="109"/>
        <w:gridCol w:w="109"/>
        <w:gridCol w:w="299"/>
        <w:gridCol w:w="305"/>
        <w:gridCol w:w="256"/>
        <w:gridCol w:w="109"/>
        <w:gridCol w:w="109"/>
        <w:gridCol w:w="109"/>
        <w:gridCol w:w="250"/>
        <w:gridCol w:w="711"/>
        <w:gridCol w:w="109"/>
        <w:gridCol w:w="109"/>
        <w:gridCol w:w="109"/>
        <w:gridCol w:w="109"/>
        <w:gridCol w:w="250"/>
        <w:gridCol w:w="711"/>
        <w:gridCol w:w="109"/>
        <w:gridCol w:w="109"/>
        <w:gridCol w:w="109"/>
        <w:gridCol w:w="109"/>
        <w:gridCol w:w="299"/>
        <w:gridCol w:w="305"/>
        <w:gridCol w:w="303"/>
      </w:tblGrid>
      <w:tr>
        <w:trPr/>
        <w:tc>
          <w:tcPr>
            <w:tcW w:w="997"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3654"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pPr>
            <w:r>
              <w:rPr>
                <w:rFonts w:ascii="Times New Roman;sans-serif" w:hAnsi="Times New Roman;sans-serif"/>
                <w:b/>
                <w:color w:val="000000"/>
                <w:sz w:val="18"/>
              </w:rPr>
              <w:t>%</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ind w:left="0" w:right="0" w:hanging="200"/>
              <w:jc w:val="center"/>
              <w:rPr/>
            </w:pPr>
            <w:r>
              <w:rPr>
                <w:rFonts w:ascii="Times New Roman;sans-serif" w:hAnsi="Times New Roman;sans-serif"/>
                <w:b/>
                <w:color w:val="000000"/>
                <w:sz w:val="18"/>
              </w:rPr>
              <w:t>%</w:t>
            </w:r>
            <w:r>
              <w:rPr>
                <w:color w:val="000000"/>
              </w:rPr>
              <w:t xml:space="preserve"> </w:t>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303"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and administrative expense</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19.9 </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18.4 </w:t>
            </w:r>
          </w:p>
        </w:tc>
        <w:tc>
          <w:tcPr>
            <w:tcW w:w="30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expense</w:t>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2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303"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operating expenses</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31.0 </w:t>
            </w:r>
          </w:p>
        </w:tc>
        <w:tc>
          <w:tcPr>
            <w:tcW w:w="30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auto" w:val="clear"/>
            <w:tcMar>
              <w:top w:w="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(104.8)</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(103.2)</w:t>
            </w:r>
          </w:p>
        </w:tc>
        <w:tc>
          <w:tcPr>
            <w:tcW w:w="30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Income Taxes</w:t>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210.5 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303"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2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w:t>
            </w:r>
          </w:p>
        </w:tc>
        <w:tc>
          <w:tcPr>
            <w:tcW w:w="303"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(26.2)</w:t>
            </w:r>
          </w:p>
        </w:tc>
        <w:tc>
          <w:tcPr>
            <w:tcW w:w="256"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09" w:type="dxa"/>
            <w:tcBorders>
              <w:top w:val="single" w:sz="8" w:space="0" w:color="000000"/>
            </w:tcBorders>
            <w:shd w:fill="auto"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4" w:type="dxa"/>
            <w:gridSpan w:val="2"/>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w:t>
            </w:r>
          </w:p>
        </w:tc>
        <w:tc>
          <w:tcPr>
            <w:tcW w:w="303" w:type="dxa"/>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5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top w:val="doub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523"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Earnings per Share</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00"/>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r>
        <w:trPr/>
        <w:tc>
          <w:tcPr>
            <w:tcW w:w="252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Common Shares Outstanding</w:t>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57,797,841 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nm</w:t>
            </w:r>
          </w:p>
        </w:tc>
      </w:tr>
    </w:tbl>
    <w:p>
      <w:pPr>
        <w:pStyle w:val="TextBody"/>
        <w:spacing w:lineRule="auto" w:line="276" w:before="300" w:after="120"/>
        <w:rPr>
          <w:rFonts w:ascii="Times New Roman;sans-serif" w:hAnsi="Times New Roman;sans-serif"/>
          <w:b w:val="false"/>
          <w:color w:val="000000"/>
          <w:sz w:val="18"/>
        </w:rPr>
      </w:pPr>
      <w:r>
        <w:rPr>
          <w:rFonts w:ascii="Times New Roman;sans-serif" w:hAnsi="Times New Roman;sans-serif"/>
          <w:b w:val="false"/>
          <w:color w:val="000000"/>
          <w:sz w:val="18"/>
        </w:rPr>
        <w:t>nm = not meaningful</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Revenues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decreased by $9.7 million, or 3.4%, to $274.5 million in the second quarter of 2022 as compared to revenues of $284.2 million in the second quarter of 2021. Changes in our revenue are driven by the volume of goods that we sell, the prices we negotiate with customers and changes in foreign exchange rates. Of this decrease, $6.0 million was attributable to unfavorable effects from foreign currency translation primarily in countries with revenues denominated in Euros. Volume unfavorably impacted our revenues by approximately $3.7 million, for the three months ended March 31, 2022, as compared to the prior year period. The decrease in volume was primarily driven by lower revenue attributed to customers in the U.S. and in Europe.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657860"/>
                <wp:effectExtent l="0" t="0" r="0" b="0"/>
                <wp:wrapNone/>
                <wp:docPr id="21" name="Frame21"/>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18</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revenues decreased by $5.7 million, or 1.0%, to $563.8 million for the six months ended March 31, 2022 as compared to revenues of $569.5 million for the six months ended March 31, 2021. Of this decrease, $6.9 million was attributable to unfavorable effects from foreign currency translation primarily in countries with revenues denominated in Euros and to a lesser extent unfavorable price and a decrease in volume in the US. This was offset by an increase in volume in certain emerging markets, which consist of countries within Eastern Europe, the Middle East, Africa, Latin America, Central and Southeast Asia as well as Mainland China.</w:t>
      </w: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Revenues by geographic region are as follows: </w:t>
      </w:r>
    </w:p>
    <w:tbl>
      <w:tblPr>
        <w:tblW w:w="10205" w:type="dxa"/>
        <w:jc w:val="center"/>
        <w:tblInd w:w="0" w:type="dxa"/>
        <w:tblCellMar>
          <w:top w:w="28" w:type="dxa"/>
          <w:left w:w="28" w:type="dxa"/>
          <w:bottom w:w="28" w:type="dxa"/>
          <w:right w:w="28" w:type="dxa"/>
        </w:tblCellMar>
      </w:tblPr>
      <w:tblGrid>
        <w:gridCol w:w="384"/>
        <w:gridCol w:w="338"/>
        <w:gridCol w:w="287"/>
        <w:gridCol w:w="196"/>
        <w:gridCol w:w="556"/>
        <w:gridCol w:w="109"/>
        <w:gridCol w:w="109"/>
        <w:gridCol w:w="109"/>
        <w:gridCol w:w="109"/>
        <w:gridCol w:w="196"/>
        <w:gridCol w:w="556"/>
        <w:gridCol w:w="109"/>
        <w:gridCol w:w="109"/>
        <w:gridCol w:w="109"/>
        <w:gridCol w:w="109"/>
        <w:gridCol w:w="204"/>
        <w:gridCol w:w="192"/>
        <w:gridCol w:w="456"/>
        <w:gridCol w:w="109"/>
        <w:gridCol w:w="109"/>
        <w:gridCol w:w="109"/>
        <w:gridCol w:w="196"/>
        <w:gridCol w:w="197"/>
        <w:gridCol w:w="455"/>
        <w:gridCol w:w="109"/>
        <w:gridCol w:w="109"/>
        <w:gridCol w:w="109"/>
        <w:gridCol w:w="196"/>
        <w:gridCol w:w="556"/>
        <w:gridCol w:w="109"/>
        <w:gridCol w:w="109"/>
        <w:gridCol w:w="109"/>
        <w:gridCol w:w="109"/>
        <w:gridCol w:w="196"/>
        <w:gridCol w:w="556"/>
        <w:gridCol w:w="109"/>
        <w:gridCol w:w="109"/>
        <w:gridCol w:w="109"/>
        <w:gridCol w:w="109"/>
        <w:gridCol w:w="204"/>
        <w:gridCol w:w="192"/>
        <w:gridCol w:w="456"/>
        <w:gridCol w:w="109"/>
        <w:gridCol w:w="109"/>
        <w:gridCol w:w="109"/>
        <w:gridCol w:w="198"/>
        <w:gridCol w:w="195"/>
        <w:gridCol w:w="518"/>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28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4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1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4403"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66"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1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Constant</w:t>
              <w:br/>
              <w:t>Currency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As Reported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Constant</w:t>
            </w:r>
          </w:p>
          <w:p>
            <w:pPr>
              <w:pStyle w:val="TableContents"/>
              <w:spacing w:lineRule="auto" w:line="276" w:before="0" w:after="0"/>
              <w:ind w:left="0" w:right="0" w:hanging="200"/>
              <w:jc w:val="center"/>
              <w:rPr/>
            </w:pPr>
            <w:r>
              <w:rPr>
                <w:rFonts w:ascii="Times New Roman;sans-serif" w:hAnsi="Times New Roman;sans-serif"/>
                <w:b/>
                <w:color w:val="000000"/>
                <w:sz w:val="18"/>
              </w:rPr>
              <w:t>Currency</w:t>
            </w:r>
            <w:r>
              <w:rPr>
                <w:color w:val="000000"/>
              </w:rPr>
              <w:t xml:space="preserve"> </w:t>
            </w:r>
          </w:p>
        </w:tc>
      </w:tr>
      <w:tr>
        <w:trPr/>
        <w:tc>
          <w:tcPr>
            <w:tcW w:w="10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United States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International</w:t>
            </w:r>
          </w:p>
        </w:tc>
        <w:tc>
          <w:tcPr>
            <w:tcW w:w="75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135.8 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4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45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273.1 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271.6 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4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2"/>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518" w:type="dxa"/>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1009"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4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3"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Cost of products sold</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sold decreased by $4.6 million, or 5.2%, to $83.3 million in the second quarter of 2022 as compared to $87.9 million in the second quarter of 2021. Costs of products sold as a percentage of revenues were 30.3% for the three months ended March 31, 2022 as compared to 30.9% in the three months ended March 31, 2021. The decrease in cost of products sold between periods was primarily driven by a decrease in revenues in the current period. Costs of products sold as a percentage of revenues decreased by approximately 60 basis points as compared to the prior year period due to favorable product mix in the current year period.</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products sold decreased by $13.2 million, or 7.3%, to $168.7 million for the six months ended March 31, 2022 as compared to $181.9 million for the six months ended March 31, 2021. Costs of products sold as a percentages of revenues were 29.9% for the six months ended March 31, 2022 as compared to 31.9% in the six months ended March 31, 2021. The decrease in cost of products sold between periods was primarily driven by $10.0 million of impairment charges associated with the write-off of certain construction in progress assets that were recorded in the first quarter of fiscal year 2021, and to a lesser extent, a decrease in revenues in the current year period. This impairment charge negatively impacted our cost of products sold as a percentage of revenues in the prior year period by approximately 180 basis points. Excluding this impairment charge, our cost of product sold as a percentage of revenues would have been approximately 30.2% in the prior year period.</w:t>
      </w:r>
    </w:p>
    <w:p>
      <w:pPr>
        <w:pStyle w:val="TextBody"/>
        <w:spacing w:lineRule="auto" w:line="276" w:before="360" w:after="283"/>
        <w:jc w:val="both"/>
        <w:rPr>
          <w:rFonts w:ascii="Times New Roman;sans-serif" w:hAnsi="Times New Roman;sans-serif"/>
          <w:b/>
          <w:i/>
          <w:color w:val="000000"/>
          <w:sz w:val="20"/>
        </w:rPr>
      </w:pPr>
      <w:r>
        <w:rPr>
          <w:rFonts w:ascii="Times New Roman;sans-serif" w:hAnsi="Times New Roman;sans-serif"/>
          <w:b/>
          <w:i/>
          <w:color w:val="000000"/>
          <w:sz w:val="20"/>
        </w:rPr>
        <w:t>Selling and administrative expenses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and administrative expenses increased by $11.1 million, or 19.9%, to $66.9 million in the second quarter of 2022 as compared to $55.8 million in the second quarter of 2021.</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selling and administrative expenses increased by $20.1 million, or 18.4%, to $129.1 million for the six months ended March 31, 2022 as compared to $109.0 million for the six months ended March 31, 2021.</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for both the three and six month comparative periods were primarily driven by an increase in marketing and advertising spending and an increase in compensation and benefit costs due to increased headcount in anticipation of the spin off and becoming a stand-alone publicly-traded company.</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Research and development expenses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$3.9 million, or 27.7%, to $18.0 million in the second quarter of 2022 as compared to $14.1 million in the second quarter of 2021.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research and development expenses increased by $6.6 million, or 23.5%, to $34.7 million for the six months ended March 31, 2022 as compared to $28.1 million for the six months ended March 31, 2021.</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for both the three and six month comparative periods were primarily driven by increased investment in the development of new products, specifically our insulin patch pump.</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657860"/>
                <wp:effectExtent l="0" t="0" r="0" b="0"/>
                <wp:wrapNone/>
                <wp:docPr id="22" name="Frame22"/>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19</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Other operating expenses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incurred other operating expenses of $7.4 million and $15.8 million for the three and six months ended March 31, 2022, respectively, driven by costs related to the spin off.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costs incurred primarily relate to accounting, auditing, and legal services, including costs to establish certain stand-alone corporate functions and other transaction costs as we transition to being a stand-alone publicly traded company. As mentioned within the “Relationship with BD” section, we anticipate certain separation costs to decline following the spin off. However, we do anticipate an increase in other costs related to the spin off, specifically one-time costs related to becoming a stand-alone publicly-traded company.</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Interest expense</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to $4.9 million in the second quarter of 2022, mainly due to the issuance of the $950.0 million term loan and the issuance of the $500.0 million senior secured notes in March 2022. See Note 10 to the Condensed Combined Financial Statements included elsewhere in this report for a further description of our long-term debt.</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Other income (expense), net</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was not material for both the three and six months ended March 31, 2022 and comparative prior year periods.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Income tax provision</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effective income tax rate for the three months ended March 31, 2022 was 15.2% compared to 16.0% for the three months ended March 31, 2021. The effective tax rate for the six months ended March 31, 2022 was 15.2% compared to 15.9% for the six months ended March 31, 2021. </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The decreases for both the three and six months comparative periods were primarily driven by the geographical mix of income attributable to various jurisdictions that have income tax rates that vary from the U.S. tax rate and costs related to the spin off.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Non-GAAP financial measures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evaluating our operating performance, we supplement the reporting of our financial information determined under GAAP with certain non-GAAP financial measures including (i) earnings before interest, taxes, depreciation, and amortization (“EBITDA”), (ii) adjusted EBITDA, as further defined below, and (iii) Constant Currency revenue growth. These non-GAAP financial measures are indicators of our performance that are not required by, or presented in accordance with, GAAP. They are presented with the intent of providing greater transparency to financial information used by us in our financial analysis and operational decision-making. We believe that these non-GAAP measures provide meaningful information to assist investors, shareholders and other readers of our consolidated financial statements in making comparisons to our historical operating results and analyzing the underlying performance of our results of operations. Additionally, EBITDA and Adjusted EBITDA are important metrics for debt investors who utilize debt-to-EBITDA ratios. These non-GAAP financial measures are not intended to be, and should not be, considered separately from, or as an alternative to, the most directly comparable GAAP financial measures.</w:t>
      </w:r>
    </w:p>
    <w:p>
      <w:pPr>
        <w:pStyle w:val="TextBody"/>
        <w:spacing w:lineRule="auto" w:line="288" w:before="60" w:after="6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EBITDA is an important valuation measurement for management and investors given the effect non-cash charges such as amortization related to acquired intangible assets and depreciation of capital equipment have on net income. Additionally, we regard EBITDA as a useful measure of operating performance and cash flow before the effect of interest, taxes, depreciation and amortization and as a complement to operating income, net income and other GAAP financial performance measures. We define adjusted EBITDA as EBITDA excluding certain items that affect comparability of operating results and the trend of earnings. These adjustments are either non-cash or irregular in nature, may not be indicative of our past and future performance and are therefore excluded to allow investors to better understand underlying operating trends. The following are examples of the types of adjustments that are excluded: (i) share-based compensation, (ii) impairment losses incurred, (iii) separation costs associated with our spin off from BD, and (iv) other significant items management deems irregular or non-operating in nature. We use adjusted EBITDA when evaluating operating performance because we believe the exclusion of such adjustments is necessary to help provide an accurate measure of on-going core operating results and to evaluate comparative results period over period.</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657860"/>
                <wp:effectExtent l="0" t="0" r="0" b="0"/>
                <wp:wrapNone/>
                <wp:docPr id="23" name="Frame23"/>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20</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 periods ended March 31, 2022, the reconciliation of net income to EBITDA and adjusted EBITDA was as follows: </w:t>
      </w:r>
    </w:p>
    <w:tbl>
      <w:tblPr>
        <w:tblW w:w="7095" w:type="dxa"/>
        <w:jc w:val="center"/>
        <w:tblInd w:w="0" w:type="dxa"/>
        <w:tblCellMar>
          <w:top w:w="28" w:type="dxa"/>
          <w:left w:w="28" w:type="dxa"/>
          <w:bottom w:w="28" w:type="dxa"/>
          <w:right w:w="28" w:type="dxa"/>
        </w:tblCellMar>
      </w:tblPr>
      <w:tblGrid>
        <w:gridCol w:w="948"/>
        <w:gridCol w:w="835"/>
        <w:gridCol w:w="842"/>
        <w:gridCol w:w="196"/>
        <w:gridCol w:w="556"/>
        <w:gridCol w:w="109"/>
        <w:gridCol w:w="109"/>
        <w:gridCol w:w="109"/>
        <w:gridCol w:w="109"/>
        <w:gridCol w:w="196"/>
        <w:gridCol w:w="556"/>
        <w:gridCol w:w="109"/>
        <w:gridCol w:w="109"/>
        <w:gridCol w:w="109"/>
        <w:gridCol w:w="109"/>
        <w:gridCol w:w="196"/>
        <w:gridCol w:w="556"/>
        <w:gridCol w:w="109"/>
        <w:gridCol w:w="109"/>
        <w:gridCol w:w="109"/>
        <w:gridCol w:w="109"/>
        <w:gridCol w:w="196"/>
        <w:gridCol w:w="556"/>
        <w:gridCol w:w="154"/>
      </w:tblGrid>
      <w:tr>
        <w:trPr/>
        <w:tc>
          <w:tcPr>
            <w:tcW w:w="948"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March 31,</w:t>
            </w:r>
          </w:p>
        </w:tc>
      </w:tr>
      <w:tr>
        <w:trPr/>
        <w:tc>
          <w:tcPr>
            <w:tcW w:w="2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color w:val="000000"/>
              </w:rPr>
            </w:pPr>
            <w:r>
              <w:rPr>
                <w:color w:val="000000"/>
              </w:rPr>
              <w:t>—</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40.4</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19.0</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273.1</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Share-based compensation expense</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6" w:before="0" w:after="0"/>
              <w:ind w:left="0" w:right="0" w:hanging="200"/>
              <w:jc w:val="left"/>
              <w:rPr/>
            </w:pPr>
            <w:r>
              <w:rPr>
                <w:rFonts w:ascii="Times New Roman;sans-serif" w:hAnsi="Times New Roman;sans-serif"/>
                <w:b w:val="false"/>
                <w:color w:val="000000"/>
                <w:sz w:val="18"/>
              </w:rPr>
              <w:t>Separation costs</w:t>
            </w:r>
            <w:r>
              <w:rPr>
                <w:rFonts w:ascii="Times New Roman;sans-serif" w:hAnsi="Times New Roman;sans-serif"/>
                <w:b w:val="false"/>
                <w:color w:val="000000"/>
                <w:sz w:val="12"/>
              </w:rPr>
              <w:t>(1)</w:t>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r>
      <w:tr>
        <w:trPr/>
        <w:tc>
          <w:tcPr>
            <w:tcW w:w="2625" w:type="dxa"/>
            <w:gridSpan w:val="3"/>
            <w:tcBorders/>
            <w:shd w:fill="CCEEFF" w:val="clear"/>
            <w:tcMar>
              <w:top w:w="0" w:type="dxa"/>
              <w:left w:w="0" w:type="dxa"/>
              <w:bottom w:w="0" w:type="dxa"/>
              <w:right w:w="0" w:type="dxa"/>
            </w:tcMar>
            <w:vAlign w:val="center"/>
          </w:tcPr>
          <w:p>
            <w:pPr>
              <w:pStyle w:val="TableContents"/>
              <w:spacing w:lineRule="auto" w:line="276" w:before="0" w:after="0"/>
              <w:ind w:left="0" w:right="0" w:hanging="200"/>
              <w:jc w:val="left"/>
              <w:rPr/>
            </w:pPr>
            <w:r>
              <w:rPr>
                <w:rFonts w:ascii="Times New Roman;sans-serif" w:hAnsi="Times New Roman;sans-serif"/>
                <w:b w:val="false"/>
                <w:color w:val="000000"/>
                <w:sz w:val="18"/>
              </w:rPr>
              <w:t>Impairment losses</w:t>
            </w:r>
            <w:r>
              <w:rPr>
                <w:rFonts w:ascii="Times New Roman;sans-serif" w:hAnsi="Times New Roman;sans-serif"/>
                <w:b w:val="false"/>
                <w:color w:val="000000"/>
                <w:sz w:val="12"/>
              </w:rPr>
              <w:t>(2)</w:t>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62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Relates to spin off costs incurred during the three and six months ended March 31, 2022. Refer to the Other operating expenses section above. </w:t>
      </w:r>
    </w:p>
    <w:p>
      <w:pPr>
        <w:pStyle w:val="TextBody"/>
        <w:spacing w:lineRule="auto" w:line="276" w:before="0" w:after="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Relates to impairment charges incurred in the first quarter of fiscal year 2021. Refer to the Cost of products sold section above. </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Each reporting period, we face currency exposure that arises from translating the results of our worldwide operations to the U.S. dollar at exchange rates that fluctuate from the beginning of such period. A stronger U.S. dollar, compared to the prior-year period, resulted in an unfavorable foreign currency translation impact to our revenues as compared to the prior-year quarter. We evaluate our results of operations on both a reported and a Constant Currency basis, which excludes the impact of fluctuations in foreign currency exchange rates by comparing results between periods as if exchange rates had remained constant period-over-period. As exchange rates are an important factor in understanding period-to-period comparisons, we believe the presentation of results on a Constant Currency basis in addition to reported results helps improve investors’ ability to understand our operating results and evaluate our performance in comparison to prior periods. We calculate Constant Currency percentages by converting our current-period local currency financial results using the prior-period foreign currency exchange rates and comparing these adjusted amounts to our current-period results. These results should be considered in addition to, not as a substitute for, results reported in accordance with GAAP. Results on a Constant Currency basis, as we present them, may not be comparable to similarly titled measures used by other companies and are not measures of performance presented in accordance with GAAP.</w:t>
      </w:r>
    </w:p>
    <w:p>
      <w:pPr>
        <w:pStyle w:val="TextBody"/>
        <w:spacing w:lineRule="auto" w:line="276"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six months ended March 31, 2022, the reconciliation of revenue growth to Constant Currency was as follows: </w:t>
      </w:r>
    </w:p>
    <w:tbl>
      <w:tblPr>
        <w:tblW w:w="7242" w:type="dxa"/>
        <w:jc w:val="center"/>
        <w:tblInd w:w="0" w:type="dxa"/>
        <w:tblCellMar>
          <w:top w:w="28" w:type="dxa"/>
          <w:left w:w="28" w:type="dxa"/>
          <w:bottom w:w="28" w:type="dxa"/>
          <w:right w:w="28" w:type="dxa"/>
        </w:tblCellMar>
      </w:tblPr>
      <w:tblGrid>
        <w:gridCol w:w="440"/>
        <w:gridCol w:w="386"/>
        <w:gridCol w:w="388"/>
        <w:gridCol w:w="196"/>
        <w:gridCol w:w="556"/>
        <w:gridCol w:w="109"/>
        <w:gridCol w:w="109"/>
        <w:gridCol w:w="109"/>
        <w:gridCol w:w="109"/>
        <w:gridCol w:w="196"/>
        <w:gridCol w:w="556"/>
        <w:gridCol w:w="109"/>
        <w:gridCol w:w="109"/>
        <w:gridCol w:w="109"/>
        <w:gridCol w:w="109"/>
        <w:gridCol w:w="224"/>
        <w:gridCol w:w="226"/>
        <w:gridCol w:w="414"/>
        <w:gridCol w:w="109"/>
        <w:gridCol w:w="109"/>
        <w:gridCol w:w="109"/>
        <w:gridCol w:w="268"/>
        <w:gridCol w:w="268"/>
        <w:gridCol w:w="634"/>
        <w:gridCol w:w="109"/>
        <w:gridCol w:w="109"/>
        <w:gridCol w:w="109"/>
        <w:gridCol w:w="224"/>
        <w:gridCol w:w="226"/>
        <w:gridCol w:w="514"/>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8"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spacing w:lineRule="auto" w:line="276" w:before="0" w:after="0"/>
              <w:jc w:val="center"/>
              <w:rPr/>
            </w:pPr>
            <w:r>
              <w:rPr>
                <w:rFonts w:ascii="Times New Roman;sans-serif" w:hAnsi="Times New Roman;sans-serif"/>
                <w:b/>
                <w:color w:val="000000"/>
                <w:sz w:val="18"/>
              </w:rPr>
              <w:t>Change</w:t>
            </w:r>
            <w:r>
              <w:rPr>
                <w:color w:val="000000"/>
              </w:rPr>
              <w:t xml:space="preserv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Estimated FX</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Impact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Constant</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spacing w:lineRule="auto" w:line="276" w:before="0" w:after="0"/>
              <w:ind w:left="0" w:right="0" w:hanging="200"/>
              <w:jc w:val="center"/>
              <w:rPr/>
            </w:pPr>
            <w:r>
              <w:rPr>
                <w:rFonts w:ascii="Times New Roman;sans-serif" w:hAnsi="Times New Roman;sans-serif"/>
                <w:b/>
                <w:color w:val="000000"/>
                <w:sz w:val="18"/>
              </w:rPr>
              <w:t>Change</w:t>
            </w:r>
            <w:r>
              <w:rPr>
                <w:color w:val="000000"/>
              </w:rPr>
              <w:t xml:space="preserve"> </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tbl>
      <w:tblPr>
        <w:tblW w:w="7168" w:type="dxa"/>
        <w:jc w:val="center"/>
        <w:tblInd w:w="0" w:type="dxa"/>
        <w:tblCellMar>
          <w:top w:w="28" w:type="dxa"/>
          <w:left w:w="28" w:type="dxa"/>
          <w:bottom w:w="28" w:type="dxa"/>
          <w:right w:w="28" w:type="dxa"/>
        </w:tblCellMar>
      </w:tblPr>
      <w:tblGrid>
        <w:gridCol w:w="440"/>
        <w:gridCol w:w="386"/>
        <w:gridCol w:w="388"/>
        <w:gridCol w:w="196"/>
        <w:gridCol w:w="556"/>
        <w:gridCol w:w="109"/>
        <w:gridCol w:w="109"/>
        <w:gridCol w:w="109"/>
        <w:gridCol w:w="109"/>
        <w:gridCol w:w="196"/>
        <w:gridCol w:w="556"/>
        <w:gridCol w:w="109"/>
        <w:gridCol w:w="109"/>
        <w:gridCol w:w="109"/>
        <w:gridCol w:w="109"/>
        <w:gridCol w:w="224"/>
        <w:gridCol w:w="226"/>
        <w:gridCol w:w="414"/>
        <w:gridCol w:w="109"/>
        <w:gridCol w:w="109"/>
        <w:gridCol w:w="109"/>
        <w:gridCol w:w="268"/>
        <w:gridCol w:w="268"/>
        <w:gridCol w:w="634"/>
        <w:gridCol w:w="109"/>
        <w:gridCol w:w="109"/>
        <w:gridCol w:w="109"/>
        <w:gridCol w:w="188"/>
        <w:gridCol w:w="188"/>
        <w:gridCol w:w="514"/>
      </w:tblGrid>
      <w:tr>
        <w:trPr/>
        <w:tc>
          <w:tcPr>
            <w:tcW w:w="440" w:type="dxa"/>
            <w:tcBorders/>
            <w:shd w:fill="auto" w:val="clear"/>
            <w:vAlign w:val="center"/>
          </w:tcPr>
          <w:p>
            <w:pPr>
              <w:pStyle w:val="TableContents"/>
              <w:spacing w:before="0" w:after="283"/>
              <w:rPr>
                <w:sz w:val="4"/>
                <w:szCs w:val="4"/>
              </w:rPr>
            </w:pPr>
            <w:r>
              <w:rPr>
                <w:sz w:val="4"/>
                <w:szCs w:val="4"/>
              </w:rPr>
            </w:r>
          </w:p>
        </w:tc>
        <w:tc>
          <w:tcPr>
            <w:tcW w:w="38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5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March 31,</w:t>
            </w:r>
          </w:p>
        </w:tc>
      </w:tr>
      <w:tr>
        <w:trPr/>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Total</w:t>
            </w:r>
          </w:p>
          <w:p>
            <w:pPr>
              <w:pStyle w:val="TableContents"/>
              <w:spacing w:lineRule="auto" w:line="276" w:before="0" w:after="0"/>
              <w:jc w:val="center"/>
              <w:rPr/>
            </w:pPr>
            <w:r>
              <w:rPr>
                <w:rFonts w:ascii="Times New Roman;sans-serif" w:hAnsi="Times New Roman;sans-serif"/>
                <w:b/>
                <w:color w:val="000000"/>
                <w:sz w:val="18"/>
              </w:rPr>
              <w:t>Change</w:t>
            </w:r>
            <w:r>
              <w:rPr>
                <w:color w:val="000000"/>
              </w:rPr>
              <w:t xml:space="preserve"> </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Estimated FX</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Impact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Constant</w:t>
            </w:r>
          </w:p>
          <w:p>
            <w:pPr>
              <w:pStyle w:val="TableContents"/>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Currency</w:t>
            </w:r>
          </w:p>
          <w:p>
            <w:pPr>
              <w:pStyle w:val="TableContents"/>
              <w:spacing w:lineRule="auto" w:line="276" w:before="0" w:after="0"/>
              <w:ind w:left="0" w:right="0" w:hanging="200"/>
              <w:jc w:val="center"/>
              <w:rPr/>
            </w:pPr>
            <w:r>
              <w:rPr>
                <w:rFonts w:ascii="Times New Roman;sans-serif" w:hAnsi="Times New Roman;sans-serif"/>
                <w:b/>
                <w:color w:val="000000"/>
                <w:sz w:val="18"/>
              </w:rPr>
              <w:t>Change</w:t>
            </w:r>
            <w:r>
              <w:rPr>
                <w:color w:val="000000"/>
              </w:rPr>
              <w:t xml:space="preserve"> </w:t>
            </w:r>
          </w:p>
        </w:tc>
      </w:tr>
      <w:tr>
        <w:trPr/>
        <w:tc>
          <w:tcPr>
            <w:tcW w:w="1214"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spacing w:lineRule="auto" w:line="276" w:before="120" w:after="283"/>
        <w:rPr>
          <w:rFonts w:ascii="Times New Roman;sans-serif" w:hAnsi="Times New Roman;sans-serif"/>
          <w:b/>
          <w:i/>
          <w:color w:val="000000"/>
          <w:sz w:val="20"/>
        </w:rPr>
      </w:pPr>
      <w:r>
        <w:rPr>
          <w:rFonts w:ascii="Times New Roman;sans-serif" w:hAnsi="Times New Roman;sans-serif"/>
          <w:b/>
          <w:i/>
          <w:color w:val="000000"/>
          <w:sz w:val="20"/>
        </w:rPr>
        <w:t xml:space="preserve">Historical Liquidity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we have generated positive cash flows from operations.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BD, the Diabetes Care Business was dependent upon BD for all of its working capital and financing requirements. BD uses a centralized approach to cash management and financing of its operations. The majority of the cash of the Diabetes Care Business was transferred to BD daily and BD funded the operating and investing activities of such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657860"/>
                <wp:effectExtent l="0" t="0" r="0" b="0"/>
                <wp:wrapNone/>
                <wp:docPr id="24" name="Frame24"/>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21</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pPr>
      <w:r>
        <w:rPr>
          <w:rFonts w:ascii="Times New Roman;sans-serif" w:hAnsi="Times New Roman;sans-serif"/>
          <w:b w:val="false"/>
          <w:color w:val="000000"/>
          <w:sz w:val="20"/>
        </w:rPr>
        <w:t xml:space="preserve">business as needed. This arrangement is not reflective of the manner in which the Diabetes Care Business would have been able to finance its operations had the Diabetes Care Business been a standalone business separate from BD during the periods presented. Cash transfers to and from BD’s cash management accounts are reflected within </w:t>
      </w:r>
      <w:r>
        <w:rPr>
          <w:rFonts w:ascii="Times New Roman;sans-serif" w:hAnsi="Times New Roman;sans-serif"/>
          <w:b w:val="false"/>
          <w:i/>
          <w:color w:val="000000"/>
          <w:sz w:val="20"/>
        </w:rPr>
        <w:t>Net parent investment</w:t>
      </w:r>
      <w:r>
        <w:rPr>
          <w:color w:val="000000"/>
        </w:rPr>
        <w:t xml:space="preserve"> </w:t>
      </w:r>
      <w:r>
        <w:rPr>
          <w:rFonts w:ascii="Times New Roman;sans-serif" w:hAnsi="Times New Roman;sans-serif"/>
          <w:b w:val="false"/>
          <w:color w:val="000000"/>
          <w:sz w:val="20"/>
        </w:rPr>
        <w:t xml:space="preserve">as a component of Parent’s Equity. </w:t>
      </w:r>
    </w:p>
    <w:p>
      <w:pPr>
        <w:pStyle w:val="TextBody"/>
        <w:spacing w:lineRule="auto" w:line="276" w:before="120" w:after="283"/>
        <w:jc w:val="both"/>
        <w:rPr/>
      </w:pPr>
      <w:r>
        <w:rPr>
          <w:rFonts w:ascii="Times New Roman;sans-serif" w:hAnsi="Times New Roman;sans-serif"/>
          <w:b w:val="false"/>
          <w:color w:val="000000"/>
          <w:sz w:val="20"/>
        </w:rPr>
        <w:t>Cash and cash equivalents held by BD at the corporate level are not specifically identifiable to the Diabetes Care Business and therefore were not allocated for any of the periods presented. Third-party debt and the related interest expense of BD have not been allocated to the Diabetes Care Business for any of the periods presented because BD’s borrowings were not directly attributable to this business. However, as of March 31, 2022, certain cash and cash equivalents, long-term debt and related interest expense that relate to and are specifically identifiable to embecta have been included in the balance sheet and statement of operations as further described in the "Financing Activities" section below. Specifically, as of March 31, 2022, we held $264.3 million in cash and cash equivalents, $1,450.0 million in long-term debt</w:t>
      </w:r>
      <w:r>
        <w:rPr>
          <w:color w:val="000000"/>
        </w:rPr>
        <w:t xml:space="preserve"> </w:t>
      </w:r>
      <w:r>
        <w:rPr>
          <w:rFonts w:ascii="Times New Roman;sans-serif" w:hAnsi="Times New Roman;sans-serif"/>
          <w:b w:val="false"/>
          <w:color w:val="000000"/>
          <w:sz w:val="20"/>
        </w:rPr>
        <w:t>(excluding discounts and debt issuance costs), and $200.0 million in related party notes (excluding debt issuance costs).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Future Liquidity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recurring basis, our primary future cash needs will be directed toward operating and investing activities, which include working capital needs, capital expenditures, research and development funding, and mergers and acquisitions. We also intend to allocate cash to the interest payments and repayment of borrowings. Our ability to fund these needs will depend, in part, on our ability to generate or raise cash in the future, which is subject to general economic, financial, competitive, regulatory and other factors that are beyond our control.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separation and distribution, our capital structure and sources of liquidity have changed from our historical capital structure because we no longer participate in BD’s centralized cash management program. Our ability to fund our operating needs now depends on our ability to continue to generate positive cash flow from operations and raise capital in the capital markets. Based upon our history of generating strong cash flows, we believe that we will be able to meet our short-term liquidity needs. We believe that we will meet known and reasonably likely future cash requirements through the combination of cash flows from operating activities, available cash balances, investments in money market funds and available borrowings through and under our financing arrangements, as further discussed below. If these sources of liquidity need to be augmented, additional cash requirements would likely need to be financed through the issuance of debt or equity securities. </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76" w:before="120" w:after="283"/>
        <w:jc w:val="both"/>
        <w:rPr/>
      </w:pPr>
      <w:r>
        <w:rPr>
          <w:rFonts w:ascii="Times New Roman;sans-serif" w:hAnsi="Times New Roman;sans-serif"/>
          <w:b w:val="false"/>
          <w:color w:val="000000"/>
          <w:sz w:val="20"/>
        </w:rPr>
        <w:t xml:space="preserve">On February 10, 2022, and in connection with the spin off, embecta issued $500.0 million aggregate principal amount of 5.00% senior secured notes due February 15, 2030 (the “Notes”). </w:t>
      </w:r>
      <w:r>
        <w:rPr>
          <w:rFonts w:ascii="Times New Roman;sans-serif" w:hAnsi="Times New Roman;sans-serif"/>
          <w:b w:val="false"/>
          <w:color w:val="2B2A29"/>
          <w:sz w:val="20"/>
        </w:rPr>
        <w:t>Interest payments on the Notes are due semi-annually in February and August until maturity, with the first interest payment due in August 2022</w:t>
      </w:r>
      <w:r>
        <w:rPr>
          <w:rFonts w:ascii="Times New Roman;sans-serif" w:hAnsi="Times New Roman;sans-serif"/>
          <w:b w:val="false"/>
          <w:color w:val="000000"/>
          <w:sz w:val="20"/>
        </w:rPr>
        <w:t>.</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2022, embecta entered into a credit agreement, providing for: </w:t>
      </w:r>
    </w:p>
    <w:p>
      <w:pPr>
        <w:pStyle w:val="TextBody"/>
        <w:spacing w:lineRule="auto" w:line="268" w:before="0" w:after="0"/>
        <w:ind w:left="0" w:right="0" w:hanging="270"/>
        <w:rPr/>
      </w:pPr>
      <w:r>
        <w:rPr>
          <w:color w:val="2B2A29"/>
        </w:rPr>
        <w:t>•</w:t>
      </w:r>
      <w:r>
        <w:rPr>
          <w:rFonts w:ascii="Times New Roman;sans-serif" w:hAnsi="Times New Roman;sans-serif"/>
          <w:b w:val="false"/>
          <w:color w:val="000000"/>
          <w:sz w:val="20"/>
        </w:rPr>
        <w:t xml:space="preserve">a Term Loan B Facility (the "Term Loan") in the amount of $950.0 million, with a </w:t>
      </w:r>
      <w:r>
        <w:rPr>
          <w:rFonts w:ascii="Times New Roman;sans-serif" w:hAnsi="Times New Roman;sans-serif"/>
          <w:b w:val="false"/>
          <w:color w:val="2B2A29"/>
          <w:sz w:val="20"/>
        </w:rPr>
        <w:t>seven</w:t>
      </w:r>
      <w:r>
        <w:rPr>
          <w:rFonts w:ascii="Times New Roman;sans-serif" w:hAnsi="Times New Roman;sans-serif"/>
          <w:b w:val="false"/>
          <w:color w:val="000000"/>
          <w:sz w:val="20"/>
        </w:rPr>
        <w:t xml:space="preserve">-year </w:t>
      </w:r>
      <w:r>
        <w:rPr>
          <w:rFonts w:ascii="Times New Roman;sans-serif" w:hAnsi="Times New Roman;sans-serif"/>
          <w:b w:val="false"/>
          <w:color w:val="2B2A29"/>
          <w:sz w:val="20"/>
        </w:rPr>
        <w:t>term that matures in March 2029. The interest rate is 300 basis points over the secured overnight financing rate (“SOFR”), with a 0.50% SOFR floor. As of March 31, 2022, the initial draw of the Term Loan was for a 3-month period at an interest rate of 3.65%. The Term Loan was issued at a discount of 0.50%. Principal and interest payments on the Term Loan will begin on June 30, 2022. Such quarterly principal payments are calculated as 0.25% of the initial principal amount, with the remaining balance payable upon maturity;</w:t>
      </w:r>
      <w:r>
        <w:rPr>
          <w:color w:val="000000"/>
        </w:rPr>
        <w:t xml:space="preserve"> </w:t>
      </w:r>
      <w:r>
        <w:rPr>
          <w:rFonts w:ascii="Times New Roman;sans-serif" w:hAnsi="Times New Roman;sans-serif"/>
          <w:b w:val="false"/>
          <w:color w:val="000000"/>
          <w:sz w:val="20"/>
        </w:rPr>
        <w:t xml:space="preserve">and </w:t>
      </w:r>
    </w:p>
    <w:p>
      <w:pPr>
        <w:pStyle w:val="TextBody"/>
        <w:spacing w:lineRule="auto" w:line="276" w:before="120" w:after="283"/>
        <w:ind w:left="0" w:right="0" w:hanging="270"/>
        <w:jc w:val="both"/>
        <w:rPr/>
      </w:pPr>
      <w:r>
        <w:rPr>
          <w:color w:val="2B2A29"/>
        </w:rPr>
        <w:t>•</w:t>
      </w:r>
      <w:r>
        <w:rPr>
          <w:rFonts w:ascii="Times New Roman;sans-serif" w:hAnsi="Times New Roman;sans-serif"/>
          <w:b w:val="false"/>
          <w:color w:val="000000"/>
          <w:sz w:val="20"/>
        </w:rPr>
        <w:t xml:space="preserve">a Revolving Credit Facility (the "Revolving Credit Facility") in an aggregate principal amount of up to $500.0 million, with a </w:t>
      </w:r>
      <w:r>
        <w:rPr>
          <w:rFonts w:ascii="Times New Roman;sans-serif" w:hAnsi="Times New Roman;sans-serif"/>
          <w:b w:val="false"/>
          <w:color w:val="2B2A29"/>
          <w:sz w:val="20"/>
        </w:rPr>
        <w:t>five</w:t>
      </w:r>
      <w:r>
        <w:rPr>
          <w:rFonts w:ascii="Times New Roman;sans-serif" w:hAnsi="Times New Roman;sans-serif"/>
          <w:b w:val="false"/>
          <w:color w:val="000000"/>
          <w:sz w:val="20"/>
        </w:rPr>
        <w:t xml:space="preserve">-year term that matures in 2027. </w:t>
      </w:r>
      <w:r>
        <w:rPr>
          <w:rFonts w:ascii="Times New Roman;sans-serif" w:hAnsi="Times New Roman;sans-serif"/>
          <w:b w:val="false"/>
          <w:color w:val="2B2A29"/>
          <w:sz w:val="20"/>
        </w:rPr>
        <w:t xml:space="preserve">Borrowings under the Revolving Credit Facility bear interest, at embecta’s option, initially at an annual rate equal to (a) in the case of loans denominated in U.S. dollars (i) the SOFR or (ii) the alternate base rate or (b) in the case of loans denominated in Euros, the EURIBOR rate, in each case plus an applicable margin specified in the credit agreement. A commitment fee applies to the unused portion of the Revolving Credit Facility, equal to 0.25% per annum. </w:t>
      </w:r>
      <w:r>
        <w:rPr>
          <w:rFonts w:ascii="Times New Roman;sans-serif" w:hAnsi="Times New Roman;sans-serif"/>
          <w:b w:val="false"/>
          <w:color w:val="000000"/>
          <w:sz w:val="20"/>
        </w:rPr>
        <w:t xml:space="preserve">As of March 31, 2022, no amount has been drawn on the Revolving Credit Facility. </w:t>
      </w:r>
    </w:p>
    <w:p>
      <w:pPr>
        <w:pStyle w:val="TextBody"/>
        <w:spacing w:lineRule="auto" w:line="276" w:before="120" w:after="283"/>
        <w:jc w:val="both"/>
        <w:rPr/>
      </w:pPr>
      <w:r>
        <w:rPr>
          <w:rFonts w:ascii="Times New Roman;sans-serif" w:hAnsi="Times New Roman;sans-serif"/>
          <w:b w:val="false"/>
          <w:color w:val="000000"/>
          <w:sz w:val="20"/>
        </w:rPr>
        <w:t>Additionally, on March 31, 2022, we issued $200.0 million of senior secured notes to BD</w:t>
      </w:r>
      <w:r>
        <w:rPr>
          <w:color w:val="000000"/>
          <w:highlight w:val="white"/>
        </w:rPr>
        <w:t xml:space="preserve"> </w:t>
      </w:r>
      <w:r>
        <w:rPr>
          <w:rFonts w:ascii="Times New Roman;sans-serif" w:hAnsi="Times New Roman;sans-serif"/>
          <w:b w:val="false"/>
          <w:color w:val="000000"/>
          <w:sz w:val="20"/>
          <w:highlight w:val="white"/>
        </w:rPr>
        <w:t>at a discount of $3.0 million.</w:t>
      </w:r>
      <w:r>
        <w:rPr>
          <w:color w:val="000000"/>
        </w:rPr>
        <w:t xml:space="preserve"> </w:t>
      </w:r>
      <w:r>
        <w:rPr>
          <w:rFonts w:ascii="Times New Roman;sans-serif" w:hAnsi="Times New Roman;sans-serif"/>
          <w:b w:val="false"/>
          <w:color w:val="000000"/>
          <w:sz w:val="20"/>
        </w:rPr>
        <w:t xml:space="preserve">The related party notes carry an interest rate of 6.75% and are due February 2030. </w:t>
      </w:r>
      <w:r>
        <w:rPr>
          <w:rFonts w:ascii="Times New Roman;sans-serif" w:hAnsi="Times New Roman;sans-serif"/>
          <w:b w:val="false"/>
          <w:color w:val="2B2A29"/>
          <w:sz w:val="20"/>
        </w:rPr>
        <w:t>Interest payments on the related party notes are due semi-annually in February and August until maturity, with the first interest payment due in August 2022.</w:t>
      </w:r>
      <w:r>
        <w:rPr>
          <w:color w:val="000000"/>
        </w:rPr>
        <w:t xml:space="preserve"> </w:t>
      </w:r>
    </w:p>
    <w:p>
      <w:pPr>
        <w:pStyle w:val="TextBody"/>
        <w:spacing w:lineRule="auto" w:line="276" w:before="120" w:after="283"/>
        <w:jc w:val="both"/>
        <w:rPr/>
      </w:pPr>
      <w:r>
        <w:rPr>
          <w:rFonts w:ascii="Times New Roman;sans-serif" w:hAnsi="Times New Roman;sans-serif"/>
          <w:b w:val="false"/>
          <w:color w:val="000000"/>
          <w:sz w:val="20"/>
        </w:rPr>
        <w:t xml:space="preserve">During the three and six months ended March 31, 2022, we incurred approximately $3.4 million of interest expense related to the $500.0 million of senior secured 5.00% notes and $1.0 million of interest expense related to the Term Loan that is recognized within </w:t>
      </w:r>
      <w:r>
        <w:rPr>
          <w:rFonts w:ascii="Times New Roman;sans-serif" w:hAnsi="Times New Roman;sans-serif"/>
          <w:b w:val="false"/>
          <w:i/>
          <w:color w:val="000000"/>
          <w:sz w:val="20"/>
        </w:rPr>
        <w:t>Interest expense</w:t>
      </w:r>
      <w:r>
        <w:rPr>
          <w:color w:val="000000"/>
        </w:rPr>
        <w:t xml:space="preserve"> </w:t>
      </w:r>
      <w:r>
        <w:rPr>
          <w:rFonts w:ascii="Times New Roman;sans-serif" w:hAnsi="Times New Roman;sans-serif"/>
          <w:b w:val="false"/>
          <w:color w:val="000000"/>
          <w:sz w:val="20"/>
        </w:rPr>
        <w:t>on the condensed combined statement of income. There was no interest expense recorded during the three and six months ended March 31, 2022 for the related party notes.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657860"/>
                <wp:effectExtent l="0" t="0" r="0" b="0"/>
                <wp:wrapNone/>
                <wp:docPr id="25" name="Frame25"/>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22</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and the indenture for the 5.00% notes contain customary financial covenants, including a total net leverage ratio covenant, which measures the ratio of (i) consolidated total net debt to (ii) consolidated earnings before interest, taxes, depreciation and amortization, and subject to other adjustments, must meet certain defined limits which are tested on a quarterly basis in accordance with the terms of the Credit Agreement and Notes. In addition, the credit agreement contains covenants that will limit, among other things, embecta’s ability to prepay, redeem or repurchase its subordinated and junior lien debt, incur additional debt, make acquisitions, merge with other entities, pay dividends or distributions, redeem or repurchase equity interests, and create or become subject to liens. As of March 31, 2022, we were in compliance with all of such covenants.</w:t>
      </w:r>
    </w:p>
    <w:p>
      <w:pPr>
        <w:pStyle w:val="TextBody"/>
        <w:spacing w:lineRule="auto" w:line="276" w:before="120" w:after="283"/>
        <w:jc w:val="both"/>
        <w:rPr/>
      </w:pPr>
      <w:r>
        <w:rPr>
          <w:rFonts w:ascii="Times New Roman;sans-serif" w:hAnsi="Times New Roman;sans-serif"/>
          <w:b w:val="false"/>
          <w:color w:val="000000"/>
          <w:sz w:val="20"/>
        </w:rPr>
        <w:t>We utilized the aggregate proceeds received to make distribution payment of approximately $1,466.0 million to BD in connection with the spin off for assets transferred by BD to embecta. The $1,466.0 million payment to BD consisted of $1,266.0 million of</w:t>
      </w:r>
      <w:r>
        <w:rPr>
          <w:color w:val="000000"/>
        </w:rPr>
        <w:t xml:space="preserve"> </w:t>
      </w:r>
      <w:r>
        <w:rPr>
          <w:rFonts w:ascii="Times New Roman;sans-serif" w:hAnsi="Times New Roman;sans-serif"/>
          <w:b w:val="false"/>
          <w:color w:val="000000"/>
          <w:sz w:val="20"/>
        </w:rPr>
        <w:t>cash and $200.0 million of senior secured notes which were subject to a debt-for-debt exchange on April 1, 2022. Subsequent to the proceeds received and distribution payment made to BD, we retained approximately $165.0 million in cash and cash equivalents which is reflected within the condensed combined balance sheet.</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schedule of principal payments required on long-term debt for the next five years and thereafter is as follows:</w:t>
      </w:r>
    </w:p>
    <w:tbl>
      <w:tblPr>
        <w:tblW w:w="1882" w:type="dxa"/>
        <w:jc w:val="center"/>
        <w:tblInd w:w="0" w:type="dxa"/>
        <w:tblCellMar>
          <w:top w:w="28" w:type="dxa"/>
          <w:left w:w="28" w:type="dxa"/>
          <w:bottom w:w="28" w:type="dxa"/>
          <w:right w:w="28" w:type="dxa"/>
        </w:tblCellMar>
      </w:tblPr>
      <w:tblGrid>
        <w:gridCol w:w="304"/>
        <w:gridCol w:w="267"/>
        <w:gridCol w:w="270"/>
        <w:gridCol w:w="196"/>
        <w:gridCol w:w="691"/>
        <w:gridCol w:w="154"/>
      </w:tblGrid>
      <w:tr>
        <w:trPr/>
        <w:tc>
          <w:tcPr>
            <w:tcW w:w="30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2023</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9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1,407.3 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120" w:after="283"/>
        <w:ind w:left="0" w:right="0" w:firstLine="49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material changes to the contractual obligations related to leases or purchase commitments as included in the Form 10 as of September 30, 2021.</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entered into a Trade Receivables Factoring Agreement with BD effective at the time of the spin off. embecta owes BD a service fee calculated as 0.1% of annual revenues related to countries subject to the agreement, in exchange for the services provided by BD pursuant to the Trade Receivables Factoring Agreement. This factoring agreement will provide embecta with an additional source of liquidity. As of March 31, 2022, the Company transferred $105.2 million of trade receivables to BD in exchange for cash pursuant to the Factoring Agreement.</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Access to Capital and Credit Ratings </w:t>
      </w:r>
    </w:p>
    <w:p>
      <w:pPr>
        <w:pStyle w:val="TextBody"/>
        <w:spacing w:lineRule="auto" w:line="268" w:before="120" w:after="283"/>
        <w:rPr>
          <w:rFonts w:ascii="Times New Roman;sans-serif" w:hAnsi="Times New Roman;sans-serif"/>
          <w:b w:val="false"/>
          <w:color w:val="000000"/>
          <w:sz w:val="20"/>
        </w:rPr>
      </w:pPr>
      <w:r>
        <w:rPr>
          <w:rFonts w:ascii="Times New Roman;sans-serif" w:hAnsi="Times New Roman;sans-serif"/>
          <w:b w:val="false"/>
          <w:color w:val="000000"/>
          <w:sz w:val="20"/>
        </w:rPr>
        <w:t>In January 2022, Moody’s Investor Services (“Moody’s”) and Standard &amp; Poor’s Ratings Services (“S&amp;P”) assigned credit ratings to embecta of Ba3 and B+, respectively.</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condensed combined statements of cash flows: </w:t>
      </w:r>
    </w:p>
    <w:tbl>
      <w:tblPr>
        <w:tblW w:w="4554" w:type="dxa"/>
        <w:jc w:val="left"/>
        <w:tblInd w:w="0" w:type="dxa"/>
        <w:tblCellMar>
          <w:top w:w="28" w:type="dxa"/>
          <w:left w:w="28" w:type="dxa"/>
          <w:bottom w:w="28" w:type="dxa"/>
          <w:right w:w="28" w:type="dxa"/>
        </w:tblCellMar>
      </w:tblPr>
      <w:tblGrid>
        <w:gridCol w:w="864"/>
        <w:gridCol w:w="759"/>
        <w:gridCol w:w="762"/>
        <w:gridCol w:w="196"/>
        <w:gridCol w:w="556"/>
        <w:gridCol w:w="109"/>
        <w:gridCol w:w="109"/>
        <w:gridCol w:w="109"/>
        <w:gridCol w:w="109"/>
        <w:gridCol w:w="196"/>
        <w:gridCol w:w="631"/>
        <w:gridCol w:w="154"/>
      </w:tblGrid>
      <w:tr>
        <w:trPr/>
        <w:tc>
          <w:tcPr>
            <w:tcW w:w="864"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216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w:t>
              <w:br/>
              <w:t>March 31,</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color w:val="000000"/>
              </w:rPr>
            </w:pPr>
            <w:r>
              <w:rPr>
                <w:color w:val="000000"/>
              </w:rPr>
              <w:t> </w:t>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2021</w:t>
            </w:r>
          </w:p>
        </w:tc>
      </w:tr>
      <w:tr>
        <w:trPr/>
        <w:tc>
          <w:tcPr>
            <w:tcW w:w="238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for)</w:t>
            </w:r>
          </w:p>
        </w:tc>
        <w:tc>
          <w:tcPr>
            <w:tcW w:w="86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activities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241.1 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Investing activities</w:t>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activities</w:t>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Net Cash Flows from Operating Activities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during the six months ended March 31, 2022 was attributable to net income of $178.4 million and net adjustments of $143.0 million, which includes $27.3 million of non-cash adjustments related to depreciation and amortization, share-based compensation, and pension expense, and a $115.3 million net source of cash relating to changes in working capital. The source of cash relating to working capital was driven by a decrease in trade receivables of $133.3 million and an increase in other current liabilities of $5.8 million, partially offset by a decrease of $11.4 million in accounts payable and accrued expenses, and increases of $10.0 million and $2.4 million in inventories and prepaid expenses and other, respectively.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657860"/>
                <wp:effectExtent l="0" t="0" r="0" b="0"/>
                <wp:wrapNone/>
                <wp:docPr id="26" name="Frame26"/>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23</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decrease in trade receivables primarily relates to the Factoring Agreement entered into between embecta and BD, in which embecta transferred certain trade receivable assets to BD. The decrease in accounts payable and accrued expenses relates to higher amounts of payments being released during the six months ended March 31, 2022, as compared to prior period. The increase in inventories is primarily driven by a concerted effort to build inventory in preparation of the spin off. We expect to continue to build inventory for the remainder of fiscal 2022.</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operating activities during the six months ended March 31, 2021 was attributable to net income of $213.2 million and net adjustments of $27.7 million, which includes $41.1 million of non-cash adjustments related to depreciation and amortization, impairment of property, plant and equipment, share-based compensation, and pension expense, and a $13.4 million net use of cash relating to changes in working capital. The net use of cash relating to working capital was driven by an increase in inventories of $9.1 million and an increase in prepaid expenses and other of $5.8 million. These changes were partially offset by an increase in other current liabilities of $1.1 million.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increase in inventories can primarily be attributed to the timing of capitalized variances as well as higher inventory on hand as of period end compared to prior year. The increase in prepaid expenses and other is mainly driven by an increase in value-added taxes and other miscellaneous prepaids.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Net Cash Flows from Investing Activities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investing activities was primarily comprised of capital expenditures of $9.7 million and $16.6 million during the six months ended March 31, 2022 and 2021, respectively, to support further expansion of our business and operations.</w:t>
      </w:r>
    </w:p>
    <w:p>
      <w:pPr>
        <w:pStyle w:val="TextBody"/>
        <w:spacing w:lineRule="auto" w:line="276" w:before="360" w:after="283"/>
        <w:rPr>
          <w:rFonts w:ascii="Times New Roman;sans-serif" w:hAnsi="Times New Roman;sans-serif"/>
          <w:b/>
          <w:i/>
          <w:color w:val="000000"/>
          <w:sz w:val="20"/>
        </w:rPr>
      </w:pPr>
      <w:r>
        <w:rPr>
          <w:rFonts w:ascii="Times New Roman;sans-serif" w:hAnsi="Times New Roman;sans-serif"/>
          <w:b/>
          <w:i/>
          <w:color w:val="000000"/>
          <w:sz w:val="20"/>
        </w:rPr>
        <w:t xml:space="preserve">Net Cash Flows from Financing Activities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for financing activities for the six months ended March 31, 2022, represents proceeds from the issuance of long-term debt of $1,450.0 million, offset by $33.3 million of payments for long-term debt issuance costs, $5.6 million of payments for debt fees associated with the revolving credit facility, and $1,266.0 million of net consideration paid to BD in connection with the spin off. See Note 10 to the Condensed Combined Financial Statements included elsewhere in this report as well as the Financing Activities section above for further details. Additionally, proceeds from the issuance of long-term debt was further offset by $189.3 million related to net transfers to BD (see Note 2 to the Combined Financial Statements included elsewhere in this report).</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for financing activities for the six months ended March 31, 2021, represents net transfers entirely to BD (see Note 2 to the Condensed Combined Financial Statements included elsewhere in this report).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Cautionary Statements Regarding Forward-Looking Statements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statements and assumptions contained in this Quarterly Report on Form 10-Q that relate to future events and expectations and, as such, constitute forward-looking statements under the Private Securities Litigation Reform Act of 1995 and other securities laws. Forward-looking statements include those containing such words as “anticipates,” “believes,” “could,” “estimates,” “expects,” “forecasts,” “goal,” “guidance,” “intends,” “may,” “outlook,” “plans,” “projects,” “seeks,” “sees,” “should,” “targets,” “will,” “would,” or other words of similar meaning. All statements that reflect embecta’s expectations, assumptions or projections about the future, other than statements of historical fact, are forward-looking statements, including, without limitation, forecasts relating to discussions of future operations and financial performance (including volume growth, pricing, sales and earnings per share growth and cash flows) and statements regarding embecta’s strategy for growth, future product development, regulatory clearances and approvals, competitive position and expenditures. Forward-looking statements are not guarantees of future performance and are subject to risks, uncertainties, and changes in circumstances that are difficult to predict. Although embecta believes that the expectations reflected in any forward-looking statements it makes are based on reasonable assumptions, it can give no assurance that these expectations will be attained and it is possible that actual results may differ materially from those indicated by these forward-looking statements due to a variety of risks and uncertainties. Such risks and uncertainties include, but are not limited to: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Competitive factors that could adversely affect embecta’s operations, including new product introductions by embecta’s competitors, the development of new technologies, lower cost producers that create pricing pressure and consolidation resulting in companies with greater scale and market presence than embecta.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Any events that adversely affect the sale or profitability of one of embecta’s key products or the revenue delivered from sales to its key customers.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Any failure by BD to perform its obligations under the various separation agreements entered into in connection with the separation and distribution, including the cannula supply agreement.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657860"/>
                <wp:effectExtent l="0" t="0" r="0" b="0"/>
                <wp:wrapNone/>
                <wp:docPr id="27" name="Frame27"/>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24</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Increases in operating costs, including fluctuations in the cost and availability of oil-based resins and other raw materials, as well as certain components, used in its products, the ability to maintain favorable supplier arrangements and relationships, and the potential adverse effects of any disruption in the availability of such items.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Changes in reimbursement practices of governments or private payers or other cost containment measures.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The adverse financial impact resulting from unfavorable changes in foreign currency exchange rates, as well as regional, national and foreign economic factors, including inflation, deflation, and fluctuations in interest rates, and their potential effect on its operating performance.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The impact of changes in U.S., federal laws and policy that could affect fiscal and tax policies, healthcare and international trade, including import and export regulation and international trade agreements. In particular, tariffs or other trade barriers imposed by the United States or other countries could adversely impact its supply chain costs or otherwise adversely impact its results of operations.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Any impact of the COVID-19 pandemic on embecta’s business, including disruptions in its operations and supply chains.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New or changing laws and regulations affecting embecta’s domestic and foreign operations, or changes in enforcement practices, including laws relating to healthcare, environmental protection, trade, monetary and fiscal policies, taxation (including tax reforms that could adversely impact multinational corporations) and licensing and regulatory requirements for products.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The expected benefits of the separation from BD.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Risks associated with indebtedness.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The risk that dis-synergy costs, costs of restructuring transactions and other costs incurred in connection with the separation will exceed embecta's estimates. </w:t>
      </w:r>
    </w:p>
    <w:p>
      <w:pPr>
        <w:pStyle w:val="TextBody"/>
        <w:spacing w:lineRule="auto" w:line="276" w:before="160" w:after="283"/>
        <w:ind w:left="0" w:right="0" w:hanging="360"/>
        <w:jc w:val="both"/>
        <w:rPr/>
      </w:pPr>
      <w:r>
        <w:rPr>
          <w:color w:val="000000"/>
        </w:rPr>
        <w:t>•</w:t>
      </w:r>
      <w:r>
        <w:rPr>
          <w:rFonts w:ascii="Times New Roman;sans-serif" w:hAnsi="Times New Roman;sans-serif"/>
          <w:b w:val="false"/>
          <w:color w:val="000000"/>
          <w:sz w:val="20"/>
        </w:rPr>
        <w:t xml:space="preserve">The impact of the separation on embecta's businesses and the risk that the separation may be more difficult, time-consuming or costly than expected, including the impact on its resources, systems, procedures and controls, diversion of management’s attention and the impact on relationships with customers, suppliers, employees and other business counterparties.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transactions or uncertainties described above will in fact be consummated or occur in the manner described or at all. The above list of factors is not exhaustive or necessarily in order of importance. For additional information on identifying factors that may cause actual results to vary materially from those stated in forward-looking statements, see the discussions under “Risk Factors,” included within Amendment No. 1 to the Form 10. Any forward-looking statement speaks only as of the date on which it is made, and embecta assumes no obligation to update or revise such statement, whether as a result of new information, future events or otherwise, except as required by applicable law.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in information reported since the filing the Form 10.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evaluation was carried out by embecta’s management, with the participation of embecta’s Chief Executive Officer and Chief Financial Officer, of the effectiveness of the design and operation of embecta’s disclosure controls and procedures (as defined in Rule 13a-15(e) under the Securities Exchange Act of 1934) as of March 31, 2022. Based upon that evaluation, the Chief Executive Officer and Chief Financial Officer concluded that the design and operation of these disclosure controls and procedures were, as of the end of the period covered by this report, effective and designed to ensure that material information relating to embecta and its consolidated subsidiaries would be made known to them by others within these entities.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changes in our internal control over financial reporting during the fiscal quarter ended March 31, 2022 that have materially affected, or are reasonably likely to materially affect, embecta’s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657860"/>
                <wp:effectExtent l="0" t="0" r="0" b="0"/>
                <wp:wrapNone/>
                <wp:docPr id="28" name="Frame28"/>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center"/>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25</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PART II. OTHER INFORMATION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360" w:after="283"/>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material changes to embecta’s risk factors from those described in “Risk Factors” in the Form 10, except for the addition of the following risk factor: </w:t>
      </w:r>
    </w:p>
    <w:p>
      <w:pPr>
        <w:pStyle w:val="TextBody"/>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ongoing conflict between Russia and Ukraine, and the global response to it, may adversely affect our business and results of operations: The military conflict between Russia and Ukraine has resulted in the implementation of sanctions by the United States and other governments against Russia and has caused significant volatility and disruptions to the global markets. It is not possible to predict the short- and long-term implications of this conflict, which could include but are not limited to further sanctions, uncertainty about economic and political stability, increases in inflation rate and energy prices, supply chain challenges and adverse effects on currency exchange rates and financial markets. In addition, the United States government reported that United States sanctions against Russia in response to the conflict could lead to an increased threat of cyberattacks against United States companies. These increased threats could pose risks to the security of our Information Technology systems, networks and product offerings, as well as the confidentiality, availability and integrity of our data. Further, if the conflict develops beyond Ukraine or further intensifies, it could have an adverse impact on our operations in the European Union or other affected areas. We are continuing to monitor the situation in Ukraine and globally as well as assess its potential impact on our business. Although Russia does not constitute a material portion of our business, a significant escalation or further expansion of the conflict's current scope or related disruptions to the global markets could have a material adverse effect on our results of operations.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76" w:before="0" w:after="0"/>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center"/>
        <w:tblInd w:w="0" w:type="dxa"/>
        <w:tblCellMar>
          <w:top w:w="28" w:type="dxa"/>
          <w:left w:w="28" w:type="dxa"/>
          <w:bottom w:w="28" w:type="dxa"/>
          <w:right w:w="28" w:type="dxa"/>
        </w:tblCellMar>
      </w:tblPr>
      <w:tblGrid>
        <w:gridCol w:w="255"/>
        <w:gridCol w:w="225"/>
        <w:gridCol w:w="226"/>
        <w:gridCol w:w="109"/>
        <w:gridCol w:w="109"/>
        <w:gridCol w:w="109"/>
        <w:gridCol w:w="2761"/>
        <w:gridCol w:w="2690"/>
        <w:gridCol w:w="3721"/>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61" w:type="dxa"/>
            <w:tcBorders/>
            <w:shd w:fill="auto" w:val="clear"/>
            <w:vAlign w:val="center"/>
          </w:tcPr>
          <w:p>
            <w:pPr>
              <w:pStyle w:val="TableContents"/>
              <w:spacing w:before="0" w:after="283"/>
              <w:rPr>
                <w:sz w:val="4"/>
                <w:szCs w:val="4"/>
              </w:rPr>
            </w:pPr>
            <w:r>
              <w:rPr>
                <w:sz w:val="4"/>
                <w:szCs w:val="4"/>
              </w:rPr>
            </w:r>
          </w:p>
        </w:tc>
        <w:tc>
          <w:tcPr>
            <w:tcW w:w="2690" w:type="dxa"/>
            <w:tcBorders/>
            <w:shd w:fill="auto" w:val="clear"/>
            <w:vAlign w:val="center"/>
          </w:tcPr>
          <w:p>
            <w:pPr>
              <w:pStyle w:val="TableContents"/>
              <w:spacing w:before="0" w:after="283"/>
              <w:rPr>
                <w:sz w:val="4"/>
                <w:szCs w:val="4"/>
              </w:rPr>
            </w:pPr>
            <w:r>
              <w:rPr>
                <w:sz w:val="4"/>
                <w:szCs w:val="4"/>
              </w:rPr>
            </w:r>
          </w:p>
        </w:tc>
        <w:tc>
          <w:tcPr>
            <w:tcW w:w="3721"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6" w:before="0" w:after="10"/>
              <w:jc w:val="left"/>
              <w:rPr>
                <w:rFonts w:ascii="Times New Roman;sans-serif" w:hAnsi="Times New Roman;sans-serif"/>
                <w:b/>
                <w:color w:val="000000"/>
                <w:sz w:val="16"/>
              </w:rPr>
            </w:pPr>
            <w:r>
              <w:rPr>
                <w:rFonts w:ascii="Times New Roman;sans-serif" w:hAnsi="Times New Roman;sans-serif"/>
                <w:b/>
                <w:color w:val="000000"/>
                <w:sz w:val="16"/>
              </w:rPr>
              <w:t xml:space="preserve">Exhibit </w:t>
            </w:r>
          </w:p>
          <w:p>
            <w:pPr>
              <w:pStyle w:val="TableContents"/>
              <w:spacing w:lineRule="auto" w:line="276" w:before="0" w:after="10"/>
              <w:jc w:val="left"/>
              <w:rPr>
                <w:rFonts w:ascii="Times New Roman;sans-serif" w:hAnsi="Times New Roman;sans-serif"/>
                <w:b/>
                <w:color w:val="000000"/>
                <w:sz w:val="16"/>
              </w:rPr>
            </w:pPr>
            <w:r>
              <w:rPr>
                <w:rFonts w:ascii="Times New Roman;sans-serif" w:hAnsi="Times New Roman;sans-serif"/>
                <w:b/>
                <w:color w:val="000000"/>
                <w:sz w:val="16"/>
              </w:rPr>
              <w:t>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73"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
              <w:r>
                <w:rPr>
                  <w:rStyle w:val="InternetLink"/>
                  <w:rFonts w:ascii="Times New Roman;sans-serif" w:hAnsi="Times New Roman;sans-serif"/>
                  <w:b w:val="false"/>
                  <w:color w:val="0000FF"/>
                  <w:sz w:val="20"/>
                  <w:u w:val="single"/>
                </w:rPr>
                <w:t>Separation and Distribution Agreement, dated as of March 31, 2022, by and between Embecta and BD (incorporated by reference to Exhibit 2.1 to the Company's Current Report on Form 8-K (File No. 001-41186) filed on April 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
              <w:r>
                <w:rPr>
                  <w:rStyle w:val="InternetLink"/>
                  <w:rFonts w:ascii="Times New Roman;sans-serif" w:hAnsi="Times New Roman;sans-serif"/>
                  <w:b w:val="false"/>
                  <w:color w:val="0000FF"/>
                  <w:sz w:val="20"/>
                  <w:u w:val="single"/>
                </w:rPr>
                <w:t>Amended and Restated Certificate of Incorporation of Embecta (incorporated by reference to Exhibit 3.1 to the Company's Current Report on Form 8-K (File No. 001-41186) filed on April 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4">
              <w:r>
                <w:rPr>
                  <w:rStyle w:val="InternetLink"/>
                  <w:rFonts w:ascii="Times New Roman;sans-serif" w:hAnsi="Times New Roman;sans-serif"/>
                  <w:b w:val="false"/>
                  <w:color w:val="0000FF"/>
                  <w:sz w:val="20"/>
                  <w:u w:val="single"/>
                </w:rPr>
                <w:t>Amended and Restated Bylaws of Embecta (incorporated by reference to Exhibit 3.2 to the Company's Current Report on Form 8-K (File No. 001-41186) filed on April 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5">
              <w:r>
                <w:rPr>
                  <w:rStyle w:val="InternetLink"/>
                  <w:rFonts w:ascii="Times New Roman;sans-serif" w:hAnsi="Times New Roman;sans-serif"/>
                  <w:b w:val="false"/>
                  <w:color w:val="0000FF"/>
                  <w:sz w:val="20"/>
                  <w:u w:val="single"/>
                </w:rPr>
                <w:t>Indenture, dated as of March 31, 2022, by and between Embecta Corp. and U.S. Bank Trust Company, National Association, as trustee and as notes collateral agent (incorporated by reference to Exhibit 4.1 to the Company's Current Report on Form 8-K (File No. 001-41186) filed on April 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6">
              <w:r>
                <w:rPr>
                  <w:rStyle w:val="InternetLink"/>
                </w:rPr>
                <w:t>First Supplemental Indenture, dated as of April 1, 2022, to the Indenture dated as of March 31, 2022, by and between Embecta Corp. and U.S. Bank Trust Company, National Association, as trustee and as notes collateral agent</w:t>
              </w:r>
            </w:hyperlink>
            <w:hyperlink r:id="rId7">
              <w:r>
                <w:rPr>
                  <w:rStyle w:val="InternetLink"/>
                </w:rPr>
                <w:t xml:space="preserve"> </w:t>
              </w:r>
            </w:hyperlink>
            <w:hyperlink r:id="rId8">
              <w:r>
                <w:rPr>
                  <w:rStyle w:val="InternetLink"/>
                </w:rPr>
                <w:t>(incorporated by reference to Exhibit 4.</w:t>
              </w:r>
            </w:hyperlink>
            <w:hyperlink r:id="rId9">
              <w:r>
                <w:rPr>
                  <w:rStyle w:val="InternetLink"/>
                </w:rPr>
                <w:t>2</w:t>
              </w:r>
            </w:hyperlink>
            <w:hyperlink r:id="rId10">
              <w:r>
                <w:rPr>
                  <w:rStyle w:val="InternetLink"/>
                </w:rPr>
                <w:t xml:space="preserve"> to the Company's Current Report on Form 8-K (File No. 001-41186) filed on April 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1">
              <w:r>
                <w:rPr>
                  <w:rStyle w:val="InternetLink"/>
                  <w:rFonts w:ascii="Times New Roman;sans-serif" w:hAnsi="Times New Roman;sans-serif"/>
                  <w:b w:val="false"/>
                  <w:color w:val="0000FF"/>
                  <w:sz w:val="20"/>
                  <w:u w:val="single"/>
                </w:rPr>
                <w:t>Form of 6.750% Senior Secured Note due February 15, 2030 (included as Exhibit A to the Indenture filed as Exhibit 4.1 hereto) (incorporated by reference to Exhibit 4.3 to the Company's Current Report on Form 8-K (File No. 001-41186) filed on April 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2">
              <w:r>
                <w:rPr>
                  <w:rStyle w:val="InternetLink"/>
                </w:rPr>
                <w:t>First Supplemental Indenture, dated as of April 1, 2022, to the Indenture dated as of February 10, 2022, by and between Embecta Corp. and U.S. Bank Trust Company, National Association, as trustee and as notes collateral agent (filed as Exhibit 4.1 to the February 11, 2022 Form 8-K and incorporated by reference herein)</w:t>
              </w:r>
            </w:hyperlink>
            <w:hyperlink r:id="rId13">
              <w:r>
                <w:rPr>
                  <w:rStyle w:val="InternetLink"/>
                </w:rPr>
                <w:t xml:space="preserve"> </w:t>
              </w:r>
            </w:hyperlink>
            <w:hyperlink r:id="rId14">
              <w:r>
                <w:rPr>
                  <w:rStyle w:val="InternetLink"/>
                </w:rPr>
                <w:t>(incorporated by reference to Exhibit 4.</w:t>
              </w:r>
            </w:hyperlink>
            <w:hyperlink r:id="rId15">
              <w:r>
                <w:rPr>
                  <w:rStyle w:val="InternetLink"/>
                </w:rPr>
                <w:t>4</w:t>
              </w:r>
            </w:hyperlink>
            <w:hyperlink r:id="rId16">
              <w:r>
                <w:rPr>
                  <w:rStyle w:val="InternetLink"/>
                </w:rPr>
                <w:t xml:space="preserve"> to the Company's Current Report on Form 8-K (File No. 001-41186) filed on April 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9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657860"/>
                <wp:effectExtent l="0" t="0" r="0" b="0"/>
                <wp:wrapNone/>
                <wp:docPr id="29" name="Frame29"/>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left"/>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16"/>
                              </w:rPr>
                            </w:pPr>
                            <w:r>
                              <w:rPr>
                                <w:rFonts w:ascii="Times New Roman;sans-serif" w:hAnsi="Times New Roman;sans-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16"/>
                        </w:rPr>
                      </w:pPr>
                      <w:r>
                        <w:rPr>
                          <w:rFonts w:ascii="Times New Roman;sans-serif" w:hAnsi="Times New Roman;sans-serif"/>
                          <w:b w:val="false"/>
                          <w:color w:val="000000"/>
                          <w:sz w:val="16"/>
                        </w:rPr>
                        <w:t>26</w:t>
                      </w:r>
                    </w:p>
                  </w:txbxContent>
                </v:textbox>
              </v:rect>
            </w:pict>
          </mc:Fallback>
        </mc:AlternateContent>
      </w:r>
    </w:p>
    <w:p>
      <w:pPr>
        <w:pStyle w:val="TextBody"/>
        <w:spacing w:lineRule="auto" w:line="276" w:before="0" w:after="0"/>
        <w:rPr/>
      </w:pPr>
      <w:hyperlink w:anchor="i2b8de7a111e646fda1ff40855905f325_7">
        <w:r>
          <w:rPr>
            <w:rStyle w:val="InternetLink"/>
            <w:rFonts w:ascii="Times New Roman;sans-serif" w:hAnsi="Times New Roman;sans-serif"/>
            <w:b/>
            <w:color w:val="000000"/>
            <w:sz w:val="20"/>
            <w:u w:val="single"/>
          </w:rPr>
          <w:t>Table of Contents</w:t>
        </w:r>
      </w:hyperlink>
    </w:p>
    <w:tbl>
      <w:tblPr>
        <w:tblW w:w="10205" w:type="dxa"/>
        <w:jc w:val="center"/>
        <w:tblInd w:w="0" w:type="dxa"/>
        <w:tblCellMar>
          <w:top w:w="28" w:type="dxa"/>
          <w:left w:w="28" w:type="dxa"/>
          <w:bottom w:w="28" w:type="dxa"/>
          <w:right w:w="28" w:type="dxa"/>
        </w:tblCellMar>
      </w:tblPr>
      <w:tblGrid>
        <w:gridCol w:w="211"/>
        <w:gridCol w:w="186"/>
        <w:gridCol w:w="189"/>
        <w:gridCol w:w="109"/>
        <w:gridCol w:w="109"/>
        <w:gridCol w:w="109"/>
        <w:gridCol w:w="2783"/>
        <w:gridCol w:w="2696"/>
        <w:gridCol w:w="3813"/>
      </w:tblGrid>
      <w:tr>
        <w:trPr/>
        <w:tc>
          <w:tcPr>
            <w:tcW w:w="211"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3" w:type="dxa"/>
            <w:tcBorders/>
            <w:shd w:fill="auto" w:val="clear"/>
            <w:vAlign w:val="center"/>
          </w:tcPr>
          <w:p>
            <w:pPr>
              <w:pStyle w:val="TableContents"/>
              <w:spacing w:before="0" w:after="283"/>
              <w:rPr>
                <w:sz w:val="4"/>
                <w:szCs w:val="4"/>
              </w:rPr>
            </w:pPr>
            <w:r>
              <w:rPr>
                <w:sz w:val="4"/>
                <w:szCs w:val="4"/>
              </w:rPr>
            </w:r>
          </w:p>
        </w:tc>
        <w:tc>
          <w:tcPr>
            <w:tcW w:w="2696" w:type="dxa"/>
            <w:tcBorders/>
            <w:shd w:fill="auto" w:val="clear"/>
            <w:vAlign w:val="center"/>
          </w:tcPr>
          <w:p>
            <w:pPr>
              <w:pStyle w:val="TableContents"/>
              <w:spacing w:before="0" w:after="283"/>
              <w:rPr>
                <w:sz w:val="4"/>
                <w:szCs w:val="4"/>
              </w:rPr>
            </w:pPr>
            <w:r>
              <w:rPr>
                <w:sz w:val="4"/>
                <w:szCs w:val="4"/>
              </w:rPr>
            </w:r>
          </w:p>
        </w:tc>
        <w:tc>
          <w:tcPr>
            <w:tcW w:w="3813" w:type="dxa"/>
            <w:tcBorders/>
            <w:shd w:fill="auto" w:val="cle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7">
              <w:r>
                <w:rPr>
                  <w:rStyle w:val="InternetLink"/>
                  <w:rFonts w:ascii="Times New Roman;sans-serif" w:hAnsi="Times New Roman;sans-serif"/>
                  <w:b w:val="false"/>
                  <w:color w:val="0000FF"/>
                  <w:sz w:val="20"/>
                  <w:u w:val="single"/>
                </w:rPr>
                <w:t>Transition Services Agreement, dated as of March 31, 2022, by and between BD and Embecta (incorporated by reference to Exhibit 10.1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8">
              <w:r>
                <w:rPr>
                  <w:rStyle w:val="InternetLink"/>
                  <w:rFonts w:ascii="Times New Roman;sans-serif" w:hAnsi="Times New Roman;sans-serif"/>
                  <w:b w:val="false"/>
                  <w:color w:val="0000FF"/>
                  <w:sz w:val="20"/>
                  <w:u w:val="single"/>
                </w:rPr>
                <w:t>Tax Matters Agreement, dated as of March 31, 2022, by and between BD and Embecta (incorporated by reference to Exhibit 10.2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19">
              <w:r>
                <w:rPr>
                  <w:rStyle w:val="InternetLink"/>
                  <w:rFonts w:ascii="Times New Roman;sans-serif" w:hAnsi="Times New Roman;sans-serif"/>
                  <w:b w:val="false"/>
                  <w:color w:val="0000FF"/>
                  <w:sz w:val="20"/>
                  <w:u w:val="single"/>
                </w:rPr>
                <w:t>Employee Matters Agreement, dated as of March 31, 2022, by and between BD and Embecta (incorporated by reference to Exhibit 10.3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0">
              <w:r>
                <w:rPr>
                  <w:rStyle w:val="InternetLink"/>
                  <w:rFonts w:ascii="Times New Roman;sans-serif" w:hAnsi="Times New Roman;sans-serif"/>
                  <w:b w:val="false"/>
                  <w:color w:val="0000FF"/>
                  <w:sz w:val="20"/>
                  <w:u w:val="single"/>
                </w:rPr>
                <w:t>Intellectual Property Matters Agreement, dated as of March 31, 2022, by and between BD and Embecta (incorporated by reference to Exhibit 10.4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1">
              <w:r>
                <w:rPr>
                  <w:rStyle w:val="InternetLink"/>
                  <w:rFonts w:ascii="Times New Roman;sans-serif" w:hAnsi="Times New Roman;sans-serif"/>
                  <w:b w:val="false"/>
                  <w:color w:val="0000FF"/>
                  <w:sz w:val="20"/>
                  <w:u w:val="single"/>
                </w:rPr>
                <w:t>Form of Contract Manufacturing Agreement, dated as of March 31, 2022, by and between BD and Embecta (incorporated by reference to Exhibit 10.5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2">
              <w:r>
                <w:rPr>
                  <w:rStyle w:val="InternetLink"/>
                  <w:rFonts w:ascii="Times New Roman;sans-serif" w:hAnsi="Times New Roman;sans-serif"/>
                  <w:b w:val="false"/>
                  <w:color w:val="0000FF"/>
                  <w:sz w:val="20"/>
                  <w:u w:val="single"/>
                </w:rPr>
                <w:t>Cannula Supply Agreement, dated as of March 31, 2022, by and between BD and Embecta (incorporated by reference to Exhibit 10.6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3">
              <w:r>
                <w:rPr>
                  <w:rStyle w:val="InternetLink"/>
                  <w:rFonts w:ascii="Times New Roman;sans-serif" w:hAnsi="Times New Roman;sans-serif"/>
                  <w:b w:val="false"/>
                  <w:color w:val="0000FF"/>
                  <w:sz w:val="20"/>
                  <w:u w:val="single"/>
                </w:rPr>
                <w:t>Lease Agreement, dated as of March 31, 2022, by and between BD and Embecta (incorporated by reference to Exhibit 10.7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4">
              <w:r>
                <w:rPr>
                  <w:rStyle w:val="InternetLink"/>
                  <w:rFonts w:ascii="Times New Roman;sans-serif" w:hAnsi="Times New Roman;sans-serif"/>
                  <w:b w:val="false"/>
                  <w:color w:val="0000FF"/>
                  <w:sz w:val="20"/>
                  <w:u w:val="single"/>
                </w:rPr>
                <w:t>Logistics Services Agreement, dated as of January 1, 2022, by and between BD and Embecta (incorporated by reference to Exhibit 10.8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5">
              <w:r>
                <w:rPr>
                  <w:rStyle w:val="InternetLink"/>
                  <w:rFonts w:ascii="Times New Roman;sans-serif" w:hAnsi="Times New Roman;sans-serif"/>
                  <w:b w:val="false"/>
                  <w:color w:val="0000FF"/>
                  <w:sz w:val="20"/>
                  <w:u w:val="single"/>
                </w:rPr>
                <w:t>Form of Distribution Agreement, dated as of March 31, 2022, by and between BD and Embecta (incorporated by reference to Exhibit 10.9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6">
              <w:r>
                <w:rPr>
                  <w:rStyle w:val="InternetLink"/>
                  <w:rFonts w:ascii="Times New Roman;sans-serif" w:hAnsi="Times New Roman;sans-serif"/>
                  <w:b w:val="false"/>
                  <w:color w:val="0000FF"/>
                  <w:sz w:val="20"/>
                  <w:u w:val="single"/>
                </w:rPr>
                <w:t>Credit Agreement, dated as of March 31, 2022, by and among Embecta Corp., the lenders and other parties from time to time party thereto and Morgan Stanley Senior Funding, Inc., as administrative agent, collateral agent and an L/C issuer (incorporated by reference to Exhibit 10.10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27">
              <w:r>
                <w:rPr>
                  <w:rStyle w:val="InternetLink"/>
                </w:rPr>
                <w:t>Embecta 2022 Employee and Director Equity Based Compensation Plan</w:t>
              </w:r>
            </w:hyperlink>
            <w:hyperlink r:id="rId28">
              <w:r>
                <w:rPr>
                  <w:rStyle w:val="InternetLink"/>
                </w:rPr>
                <w:t xml:space="preserve"> </w:t>
              </w:r>
            </w:hyperlink>
            <w:hyperlink r:id="rId29">
              <w:r>
                <w:rPr>
                  <w:rStyle w:val="InternetLink"/>
                </w:rPr>
                <w:t>(incorporated by reference to Exhibit 10.1</w:t>
              </w:r>
            </w:hyperlink>
            <w:hyperlink r:id="rId30">
              <w:r>
                <w:rPr>
                  <w:rStyle w:val="InternetLink"/>
                </w:rPr>
                <w:t>5</w:t>
              </w:r>
            </w:hyperlink>
            <w:hyperlink r:id="rId31">
              <w:r>
                <w:rPr>
                  <w:rStyle w:val="InternetLink"/>
                </w:rPr>
                <w:t xml:space="preserve">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2">
              <w:r>
                <w:rPr>
                  <w:rStyle w:val="InternetLink"/>
                  <w:rFonts w:ascii="Times New Roman;sans-serif" w:hAnsi="Times New Roman;sans-serif"/>
                  <w:b w:val="false"/>
                  <w:color w:val="0000FF"/>
                  <w:sz w:val="20"/>
                  <w:u w:val="single"/>
                </w:rPr>
                <w:t>Embecta Corp. Executive Severance and Change in Control Plan (incorporated by reference to Exhibit 10.16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r:id="rId33">
              <w:r>
                <w:rPr>
                  <w:rStyle w:val="InternetLink"/>
                </w:rPr>
                <w:t>Embecta Deferred Compensation Plan</w:t>
              </w:r>
            </w:hyperlink>
            <w:hyperlink r:id="rId34">
              <w:r>
                <w:rPr>
                  <w:rStyle w:val="InternetLink"/>
                </w:rPr>
                <w:t xml:space="preserve"> </w:t>
              </w:r>
            </w:hyperlink>
            <w:hyperlink r:id="rId35">
              <w:r>
                <w:rPr>
                  <w:rStyle w:val="InternetLink"/>
                </w:rPr>
                <w:t>(incorporated by reference to Exhibit 10.1</w:t>
              </w:r>
            </w:hyperlink>
            <w:hyperlink r:id="rId36">
              <w:r>
                <w:rPr>
                  <w:rStyle w:val="InternetLink"/>
                </w:rPr>
                <w:t>7</w:t>
              </w:r>
            </w:hyperlink>
            <w:hyperlink r:id="rId37">
              <w:r>
                <w:rPr>
                  <w:rStyle w:val="InternetLink"/>
                </w:rPr>
                <w:t xml:space="preserve"> to the Company's Current Report on Form 8-K (File No. 001-41186) filed on April 6, 2022)</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92"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mbc-3312022x10qexhibit311.htm">
              <w:r>
                <w:rPr>
                  <w:rStyle w:val="InternetLink"/>
                  <w:rFonts w:ascii="Times New Roman;sans-serif" w:hAnsi="Times New Roman;sans-serif"/>
                  <w:b w:val="false"/>
                  <w:color w:val="0000FF"/>
                  <w:sz w:val="20"/>
                  <w:u w:val="single"/>
                </w:rPr>
                <w:t>Certification of Chief Executive Officer, pursuant to SEC Rule 13a–14(a)</w:t>
              </w:r>
            </w:hyperlink>
          </w:p>
        </w:tc>
      </w:tr>
      <w:tr>
        <w:trPr/>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657860"/>
                <wp:effectExtent l="0" t="0" r="0" b="0"/>
                <wp:wrapNone/>
                <wp:docPr id="30" name="Frame30"/>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left"/>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16"/>
                              </w:rPr>
                            </w:pPr>
                            <w:r>
                              <w:rPr>
                                <w:rFonts w:ascii="Times New Roman;sans-serif" w:hAnsi="Times New Roman;sans-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16"/>
                        </w:rPr>
                      </w:pPr>
                      <w:r>
                        <w:rPr>
                          <w:rFonts w:ascii="Times New Roman;sans-serif" w:hAnsi="Times New Roman;sans-serif"/>
                          <w:b w:val="false"/>
                          <w:color w:val="000000"/>
                          <w:sz w:val="16"/>
                        </w:rPr>
                        <w:t>27</w:t>
                      </w:r>
                    </w:p>
                  </w:txbxContent>
                </v:textbox>
              </v:rect>
            </w:pict>
          </mc:Fallback>
        </mc:AlternateContent>
      </w:r>
    </w:p>
    <w:p>
      <w:pPr>
        <w:pStyle w:val="TextBody"/>
        <w:spacing w:lineRule="auto" w:line="276" w:before="0" w:after="0"/>
        <w:rPr/>
      </w:pPr>
      <w:hyperlink w:anchor="i2b8de7a111e646fda1ff40855905f325_7">
        <w:r>
          <w:rPr>
            <w:rStyle w:val="InternetLink"/>
            <w:rFonts w:ascii="Times New Roman;sans-serif" w:hAnsi="Times New Roman;sans-serif"/>
            <w:b/>
            <w:color w:val="000000"/>
            <w:sz w:val="20"/>
            <w:u w:val="single"/>
          </w:rPr>
          <w:t>Table of Contents</w:t>
        </w:r>
      </w:hyperlink>
    </w:p>
    <w:tbl>
      <w:tblPr>
        <w:tblW w:w="10205" w:type="dxa"/>
        <w:jc w:val="center"/>
        <w:tblInd w:w="0" w:type="dxa"/>
        <w:tblCellMar>
          <w:top w:w="28" w:type="dxa"/>
          <w:left w:w="28" w:type="dxa"/>
          <w:bottom w:w="28" w:type="dxa"/>
          <w:right w:w="28" w:type="dxa"/>
        </w:tblCellMar>
      </w:tblPr>
      <w:tblGrid>
        <w:gridCol w:w="193"/>
        <w:gridCol w:w="170"/>
        <w:gridCol w:w="171"/>
        <w:gridCol w:w="109"/>
        <w:gridCol w:w="109"/>
        <w:gridCol w:w="109"/>
        <w:gridCol w:w="2860"/>
        <w:gridCol w:w="2681"/>
        <w:gridCol w:w="3803"/>
      </w:tblGrid>
      <w:tr>
        <w:trPr/>
        <w:tc>
          <w:tcPr>
            <w:tcW w:w="19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60" w:type="dxa"/>
            <w:tcBorders/>
            <w:shd w:fill="auto" w:val="clear"/>
            <w:vAlign w:val="center"/>
          </w:tcPr>
          <w:p>
            <w:pPr>
              <w:pStyle w:val="TableContents"/>
              <w:spacing w:before="0" w:after="283"/>
              <w:rPr>
                <w:sz w:val="4"/>
                <w:szCs w:val="4"/>
              </w:rPr>
            </w:pPr>
            <w:r>
              <w:rPr>
                <w:sz w:val="4"/>
                <w:szCs w:val="4"/>
              </w:rPr>
            </w:r>
          </w:p>
        </w:tc>
        <w:tc>
          <w:tcPr>
            <w:tcW w:w="2681" w:type="dxa"/>
            <w:tcBorders/>
            <w:shd w:fill="auto" w:val="clear"/>
            <w:vAlign w:val="center"/>
          </w:tcPr>
          <w:p>
            <w:pPr>
              <w:pStyle w:val="TableContents"/>
              <w:spacing w:before="0" w:after="283"/>
              <w:rPr>
                <w:sz w:val="4"/>
                <w:szCs w:val="4"/>
              </w:rPr>
            </w:pPr>
            <w:r>
              <w:rPr>
                <w:sz w:val="4"/>
                <w:szCs w:val="4"/>
              </w:rPr>
            </w:r>
          </w:p>
        </w:tc>
        <w:tc>
          <w:tcPr>
            <w:tcW w:w="3803" w:type="dxa"/>
            <w:tcBorders/>
            <w:shd w:fill="auto" w:val="clear"/>
            <w:vAlign w:val="center"/>
          </w:tcPr>
          <w:p>
            <w:pPr>
              <w:pStyle w:val="TableContents"/>
              <w:spacing w:before="0" w:after="283"/>
              <w:rPr>
                <w:sz w:val="4"/>
                <w:szCs w:val="4"/>
              </w:rPr>
            </w:pPr>
            <w:r>
              <w:rPr>
                <w:sz w:val="4"/>
                <w:szCs w:val="4"/>
              </w:rPr>
            </w:r>
          </w:p>
        </w:tc>
      </w:tr>
      <w:tr>
        <w:trPr/>
        <w:tc>
          <w:tcPr>
            <w:tcW w:w="5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mbc-3312022x10qexhibit312.htm">
              <w:r>
                <w:rPr>
                  <w:rStyle w:val="InternetLink"/>
                  <w:rFonts w:ascii="Times New Roman;sans-serif" w:hAnsi="Times New Roman;sans-serif"/>
                  <w:b w:val="false"/>
                  <w:color w:val="0000FF"/>
                  <w:sz w:val="20"/>
                  <w:u w:val="single"/>
                </w:rPr>
                <w:t>Certification of Chief Financial Officer, pursuant to SEC Rule 13a–14(a)</w:t>
              </w:r>
            </w:hyperlink>
          </w:p>
        </w:tc>
      </w:tr>
      <w:tr>
        <w:trPr/>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mbc-3312022x10qexhibit321.htm">
              <w:r>
                <w:rPr>
                  <w:rStyle w:val="InternetLink"/>
                  <w:rFonts w:ascii="Times New Roman;sans-serif" w:hAnsi="Times New Roman;sans-serif"/>
                  <w:b w:val="false"/>
                  <w:color w:val="0000FF"/>
                  <w:sz w:val="20"/>
                  <w:u w:val="single"/>
                </w:rPr>
                <w:t>Certification of Chief Executive Officer, pursuant to Rule 13a–14(b) and Section 1350 of Chapter 63 of Title 18 of the U.S. Code</w:t>
              </w:r>
            </w:hyperlink>
          </w:p>
        </w:tc>
      </w:tr>
      <w:tr>
        <w:trPr/>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4" w:type="dxa"/>
            <w:gridSpan w:val="3"/>
            <w:tcBorders/>
            <w:shd w:fill="auto" w:val="clear"/>
            <w:tcMar>
              <w:top w:w="0" w:type="dxa"/>
              <w:left w:w="0" w:type="dxa"/>
              <w:bottom w:w="0" w:type="dxa"/>
              <w:right w:w="0" w:type="dxa"/>
            </w:tcMar>
            <w:vAlign w:val="center"/>
          </w:tcPr>
          <w:p>
            <w:pPr>
              <w:pStyle w:val="TableContents"/>
              <w:spacing w:lineRule="auto" w:line="276" w:before="0" w:after="0"/>
              <w:jc w:val="left"/>
              <w:rPr/>
            </w:pPr>
            <w:hyperlink w:anchor="embc-3312022x10qexhibit322.htm">
              <w:r>
                <w:rPr>
                  <w:rStyle w:val="InternetLink"/>
                  <w:rFonts w:ascii="Times New Roman;sans-serif" w:hAnsi="Times New Roman;sans-serif"/>
                  <w:b w:val="false"/>
                  <w:color w:val="0000FF"/>
                  <w:sz w:val="20"/>
                  <w:u w:val="single"/>
                </w:rPr>
                <w:t>Certification of Chief Financial Officer, pursuant to Rule 13a–14(b) and Section 1350 of Chapter 63 of Title 18 of the U.S. Code</w:t>
              </w:r>
            </w:hyperlink>
          </w:p>
        </w:tc>
      </w:tr>
      <w:tr>
        <w:trPr/>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materials from this report, formatted in iXBRL (Inline eXtensible Business Reporting Language): (i) the Condensed Combined Statements of Income, (ii) the Condensed Combined Statements of Comprehensive Income, (iii) the Condensed Combined Balance Sheets, (iv) the Condensed Combined Statements of Cash Flows, and (v) Notes to Condensed Combined Financial Statements.</w:t>
            </w:r>
          </w:p>
        </w:tc>
      </w:tr>
      <w:tr>
        <w:trPr/>
        <w:tc>
          <w:tcPr>
            <w:tcW w:w="53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4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tbl>
      <w:tblPr>
        <w:tblW w:w="1706" w:type="dxa"/>
        <w:jc w:val="left"/>
        <w:tblInd w:w="0" w:type="dxa"/>
        <w:tblCellMar>
          <w:top w:w="28" w:type="dxa"/>
          <w:left w:w="28" w:type="dxa"/>
          <w:bottom w:w="28" w:type="dxa"/>
          <w:right w:w="28" w:type="dxa"/>
        </w:tblCellMar>
      </w:tblPr>
      <w:tblGrid>
        <w:gridCol w:w="124"/>
        <w:gridCol w:w="109"/>
        <w:gridCol w:w="109"/>
        <w:gridCol w:w="398"/>
        <w:gridCol w:w="398"/>
        <w:gridCol w:w="56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56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4"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Filed herewith </w:t>
            </w:r>
          </w:p>
        </w:tc>
      </w:tr>
    </w:tbl>
    <w:tbl>
      <w:tblPr>
        <w:tblW w:w="2097" w:type="dxa"/>
        <w:jc w:val="left"/>
        <w:tblInd w:w="0" w:type="dxa"/>
        <w:tblCellMar>
          <w:top w:w="28" w:type="dxa"/>
          <w:left w:w="28" w:type="dxa"/>
          <w:bottom w:w="28" w:type="dxa"/>
          <w:right w:w="28" w:type="dxa"/>
        </w:tblCellMar>
      </w:tblPr>
      <w:tblGrid>
        <w:gridCol w:w="124"/>
        <w:gridCol w:w="109"/>
        <w:gridCol w:w="109"/>
        <w:gridCol w:w="513"/>
        <w:gridCol w:w="513"/>
        <w:gridCol w:w="72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5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Furnished herewith </w:t>
            </w:r>
          </w:p>
        </w:tc>
      </w:tr>
    </w:tbl>
    <w:tbl>
      <w:tblPr>
        <w:tblW w:w="10205" w:type="dxa"/>
        <w:jc w:val="left"/>
        <w:tblInd w:w="0" w:type="dxa"/>
        <w:tblCellMar>
          <w:top w:w="28" w:type="dxa"/>
          <w:left w:w="28" w:type="dxa"/>
          <w:bottom w:w="28" w:type="dxa"/>
          <w:right w:w="28" w:type="dxa"/>
        </w:tblCellMar>
      </w:tblPr>
      <w:tblGrid>
        <w:gridCol w:w="142"/>
        <w:gridCol w:w="124"/>
        <w:gridCol w:w="124"/>
        <w:gridCol w:w="2874"/>
        <w:gridCol w:w="2874"/>
        <w:gridCol w:w="4067"/>
      </w:tblGrid>
      <w:tr>
        <w:trPr/>
        <w:tc>
          <w:tcPr>
            <w:tcW w:w="14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2874" w:type="dxa"/>
            <w:tcBorders/>
            <w:shd w:fill="auto" w:val="clear"/>
            <w:vAlign w:val="center"/>
          </w:tcPr>
          <w:p>
            <w:pPr>
              <w:pStyle w:val="TableContents"/>
              <w:spacing w:before="0" w:after="283"/>
              <w:rPr>
                <w:sz w:val="4"/>
                <w:szCs w:val="4"/>
              </w:rPr>
            </w:pPr>
            <w:r>
              <w:rPr>
                <w:sz w:val="4"/>
                <w:szCs w:val="4"/>
              </w:rPr>
            </w:r>
          </w:p>
        </w:tc>
        <w:tc>
          <w:tcPr>
            <w:tcW w:w="4067" w:type="dxa"/>
            <w:tcBorders/>
            <w:shd w:fill="auto" w:val="clear"/>
            <w:vAlign w:val="center"/>
          </w:tcPr>
          <w:p>
            <w:pPr>
              <w:pStyle w:val="TableContents"/>
              <w:spacing w:before="0" w:after="283"/>
              <w:rPr>
                <w:sz w:val="4"/>
                <w:szCs w:val="4"/>
              </w:rPr>
            </w:pPr>
            <w:r>
              <w:rPr>
                <w:sz w:val="4"/>
                <w:szCs w:val="4"/>
              </w:rPr>
            </w:r>
          </w:p>
        </w:tc>
      </w:tr>
      <w:tr>
        <w:trPr/>
        <w:tc>
          <w:tcPr>
            <w:tcW w:w="39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1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Schedules and exhibits omitted pursuant to Item 601(b)(2) of Regulation S-K. Embecta agrees to furnish a supplemental copy of any omitted schedule to the Securities and Exchange Commission upon request.</w:t>
            </w:r>
          </w:p>
        </w:tc>
      </w:tr>
    </w:tbl>
    <w:tbl>
      <w:tblPr>
        <w:tblW w:w="10205" w:type="dxa"/>
        <w:jc w:val="left"/>
        <w:tblInd w:w="0" w:type="dxa"/>
        <w:tblCellMar>
          <w:top w:w="28" w:type="dxa"/>
          <w:left w:w="28" w:type="dxa"/>
          <w:bottom w:w="28" w:type="dxa"/>
          <w:right w:w="28" w:type="dxa"/>
        </w:tblCellMar>
      </w:tblPr>
      <w:tblGrid>
        <w:gridCol w:w="124"/>
        <w:gridCol w:w="109"/>
        <w:gridCol w:w="109"/>
        <w:gridCol w:w="2887"/>
        <w:gridCol w:w="2887"/>
        <w:gridCol w:w="4089"/>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2887" w:type="dxa"/>
            <w:tcBorders/>
            <w:shd w:fill="auto" w:val="clear"/>
            <w:vAlign w:val="center"/>
          </w:tcPr>
          <w:p>
            <w:pPr>
              <w:pStyle w:val="TableContents"/>
              <w:spacing w:before="0" w:after="283"/>
              <w:rPr>
                <w:sz w:val="4"/>
                <w:szCs w:val="4"/>
              </w:rPr>
            </w:pPr>
            <w:r>
              <w:rPr>
                <w:sz w:val="4"/>
                <w:szCs w:val="4"/>
              </w:rPr>
            </w:r>
          </w:p>
        </w:tc>
        <w:tc>
          <w:tcPr>
            <w:tcW w:w="4089"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marked by [***], has been omitted because it is both (i) not material and (ii) would be competitively harmful if publicly disclosed.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657860"/>
                <wp:effectExtent l="0" t="0" r="0" b="0"/>
                <wp:wrapNone/>
                <wp:docPr id="31" name="Frame31"/>
                <a:graphic xmlns:a="http://schemas.openxmlformats.org/drawingml/2006/main">
                  <a:graphicData uri="http://schemas.microsoft.com/office/word/2010/wordprocessingShape">
                    <wps:wsp>
                      <wps:cNvSpPr txBox="1"/>
                      <wps:spPr>
                        <a:xfrm>
                          <a:off x="0" y="0"/>
                          <a:ext cx="6480175" cy="657860"/>
                        </a:xfrm>
                        <a:prstGeom prst="rect"/>
                      </wps:spPr>
                      <wps:txbx>
                        <w:txbxContent>
                          <w:tbl>
                            <w:tblPr>
                              <w:tblW w:w="6503" w:type="dxa"/>
                              <w:jc w:val="left"/>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16"/>
                              </w:rPr>
                            </w:pPr>
                            <w:r>
                              <w:rPr>
                                <w:rFonts w:ascii="Times New Roman;sans-serif" w:hAnsi="Times New Roman;sans-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8pt;mso-wrap-distance-left:0pt;mso-wrap-distance-right:0pt;mso-wrap-distance-top:0pt;mso-wrap-distance-bottom:0pt;margin-top:0pt;mso-position-vertical:top;mso-position-vertical-relative:text;margin-left:0pt;mso-position-horizontal:left;mso-position-horizontal-relative:text">
                <v:textbox>
                  <w:txbxContent>
                    <w:tbl>
                      <w:tblPr>
                        <w:tblW w:w="6503" w:type="dxa"/>
                        <w:jc w:val="left"/>
                        <w:tblInd w:w="0" w:type="dxa"/>
                        <w:tblCellMar>
                          <w:top w:w="28" w:type="dxa"/>
                          <w:left w:w="28" w:type="dxa"/>
                          <w:bottom w:w="28" w:type="dxa"/>
                          <w:right w:w="28" w:type="dxa"/>
                        </w:tblCellMar>
                      </w:tblPr>
                      <w:tblGrid>
                        <w:gridCol w:w="2103"/>
                        <w:gridCol w:w="1843"/>
                        <w:gridCol w:w="1858"/>
                        <w:gridCol w:w="109"/>
                        <w:gridCol w:w="109"/>
                        <w:gridCol w:w="109"/>
                        <w:gridCol w:w="109"/>
                        <w:gridCol w:w="109"/>
                        <w:gridCol w:w="154"/>
                      </w:tblGrid>
                      <w:tr>
                        <w:trPr/>
                        <w:tc>
                          <w:tcPr>
                            <w:tcW w:w="2103" w:type="dxa"/>
                            <w:tcBorders/>
                            <w:shd w:fill="auto" w:val="clear"/>
                            <w:vAlign w:val="center"/>
                          </w:tcPr>
                          <w:p>
                            <w:pPr>
                              <w:pStyle w:val="TableContents"/>
                              <w:spacing w:before="0" w:after="283"/>
                              <w:rPr>
                                <w:sz w:val="4"/>
                                <w:szCs w:val="4"/>
                              </w:rPr>
                            </w:pPr>
                            <w:r>
                              <w:rPr>
                                <w:sz w:val="4"/>
                                <w:szCs w:val="4"/>
                              </w:rPr>
                            </w:r>
                          </w:p>
                        </w:tc>
                        <w:tc>
                          <w:tcPr>
                            <w:tcW w:w="1843" w:type="dxa"/>
                            <w:tcBorders/>
                            <w:shd w:fill="auto" w:val="clear"/>
                            <w:vAlign w:val="center"/>
                          </w:tcPr>
                          <w:p>
                            <w:pPr>
                              <w:pStyle w:val="TableContents"/>
                              <w:spacing w:before="0" w:after="283"/>
                              <w:rPr>
                                <w:sz w:val="4"/>
                                <w:szCs w:val="4"/>
                              </w:rPr>
                            </w:pPr>
                            <w:r>
                              <w:rPr>
                                <w:sz w:val="4"/>
                                <w:szCs w:val="4"/>
                              </w:rPr>
                            </w:r>
                          </w:p>
                        </w:tc>
                        <w:tc>
                          <w:tcPr>
                            <w:tcW w:w="18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Dollar amounts are in millions except per share amounts or as otherwise specified.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76" w:before="0" w:after="0"/>
                        <w:rPr>
                          <w:rFonts w:ascii="Times New Roman;sans-serif" w:hAnsi="Times New Roman;sans-serif"/>
                          <w:b w:val="false"/>
                          <w:color w:val="000000"/>
                          <w:sz w:val="16"/>
                        </w:rPr>
                      </w:pPr>
                      <w:r>
                        <w:rPr>
                          <w:rFonts w:ascii="Times New Roman;sans-serif" w:hAnsi="Times New Roman;sans-serif"/>
                          <w:b w:val="false"/>
                          <w:color w:val="000000"/>
                          <w:sz w:val="16"/>
                        </w:rPr>
                        <w:t>28</w:t>
                      </w:r>
                    </w:p>
                  </w:txbxContent>
                </v:textbox>
              </v:rect>
            </w:pict>
          </mc:Fallback>
        </mc:AlternateContent>
      </w:r>
    </w:p>
    <w:p>
      <w:pPr>
        <w:pStyle w:val="TextBody"/>
        <w:spacing w:lineRule="auto" w:line="276" w:before="0" w:after="340"/>
        <w:rPr/>
      </w:pPr>
      <w:hyperlink w:anchor="i2b8de7a111e646fda1ff40855905f325_7">
        <w:r>
          <w:rPr>
            <w:rStyle w:val="InternetLink"/>
            <w:rFonts w:ascii="Times New Roman;sans-serif" w:hAnsi="Times New Roman;sans-serif"/>
            <w:b/>
            <w:color w:val="000000"/>
            <w:sz w:val="20"/>
            <w:u w:val="single"/>
          </w:rPr>
          <w:t>Table of Contents</w:t>
        </w:r>
      </w:hyperlink>
    </w:p>
    <w:p>
      <w:pPr>
        <w:pStyle w:val="TextBody"/>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SIGNATURE </w:t>
      </w:r>
    </w:p>
    <w:p>
      <w:pPr>
        <w:pStyle w:val="TextBody"/>
        <w:spacing w:lineRule="auto" w:line="276"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4718" w:type="dxa"/>
        <w:jc w:val="left"/>
        <w:tblInd w:w="0" w:type="dxa"/>
        <w:tblCellMar>
          <w:top w:w="28" w:type="dxa"/>
          <w:left w:w="28" w:type="dxa"/>
          <w:bottom w:w="28" w:type="dxa"/>
          <w:right w:w="28" w:type="dxa"/>
        </w:tblCellMar>
      </w:tblPr>
      <w:tblGrid>
        <w:gridCol w:w="124"/>
        <w:gridCol w:w="109"/>
        <w:gridCol w:w="109"/>
        <w:gridCol w:w="209"/>
        <w:gridCol w:w="209"/>
        <w:gridCol w:w="211"/>
        <w:gridCol w:w="179"/>
        <w:gridCol w:w="179"/>
        <w:gridCol w:w="179"/>
        <w:gridCol w:w="929"/>
        <w:gridCol w:w="929"/>
        <w:gridCol w:w="1352"/>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1352"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76" w:type="dxa"/>
            <w:gridSpan w:val="9"/>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EMBECTA CORP.</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47"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Devdatt Kurdikar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Devdatt Kurdikar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13, 2022 </w:t>
      </w:r>
    </w:p>
    <w:tbl>
      <w:tblPr>
        <w:tblW w:w="5137" w:type="dxa"/>
        <w:jc w:val="left"/>
        <w:tblInd w:w="0" w:type="dxa"/>
        <w:tblCellMar>
          <w:top w:w="28" w:type="dxa"/>
          <w:left w:w="28" w:type="dxa"/>
          <w:bottom w:w="28" w:type="dxa"/>
          <w:right w:w="28" w:type="dxa"/>
        </w:tblCellMar>
      </w:tblPr>
      <w:tblGrid>
        <w:gridCol w:w="124"/>
        <w:gridCol w:w="109"/>
        <w:gridCol w:w="109"/>
        <w:gridCol w:w="208"/>
        <w:gridCol w:w="208"/>
        <w:gridCol w:w="213"/>
        <w:gridCol w:w="109"/>
        <w:gridCol w:w="109"/>
        <w:gridCol w:w="109"/>
        <w:gridCol w:w="1124"/>
        <w:gridCol w:w="1124"/>
        <w:gridCol w:w="15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124" w:type="dxa"/>
            <w:tcBorders/>
            <w:shd w:fill="auto" w:val="clear"/>
            <w:vAlign w:val="center"/>
          </w:tcPr>
          <w:p>
            <w:pPr>
              <w:pStyle w:val="TableContents"/>
              <w:spacing w:before="0" w:after="283"/>
              <w:rPr>
                <w:sz w:val="4"/>
                <w:szCs w:val="4"/>
              </w:rPr>
            </w:pPr>
            <w:r>
              <w:rPr>
                <w:sz w:val="4"/>
                <w:szCs w:val="4"/>
              </w:rPr>
            </w:r>
          </w:p>
        </w:tc>
        <w:tc>
          <w:tcPr>
            <w:tcW w:w="15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66"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Jacob Elguicze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Jacob Elguicze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3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Chief Financial Officer</w:t>
            </w:r>
          </w:p>
        </w:tc>
      </w:tr>
    </w:tbl>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13, 2022 </w:t>
      </w:r>
    </w:p>
    <w:p>
      <w:pPr>
        <w:pStyle w:val="TextBody"/>
        <w:spacing w:before="240" w:after="283"/>
        <w:rPr/>
      </w:pPr>
      <w:r>
        <w:rPr/>
      </w:r>
    </w:p>
    <w:p>
      <w:pPr>
        <w:pStyle w:val="TextBody"/>
        <w:spacing w:before="240" w:after="283"/>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wps:spPr>
                      <wps:txbx>
                        <w:txbxContent>
                          <w:p>
                            <w:pPr>
                              <w:pStyle w:val="TextBody"/>
                              <w:spacing w:lineRule="auto" w:line="276"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right"/>
                        <w:rPr>
                          <w:rFonts w:ascii="Times New Roman;sans-serif" w:hAnsi="Times New Roman;sans-serif"/>
                          <w:b w:val="false"/>
                          <w:color w:val="000000"/>
                          <w:sz w:val="16"/>
                        </w:rPr>
                      </w:pPr>
                      <w:r>
                        <w:rPr>
                          <w:rFonts w:ascii="Times New Roman;sans-serif" w:hAnsi="Times New Roman;sans-serif"/>
                          <w:b w:val="false"/>
                          <w:color w:val="000000"/>
                          <w:sz w:val="16"/>
                        </w:rPr>
                        <w:t>29</w:t>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Devdatt Kurdikar, certify that: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Embecta Corp.;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for the registrant and have: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13, 2022 </w:t>
      </w:r>
    </w:p>
    <w:tbl>
      <w:tblPr>
        <w:tblW w:w="3552" w:type="dxa"/>
        <w:jc w:val="left"/>
        <w:tblInd w:w="0" w:type="dxa"/>
        <w:tblCellMar>
          <w:top w:w="28" w:type="dxa"/>
          <w:left w:w="28" w:type="dxa"/>
          <w:bottom w:w="28" w:type="dxa"/>
          <w:right w:w="28" w:type="dxa"/>
        </w:tblCellMar>
      </w:tblPr>
      <w:tblGrid>
        <w:gridCol w:w="124"/>
        <w:gridCol w:w="109"/>
        <w:gridCol w:w="109"/>
        <w:gridCol w:w="940"/>
        <w:gridCol w:w="940"/>
        <w:gridCol w:w="13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Devdatt Kurdikar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Devdatt Kurdikar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76"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 Jacob Elguicze, certify that: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Embecta Corp.;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for the registrant and have: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(c)Disclosed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spacing w:lineRule="auto" w:line="276" w:before="1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bl>
      <w:tblPr>
        <w:tblW w:w="2351" w:type="dxa"/>
        <w:jc w:val="left"/>
        <w:tblInd w:w="0" w:type="dxa"/>
        <w:tblCellMar>
          <w:top w:w="28" w:type="dxa"/>
          <w:left w:w="28" w:type="dxa"/>
          <w:bottom w:w="28" w:type="dxa"/>
          <w:right w:w="28" w:type="dxa"/>
        </w:tblCellMar>
      </w:tblPr>
      <w:tblGrid>
        <w:gridCol w:w="124"/>
        <w:gridCol w:w="109"/>
        <w:gridCol w:w="109"/>
        <w:gridCol w:w="588"/>
        <w:gridCol w:w="588"/>
        <w:gridCol w:w="8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Jacob Elguicze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Jacob Elguicze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spacing w:lineRule="auto" w:line="276"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spacing w:lineRule="auto" w:line="268" w:before="12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Section 1350, in connection with the Quarterly Report on Form 10-Q of Embecta Corp. for the quarter ended March 31, 2022 as filed with the Securities and Exchange Commission (the “Report”). </w:t>
      </w:r>
    </w:p>
    <w:p>
      <w:pPr>
        <w:pStyle w:val="TextBody"/>
        <w:spacing w:lineRule="auto" w:line="276"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I, Devdatt Kurdikar, the Chief Executive Officer of Embecta Corp., certify that, to the best of my knowledge: </w:t>
      </w:r>
    </w:p>
    <w:p>
      <w:pPr>
        <w:pStyle w:val="TextBody"/>
        <w:spacing w:lineRule="auto" w:line="276" w:before="16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1.such Report fully complies with the requirements of Section 13(a) or 15(d) of the Securities Exchange Act of 1934; and </w:t>
      </w:r>
    </w:p>
    <w:p>
      <w:pPr>
        <w:pStyle w:val="TextBody"/>
        <w:spacing w:lineRule="auto" w:line="268" w:before="12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Embecta Corp.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bl>
      <w:tblPr>
        <w:tblW w:w="3552" w:type="dxa"/>
        <w:jc w:val="left"/>
        <w:tblInd w:w="0" w:type="dxa"/>
        <w:tblCellMar>
          <w:top w:w="28" w:type="dxa"/>
          <w:left w:w="28" w:type="dxa"/>
          <w:bottom w:w="28" w:type="dxa"/>
          <w:right w:w="28" w:type="dxa"/>
        </w:tblCellMar>
      </w:tblPr>
      <w:tblGrid>
        <w:gridCol w:w="124"/>
        <w:gridCol w:w="109"/>
        <w:gridCol w:w="109"/>
        <w:gridCol w:w="940"/>
        <w:gridCol w:w="940"/>
        <w:gridCol w:w="133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940" w:type="dxa"/>
            <w:tcBorders/>
            <w:shd w:fill="auto" w:val="clear"/>
            <w:vAlign w:val="center"/>
          </w:tcPr>
          <w:p>
            <w:pPr>
              <w:pStyle w:val="TableContents"/>
              <w:spacing w:before="0" w:after="283"/>
              <w:rPr>
                <w:sz w:val="4"/>
                <w:szCs w:val="4"/>
              </w:rPr>
            </w:pPr>
            <w:r>
              <w:rPr>
                <w:sz w:val="4"/>
                <w:szCs w:val="4"/>
              </w:rPr>
            </w:r>
          </w:p>
        </w:tc>
        <w:tc>
          <w:tcPr>
            <w:tcW w:w="133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Devdatt Kurdikar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Devdatt Kurdikar</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center"/>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76"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spacing w:before="0" w:after="0"/>
        <w:jc w:val="right"/>
        <w:rPr/>
      </w:pPr>
      <w:r>
        <w:rPr/>
      </w:r>
    </w:p>
    <w:p>
      <w:pPr>
        <w:pStyle w:val="TextBody"/>
        <w:spacing w:lineRule="auto" w:line="276"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spacing w:lineRule="auto" w:line="268" w:before="12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Section 1350, in connection with the Quarterly Report on Form 10-Q of Embecta Corp. for the quarter ended March 31, 2022 as filed with the Securities and Exchange Commission (the “Report”). </w:t>
      </w:r>
    </w:p>
    <w:p>
      <w:pPr>
        <w:pStyle w:val="TextBody"/>
        <w:spacing w:lineRule="auto" w:line="276"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I, Jacob Elguicze, the Chief Financial Officer of Embecta Corp., certify that, to the best of my knowledge: </w:t>
      </w:r>
    </w:p>
    <w:p>
      <w:pPr>
        <w:pStyle w:val="TextBody"/>
        <w:spacing w:lineRule="auto" w:line="276" w:before="16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1.such Report fully complies with the requirements of Section 13(a) or 15(d) of the Securities Exchange Act of 1934; and </w:t>
      </w:r>
    </w:p>
    <w:p>
      <w:pPr>
        <w:pStyle w:val="TextBody"/>
        <w:spacing w:lineRule="auto" w:line="268" w:before="120" w:after="283"/>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Embecta Corp. </w:t>
      </w:r>
    </w:p>
    <w:p>
      <w:pPr>
        <w:pStyle w:val="TextBody"/>
        <w:spacing w:lineRule="auto" w:line="276" w:before="240" w:after="283"/>
        <w:rPr>
          <w:rFonts w:ascii="Times New Roman;sans-serif" w:hAnsi="Times New Roman;sans-serif"/>
          <w:b w:val="false"/>
          <w:color w:val="000000"/>
          <w:sz w:val="20"/>
        </w:rPr>
      </w:pPr>
      <w:r>
        <w:rPr>
          <w:rFonts w:ascii="Times New Roman;sans-serif" w:hAnsi="Times New Roman;sans-serif"/>
          <w:b w:val="false"/>
          <w:color w:val="000000"/>
          <w:sz w:val="20"/>
        </w:rPr>
        <w:t>Date: May 13, 2022</w:t>
      </w:r>
    </w:p>
    <w:tbl>
      <w:tblPr>
        <w:tblW w:w="2351" w:type="dxa"/>
        <w:jc w:val="left"/>
        <w:tblInd w:w="0" w:type="dxa"/>
        <w:tblCellMar>
          <w:top w:w="28" w:type="dxa"/>
          <w:left w:w="28" w:type="dxa"/>
          <w:bottom w:w="28" w:type="dxa"/>
          <w:right w:w="28" w:type="dxa"/>
        </w:tblCellMar>
      </w:tblPr>
      <w:tblGrid>
        <w:gridCol w:w="124"/>
        <w:gridCol w:w="109"/>
        <w:gridCol w:w="109"/>
        <w:gridCol w:w="588"/>
        <w:gridCol w:w="588"/>
        <w:gridCol w:w="83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Jacob Elguicze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20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Jacob Elguicze</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ind w:left="0" w:right="0" w:hanging="200"/>
              <w:rPr>
                <w:sz w:val="4"/>
                <w:szCs w:val="4"/>
              </w:rPr>
            </w:pPr>
            <w:r>
              <w:rPr>
                <w:sz w:val="4"/>
                <w:szCs w:val="4"/>
              </w:rPr>
            </w:r>
          </w:p>
        </w:tc>
        <w:tc>
          <w:tcPr>
            <w:tcW w:w="2009"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283"/>
        <w:rPr/>
      </w:pPr>
      <w:r>
        <w:br w:type="page"/>
      </w: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2789/000119312522097622/d297684dex21.htm" TargetMode="External"/><Relationship Id="rId3" Type="http://schemas.openxmlformats.org/officeDocument/2006/relationships/hyperlink" Target="https://www.sec.gov/Archives/edgar/data/1872789/000119312522097622/d297684dex31.htm" TargetMode="External"/><Relationship Id="rId4" Type="http://schemas.openxmlformats.org/officeDocument/2006/relationships/hyperlink" Target="https://www.sec.gov/Archives/edgar/data/1872789/000119312522097622/d297684dex32.htm" TargetMode="External"/><Relationship Id="rId5" Type="http://schemas.openxmlformats.org/officeDocument/2006/relationships/hyperlink" Target="https://www.sec.gov/Archives/edgar/data/1872789/000119312522097622/d297684dex41.htm" TargetMode="External"/><Relationship Id="rId6" Type="http://schemas.openxmlformats.org/officeDocument/2006/relationships/hyperlink" Target="https://www.sec.gov/Archives/edgar/data/1872789/000119312522097622/d297684dex42.htm" TargetMode="External"/><Relationship Id="rId7" Type="http://schemas.openxmlformats.org/officeDocument/2006/relationships/hyperlink" Target="https://www.sec.gov/Archives/edgar/data/1872789/000119312522097622/d297684dex42.htm" TargetMode="External"/><Relationship Id="rId8" Type="http://schemas.openxmlformats.org/officeDocument/2006/relationships/hyperlink" Target="https://www.sec.gov/Archives/edgar/data/1872789/000119312522097622/d297684dex42.htm" TargetMode="External"/><Relationship Id="rId9" Type="http://schemas.openxmlformats.org/officeDocument/2006/relationships/hyperlink" Target="https://www.sec.gov/Archives/edgar/data/1872789/000119312522097622/d297684dex42.htm" TargetMode="External"/><Relationship Id="rId10" Type="http://schemas.openxmlformats.org/officeDocument/2006/relationships/hyperlink" Target="https://www.sec.gov/Archives/edgar/data/1872789/000119312522097622/d297684dex42.htm" TargetMode="External"/><Relationship Id="rId11" Type="http://schemas.openxmlformats.org/officeDocument/2006/relationships/hyperlink" Target="https://www.sec.gov/Archives/edgar/data/1872789/000119312522097622/d297684dex41.htm" TargetMode="External"/><Relationship Id="rId12" Type="http://schemas.openxmlformats.org/officeDocument/2006/relationships/hyperlink" Target="https://www.sec.gov/Archives/edgar/data/1872789/000119312522097622/d297684dex44.htm" TargetMode="External"/><Relationship Id="rId13" Type="http://schemas.openxmlformats.org/officeDocument/2006/relationships/hyperlink" Target="https://www.sec.gov/Archives/edgar/data/1872789/000119312522097622/d297684dex44.htm" TargetMode="External"/><Relationship Id="rId14" Type="http://schemas.openxmlformats.org/officeDocument/2006/relationships/hyperlink" Target="https://www.sec.gov/Archives/edgar/data/1872789/000119312522097622/d297684dex44.htm" TargetMode="External"/><Relationship Id="rId15" Type="http://schemas.openxmlformats.org/officeDocument/2006/relationships/hyperlink" Target="https://www.sec.gov/Archives/edgar/data/1872789/000119312522097622/d297684dex44.htm" TargetMode="External"/><Relationship Id="rId16" Type="http://schemas.openxmlformats.org/officeDocument/2006/relationships/hyperlink" Target="https://www.sec.gov/Archives/edgar/data/1872789/000119312522097622/d297684dex44.htm" TargetMode="External"/><Relationship Id="rId17" Type="http://schemas.openxmlformats.org/officeDocument/2006/relationships/hyperlink" Target="https://www.sec.gov/Archives/edgar/data/1872789/000119312522097622/d297684dex101.htm" TargetMode="External"/><Relationship Id="rId18" Type="http://schemas.openxmlformats.org/officeDocument/2006/relationships/hyperlink" Target="https://www.sec.gov/Archives/edgar/data/1872789/000119312522097622/d297684dex102.htm" TargetMode="External"/><Relationship Id="rId19" Type="http://schemas.openxmlformats.org/officeDocument/2006/relationships/hyperlink" Target="https://www.sec.gov/Archives/edgar/data/1872789/000119312522097622/d297684dex103.htm" TargetMode="External"/><Relationship Id="rId20" Type="http://schemas.openxmlformats.org/officeDocument/2006/relationships/hyperlink" Target="https://www.sec.gov/Archives/edgar/data/1872789/000119312522097622/d297684dex104.htm" TargetMode="External"/><Relationship Id="rId21" Type="http://schemas.openxmlformats.org/officeDocument/2006/relationships/hyperlink" Target="https://www.sec.gov/Archives/edgar/data/1872789/000119312522097622/d297684dex105.htm" TargetMode="External"/><Relationship Id="rId22" Type="http://schemas.openxmlformats.org/officeDocument/2006/relationships/hyperlink" Target="https://www.sec.gov/Archives/edgar/data/1872789/000119312522097622/d297684dex106.htm" TargetMode="External"/><Relationship Id="rId23" Type="http://schemas.openxmlformats.org/officeDocument/2006/relationships/hyperlink" Target="https://www.sec.gov/Archives/edgar/data/1872789/000119312522097622/d297684dex107.htm" TargetMode="External"/><Relationship Id="rId24" Type="http://schemas.openxmlformats.org/officeDocument/2006/relationships/hyperlink" Target="https://www.sec.gov/Archives/edgar/data/1872789/000119312522097622/d297684dex108.htm" TargetMode="External"/><Relationship Id="rId25" Type="http://schemas.openxmlformats.org/officeDocument/2006/relationships/hyperlink" Target="https://www.sec.gov/Archives/edgar/data/1872789/000119312522097622/d297684dex109.htm" TargetMode="External"/><Relationship Id="rId26" Type="http://schemas.openxmlformats.org/officeDocument/2006/relationships/hyperlink" Target="https://www.sec.gov/Archives/edgar/data/1872789/000119312522097622/d297684dex1010.htm" TargetMode="External"/><Relationship Id="rId27" Type="http://schemas.openxmlformats.org/officeDocument/2006/relationships/hyperlink" Target="https://www.sec.gov/Archives/edgar/data/1872789/000119312522097622/d297684dex1015.htm" TargetMode="External"/><Relationship Id="rId28" Type="http://schemas.openxmlformats.org/officeDocument/2006/relationships/hyperlink" Target="https://www.sec.gov/Archives/edgar/data/1872789/000119312522097622/d297684dex1015.htm" TargetMode="External"/><Relationship Id="rId29" Type="http://schemas.openxmlformats.org/officeDocument/2006/relationships/hyperlink" Target="https://www.sec.gov/Archives/edgar/data/1872789/000119312522097622/d297684dex1015.htm" TargetMode="External"/><Relationship Id="rId30" Type="http://schemas.openxmlformats.org/officeDocument/2006/relationships/hyperlink" Target="https://www.sec.gov/Archives/edgar/data/1872789/000119312522097622/d297684dex1015.htm" TargetMode="External"/><Relationship Id="rId31" Type="http://schemas.openxmlformats.org/officeDocument/2006/relationships/hyperlink" Target="https://www.sec.gov/Archives/edgar/data/1872789/000119312522097622/d297684dex1015.htm" TargetMode="External"/><Relationship Id="rId32" Type="http://schemas.openxmlformats.org/officeDocument/2006/relationships/hyperlink" Target="https://www.sec.gov/Archives/edgar/data/1872789/000119312522097622/d297684dex1016.htm" TargetMode="External"/><Relationship Id="rId33" Type="http://schemas.openxmlformats.org/officeDocument/2006/relationships/hyperlink" Target="https://www.sec.gov/Archives/edgar/data/1872789/000119312522097622/d297684dex1017.htm" TargetMode="External"/><Relationship Id="rId34" Type="http://schemas.openxmlformats.org/officeDocument/2006/relationships/hyperlink" Target="https://www.sec.gov/Archives/edgar/data/1872789/000119312522097622/d297684dex1017.htm" TargetMode="External"/><Relationship Id="rId35" Type="http://schemas.openxmlformats.org/officeDocument/2006/relationships/hyperlink" Target="https://www.sec.gov/Archives/edgar/data/1872789/000119312522097622/d297684dex1017.htm" TargetMode="External"/><Relationship Id="rId36" Type="http://schemas.openxmlformats.org/officeDocument/2006/relationships/hyperlink" Target="https://www.sec.gov/Archives/edgar/data/1872789/000119312522097622/d297684dex1017.htm" TargetMode="External"/><Relationship Id="rId37" Type="http://schemas.openxmlformats.org/officeDocument/2006/relationships/hyperlink" Target="https://www.sec.gov/Archives/edgar/data/1872789/000119312522097622/d297684dex1017.htm" TargetMode="External"/><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10</Pages>
  <Words>17710</Words>
  <CharactersWithSpaces>113055</CharactersWithSpaces>
  <Paragraphs>1772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