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107315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124460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34"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7"/>
              </w:rPr>
              <w:t>001-41186</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8"/>
        </w:trPr>
        <w:tc>
          <w:tcPr>
            <w:tcW w:w="8400" w:type="dxa"/>
            <w:vAlign w:val="bottom"/>
          </w:tcPr>
          <w:p>
            <w:pPr>
              <w:jc w:val="center"/>
              <w:ind w:right="471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44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400" w:type="dxa"/>
            <w:vAlign w:val="bottom"/>
          </w:tcPr>
          <w:p>
            <w:pPr>
              <w:spacing w:after="0"/>
              <w:rPr>
                <w:sz w:val="16"/>
                <w:szCs w:val="16"/>
                <w:color w:val="auto"/>
              </w:rPr>
            </w:pP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16"/>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7"/>
              </w:rPr>
              <w:t>Jersey</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8400" w:type="dxa"/>
            <w:vAlign w:val="bottom"/>
          </w:tcPr>
          <w:p>
            <w:pPr>
              <w:jc w:val="center"/>
              <w:ind w:right="47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spacing w:after="0"/>
              <w:rPr>
                <w:sz w:val="16"/>
                <w:szCs w:val="16"/>
                <w:color w:val="auto"/>
              </w:rPr>
            </w:pPr>
          </w:p>
        </w:tc>
      </w:tr>
      <w:tr>
        <w:trPr>
          <w:trHeight w:val="361"/>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(862) 401-0000</w:t>
            </w:r>
          </w:p>
        </w:tc>
        <w:tc>
          <w:tcPr>
            <w:tcW w:w="1440" w:type="dxa"/>
            <w:vAlign w:val="bottom"/>
          </w:tcPr>
          <w:p>
            <w:pPr>
              <w:spacing w:after="0"/>
              <w:rPr>
                <w:sz w:val="24"/>
                <w:szCs w:val="24"/>
                <w:color w:val="auto"/>
              </w:rPr>
            </w:pPr>
          </w:p>
        </w:tc>
      </w:tr>
      <w:tr>
        <w:trPr>
          <w:trHeight w:val="353"/>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8"/>
                <w:szCs w:val="18"/>
                <w:b w:val="1"/>
                <w:bCs w:val="1"/>
                <w:color w:val="auto"/>
              </w:rPr>
              <w:t>N/A</w:t>
            </w:r>
          </w:p>
        </w:tc>
        <w:tc>
          <w:tcPr>
            <w:tcW w:w="1440" w:type="dxa"/>
            <w:vAlign w:val="bottom"/>
          </w:tcPr>
          <w:p>
            <w:pPr>
              <w:spacing w:after="0"/>
              <w:rPr>
                <w:sz w:val="24"/>
                <w:szCs w:val="24"/>
                <w:color w:val="auto"/>
              </w:rPr>
            </w:pPr>
          </w:p>
        </w:tc>
      </w:tr>
      <w:tr>
        <w:trPr>
          <w:trHeight w:val="190"/>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357505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86"/>
        </w:trPr>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EMBC</w:t>
            </w:r>
          </w:p>
        </w:tc>
        <w:tc>
          <w:tcPr>
            <w:tcW w:w="18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 (Nasdaq</w:t>
            </w:r>
          </w:p>
        </w:tc>
      </w:tr>
      <w:tr>
        <w:trPr>
          <w:trHeight w:val="212"/>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Global Select Market)</w:t>
            </w:r>
          </w:p>
        </w:tc>
      </w:tr>
    </w:tbl>
    <w:p>
      <w:pPr>
        <w:spacing w:after="0" w:line="3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Embecta Corp. (“embecta”) held its Annual Meeting of Stockholders on February 11, 2026 (the “2026 Annual Meeting”). The final voting results for each of the matters submitted to a vote of stockholders at the 2026 Annual Meeting are as follows:</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 All of the Board of Directors’ nominees for director were elected to serve for a term of one year (until the 2027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by the 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0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Carrie L. Anderson</w:t>
            </w:r>
          </w:p>
        </w:tc>
        <w:tc>
          <w:tcPr>
            <w:tcW w:w="202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47,769,322</w:t>
            </w:r>
          </w:p>
        </w:tc>
        <w:tc>
          <w:tcPr>
            <w:tcW w:w="18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693,720</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63,471</w:t>
            </w:r>
          </w:p>
        </w:tc>
        <w:tc>
          <w:tcPr>
            <w:tcW w:w="218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4,679,180</w:t>
            </w:r>
          </w:p>
        </w:tc>
      </w:tr>
      <w:tr>
        <w:trPr>
          <w:trHeight w:val="243"/>
        </w:trPr>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Robert (Bob) J. Hombach</w:t>
            </w:r>
          </w:p>
        </w:tc>
        <w:tc>
          <w:tcPr>
            <w:tcW w:w="20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48,372,760</w:t>
            </w: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99,877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53,876</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4,679,180</w:t>
            </w:r>
          </w:p>
        </w:tc>
      </w:tr>
      <w:tr>
        <w:trPr>
          <w:trHeight w:val="27"/>
        </w:trPr>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Devdatt (Dev) Kurdikar</w:t>
            </w:r>
          </w:p>
        </w:tc>
        <w:tc>
          <w:tcPr>
            <w:tcW w:w="202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47,928,246</w:t>
            </w:r>
          </w:p>
        </w:tc>
        <w:tc>
          <w:tcPr>
            <w:tcW w:w="18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542,967</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55,300</w:t>
            </w:r>
          </w:p>
        </w:tc>
        <w:tc>
          <w:tcPr>
            <w:tcW w:w="218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4,679,180</w:t>
            </w:r>
          </w:p>
        </w:tc>
      </w:tr>
      <w:tr>
        <w:trPr>
          <w:trHeight w:val="243"/>
        </w:trPr>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Milton M. Morris, Ph.D.</w:t>
            </w:r>
          </w:p>
        </w:tc>
        <w:tc>
          <w:tcPr>
            <w:tcW w:w="20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48,370,925</w:t>
            </w: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103,462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52,126</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4,679,180</w:t>
            </w:r>
          </w:p>
        </w:tc>
      </w:tr>
      <w:tr>
        <w:trPr>
          <w:trHeight w:val="27"/>
        </w:trPr>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Claire Pomeroy, M.D.</w:t>
            </w:r>
          </w:p>
        </w:tc>
        <w:tc>
          <w:tcPr>
            <w:tcW w:w="202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47,544,291</w:t>
            </w:r>
          </w:p>
        </w:tc>
        <w:tc>
          <w:tcPr>
            <w:tcW w:w="18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933,330</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48,892</w:t>
            </w:r>
          </w:p>
        </w:tc>
        <w:tc>
          <w:tcPr>
            <w:tcW w:w="218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4,679,180</w:t>
            </w:r>
          </w:p>
        </w:tc>
      </w:tr>
      <w:tr>
        <w:trPr>
          <w:trHeight w:val="243"/>
        </w:trPr>
        <w:tc>
          <w:tcPr>
            <w:tcW w:w="3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Karen N. Prange</w:t>
            </w:r>
          </w:p>
        </w:tc>
        <w:tc>
          <w:tcPr>
            <w:tcW w:w="20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48,197,900</w:t>
            </w: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266,381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62,232</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4,679,180</w:t>
            </w:r>
          </w:p>
        </w:tc>
      </w:tr>
      <w:tr>
        <w:trPr>
          <w:trHeight w:val="27"/>
        </w:trPr>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35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Christopher R. Reidy</w:t>
            </w:r>
          </w:p>
        </w:tc>
        <w:tc>
          <w:tcPr>
            <w:tcW w:w="20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45,774,127</w:t>
            </w:r>
          </w:p>
        </w:tc>
        <w:tc>
          <w:tcPr>
            <w:tcW w:w="18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2,703,053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49,333</w:t>
            </w:r>
          </w:p>
        </w:tc>
        <w:tc>
          <w:tcPr>
            <w:tcW w:w="21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4,679,180</w:t>
            </w:r>
          </w:p>
        </w:tc>
      </w:tr>
      <w:tr>
        <w:trPr>
          <w:trHeight w:val="27"/>
        </w:trPr>
        <w:tc>
          <w:tcPr>
            <w:tcW w:w="3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appointment of Ernst &amp; Young LLP as embecta’s independent registered public accounting firm for fiscal year 2026 was ratified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by the votes set forth in the table below.</w:t>
      </w:r>
    </w:p>
    <w:p>
      <w:pPr>
        <w:sectPr>
          <w:pgSz w:w="11900" w:h="16838" w:orient="portrait"/>
          <w:cols w:equalWidth="0" w:num="1">
            <w:col w:w="11240"/>
          </w:cols>
          <w:pgMar w:left="320" w:top="1008" w:right="339" w:bottom="1440" w:gutter="0" w:footer="0" w:header="0"/>
        </w:sectPr>
      </w:pPr>
    </w:p>
    <w:p>
      <w:pPr>
        <w:spacing w:after="0" w:line="18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51" w:lineRule="exact"/>
        <w:rPr>
          <w:sz w:val="20"/>
          <w:szCs w:val="20"/>
          <w:color w:val="auto"/>
        </w:rPr>
      </w:pPr>
    </w:p>
    <w:p>
      <w:pPr>
        <w:sectPr>
          <w:pgSz w:w="11900" w:h="16838" w:orient="portrait"/>
          <w:cols w:equalWidth="0" w:num="4">
            <w:col w:w="3260" w:space="720"/>
            <w:col w:w="2020" w:space="720"/>
            <w:col w:w="1700" w:space="720"/>
            <w:col w:w="2100"/>
          </w:cols>
          <w:pgMar w:left="320" w:top="1008" w:right="3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8"/>
          <w:szCs w:val="18"/>
          <w:color w:val="auto"/>
        </w:rPr>
        <w:t>53,083,728</w:t>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Times New Roman" w:cs="Times New Roman" w:eastAsia="Times New Roman" w:hAnsi="Times New Roman"/>
          <w:sz w:val="17"/>
          <w:szCs w:val="17"/>
          <w:color w:val="auto"/>
        </w:rPr>
        <w:t>55,489</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Times New Roman" w:cs="Times New Roman" w:eastAsia="Times New Roman" w:hAnsi="Times New Roman"/>
          <w:sz w:val="18"/>
          <w:szCs w:val="18"/>
          <w:color w:val="auto"/>
        </w:rPr>
        <w:t>66,476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ectPr>
          <w:pgSz w:w="11900" w:h="16838" w:orient="portrait"/>
          <w:cols w:equalWidth="0" w:num="4">
            <w:col w:w="3320" w:space="720"/>
            <w:col w:w="2020" w:space="720"/>
            <w:col w:w="2180" w:space="720"/>
            <w:col w:w="1560"/>
          </w:cols>
          <w:pgMar w:left="320" w:top="1008" w:right="339" w:bottom="1440" w:gutter="0" w:footer="0" w:header="0"/>
          <w:type w:val="continuous"/>
        </w:sectPr>
      </w:pPr>
    </w:p>
    <w:p>
      <w:pPr>
        <w:spacing w:after="0" w:line="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approved, on an advisory, non-binding basis, the compensation of embecta’s named executive officers by the votes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the table below.</w:t>
      </w:r>
    </w:p>
    <w:p>
      <w:pPr>
        <w:sectPr>
          <w:pgSz w:w="11900" w:h="16838" w:orient="portrait"/>
          <w:cols w:equalWidth="0" w:num="1">
            <w:col w:w="11240"/>
          </w:cols>
          <w:pgMar w:left="320" w:top="1008" w:right="339" w:bottom="1440" w:gutter="0" w:footer="0" w:header="0"/>
          <w:type w:val="continuous"/>
        </w:sectPr>
      </w:pPr>
    </w:p>
    <w:p>
      <w:pPr>
        <w:spacing w:after="0" w:line="18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78" w:lineRule="exact"/>
        <w:rPr>
          <w:sz w:val="20"/>
          <w:szCs w:val="20"/>
          <w:color w:val="auto"/>
        </w:rPr>
      </w:pPr>
    </w:p>
    <w:p>
      <w:pPr>
        <w:sectPr>
          <w:pgSz w:w="11900" w:h="16838" w:orient="portrait"/>
          <w:cols w:equalWidth="0" w:num="4">
            <w:col w:w="3260" w:space="720"/>
            <w:col w:w="2020" w:space="720"/>
            <w:col w:w="1700" w:space="720"/>
            <w:col w:w="2100"/>
          </w:cols>
          <w:pgMar w:left="320" w:top="1008" w:right="3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8"/>
          <w:szCs w:val="18"/>
          <w:color w:val="auto"/>
        </w:rPr>
        <w:t>47,665,209</w:t>
      </w:r>
    </w:p>
    <w:p>
      <w:pPr>
        <w:spacing w:after="0" w:line="20" w:lineRule="exact"/>
        <w:rPr>
          <w:sz w:val="20"/>
          <w:szCs w:val="20"/>
          <w:color w:val="auto"/>
        </w:rPr>
      </w:pPr>
      <w:r>
        <w:rPr>
          <w:sz w:val="20"/>
          <w:szCs w:val="20"/>
          <w:color w:val="auto"/>
        </w:rPr>
        <w:br w:type="column"/>
      </w:r>
    </w:p>
    <w:p>
      <w:pPr>
        <w:jc w:val="center"/>
        <w:ind w:right="1480"/>
        <w:spacing w:after="0"/>
        <w:rPr>
          <w:sz w:val="20"/>
          <w:szCs w:val="20"/>
          <w:color w:val="auto"/>
        </w:rPr>
      </w:pPr>
      <w:r>
        <w:rPr>
          <w:rFonts w:ascii="Times New Roman" w:cs="Times New Roman" w:eastAsia="Times New Roman" w:hAnsi="Times New Roman"/>
          <w:sz w:val="18"/>
          <w:szCs w:val="18"/>
          <w:color w:val="auto"/>
        </w:rPr>
        <w:t>786,816</w:t>
      </w:r>
    </w:p>
    <w:p>
      <w:pPr>
        <w:spacing w:after="0" w:line="20" w:lineRule="exact"/>
        <w:rPr>
          <w:sz w:val="20"/>
          <w:szCs w:val="20"/>
          <w:color w:val="auto"/>
        </w:rPr>
      </w:pPr>
      <w:r>
        <w:rPr>
          <w:sz w:val="20"/>
          <w:szCs w:val="20"/>
          <w:color w:val="auto"/>
        </w:rPr>
        <w:br w:type="column"/>
      </w:r>
    </w:p>
    <w:p>
      <w:pPr>
        <w:jc w:val="center"/>
        <w:ind w:right="1480"/>
        <w:spacing w:after="0"/>
        <w:rPr>
          <w:sz w:val="20"/>
          <w:szCs w:val="20"/>
          <w:color w:val="auto"/>
        </w:rPr>
      </w:pPr>
      <w:r>
        <w:rPr>
          <w:rFonts w:ascii="Times New Roman" w:cs="Times New Roman" w:eastAsia="Times New Roman" w:hAnsi="Times New Roman"/>
          <w:sz w:val="18"/>
          <w:szCs w:val="18"/>
          <w:color w:val="auto"/>
        </w:rPr>
        <w:t>74,488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4,679,180</w:t>
      </w:r>
    </w:p>
    <w:p>
      <w:pPr>
        <w:spacing w:after="0" w:line="200" w:lineRule="exact"/>
        <w:rPr>
          <w:sz w:val="20"/>
          <w:szCs w:val="20"/>
          <w:color w:val="auto"/>
        </w:rPr>
      </w:pPr>
    </w:p>
    <w:p>
      <w:pPr>
        <w:sectPr>
          <w:pgSz w:w="11900" w:h="16838" w:orient="portrait"/>
          <w:cols w:equalWidth="0" w:num="4">
            <w:col w:w="3260" w:space="720"/>
            <w:col w:w="2080" w:space="720"/>
            <w:col w:w="1980" w:space="720"/>
            <w:col w:w="1760"/>
          </w:cols>
          <w:pgMar w:left="320" w:top="1008" w:right="339" w:bottom="1440" w:gutter="0" w:footer="0" w:header="0"/>
          <w:type w:val="continuous"/>
        </w:sectPr>
      </w:pPr>
    </w:p>
    <w:p>
      <w:pPr>
        <w:spacing w:after="0" w:line="4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approved an amendment to the Embecta Corp. 2022 Employee and Director Equity-Based Compensation Plan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set forth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0"/>
        </w:trPr>
        <w:tc>
          <w:tcPr>
            <w:tcW w:w="29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41,396,703</w:t>
            </w:r>
          </w:p>
        </w:tc>
        <w:tc>
          <w:tcPr>
            <w:tcW w:w="27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7,034,781</w:t>
            </w:r>
          </w:p>
        </w:tc>
        <w:tc>
          <w:tcPr>
            <w:tcW w:w="25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95,029</w:t>
            </w:r>
          </w:p>
        </w:tc>
        <w:tc>
          <w:tcPr>
            <w:tcW w:w="30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4,679,180</w:t>
            </w:r>
          </w:p>
        </w:tc>
      </w:tr>
      <w:tr>
        <w:trPr>
          <w:trHeight w:val="2531"/>
        </w:trPr>
        <w:tc>
          <w:tcPr>
            <w:tcW w:w="29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February 13, 2026</w:t>
      </w:r>
      <w:r>
        <w:rPr>
          <w:sz w:val="20"/>
          <w:szCs w:val="20"/>
          <w:color w:val="auto"/>
        </w:rPr>
        <w:tab/>
      </w:r>
      <w:r>
        <w:rPr>
          <w:rFonts w:ascii="Times New Roman" w:cs="Times New Roman" w:eastAsia="Times New Roman" w:hAnsi="Times New Roman"/>
          <w:sz w:val="17"/>
          <w:szCs w:val="17"/>
          <w:b w:val="1"/>
          <w:bCs w:val="1"/>
          <w:color w:val="auto"/>
        </w:rPr>
        <w:t>EMBECTA CORP.</w:t>
      </w:r>
    </w:p>
    <w:p>
      <w:pPr>
        <w:spacing w:after="0" w:line="229" w:lineRule="exact"/>
        <w:rPr>
          <w:sz w:val="20"/>
          <w:szCs w:val="20"/>
          <w:color w:val="auto"/>
        </w:rPr>
      </w:pPr>
    </w:p>
    <w:p>
      <w:pPr>
        <w:ind w:left="454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433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Jeff Mann</w:t>
      </w:r>
    </w:p>
    <w:p>
      <w:pPr>
        <w:spacing w:after="0" w:line="23" w:lineRule="exact"/>
        <w:rPr>
          <w:sz w:val="20"/>
          <w:szCs w:val="20"/>
          <w:color w:val="auto"/>
        </w:rPr>
      </w:pPr>
    </w:p>
    <w:p>
      <w:pPr>
        <w:ind w:left="5040" w:right="120"/>
        <w:spacing w:after="0" w:line="260" w:lineRule="auto"/>
        <w:rPr>
          <w:sz w:val="20"/>
          <w:szCs w:val="20"/>
          <w:color w:val="auto"/>
        </w:rPr>
      </w:pPr>
      <w:r>
        <w:rPr>
          <w:rFonts w:ascii="Times New Roman" w:cs="Times New Roman" w:eastAsia="Times New Roman" w:hAnsi="Times New Roman"/>
          <w:sz w:val="18"/>
          <w:szCs w:val="18"/>
          <w:color w:val="auto"/>
        </w:rPr>
        <w:t>Senior Vice President, General Counsel &amp; Product Development,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4653280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79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2026-02-13T16:29:05Z</dcterms:created>
  <dcterms:modified xsi:type="dcterms:W3CDTF">2026-02-13T16:29:05Z</dcterms:modified>
</cp:coreProperties>
</file>