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Carrie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13,068.8229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number of shares reported in Column 5 of Table I now includes 65.822912 shares received by the reporting person as stock dividends.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64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2023-02-13T15:17:40Z</dcterms:created>
  <dcterms:modified xsi:type="dcterms:W3CDTF">2023-02-13T15:17:40Z</dcterms:modified>
</cp:coreProperties>
</file>