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33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333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HOMBACH ROBERT J.</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940" w:type="dxa"/>
            <w:vAlign w:val="bottom"/>
          </w:tcPr>
          <w:p>
            <w:pPr>
              <w:ind w:left="100"/>
              <w:spacing w:after="0"/>
              <w:rPr>
                <w:sz w:val="20"/>
                <w:szCs w:val="20"/>
                <w:color w:val="auto"/>
              </w:rPr>
            </w:pPr>
            <w:r>
              <w:rPr>
                <w:rFonts w:ascii="Arial" w:cs="Arial" w:eastAsia="Arial" w:hAnsi="Arial"/>
                <w:sz w:val="13"/>
                <w:szCs w:val="13"/>
                <w:color w:val="auto"/>
              </w:rPr>
              <w:t>(First)</w:t>
            </w:r>
          </w:p>
        </w:tc>
        <w:tc>
          <w:tcPr>
            <w:tcW w:w="1580" w:type="dxa"/>
            <w:vAlign w:val="bottom"/>
          </w:tcPr>
          <w:p>
            <w:pPr>
              <w:ind w:left="38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300 KIMBALL DRIVE</w:t>
            </w:r>
          </w:p>
        </w:tc>
        <w:tc>
          <w:tcPr>
            <w:tcW w:w="158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1580" w:type="dxa"/>
            <w:vAlign w:val="bottom"/>
            <w:tcBorders>
              <w:bottom w:val="single" w:sz="8" w:color="9A9A9A"/>
            </w:tcBorders>
          </w:tcPr>
          <w:p>
            <w:pPr>
              <w:spacing w:after="0"/>
              <w:rPr>
                <w:sz w:val="18"/>
                <w:szCs w:val="18"/>
                <w:color w:val="auto"/>
              </w:rPr>
            </w:pPr>
          </w:p>
        </w:tc>
      </w:tr>
      <w:tr>
        <w:trPr>
          <w:trHeight w:val="2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PARSIPPANY</w:t>
            </w:r>
          </w:p>
        </w:tc>
        <w:tc>
          <w:tcPr>
            <w:tcW w:w="94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NJ</w:t>
            </w:r>
          </w:p>
        </w:tc>
        <w:tc>
          <w:tcPr>
            <w:tcW w:w="158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07054</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00"/>
              <w:spacing w:after="0"/>
              <w:rPr>
                <w:sz w:val="20"/>
                <w:szCs w:val="20"/>
                <w:color w:val="auto"/>
              </w:rPr>
            </w:pPr>
            <w:r>
              <w:rPr>
                <w:rFonts w:ascii="Arial" w:cs="Arial" w:eastAsia="Arial" w:hAnsi="Arial"/>
                <w:sz w:val="13"/>
                <w:szCs w:val="13"/>
                <w:color w:val="auto"/>
              </w:rPr>
              <w:t>(State)</w:t>
            </w:r>
          </w:p>
        </w:tc>
        <w:tc>
          <w:tcPr>
            <w:tcW w:w="1580" w:type="dxa"/>
            <w:vAlign w:val="bottom"/>
          </w:tcPr>
          <w:p>
            <w:pPr>
              <w:ind w:left="38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Embecta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EMBC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40" w:type="dxa"/>
            <w:vAlign w:val="bottom"/>
            <w:tcBorders>
              <w:bottom w:val="single" w:sz="8" w:color="0000EE"/>
            </w:tcBorders>
          </w:tcPr>
          <w:p>
            <w:pPr>
              <w:spacing w:after="0"/>
              <w:rPr>
                <w:sz w:val="3"/>
                <w:szCs w:val="3"/>
                <w:color w:val="auto"/>
              </w:rPr>
            </w:pPr>
          </w:p>
        </w:tc>
        <w:tc>
          <w:tcPr>
            <w:tcW w:w="2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24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3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02/07/2024</w:t>
            </w:r>
          </w:p>
        </w:tc>
        <w:tc>
          <w:tcPr>
            <w:tcW w:w="2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24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02/07/2024</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11,455</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2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24,903.902</w:t>
            </w:r>
            <w:r>
              <w:rPr>
                <w:rFonts w:ascii="Times New Roman" w:cs="Times New Roman" w:eastAsia="Times New Roman" w:hAnsi="Times New Roman"/>
                <w:sz w:val="22"/>
                <w:szCs w:val="22"/>
                <w:color w:val="008000"/>
                <w:vertAlign w:val="superscript"/>
              </w:rPr>
              <w:t>(1)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1440" w:gutter="0" w:footer="0" w:header="0"/>
          <w:type w:val="continuous"/>
        </w:sectPr>
      </w:pPr>
    </w:p>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 number of shares reported in Column 5 of Table I includes shares received by the reporting person as stock dividends.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 Power of Attorney</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Jeffrey Z. Mann, by POA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534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5349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from Robert J. Hombach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93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9347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02/09/2024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560" w:space="22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26" w:lineRule="exact"/>
        <w:rPr>
          <w:sz w:val="20"/>
          <w:szCs w:val="20"/>
          <w:color w:val="auto"/>
        </w:rPr>
      </w:pPr>
    </w:p>
    <w:p>
      <w:pPr>
        <w:jc w:val="both"/>
        <w:ind w:right="20" w:firstLine="640"/>
        <w:spacing w:after="0" w:line="248" w:lineRule="auto"/>
        <w:rPr>
          <w:sz w:val="20"/>
          <w:szCs w:val="20"/>
          <w:color w:val="auto"/>
        </w:rPr>
      </w:pPr>
      <w:r>
        <w:rPr>
          <w:rFonts w:ascii="Times New Roman" w:cs="Times New Roman" w:eastAsia="Times New Roman" w:hAnsi="Times New Roman"/>
          <w:sz w:val="20"/>
          <w:szCs w:val="20"/>
          <w:color w:val="auto"/>
        </w:rPr>
        <w:t>With respect to holdings of and transactions in securities issued by Embecta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the undersigned hereby constitutes and appoints Jeffrey Z. Mann, Brian Capone and Justin Director, or any of them signing singly, with full power of substitution and resubstitution, to act as the undersigned’s true and lawful attorney-in-fact to:</w:t>
      </w:r>
    </w:p>
    <w:p>
      <w:pPr>
        <w:spacing w:after="0" w:line="193" w:lineRule="exact"/>
        <w:rPr>
          <w:sz w:val="20"/>
          <w:szCs w:val="20"/>
          <w:color w:val="auto"/>
        </w:rPr>
      </w:pPr>
    </w:p>
    <w:p>
      <w:pPr>
        <w:ind w:left="960" w:right="440" w:hanging="314"/>
        <w:spacing w:after="0" w:line="261" w:lineRule="auto"/>
        <w:tabs>
          <w:tab w:leader="none" w:pos="9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Forms 3, 4, and 5 in accordance with Section 16 of the Securities Exchange Act of 1934, as amended, and the rules thereunder;</w:t>
      </w:r>
    </w:p>
    <w:p>
      <w:pPr>
        <w:spacing w:after="0" w:line="179" w:lineRule="exact"/>
        <w:rPr>
          <w:rFonts w:ascii="Times New Roman" w:cs="Times New Roman" w:eastAsia="Times New Roman" w:hAnsi="Times New Roman"/>
          <w:sz w:val="20"/>
          <w:szCs w:val="20"/>
          <w:color w:val="auto"/>
        </w:rPr>
      </w:pPr>
    </w:p>
    <w:p>
      <w:pPr>
        <w:jc w:val="both"/>
        <w:ind w:left="960" w:right="440" w:hanging="314"/>
        <w:spacing w:after="0" w:line="248" w:lineRule="auto"/>
        <w:tabs>
          <w:tab w:leader="none" w:pos="9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193" w:lineRule="exact"/>
        <w:rPr>
          <w:rFonts w:ascii="Times New Roman" w:cs="Times New Roman" w:eastAsia="Times New Roman" w:hAnsi="Times New Roman"/>
          <w:sz w:val="20"/>
          <w:szCs w:val="20"/>
          <w:color w:val="auto"/>
        </w:rPr>
      </w:pPr>
    </w:p>
    <w:p>
      <w:pPr>
        <w:jc w:val="both"/>
        <w:ind w:left="960" w:right="440" w:hanging="314"/>
        <w:spacing w:after="0" w:line="242" w:lineRule="auto"/>
        <w:tabs>
          <w:tab w:leader="none" w:pos="9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jc w:val="both"/>
        <w:ind w:firstLine="640"/>
        <w:spacing w:after="0" w:line="271"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any Company assuming, any of the undersigned’s responsibilities to comply with Section 16 of the Securities Exchange Act of 1934, as amended.</w:t>
      </w:r>
    </w:p>
    <w:p>
      <w:pPr>
        <w:spacing w:after="0" w:line="176" w:lineRule="exact"/>
        <w:rPr>
          <w:sz w:val="20"/>
          <w:szCs w:val="20"/>
          <w:color w:val="auto"/>
        </w:rPr>
      </w:pPr>
    </w:p>
    <w:p>
      <w:pPr>
        <w:jc w:val="both"/>
        <w:ind w:right="20" w:firstLine="640"/>
        <w:spacing w:after="0" w:line="248"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93" w:lineRule="exact"/>
        <w:rPr>
          <w:sz w:val="20"/>
          <w:szCs w:val="20"/>
          <w:color w:val="auto"/>
        </w:rPr>
      </w:pPr>
    </w:p>
    <w:p>
      <w:pPr>
        <w:ind w:right="20" w:firstLine="640"/>
        <w:spacing w:after="0" w:line="261" w:lineRule="auto"/>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_</w:t>
      </w:r>
      <w:r>
        <w:rPr>
          <w:rFonts w:ascii="Times New Roman" w:cs="Times New Roman" w:eastAsia="Times New Roman" w:hAnsi="Times New Roman"/>
          <w:sz w:val="20"/>
          <w:szCs w:val="20"/>
          <w:u w:val="single" w:color="auto"/>
          <w:color w:val="auto"/>
        </w:rPr>
        <w:t>29th</w:t>
      </w:r>
      <w:r>
        <w:rPr>
          <w:rFonts w:ascii="Times New Roman" w:cs="Times New Roman" w:eastAsia="Times New Roman" w:hAnsi="Times New Roman"/>
          <w:sz w:val="20"/>
          <w:szCs w:val="20"/>
          <w:color w:val="auto"/>
        </w:rPr>
        <w:t>__day of ___</w:t>
      </w:r>
      <w:r>
        <w:rPr>
          <w:rFonts w:ascii="Times New Roman" w:cs="Times New Roman" w:eastAsia="Times New Roman" w:hAnsi="Times New Roman"/>
          <w:sz w:val="20"/>
          <w:szCs w:val="20"/>
          <w:u w:val="single" w:color="auto"/>
          <w:color w:val="auto"/>
        </w:rPr>
        <w:t>November</w:t>
      </w:r>
      <w:r>
        <w:rPr>
          <w:rFonts w:ascii="Times New Roman" w:cs="Times New Roman" w:eastAsia="Times New Roman" w:hAnsi="Times New Roman"/>
          <w:sz w:val="20"/>
          <w:szCs w:val="20"/>
          <w:color w:val="auto"/>
        </w:rPr>
        <w:t>__, 2023.</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5500" w:type="dxa"/>
            <w:vAlign w:val="bottom"/>
          </w:tcPr>
          <w:p>
            <w:pPr>
              <w:ind w:left="4960"/>
              <w:spacing w:after="0"/>
              <w:rPr>
                <w:sz w:val="20"/>
                <w:szCs w:val="20"/>
                <w:color w:val="auto"/>
              </w:rPr>
            </w:pPr>
            <w:r>
              <w:rPr>
                <w:rFonts w:ascii="Times New Roman" w:cs="Times New Roman" w:eastAsia="Times New Roman" w:hAnsi="Times New Roman"/>
                <w:sz w:val="20"/>
                <w:szCs w:val="20"/>
                <w:color w:val="auto"/>
              </w:rPr>
              <w:t>By:</w:t>
            </w:r>
          </w:p>
        </w:tc>
        <w:tc>
          <w:tcPr>
            <w:tcW w:w="3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/s/ Robert J. Hombach</w:t>
            </w: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
        </w:trPr>
        <w:tc>
          <w:tcPr>
            <w:tcW w:w="5500" w:type="dxa"/>
            <w:vAlign w:val="bottom"/>
            <w:vMerge w:val="restart"/>
          </w:tcPr>
          <w:p>
            <w:pPr>
              <w:ind w:left="4960"/>
              <w:spacing w:after="0"/>
              <w:rPr>
                <w:sz w:val="20"/>
                <w:szCs w:val="20"/>
                <w:color w:val="auto"/>
              </w:rPr>
            </w:pPr>
            <w:r>
              <w:rPr>
                <w:rFonts w:ascii="Times New Roman" w:cs="Times New Roman" w:eastAsia="Times New Roman" w:hAnsi="Times New Roman"/>
                <w:sz w:val="20"/>
                <w:szCs w:val="20"/>
                <w:color w:val="auto"/>
                <w:w w:val="97"/>
              </w:rPr>
              <w:t>Name:</w:t>
            </w:r>
          </w:p>
        </w:tc>
        <w:tc>
          <w:tcPr>
            <w:tcW w:w="3840" w:type="dxa"/>
            <w:vAlign w:val="bottom"/>
            <w:tcBorders>
              <w:bottom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4"/>
        </w:trPr>
        <w:tc>
          <w:tcPr>
            <w:tcW w:w="5500" w:type="dxa"/>
            <w:vAlign w:val="bottom"/>
            <w:vMerge w:val="continue"/>
          </w:tcPr>
          <w:p>
            <w:pPr>
              <w:spacing w:after="0"/>
              <w:rPr>
                <w:sz w:val="24"/>
                <w:szCs w:val="24"/>
                <w:color w:val="auto"/>
              </w:rPr>
            </w:pPr>
          </w:p>
        </w:tc>
        <w:tc>
          <w:tcPr>
            <w:tcW w:w="3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Robert J. Hombach</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5500" w:type="dxa"/>
            <w:vAlign w:val="bottom"/>
          </w:tcPr>
          <w:p>
            <w:pPr>
              <w:spacing w:after="0" w:line="20" w:lineRule="exact"/>
              <w:rPr>
                <w:sz w:val="1"/>
                <w:szCs w:val="1"/>
                <w:color w:val="auto"/>
              </w:rPr>
            </w:pPr>
          </w:p>
        </w:tc>
        <w:tc>
          <w:tcPr>
            <w:tcW w:w="3840" w:type="dxa"/>
            <w:vAlign w:val="bottom"/>
            <w:tcBorders>
              <w:bottom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6"/>
        </w:trPr>
        <w:tc>
          <w:tcPr>
            <w:tcW w:w="550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980"/>
      </w:cols>
      <w:pgMar w:left="460" w:top="11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496182" TargetMode="External"/><Relationship Id="rId13" Type="http://schemas.openxmlformats.org/officeDocument/2006/relationships/hyperlink" Target="http://www.sec.gov/cgi-bin/browse-edgar?action=getcompany&amp;CIK=00018727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2024-02-09T17:14:58Z</dcterms:created>
  <dcterms:modified xsi:type="dcterms:W3CDTF">2024-02-09T17:14:58Z</dcterms:modified>
</cp:coreProperties>
</file>