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36"/>
        </w:rPr>
      </w:pPr>
      <w:r>
        <w:rPr>
          <w:rFonts w:ascii="Times New Roman;serif" w:hAnsi="Times New Roman;serif"/>
          <w:b/>
          <w:color w:val="000000"/>
          <w:sz w:val="36"/>
        </w:rPr>
        <w:t>FORM 8-K/A</w:t>
      </w:r>
    </w:p>
    <w:p>
      <w:pPr>
        <w:pStyle w:val="TextBody"/>
        <w:bidi w:val="0"/>
        <w:spacing w:lineRule="auto" w:line="276" w:before="40" w:after="283"/>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16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15, 2026</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48"/>
        </w:rPr>
      </w:pPr>
      <w:r>
        <w:rPr>
          <w:rFonts w:ascii="Times New Roman;serif" w:hAnsi="Times New Roman;serif"/>
          <w:b/>
          <w:color w:val="000000"/>
          <w:sz w:val="48"/>
        </w:rPr>
        <w:t>EMBECTA CORP.</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Delaware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of Incorporation)</w:t>
      </w:r>
    </w:p>
    <w:p>
      <w:pPr>
        <w:pStyle w:val="TextBody"/>
        <w:bidi w:val="0"/>
        <w:spacing w:before="0" w:after="0"/>
        <w:jc w:val="left"/>
        <w:rPr/>
      </w:pPr>
      <w:r>
        <w:rPr/>
      </w:r>
    </w:p>
    <w:tbl>
      <w:tblPr>
        <w:tblW w:w="2890" w:type="dxa"/>
        <w:jc w:val="center"/>
        <w:tblInd w:w="0" w:type="dxa"/>
        <w:tblLayout w:type="fixed"/>
        <w:tblCellMar>
          <w:top w:w="28" w:type="dxa"/>
          <w:left w:w="28" w:type="dxa"/>
          <w:bottom w:w="28" w:type="dxa"/>
          <w:right w:w="28" w:type="dxa"/>
        </w:tblCellMar>
      </w:tblPr>
      <w:tblGrid>
        <w:gridCol w:w="390"/>
        <w:gridCol w:w="342"/>
        <w:gridCol w:w="347"/>
        <w:gridCol w:w="109"/>
        <w:gridCol w:w="109"/>
        <w:gridCol w:w="109"/>
        <w:gridCol w:w="433"/>
        <w:gridCol w:w="433"/>
        <w:gridCol w:w="618"/>
      </w:tblGrid>
      <w:tr>
        <w:trPr/>
        <w:tc>
          <w:tcPr>
            <w:tcW w:w="39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07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001-41186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87-1583942</w:t>
            </w:r>
          </w:p>
        </w:tc>
      </w:tr>
      <w:tr>
        <w:trPr/>
        <w:tc>
          <w:tcPr>
            <w:tcW w:w="107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before="0" w:after="0"/>
        <w:jc w:val="left"/>
        <w:rPr/>
      </w:pPr>
      <w:r>
        <w:rPr/>
      </w:r>
    </w:p>
    <w:tbl>
      <w:tblPr>
        <w:tblW w:w="5996" w:type="dxa"/>
        <w:jc w:val="center"/>
        <w:tblInd w:w="0" w:type="dxa"/>
        <w:tblLayout w:type="fixed"/>
        <w:tblCellMar>
          <w:top w:w="28" w:type="dxa"/>
          <w:left w:w="28" w:type="dxa"/>
          <w:bottom w:w="28" w:type="dxa"/>
          <w:right w:w="28" w:type="dxa"/>
        </w:tblCellMar>
      </w:tblPr>
      <w:tblGrid>
        <w:gridCol w:w="1716"/>
        <w:gridCol w:w="1509"/>
        <w:gridCol w:w="1515"/>
        <w:gridCol w:w="109"/>
        <w:gridCol w:w="109"/>
        <w:gridCol w:w="109"/>
        <w:gridCol w:w="272"/>
        <w:gridCol w:w="272"/>
        <w:gridCol w:w="385"/>
      </w:tblGrid>
      <w:tr>
        <w:trPr/>
        <w:tc>
          <w:tcPr>
            <w:tcW w:w="1716"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 xml:space="preserve">300 Kimball Drive, Suite 300, Parsippany, New Jersey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07054</w:t>
            </w:r>
          </w:p>
        </w:tc>
      </w:tr>
      <w:tr>
        <w:trPr/>
        <w:tc>
          <w:tcPr>
            <w:tcW w:w="47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(862) 401-0000</w:t>
      </w:r>
    </w:p>
    <w:p>
      <w:pPr>
        <w:pStyle w:val="TextBody"/>
        <w:bidi w:val="0"/>
        <w:spacing w:lineRule="auto" w:line="276" w:before="16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16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EMBC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Stock Market LLC (Nasdaq Global Select Market)</w:t>
            </w:r>
          </w:p>
        </w:tc>
      </w:tr>
    </w:tbl>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16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76" w:before="16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is being filed as an amendment (this “Amendment No. 1”) to the Current Report on Form 8-K filed by Embecta Corp. (the “Company”) with the Securities and Exchange Commission on May 15, 2026 (the “Original Report”). In the Original Report, the Company disclosed that, among other events, on May 15, 2026, the Company closed its previously announced acquisition (the “Acquisition”) of all of the issued share capital of Owen Mumford Holdings Limited (“Owen Mumford”), a privately held, UK-based innovator and manufacturer of medical devices and drug-delivery technologies. This Amendment No. 1 is being filed to provide the historical audited financial statements of Owen Mumford and the pro forma condensed consolidated financial information required by Items 9.01(a) and 9.01(b) of Form 8-K that were excluded from the Original Report. In the Original Report, the Company indicated that it would file the required information by amendment. Except as set forth herein, this Amendment No. 1 does not amend, modify or update the disclosure contained in the Original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(a) Financial Statements of Business Acquired.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audited consolidated financial statements of Owen Mumford for the year ended September 30, 2025 and related notes, are filed as Exhibit 99.1 to this report and are incorporated herein by reference. The consent of Ernst &amp; Young LLP, Owen Mumford's independent auditors, is attached as Exhibit 23.1 to the Form 8-K/A.</w:t>
      </w:r>
    </w:p>
    <w:p>
      <w:pPr>
        <w:pStyle w:val="TextBody"/>
        <w:bidi w:val="0"/>
        <w:spacing w:lineRule="auto" w:line="276" w:before="180" w:after="180"/>
        <w:jc w:val="left"/>
        <w:rPr>
          <w:rFonts w:ascii="Times New Roman;serif" w:hAnsi="Times New Roman;serif"/>
          <w:b w:val="false"/>
          <w:i/>
          <w:color w:val="000000"/>
          <w:sz w:val="20"/>
        </w:rPr>
      </w:pPr>
      <w:r>
        <w:rPr>
          <w:rFonts w:ascii="Times New Roman;serif" w:hAnsi="Times New Roman;serif"/>
          <w:b w:val="false"/>
          <w:i/>
          <w:color w:val="000000"/>
          <w:sz w:val="20"/>
        </w:rPr>
        <w:t>(b) Pro Forma Financial Information.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including the statement of operations for the six months ended March 31, 2026 and statement of operations for the year ended September 30, 2025, and related notes showing the pro forma effects of the Company's acquisition of Owen Mumford are filed as Exhibit 99.2 to this report and are incorporated herein by reference. This unaudited pro forma condensed consolidated financial information is provided for illustrative purposes only and does not purport to represent what the Company's actual results of operations or financial position would have been if the Acquisition had occurred on the dates indicated, nor are they necessarily indicative of the Company's future operating results or financial position.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(c) Not applicable.</w:t>
      </w:r>
    </w:p>
    <w:p>
      <w:pPr>
        <w:pStyle w:val="TextBody"/>
        <w:bidi w:val="0"/>
        <w:spacing w:lineRule="auto" w:line="276" w:before="180" w:after="180"/>
        <w:ind w:left="0" w:right="0" w:hanging="360"/>
        <w:jc w:val="left"/>
        <w:rPr/>
      </w:pPr>
      <w:r>
        <w:rPr>
          <w:rFonts w:ascii="Times New Roman;serif" w:hAnsi="Times New Roman;serif"/>
          <w:b w:val="false"/>
          <w:i/>
          <w:color w:val="000000"/>
          <w:sz w:val="20"/>
        </w:rPr>
        <w:t>(d)</w:t>
      </w:r>
      <w:r>
        <w:rPr>
          <w:rFonts w:ascii="Times New Roman;serif" w:hAnsi="Times New Roman;serif"/>
          <w:b w:val="false"/>
          <w:i/>
          <w:color w:val="000000"/>
          <w:sz w:val="20"/>
          <w:u w:val="single"/>
        </w:rPr>
        <w:t>Exhibits</w:t>
      </w:r>
    </w:p>
    <w:p>
      <w:pPr>
        <w:pStyle w:val="TextBody"/>
        <w:bidi w:val="0"/>
        <w:spacing w:lineRule="auto" w:line="276"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furnished as an exhibit to this report:</w:t>
      </w:r>
    </w:p>
    <w:p>
      <w:pPr>
        <w:pStyle w:val="TextBody"/>
        <w:bidi w:val="0"/>
        <w:spacing w:before="0" w:after="0"/>
        <w:jc w:val="left"/>
        <w:rPr/>
      </w:pPr>
      <w:r>
        <w:rPr/>
      </w:r>
    </w:p>
    <w:tbl>
      <w:tblPr>
        <w:tblW w:w="7677"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1939"/>
        <w:gridCol w:w="1939"/>
        <w:gridCol w:w="2766"/>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10"/>
              <w:jc w:val="left"/>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76" w:before="0" w:after="1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left"/>
              <w:rPr/>
            </w:pPr>
            <w:hyperlink w:anchor="q320268kaex231.htm">
              <w:r>
                <w:rPr>
                  <w:rStyle w:val="InternetLink"/>
                  <w:rFonts w:ascii="Times New Roman;serif" w:hAnsi="Times New Roman;serif"/>
                  <w:b w:val="false"/>
                  <w:color w:val="0000FF"/>
                  <w:sz w:val="20"/>
                  <w:u w:val="single"/>
                </w:rPr>
                <w:t>23.1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Consent of Ernst &amp; Young LLP, Independent Auditors of Owen Mumford.</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q320268kaex-991.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Historical Consolidated Financial Statements of Owen Mumford.</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q320268kaex-992.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Unaudited Pro Forma Condensed Consolidated Financial Information.</w:t>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087" w:type="dxa"/>
        <w:jc w:val="left"/>
        <w:tblInd w:w="0" w:type="dxa"/>
        <w:tblLayout w:type="fixed"/>
        <w:tblCellMar>
          <w:top w:w="28" w:type="dxa"/>
          <w:left w:w="28" w:type="dxa"/>
          <w:bottom w:w="28" w:type="dxa"/>
          <w:right w:w="28" w:type="dxa"/>
        </w:tblCellMar>
      </w:tblPr>
      <w:tblGrid>
        <w:gridCol w:w="656"/>
        <w:gridCol w:w="576"/>
        <w:gridCol w:w="582"/>
        <w:gridCol w:w="179"/>
        <w:gridCol w:w="179"/>
        <w:gridCol w:w="179"/>
        <w:gridCol w:w="179"/>
        <w:gridCol w:w="179"/>
        <w:gridCol w:w="179"/>
        <w:gridCol w:w="1210"/>
        <w:gridCol w:w="1210"/>
        <w:gridCol w:w="177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EMBECTA CORP.</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July 31, 2026</w:t>
            </w:r>
          </w:p>
        </w:tc>
        <w:tc>
          <w:tcPr>
            <w:tcW w:w="53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Jeff Mann</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Jeff Mann</w:t>
            </w:r>
          </w:p>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General Counsel &amp; Product</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Development, and Corporate Secretary</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CONSENT OF INDEPENDENT AUDITORS</w:t>
      </w:r>
    </w:p>
    <w:p>
      <w:pPr>
        <w:pStyle w:val="TextBody"/>
        <w:bidi w:val="0"/>
        <w:spacing w:lineRule="auto" w:line="288" w:before="0" w:after="120"/>
        <w:jc w:val="both"/>
        <w:rPr/>
      </w:pPr>
      <w:r>
        <w:rPr>
          <w:rFonts w:ascii="Times New Roman;serif" w:hAnsi="Times New Roman;serif"/>
          <w:b w:val="false"/>
          <w:color w:val="000000"/>
          <w:sz w:val="22"/>
        </w:rPr>
        <w:t>We consent to the incorporation by reference in Registration Statements No. 333-264164 and No. 333-279273 on Form S-8 of Embecta Corp. of our report</w:t>
      </w:r>
      <w:r>
        <w:rPr>
          <w:color w:val="FF0000"/>
        </w:rPr>
        <w:t xml:space="preserve"> </w:t>
      </w:r>
      <w:r>
        <w:rPr>
          <w:rFonts w:ascii="Times New Roman;serif" w:hAnsi="Times New Roman;serif"/>
          <w:b w:val="false"/>
          <w:color w:val="000000"/>
          <w:sz w:val="22"/>
        </w:rPr>
        <w:t>dated July 31, 2026, relating to the consolidated financial statements of Owen Mumford Holdings Limited as of and for the year ended September 30, 2025 appearing in this Current Report on Form 8-K/A of Embecta Corp.</w:t>
      </w:r>
    </w:p>
    <w:p>
      <w:pPr>
        <w:pStyle w:val="TextBody"/>
        <w:bidi w:val="0"/>
        <w:spacing w:before="0" w:after="120"/>
        <w:jc w:val="left"/>
        <w:rPr/>
      </w:pPr>
      <w:r>
        <w:rPr/>
      </w:r>
    </w:p>
    <w:p>
      <w:pPr>
        <w:pStyle w:val="TextBody"/>
        <w:bidi w:val="0"/>
        <w:spacing w:lineRule="auto" w:line="288" w:before="0" w:after="120"/>
        <w:jc w:val="left"/>
        <w:rPr>
          <w:rFonts w:ascii="Times New Roman;serif" w:hAnsi="Times New Roman;serif"/>
          <w:b w:val="false"/>
          <w:color w:val="000000"/>
          <w:sz w:val="22"/>
        </w:rPr>
      </w:pPr>
      <w:r>
        <w:rPr>
          <w:rFonts w:ascii="Times New Roman;serif" w:hAnsi="Times New Roman;serif"/>
          <w:b w:val="false"/>
          <w:color w:val="000000"/>
          <w:sz w:val="22"/>
        </w:rPr>
        <w:t>/s/ ERNST &amp; YOUNG LLP</w:t>
      </w:r>
    </w:p>
    <w:p>
      <w:pPr>
        <w:pStyle w:val="TextBody"/>
        <w:bidi w:val="0"/>
        <w:spacing w:lineRule="auto" w:line="348" w:before="0" w:after="2"/>
        <w:jc w:val="left"/>
        <w:rPr>
          <w:rFonts w:ascii="Times New Roman;serif" w:hAnsi="Times New Roman;serif"/>
          <w:b w:val="false"/>
          <w:color w:val="000000"/>
          <w:sz w:val="22"/>
        </w:rPr>
      </w:pPr>
      <w:r>
        <w:rPr>
          <w:rFonts w:ascii="Times New Roman;serif" w:hAnsi="Times New Roman;serif"/>
          <w:b w:val="false"/>
          <w:color w:val="000000"/>
          <w:sz w:val="22"/>
        </w:rPr>
        <w:t xml:space="preserve">Bristol, United Kingdom </w:t>
      </w:r>
    </w:p>
    <w:p>
      <w:pPr>
        <w:pStyle w:val="TextBody"/>
        <w:bidi w:val="0"/>
        <w:spacing w:lineRule="auto" w:line="312" w:before="0" w:after="0"/>
        <w:jc w:val="left"/>
        <w:rPr>
          <w:rFonts w:ascii="Times New Roman;serif" w:hAnsi="Times New Roman;serif"/>
          <w:b w:val="false"/>
          <w:color w:val="000000"/>
          <w:sz w:val="22"/>
        </w:rPr>
      </w:pPr>
      <w:r>
        <w:rPr>
          <w:rFonts w:ascii="Times New Roman;serif" w:hAnsi="Times New Roman;serif"/>
          <w:b w:val="false"/>
          <w:color w:val="000000"/>
          <w:sz w:val="22"/>
        </w:rPr>
        <w:t>July 31, 2026</w:t>
      </w:r>
    </w:p>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OWEN MUMFORD HOLDINGS LIMITED</w:t>
      </w:r>
    </w:p>
    <w:p>
      <w:pPr>
        <w:pStyle w:val="TextBody"/>
        <w:bidi w:val="0"/>
        <w:spacing w:before="0" w:after="0"/>
        <w:ind w:left="0" w:right="0" w:hanging="90"/>
        <w:jc w:val="center"/>
        <w:rPr/>
      </w:pPr>
      <w:r>
        <w:rPr/>
      </w:r>
    </w:p>
    <w:p>
      <w:pPr>
        <w:pStyle w:val="TextBody"/>
        <w:bidi w:val="0"/>
        <w:spacing w:lineRule="auto" w:line="288" w:before="0" w:after="0"/>
        <w:ind w:left="0" w:right="0" w:hanging="90"/>
        <w:jc w:val="center"/>
        <w:rPr>
          <w:rFonts w:ascii="Times New Roman;serif" w:hAnsi="Times New Roman;serif"/>
          <w:b/>
          <w:color w:val="000000"/>
          <w:sz w:val="32"/>
        </w:rPr>
      </w:pPr>
      <w:r>
        <w:rPr>
          <w:rFonts w:ascii="Times New Roman;serif" w:hAnsi="Times New Roman;serif"/>
          <w:b/>
          <w:color w:val="000000"/>
          <w:sz w:val="32"/>
        </w:rPr>
        <w:t>CONSOLIDATED FINANCIAL STATEMENTS</w:t>
      </w:r>
    </w:p>
    <w:p>
      <w:pPr>
        <w:pStyle w:val="TextBody"/>
        <w:bidi w:val="0"/>
        <w:spacing w:before="0" w:after="0"/>
        <w:ind w:left="0" w:right="0" w:hanging="90"/>
        <w:jc w:val="center"/>
        <w:rPr/>
      </w:pPr>
      <w:r>
        <w:rPr/>
      </w:r>
    </w:p>
    <w:p>
      <w:pPr>
        <w:pStyle w:val="TextBody"/>
        <w:bidi w:val="0"/>
        <w:spacing w:lineRule="auto" w:line="288" w:before="0" w:after="0"/>
        <w:ind w:left="0" w:right="0" w:hanging="90"/>
        <w:jc w:val="center"/>
        <w:rPr>
          <w:rFonts w:ascii="Times New Roman;serif" w:hAnsi="Times New Roman;serif"/>
          <w:b/>
          <w:color w:val="000000"/>
          <w:sz w:val="32"/>
        </w:rPr>
      </w:pPr>
      <w:r>
        <w:rPr>
          <w:rFonts w:ascii="Times New Roman;serif" w:hAnsi="Times New Roman;serif"/>
          <w:b/>
          <w:color w:val="000000"/>
          <w:sz w:val="32"/>
        </w:rPr>
        <w:t>FOR THE YEAR ENDED 30TH SEPTEMBER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180" w:after="283"/>
        <w:jc w:val="center"/>
        <w:rPr>
          <w:rFonts w:ascii="Times New Roman;serif" w:hAnsi="Times New Roman;serif"/>
          <w:b/>
          <w:color w:val="000000"/>
          <w:sz w:val="20"/>
        </w:rPr>
      </w:pPr>
      <w:r>
        <w:rPr>
          <w:rFonts w:ascii="Times New Roman;serif" w:hAnsi="Times New Roman;serif"/>
          <w:b/>
          <w:color w:val="000000"/>
          <w:sz w:val="20"/>
        </w:rPr>
        <w:t>CONSOLIDATED FINANCIAL STATEMENTS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INDEX</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tbl>
      <w:tblPr>
        <w:tblW w:w="5143"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1250"/>
        <w:gridCol w:w="1250"/>
        <w:gridCol w:w="177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Page</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7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75"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7471ff9bc746149e99cbd7dba3fc6f_164">
              <w:r>
                <w:rPr>
                  <w:rStyle w:val="InternetLink"/>
                  <w:rFonts w:ascii="Times New Roman;serif" w:hAnsi="Times New Roman;serif"/>
                  <w:b w:val="false"/>
                  <w:color w:val="00000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 of Comprehensive Income</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7471ff9bc746149e99cbd7dba3fc6f_186">
              <w:r>
                <w:rPr>
                  <w:rStyle w:val="InternetLink"/>
                  <w:rFonts w:ascii="Times New Roman;serif" w:hAnsi="Times New Roman;serif"/>
                  <w:b w:val="false"/>
                  <w:color w:val="00000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Statement of Changes in Equity</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7471ff9bc746149e99cbd7dba3fc6f_208">
              <w:r>
                <w:rPr>
                  <w:rStyle w:val="InternetLink"/>
                  <w:rFonts w:ascii="Times New Roman;serif" w:hAnsi="Times New Roman;serif"/>
                  <w:b w:val="false"/>
                  <w:color w:val="000000"/>
                  <w:sz w:val="20"/>
                  <w:u w:val="single"/>
                </w:rPr>
                <w:t>6</w:t>
              </w:r>
            </w:hyperlink>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Balance Sheet</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7471ff9bc746149e99cbd7dba3fc6f_252">
              <w:r>
                <w:rPr>
                  <w:rStyle w:val="InternetLink"/>
                  <w:rFonts w:ascii="Times New Roman;serif" w:hAnsi="Times New Roman;serif"/>
                  <w:b w:val="false"/>
                  <w:color w:val="000000"/>
                  <w:sz w:val="20"/>
                  <w:u w:val="single"/>
                </w:rPr>
                <w:t>7</w:t>
              </w:r>
            </w:hyperlink>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 Cash Flow Statement</w:t>
            </w:r>
          </w:p>
        </w:tc>
      </w:tr>
      <w:tr>
        <w:trPr/>
        <w:tc>
          <w:tcPr>
            <w:tcW w:w="54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287471ff9bc746149e99cbd7dba3fc6f_274">
              <w:r>
                <w:rPr>
                  <w:rStyle w:val="InternetLink"/>
                  <w:rFonts w:ascii="Times New Roman;serif" w:hAnsi="Times New Roman;serif"/>
                  <w:b w:val="false"/>
                  <w:color w:val="000000"/>
                  <w:sz w:val="20"/>
                  <w:u w:val="single"/>
                </w:rPr>
                <w:t>8</w:t>
              </w:r>
            </w:hyperlink>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Notes to the Financial Statements</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color w:val="000000"/>
        </w:rPr>
      </w:pPr>
      <w:r>
        <w:rPr>
          <w:color w:val="000000"/>
        </w:rPr>
        <w:t xml:space="preserv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556" w:before="0" w:after="0"/>
        <w:jc w:val="both"/>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288" w:before="0" w:after="160"/>
        <w:jc w:val="both"/>
        <w:rPr/>
      </w:pPr>
      <w:r>
        <w:rPr>
          <w:rFonts w:ascii="Times New Roman;serif" w:hAnsi="Times New Roman;serif"/>
          <w:b/>
          <w:color w:val="000000"/>
          <w:sz w:val="20"/>
          <w:u w:val="single"/>
        </w:rPr>
        <w:t>Report of Independent Auditors</w:t>
      </w:r>
      <w:r>
        <w:rPr>
          <w:color w:val="000000"/>
          <w:u w:val="single"/>
        </w:rPr>
        <w:t xml:space="preserv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To the Directors of Owen Mumford Holdings Limited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Qualified Opinion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audited the consolidated financial statements of Owen Mumford Holdings Limited (the Company), which comprise the consolidated balance sheet as of September 30, 2025, and the related consolidated statements of comprehensive income, changes in equity and cash flows for the year then ended, and the related notes (collectively referred to as the “financial statements”).</w:t>
      </w:r>
    </w:p>
    <w:p>
      <w:pPr>
        <w:pStyle w:val="TextBody"/>
        <w:bidi w:val="0"/>
        <w:spacing w:lineRule="auto" w:line="288" w:before="120" w:after="160"/>
        <w:jc w:val="both"/>
        <w:rPr>
          <w:rFonts w:ascii="Times New Roman;serif" w:hAnsi="Times New Roman;serif"/>
          <w:b w:val="false"/>
          <w:color w:val="000000"/>
          <w:sz w:val="20"/>
        </w:rPr>
      </w:pPr>
      <w:r>
        <w:rPr>
          <w:rFonts w:ascii="Times New Roman;serif" w:hAnsi="Times New Roman;serif"/>
          <w:b w:val="false"/>
          <w:color w:val="000000"/>
          <w:sz w:val="20"/>
        </w:rPr>
        <w:t>In our opinion, except for the omission of the information described in the Basis for Qualified Opinion section of our report, the accompanying financial statements present fairly, in all material respects, the financial position of the Company at September 30, 2025, and the results of its operations and its cash flows for the year then ended in accordance with United Kingdom Accounting Standards, including Financial Reporting Standard 102 “The Financial Reporting Standard applicable in the UK and Republic of Ireland” (United Kingdom Generally Accepted Accounting Practice).</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Basis for Qualified Opinion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discussed in Note 3, the accompanying consolidated financial statements of the Company are presented solely to comply with Rule 3-05 of Regulation S-X and do not include comparative financial information as required by United Kingdom Accounting Standards, including Financial Reporting Standard 102 “The Financial Reporting Standard applicable in the UK and Republic of Ireland” (United Kingdom Generally Accepted Accounting Practice).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 We believe that the audit evidence we have obtained is sufficient and appropriate to provide a basis for our qualified audit opinion.</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Emphasis of Matter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discussed in Note 33 to the financial statements, the Company prepares its financial statements in accordance with United Kingdom Accounting Standards, including Financial Reporting Standard 102 “The Financial Reporting Standard applicable in the UK and Republic of Ireland” (United Kingdom Generally Accepted Accounting Practice), which differs from accounting principles generally accepted in the United States of America. Our opinion is not modified with respect to this matter.</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Responsibilities of Management for the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the preparation and fair presentation of the financial statements in accordance with United Kingdom Accounting Standards, including Financial Reporting Standard 102 “The Financial Reporting Standard applicable in the UK and Republic of Ireland” (United Kingdom Generally Accepted Accounting Practice), and for the design, implementation, and maintenance of internal control relevant to the preparation and fair presentation of financial statements that are free of material misstatement, whether due to fraud or error.</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In preparing the financial statements, management is required to evaluate whether there are conditions or events, considered in the aggregate, that raise substantial doubt about the Company’s ability to continue as a going concern for one year after the date that the financial statements are available to be issued.</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Auditor’s Responsibilities for the Audit of the Financial Statements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Our objectives are to obtain reasonable assurance about whether the financial statements as a whole are free of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performing an audit in accordance with GAAS, we: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Exercise professional judgment and maintain professional skepticism throughout the audit.</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 xml:space="preserve">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 </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Evaluate the appropriateness of accounting policies used and the reasonableness of significant accounting estimates made by management, as well as evaluate the overall presentation of the financial statements.</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Conclude whether, in our judgment, there are conditions or events, considered in the aggregate, that raise substantial doubt about the Company’s ability to continue as a going concern for a reasonable period of time.</w:t>
      </w:r>
    </w:p>
    <w:p>
      <w:pPr>
        <w:pStyle w:val="TextBody"/>
        <w:bidi w:val="0"/>
        <w:spacing w:lineRule="auto" w:line="288" w:before="120" w:after="120"/>
        <w:ind w:left="0" w:right="0" w:hanging="360"/>
        <w:jc w:val="both"/>
        <w:rPr/>
      </w:pPr>
      <w:r>
        <w:rPr>
          <w:color w:val="000000"/>
        </w:rPr>
        <w:t>•</w:t>
      </w:r>
      <w:r>
        <w:rPr>
          <w:rFonts w:ascii="Times New Roman;serif" w:hAnsi="Times New Roman;serif"/>
          <w:b w:val="false"/>
          <w:color w:val="000000"/>
          <w:sz w:val="20"/>
        </w:rPr>
        <w:t>We are required to communicate with those charged with governance regarding, among other matters, the planned scope and timing of the audit, significant audit findings, and certain internal control-related matters that we identified during the audit.</w:t>
      </w:r>
    </w:p>
    <w:p>
      <w:pPr>
        <w:pStyle w:val="TextBody"/>
        <w:bidi w:val="0"/>
        <w:spacing w:before="0" w:after="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/s/ ERNST &amp; YOUNG LLP</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Bristol, United Kingdom</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CONSOLIDATED STATEMENT OF COMPREHENSIVE INCOME</w:t>
      </w:r>
    </w:p>
    <w:p>
      <w:pPr>
        <w:pStyle w:val="TextBody"/>
        <w:bidi w:val="0"/>
        <w:spacing w:lineRule="auto" w:line="556" w:before="0" w:after="0"/>
        <w:jc w:val="center"/>
        <w:rPr/>
      </w:pPr>
      <w:r>
        <w:rPr>
          <w:rFonts w:ascii="Times New Roman;serif" w:hAnsi="Times New Roman;serif"/>
          <w:b/>
          <w:color w:val="000000"/>
          <w:sz w:val="20"/>
        </w:rPr>
        <w:t>FOR THE YEAR ENDED 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SEPTEMBER 2025</w:t>
      </w:r>
    </w:p>
    <w:p>
      <w:pPr>
        <w:pStyle w:val="TextBody"/>
        <w:bidi w:val="0"/>
        <w:spacing w:before="0" w:after="0"/>
        <w:jc w:val="both"/>
        <w:rPr/>
      </w:pPr>
      <w:r>
        <w:rPr/>
      </w:r>
    </w:p>
    <w:p>
      <w:pPr>
        <w:pStyle w:val="TextBody"/>
        <w:bidi w:val="0"/>
        <w:spacing w:before="0" w:after="0"/>
        <w:jc w:val="both"/>
        <w:rPr/>
      </w:pPr>
      <w:r>
        <w:rPr/>
      </w:r>
    </w:p>
    <w:tbl>
      <w:tblPr>
        <w:tblW w:w="8320" w:type="dxa"/>
        <w:jc w:val="left"/>
        <w:tblInd w:w="0" w:type="dxa"/>
        <w:tblLayout w:type="fixed"/>
        <w:tblCellMar>
          <w:top w:w="28" w:type="dxa"/>
          <w:left w:w="28" w:type="dxa"/>
          <w:bottom w:w="28" w:type="dxa"/>
          <w:right w:w="28" w:type="dxa"/>
        </w:tblCellMar>
      </w:tblPr>
      <w:tblGrid>
        <w:gridCol w:w="1589"/>
        <w:gridCol w:w="1399"/>
        <w:gridCol w:w="1406"/>
        <w:gridCol w:w="165"/>
        <w:gridCol w:w="165"/>
        <w:gridCol w:w="166"/>
        <w:gridCol w:w="109"/>
        <w:gridCol w:w="109"/>
        <w:gridCol w:w="109"/>
        <w:gridCol w:w="310"/>
        <w:gridCol w:w="310"/>
        <w:gridCol w:w="311"/>
        <w:gridCol w:w="109"/>
        <w:gridCol w:w="109"/>
        <w:gridCol w:w="109"/>
        <w:gridCol w:w="488"/>
        <w:gridCol w:w="488"/>
        <w:gridCol w:w="388"/>
        <w:gridCol w:w="109"/>
        <w:gridCol w:w="109"/>
        <w:gridCol w:w="109"/>
        <w:gridCol w:w="154"/>
      </w:tblGrid>
      <w:tr>
        <w:trPr/>
        <w:tc>
          <w:tcPr>
            <w:tcW w:w="158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Turnover</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68,565,945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(35,449,720)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Gross profit</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33,116,225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Distribution costs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(2,782,028)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Administrative expenses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(33,270,765)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2,111,440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loss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Loss on ordinary activities before interest </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(825,128)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on sale of fixed assets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Interest receivable and similar income</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Interest payable</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2,751,620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Profit before tax</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1,926,492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on profit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Profit for the financial year</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1,676,682 </w:t>
            </w:r>
          </w:p>
        </w:tc>
        <w:tc>
          <w:tcPr>
            <w:tcW w:w="38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Other comprehensive income for the year</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Exchange losses on conversion of opening balances</w:t>
            </w:r>
            <w:r>
              <w:rPr>
                <w:color w:val="000000"/>
              </w:rPr>
              <w:t xml:space="preserve"> </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Total comprehensive income for the year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6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 xml:space="preserve">The notes on pages </w:t>
      </w:r>
      <w:hyperlink w:anchor="i287471ff9bc746149e99cbd7dba3fc6f_274">
        <w:r>
          <w:rPr>
            <w:rStyle w:val="InternetLink"/>
            <w:rFonts w:ascii="Times New Roman;serif" w:hAnsi="Times New Roman;serif"/>
            <w:b/>
            <w:strike w:val="false"/>
            <w:dstrike w:val="false"/>
            <w:color w:val="000000"/>
            <w:sz w:val="20"/>
            <w:u w:val="none"/>
            <w:effect w:val="none"/>
          </w:rPr>
          <w:t>8</w:t>
        </w:r>
      </w:hyperlink>
      <w:r>
        <w:rPr>
          <w:rFonts w:ascii="Times New Roman;serif" w:hAnsi="Times New Roman;serif"/>
          <w:b/>
          <w:color w:val="000000"/>
          <w:sz w:val="20"/>
        </w:rPr>
        <w:t xml:space="preserve"> to </w:t>
      </w:r>
      <w:hyperlink w:anchor="i287471ff9bc746149e99cbd7dba3fc6f_434">
        <w:r>
          <w:rPr>
            <w:rStyle w:val="InternetLink"/>
            <w:rFonts w:ascii="Times New Roman;serif" w:hAnsi="Times New Roman;serif"/>
            <w:b/>
            <w:strike w:val="false"/>
            <w:dstrike w:val="false"/>
            <w:color w:val="000000"/>
            <w:sz w:val="20"/>
            <w:u w:val="none"/>
            <w:effect w:val="none"/>
          </w:rPr>
          <w:t>26</w:t>
        </w:r>
      </w:hyperlink>
      <w:r>
        <w:rPr>
          <w:rFonts w:ascii="Times New Roman;serif" w:hAnsi="Times New Roman;serif"/>
          <w:b/>
          <w:color w:val="000000"/>
          <w:sz w:val="20"/>
        </w:rPr>
        <w:t xml:space="preserve"> comprise part of these financial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STATEMENT OF CHANGES IN EQUITY</w:t>
      </w:r>
    </w:p>
    <w:p>
      <w:pPr>
        <w:pStyle w:val="TextBody"/>
        <w:bidi w:val="0"/>
        <w:spacing w:lineRule="auto" w:line="556" w:before="0" w:after="0"/>
        <w:jc w:val="center"/>
        <w:rPr/>
      </w:pPr>
      <w:r>
        <w:rPr>
          <w:rFonts w:ascii="Times New Roman;serif" w:hAnsi="Times New Roman;serif"/>
          <w:b/>
          <w:color w:val="000000"/>
          <w:sz w:val="20"/>
        </w:rPr>
        <w:t>FOR THE YEAR ENDED 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SEPTEMBER 2025</w:t>
      </w:r>
    </w:p>
    <w:tbl>
      <w:tblPr>
        <w:tblW w:w="9960" w:type="dxa"/>
        <w:jc w:val="left"/>
        <w:tblInd w:w="0" w:type="dxa"/>
        <w:tblLayout w:type="fixed"/>
        <w:tblCellMar>
          <w:top w:w="28" w:type="dxa"/>
          <w:left w:w="28" w:type="dxa"/>
          <w:bottom w:w="28" w:type="dxa"/>
          <w:right w:w="28" w:type="dxa"/>
        </w:tblCellMar>
      </w:tblPr>
      <w:tblGrid>
        <w:gridCol w:w="1104"/>
        <w:gridCol w:w="969"/>
        <w:gridCol w:w="972"/>
        <w:gridCol w:w="424"/>
        <w:gridCol w:w="424"/>
        <w:gridCol w:w="426"/>
        <w:gridCol w:w="109"/>
        <w:gridCol w:w="109"/>
        <w:gridCol w:w="109"/>
        <w:gridCol w:w="375"/>
        <w:gridCol w:w="375"/>
        <w:gridCol w:w="376"/>
        <w:gridCol w:w="109"/>
        <w:gridCol w:w="109"/>
        <w:gridCol w:w="109"/>
        <w:gridCol w:w="109"/>
        <w:gridCol w:w="109"/>
        <w:gridCol w:w="709"/>
        <w:gridCol w:w="709"/>
        <w:gridCol w:w="712"/>
        <w:gridCol w:w="109"/>
        <w:gridCol w:w="109"/>
        <w:gridCol w:w="109"/>
        <w:gridCol w:w="346"/>
        <w:gridCol w:w="346"/>
        <w:gridCol w:w="494"/>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 Capital</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Capital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Redemption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Reserve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Profit and Loss Account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4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2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Balance as at 1</w:t>
            </w:r>
            <w:r>
              <w:rPr>
                <w:rFonts w:ascii="Times New Roman;serif" w:hAnsi="Times New Roman;serif"/>
                <w:b/>
                <w:color w:val="000000"/>
                <w:sz w:val="13"/>
              </w:rPr>
              <w:t>st</w:t>
            </w:r>
            <w:r>
              <w:rPr>
                <w:color w:val="000000"/>
              </w:rPr>
              <w:t xml:space="preserve"> </w:t>
            </w:r>
            <w:r>
              <w:rPr>
                <w:rFonts w:ascii="Times New Roman;serif" w:hAnsi="Times New Roman;serif"/>
                <w:b/>
                <w:color w:val="000000"/>
                <w:sz w:val="20"/>
              </w:rPr>
              <w:t xml:space="preserve">October 2024 </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101,800,502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101,801,502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Profit for the year </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1,676,682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(360,793)</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127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1,315,889</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2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Balance as at 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September 2025</w:t>
            </w:r>
          </w:p>
        </w:tc>
        <w:tc>
          <w:tcPr>
            <w:tcW w:w="127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102,666,391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102,667,391</w:t>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The notes on pages </w:t>
      </w:r>
      <w:hyperlink w:anchor="i287471ff9bc746149e99cbd7dba3fc6f_274">
        <w:r>
          <w:rPr>
            <w:rStyle w:val="InternetLink"/>
            <w:rFonts w:ascii="Times New Roman;serif" w:hAnsi="Times New Roman;serif"/>
            <w:b/>
            <w:strike w:val="false"/>
            <w:dstrike w:val="false"/>
            <w:color w:val="000000"/>
            <w:sz w:val="20"/>
            <w:u w:val="none"/>
            <w:effect w:val="none"/>
          </w:rPr>
          <w:t>8</w:t>
        </w:r>
      </w:hyperlink>
      <w:r>
        <w:rPr>
          <w:rFonts w:ascii="Times New Roman;serif" w:hAnsi="Times New Roman;serif"/>
          <w:b/>
          <w:color w:val="000000"/>
          <w:sz w:val="20"/>
        </w:rPr>
        <w:t xml:space="preserve"> to </w:t>
      </w:r>
      <w:hyperlink w:anchor="i287471ff9bc746149e99cbd7dba3fc6f_434">
        <w:r>
          <w:rPr>
            <w:rStyle w:val="InternetLink"/>
            <w:rFonts w:ascii="Times New Roman;serif" w:hAnsi="Times New Roman;serif"/>
            <w:b/>
            <w:strike w:val="false"/>
            <w:dstrike w:val="false"/>
            <w:color w:val="000000"/>
            <w:sz w:val="20"/>
            <w:u w:val="none"/>
            <w:effect w:val="none"/>
          </w:rPr>
          <w:t>26</w:t>
        </w:r>
      </w:hyperlink>
      <w:r>
        <w:rPr>
          <w:rFonts w:ascii="Times New Roman;serif" w:hAnsi="Times New Roman;serif"/>
          <w:b/>
          <w:color w:val="000000"/>
          <w:sz w:val="20"/>
        </w:rPr>
        <w:t xml:space="preserve"> comprise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CONSOLIDATED BALANCE SHEET AS AT 30TH SEPTEMBER 2025</w:t>
      </w:r>
    </w:p>
    <w:tbl>
      <w:tblPr>
        <w:tblW w:w="7707" w:type="dxa"/>
        <w:jc w:val="left"/>
        <w:tblInd w:w="0" w:type="dxa"/>
        <w:tblLayout w:type="fixed"/>
        <w:tblCellMar>
          <w:top w:w="28" w:type="dxa"/>
          <w:left w:w="28" w:type="dxa"/>
          <w:bottom w:w="28" w:type="dxa"/>
          <w:right w:w="28" w:type="dxa"/>
        </w:tblCellMar>
      </w:tblPr>
      <w:tblGrid>
        <w:gridCol w:w="1408"/>
        <w:gridCol w:w="1239"/>
        <w:gridCol w:w="1252"/>
        <w:gridCol w:w="165"/>
        <w:gridCol w:w="165"/>
        <w:gridCol w:w="166"/>
        <w:gridCol w:w="109"/>
        <w:gridCol w:w="109"/>
        <w:gridCol w:w="109"/>
        <w:gridCol w:w="345"/>
        <w:gridCol w:w="345"/>
        <w:gridCol w:w="346"/>
        <w:gridCol w:w="109"/>
        <w:gridCol w:w="109"/>
        <w:gridCol w:w="109"/>
        <w:gridCol w:w="378"/>
        <w:gridCol w:w="378"/>
        <w:gridCol w:w="385"/>
        <w:gridCol w:w="109"/>
        <w:gridCol w:w="109"/>
        <w:gridCol w:w="109"/>
        <w:gridCol w:w="154"/>
      </w:tblGrid>
      <w:tr>
        <w:trPr/>
        <w:tc>
          <w:tcPr>
            <w:tcW w:w="140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Fixed assets</w:t>
            </w:r>
          </w:p>
        </w:tc>
        <w:tc>
          <w:tcPr>
            <w:tcW w:w="49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Tangible assets    </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53,709,695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53,709,695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Current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Stock</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Debtors    </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15,829,384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at bank and in hand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29,646,547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63,254,541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Creditors: amounts falling due within one year</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current assets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53,065,138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Total assets less current liabilities</w:t>
            </w:r>
            <w:r>
              <w:rPr>
                <w:color w:val="000000"/>
              </w:rPr>
              <w:t>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106,774,833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 for liabilities and charges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4,107,442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102,667,391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Capital and reserves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Called up share capital</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Capital redemption reserve</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 and loss account</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102,666,391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Shareholders’ funds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102,667,391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 xml:space="preserve">The notes on pages </w:t>
      </w:r>
      <w:hyperlink w:anchor="i287471ff9bc746149e99cbd7dba3fc6f_274">
        <w:r>
          <w:rPr>
            <w:rStyle w:val="InternetLink"/>
            <w:rFonts w:ascii="Times New Roman;serif" w:hAnsi="Times New Roman;serif"/>
            <w:b/>
            <w:strike w:val="false"/>
            <w:dstrike w:val="false"/>
            <w:color w:val="000000"/>
            <w:sz w:val="20"/>
            <w:u w:val="none"/>
            <w:effect w:val="none"/>
          </w:rPr>
          <w:t>8</w:t>
        </w:r>
      </w:hyperlink>
      <w:r>
        <w:rPr>
          <w:rFonts w:ascii="Times New Roman;serif" w:hAnsi="Times New Roman;serif"/>
          <w:b/>
          <w:color w:val="000000"/>
          <w:sz w:val="20"/>
        </w:rPr>
        <w:t xml:space="preserve"> to 26 form an integral part of these financial statements.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were authorised for issue by the Board of Directors on July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CONSOLIDATED CASH FLOW STATEMENT</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before="0" w:after="0"/>
        <w:jc w:val="both"/>
        <w:rPr/>
      </w:pPr>
      <w:r>
        <w:rPr/>
      </w:r>
    </w:p>
    <w:tbl>
      <w:tblPr>
        <w:tblW w:w="6357" w:type="dxa"/>
        <w:jc w:val="left"/>
        <w:tblInd w:w="0" w:type="dxa"/>
        <w:tblLayout w:type="fixed"/>
        <w:tblCellMar>
          <w:top w:w="28" w:type="dxa"/>
          <w:left w:w="28" w:type="dxa"/>
          <w:bottom w:w="28" w:type="dxa"/>
          <w:right w:w="28" w:type="dxa"/>
        </w:tblCellMar>
      </w:tblPr>
      <w:tblGrid>
        <w:gridCol w:w="728"/>
        <w:gridCol w:w="642"/>
        <w:gridCol w:w="642"/>
        <w:gridCol w:w="642"/>
        <w:gridCol w:w="642"/>
        <w:gridCol w:w="646"/>
        <w:gridCol w:w="165"/>
        <w:gridCol w:w="165"/>
        <w:gridCol w:w="166"/>
        <w:gridCol w:w="109"/>
        <w:gridCol w:w="109"/>
        <w:gridCol w:w="109"/>
        <w:gridCol w:w="488"/>
        <w:gridCol w:w="488"/>
        <w:gridCol w:w="353"/>
        <w:gridCol w:w="109"/>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Note</w:t>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496"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 for the financial year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1,676,682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Adjustments for:</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of tangible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 on sales of fixed assets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(2,123,156)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Amortisation and impairment of intangibles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431,683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impairment provision</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40,858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(683,695)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Decrease in stocks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1,919,685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in debtors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(1,749,737)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Increase in creditors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taxes recovered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2,354,544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generated from operating activities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97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6,042,578 </w:t>
            </w:r>
          </w:p>
        </w:tc>
        <w:tc>
          <w:tcPr>
            <w:tcW w:w="35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Proceeds from sale of tangible assets        </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Purchase of tangible assets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2" w:type="dxa"/>
            <w:gridSpan w:val="3"/>
            <w:tcBorders/>
            <w:vAlign w:val="center"/>
          </w:tcPr>
          <w:p>
            <w:pPr>
              <w:pStyle w:val="TableContents"/>
              <w:bidi w:val="0"/>
              <w:spacing w:before="0" w:after="283"/>
              <w:jc w:val="left"/>
              <w:rPr>
                <w:sz w:val="4"/>
                <w:szCs w:val="4"/>
              </w:rPr>
            </w:pPr>
            <w:r>
              <w:rPr>
                <w:sz w:val="4"/>
                <w:szCs w:val="4"/>
              </w:rPr>
            </w:r>
          </w:p>
        </w:tc>
        <w:tc>
          <w:tcPr>
            <w:tcW w:w="1930"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received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670,164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cash generated from investing activities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2,624,263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Equity dividends paid</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cash used in financing activities    </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(491,700)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8,175,141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year</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21,471,406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2"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and cash equivalents at end of year</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3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29,646,547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1</w:t>
      </w:r>
      <w:r>
        <w:rPr>
          <w:rFonts w:ascii="Times New Roman;serif" w:hAnsi="Times New Roman;serif"/>
          <w:b/>
          <w:color w:val="000000"/>
          <w:sz w:val="20"/>
          <w:u w:val="single"/>
        </w:rPr>
        <w:t xml:space="preserve">General Information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Owen Mumford Holdings Limited (‘the Company’) is a limited company incorporated in the United Kingdom. The address of the registered office is:</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Primsdown Industrial Estate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Worcester Road </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Chipping Norton</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Oxfordshire OX7 5XP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activity of the Company throughout the period was that of the design, manufacture and sale of medical devices and associated services.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financial statements are prepared in pounds sterling as this is the primary currency in which the Company reports.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color w:val="000000"/>
          <w:sz w:val="20"/>
        </w:rPr>
        <w:t>2</w:t>
      </w:r>
      <w:r>
        <w:rPr>
          <w:rFonts w:ascii="Times New Roman;serif" w:hAnsi="Times New Roman;serif"/>
          <w:b/>
          <w:color w:val="000000"/>
          <w:sz w:val="20"/>
        </w:rPr>
        <w:t>Purpose of these financial statements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the Company have been prepared with the purpose of providing financial information to Embecta Corporation (“Embecta”), which acquired the Company effective 15 May 2026, to assist it in satisfying Embecta’s reporting responsibilities under Rule 3-05 of the Security Exchange Commission Regulation S-X.</w:t>
      </w:r>
    </w:p>
    <w:p>
      <w:pPr>
        <w:pStyle w:val="TextBody"/>
        <w:bidi w:val="0"/>
        <w:spacing w:before="0" w:after="0"/>
        <w:ind w:left="0" w:right="0" w:hanging="360"/>
        <w:jc w:val="both"/>
        <w:rPr/>
      </w:pPr>
      <w:r>
        <w:rPr/>
      </w:r>
    </w:p>
    <w:p>
      <w:pPr>
        <w:pStyle w:val="TextBody"/>
        <w:bidi w:val="0"/>
        <w:spacing w:lineRule="auto" w:line="288" w:before="0" w:after="0"/>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a.</w:t>
      </w:r>
      <w:r>
        <w:rPr>
          <w:rFonts w:ascii="Times New Roman;serif" w:hAnsi="Times New Roman;serif"/>
          <w:b/>
          <w:color w:val="000000"/>
          <w:sz w:val="20"/>
        </w:rPr>
        <w:t>Basis of preparation</w:t>
      </w:r>
    </w:p>
    <w:p>
      <w:pPr>
        <w:pStyle w:val="TextBody"/>
        <w:bidi w:val="0"/>
        <w:spacing w:lineRule="auto" w:line="288" w:before="0" w:after="0"/>
        <w:jc w:val="both"/>
        <w:rPr/>
      </w:pPr>
      <w:r>
        <w:rPr>
          <w:rFonts w:ascii="Times New Roman;serif" w:hAnsi="Times New Roman;serif"/>
          <w:b w:val="false"/>
          <w:color w:val="000000"/>
          <w:sz w:val="20"/>
        </w:rPr>
        <w:t xml:space="preserve">These financial statements have been prepared under the historical cost convention, as modified by the revaluation of investment property assets, in accordance with the accounting policies set out below, Financial Reporting Standard 102 - </w:t>
      </w:r>
      <w:r>
        <w:rPr>
          <w:rFonts w:ascii="Times New Roman;serif" w:hAnsi="Times New Roman;serif"/>
          <w:b w:val="false"/>
          <w:i/>
          <w:color w:val="000000"/>
          <w:sz w:val="20"/>
        </w:rPr>
        <w:t>The Financial Reporting Standard applicable in the UK and Republic of Ireland (“FRS” or “FRS 102”)</w:t>
      </w:r>
      <w:r>
        <w:rPr>
          <w:rFonts w:ascii="Times New Roman;serif" w:hAnsi="Times New Roman;serif"/>
          <w:b w:val="false"/>
          <w:color w:val="000000"/>
          <w:sz w:val="20"/>
        </w:rPr>
        <w:t>. These consolidated financial statements of Owen Mumford Holdings Limited are presented solely to comply with Rule 3-05 of Regulation S-X and do not include comparative financial information as required by FRS.</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color w:val="000000"/>
          <w:sz w:val="20"/>
        </w:rPr>
        <w:t>b.</w:t>
      </w:r>
      <w:r>
        <w:rPr>
          <w:rFonts w:ascii="Times New Roman;serif" w:hAnsi="Times New Roman;serif"/>
          <w:b/>
          <w:color w:val="000000"/>
          <w:sz w:val="20"/>
        </w:rPr>
        <w:t>Going concern</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have been prepared on a going concern basis.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current economic conditions present increased risks for all businesses. In response to such conditions, the directors have carefully considered these risks, including an assessment of uncertainty on future trading projections for a period of at least 12 months from date that the financial statements are available to be issued, and the extent to which they might affect the preparation of the financial statements on a going concern basis.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directors consider that the going concern basis is appropriate to the presentation of the financial statements.</w:t>
      </w:r>
    </w:p>
    <w:p>
      <w:pPr>
        <w:pStyle w:val="TextBody"/>
        <w:bidi w:val="0"/>
        <w:spacing w:before="0" w:after="0"/>
        <w:ind w:left="0" w:right="0" w:hanging="1440"/>
        <w:jc w:val="both"/>
        <w:rPr/>
      </w:pPr>
      <w:r>
        <w:rPr/>
      </w:r>
    </w:p>
    <w:p>
      <w:pPr>
        <w:pStyle w:val="TextBody"/>
        <w:bidi w:val="0"/>
        <w:spacing w:lineRule="auto" w:line="288" w:before="0" w:after="0"/>
        <w:jc w:val="both"/>
        <w:rPr/>
      </w:pPr>
      <w:r>
        <w:rPr>
          <w:rFonts w:ascii="Times New Roman;serif" w:hAnsi="Times New Roman;serif"/>
          <w:b/>
          <w:color w:val="000000"/>
          <w:sz w:val="20"/>
        </w:rPr>
        <w:t>c.</w:t>
      </w:r>
      <w:r>
        <w:rPr>
          <w:rFonts w:ascii="Times New Roman;serif" w:hAnsi="Times New Roman;serif"/>
          <w:b/>
          <w:color w:val="000000"/>
          <w:sz w:val="20"/>
        </w:rPr>
        <w:t>Revenue recognition</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(a)Sale of goods</w:t>
      </w:r>
    </w:p>
    <w:p>
      <w:pPr>
        <w:pStyle w:val="TextBody"/>
        <w:bidi w:val="0"/>
        <w:spacing w:lineRule="auto" w:line="288" w:before="0" w:after="120"/>
        <w:ind w:left="0" w:right="0" w:hanging="284"/>
        <w:jc w:val="both"/>
        <w:rPr>
          <w:color w:val="000000"/>
        </w:rPr>
      </w:pPr>
      <w:r>
        <w:rPr>
          <w:color w:val="000000"/>
        </w:rPr>
        <w:t>    </w:t>
      </w:r>
      <w:r>
        <w:rPr>
          <w:rFonts w:ascii="Times New Roman;serif" w:hAnsi="Times New Roman;serif"/>
          <w:b w:val="false"/>
          <w:color w:val="000000"/>
          <w:sz w:val="20"/>
        </w:rPr>
        <w:t>Revenue from the sale of goods is recognised when all the following conditions are satisfied: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Company has transferred to the buyer the significant risks and rewards of ownership of the goods;</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Company retains neither continuing managerial involvement to the degree usually associated with ownership nor effective control over the goods sold;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amount of revenue can be measured reliably;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it is probable that the economic benefits associated with the transaction will flow to the Company; and</w:t>
      </w:r>
    </w:p>
    <w:p>
      <w:pPr>
        <w:pStyle w:val="TextBody"/>
        <w:bidi w:val="0"/>
        <w:spacing w:lineRule="auto" w:line="288" w:before="0" w:after="120"/>
        <w:jc w:val="both"/>
        <w:rPr/>
      </w:pPr>
      <w:r>
        <w:rPr>
          <w:color w:val="000000"/>
        </w:rPr>
        <w:t>•</w:t>
      </w:r>
      <w:r>
        <w:rPr>
          <w:rFonts w:ascii="Times New Roman;serif" w:hAnsi="Times New Roman;serif"/>
          <w:b w:val="false"/>
          <w:color w:val="000000"/>
          <w:sz w:val="20"/>
        </w:rPr>
        <w:t>the costs incurred or to be incurred in respect of the transaction can be measured reliably.</w:t>
      </w:r>
    </w:p>
    <w:p>
      <w:pPr>
        <w:pStyle w:val="TextBody"/>
        <w:bidi w:val="0"/>
        <w:spacing w:lineRule="auto" w:line="288" w:before="0" w:after="0"/>
        <w:ind w:left="0" w:right="0" w:hanging="284"/>
        <w:jc w:val="both"/>
        <w:rPr>
          <w:color w:val="000000"/>
        </w:rPr>
      </w:pPr>
      <w:r>
        <w:rPr>
          <w:color w:val="000000"/>
        </w:rPr>
        <w:t>    </w:t>
      </w:r>
      <w:r>
        <w:rPr>
          <w:rFonts w:ascii="Times New Roman;serif" w:hAnsi="Times New Roman;serif"/>
          <w:b w:val="false"/>
          <w:color w:val="000000"/>
          <w:sz w:val="20"/>
        </w:rPr>
        <w:t xml:space="preserve">Revenue is therefore recognised when the customer accepts delivery of the product and when legal title is passed. </w:t>
      </w:r>
    </w:p>
    <w:p>
      <w:pPr>
        <w:pStyle w:val="TextBody"/>
        <w:bidi w:val="0"/>
        <w:spacing w:lineRule="auto" w:line="288"/>
        <w:ind w:left="0" w:right="0" w:firstLine="720"/>
        <w:jc w:val="both"/>
        <w:rPr>
          <w:color w:val="000000"/>
        </w:rPr>
      </w:pPr>
      <w:r>
        <w:rPr>
          <w:color w:val="000000"/>
        </w:rPr>
        <w:t xml:space="preserve">                                                 </w:t>
      </w: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 cont’d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c.</w:t>
      </w:r>
      <w:r>
        <w:rPr>
          <w:rFonts w:ascii="Times New Roman;serif" w:hAnsi="Times New Roman;serif"/>
          <w:b/>
          <w:color w:val="000000"/>
          <w:sz w:val="20"/>
        </w:rPr>
        <w:t>Revenue recognition cont’d</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(a)Rendering of services</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When the outcome of a transaction involving the rendering of services can be estimated reliably the Company recognises revenue associated with the transaction by reference to the stage of completion of the transaction at the end of the reporting period. The outcome of a transaction can be estimated reliably when all the following conditions are satisfied: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amount of revenue can be measured reliably;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it is probable that the economic benefits associated with the transaction will flow to the entity;</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stage of completion of the transaction at the end of the reporting period can be measured reliably; and</w:t>
      </w:r>
    </w:p>
    <w:p>
      <w:pPr>
        <w:pStyle w:val="TextBody"/>
        <w:bidi w:val="0"/>
        <w:spacing w:lineRule="auto" w:line="288" w:before="0" w:after="0"/>
        <w:jc w:val="both"/>
        <w:rPr/>
      </w:pPr>
      <w:r>
        <w:rPr>
          <w:color w:val="000000"/>
        </w:rPr>
        <w:t>•</w:t>
      </w:r>
      <w:r>
        <w:rPr>
          <w:rFonts w:ascii="Times New Roman;serif" w:hAnsi="Times New Roman;serif"/>
          <w:b w:val="false"/>
          <w:color w:val="000000"/>
          <w:sz w:val="20"/>
        </w:rPr>
        <w:t>the costs incurred for the transaction and the costs to complete the transaction can be measured reliably.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Revenue for support services is therefore recognised proportionally over the performance of the service contract.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(b)Royalty and similar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Royalties and similar income are recognised when the rights to receive the income from the underlying licences and agreements have been established.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(c)Interest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income is recognised as interest accrues using the effective interest rate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(d)Dividend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 income receivable is recognised when the rights to receive the distributions have been established.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(e)Rental Income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Operating lease income from investment properties is recognised in profit and loss on a straight line basis over the lease term.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d.</w:t>
      </w:r>
      <w:r>
        <w:rPr>
          <w:rFonts w:ascii="Times New Roman;serif" w:hAnsi="Times New Roman;serif"/>
          <w:b/>
          <w:color w:val="000000"/>
          <w:sz w:val="20"/>
        </w:rPr>
        <w:t>Taxation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Tax expense for the period comprises current and deferred tax. Tax currently payable, relating to UK corporation tax, or the overseas equivalent, is calculated on the basis of the tax rates and laws that have been enacted or substantively enacted as at the reporting date.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Deferred tax is recognised on all timing differences that have originated but not reversed at the reporting date. Transactions or events that result in an obligation to pay more tax in the future, or a right to pay less tax in the future, give rise to a deferred tax liability or asset. Timing differences are differences between taxable profits and total comprehensive income as stated in the financial statements that arise from the inclusion of income and expenses in tax assessments in periods different from those in which they are recognised in the financial statements.</w:t>
      </w:r>
    </w:p>
    <w:p>
      <w:pPr>
        <w:pStyle w:val="TextBody"/>
        <w:bidi w:val="0"/>
        <w:spacing w:lineRule="auto" w:line="288" w:before="120" w:after="60"/>
        <w:jc w:val="both"/>
        <w:rPr>
          <w:rFonts w:ascii="Times New Roman;serif" w:hAnsi="Times New Roman;serif"/>
          <w:b w:val="false"/>
          <w:color w:val="000000"/>
          <w:sz w:val="20"/>
        </w:rPr>
      </w:pPr>
      <w:r>
        <w:rPr>
          <w:rFonts w:ascii="Times New Roman;serif" w:hAnsi="Times New Roman;serif"/>
          <w:b w:val="false"/>
          <w:color w:val="000000"/>
          <w:sz w:val="20"/>
        </w:rPr>
        <w:t>Deferred tax is measured using the tax rates and laws that have been enacted or substantively enacted as at the reporting date that are expected to apply to the reversal of the timing difference. The tax expense is recognised in the same component of comprehensive income or equity as the transaction or other event that resulted in the tax expense.</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 cont’d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e.</w:t>
      </w:r>
      <w:r>
        <w:rPr>
          <w:rFonts w:ascii="Times New Roman;serif" w:hAnsi="Times New Roman;serif"/>
          <w:b/>
          <w:color w:val="000000"/>
          <w:sz w:val="20"/>
        </w:rPr>
        <w:t>Foreign currencies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currency transactions are translated into Pounds Sterling using the exchange rate prevailing at the date the transactions took place. Where this is not possible to determine, income and expense items are translated using an average exchange rate for the period.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Monetary assets and liabilities denominated in foreign currencies at the reporting date are reported at the rates of exchange prevailing at that date. Foreign exchange gains and losses resulting from the settlement of such transactions and from the translation at the reporting date of monetary assets and liabilities are reported in profit and loss.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f.</w:t>
      </w:r>
      <w:r>
        <w:rPr>
          <w:rFonts w:ascii="Times New Roman;serif" w:hAnsi="Times New Roman;serif"/>
          <w:b/>
          <w:color w:val="000000"/>
          <w:sz w:val="20"/>
        </w:rPr>
        <w:t xml:space="preserve">Tangible Assets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Tangible fixed assets, other than investment properties, are measured at cost less accumulated depreciation and any accumulated impairment losses.</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Depreciation is provided on assets to write off their costs over their estimated useful lives. The rates and bases currently used are as follows:        </w:t>
      </w:r>
    </w:p>
    <w:p>
      <w:pPr>
        <w:pStyle w:val="TextBody"/>
        <w:bidi w:val="0"/>
        <w:spacing w:before="0" w:after="0"/>
        <w:ind w:left="0" w:right="0" w:hanging="720"/>
        <w:jc w:val="both"/>
        <w:rPr/>
      </w:pPr>
      <w:r>
        <w:rPr/>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04"/>
        <w:gridCol w:w="771"/>
        <w:gridCol w:w="772"/>
        <w:gridCol w:w="109"/>
        <w:gridCol w:w="109"/>
        <w:gridCol w:w="109"/>
        <w:gridCol w:w="2204"/>
        <w:gridCol w:w="2184"/>
        <w:gridCol w:w="3043"/>
      </w:tblGrid>
      <w:tr>
        <w:trPr/>
        <w:tc>
          <w:tcPr>
            <w:tcW w:w="90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2184" w:type="dxa"/>
            <w:tcBorders/>
            <w:vAlign w:val="center"/>
          </w:tcPr>
          <w:p>
            <w:pPr>
              <w:pStyle w:val="TableContents"/>
              <w:bidi w:val="0"/>
              <w:spacing w:before="0" w:after="283"/>
              <w:jc w:val="left"/>
              <w:rPr>
                <w:sz w:val="4"/>
                <w:szCs w:val="4"/>
              </w:rPr>
            </w:pPr>
            <w:r>
              <w:rPr>
                <w:sz w:val="4"/>
                <w:szCs w:val="4"/>
              </w:rPr>
            </w:r>
          </w:p>
        </w:tc>
        <w:tc>
          <w:tcPr>
            <w:tcW w:w="3043" w:type="dxa"/>
            <w:tcBorders/>
            <w:vAlign w:val="center"/>
          </w:tcPr>
          <w:p>
            <w:pPr>
              <w:pStyle w:val="TableContents"/>
              <w:bidi w:val="0"/>
              <w:spacing w:before="0" w:after="283"/>
              <w:jc w:val="left"/>
              <w:rPr>
                <w:sz w:val="4"/>
                <w:szCs w:val="4"/>
              </w:rPr>
            </w:pPr>
            <w:r>
              <w:rPr>
                <w:sz w:val="4"/>
                <w:szCs w:val="4"/>
              </w:rPr>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Investment properties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Carried at fair value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Freehold land</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depreciated</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Freehold buildings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or 2.5% on cost, depending upon worldwide location and environment, from date asset brought into use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Short leasehold property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Depreciated over the term of the lease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25% per annum, reducing balance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Plant, machinery and equipment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15% per annum, reducing balance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Office equipment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15% per annum, reducing balance</w:t>
            </w:r>
          </w:p>
        </w:tc>
      </w:tr>
      <w:tr>
        <w:trPr/>
        <w:tc>
          <w:tcPr>
            <w:tcW w:w="244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t>
            </w:r>
          </w:p>
        </w:tc>
        <w:tc>
          <w:tcPr>
            <w:tcW w:w="7431"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33 1/3% per annum, reducing balance</w:t>
            </w:r>
          </w:p>
        </w:tc>
      </w:tr>
    </w:tbl>
    <w:p>
      <w:pPr>
        <w:pStyle w:val="TextBody"/>
        <w:bidi w:val="0"/>
        <w:spacing w:before="0" w:after="0"/>
        <w:ind w:left="0" w:right="0" w:hanging="1440"/>
        <w:jc w:val="both"/>
        <w:rPr/>
      </w:pPr>
      <w:r>
        <w:rPr/>
      </w:r>
    </w:p>
    <w:p>
      <w:pPr>
        <w:pStyle w:val="TextBody"/>
        <w:bidi w:val="0"/>
        <w:spacing w:lineRule="auto" w:line="288" w:before="0" w:after="0"/>
        <w:jc w:val="both"/>
        <w:rPr/>
      </w:pPr>
      <w:r>
        <w:rPr>
          <w:rFonts w:ascii="Times New Roman;serif" w:hAnsi="Times New Roman;serif"/>
          <w:b/>
          <w:color w:val="000000"/>
          <w:sz w:val="20"/>
        </w:rPr>
        <w:t>g.</w:t>
      </w:r>
      <w:r>
        <w:rPr>
          <w:rFonts w:ascii="Times New Roman;serif" w:hAnsi="Times New Roman;serif"/>
          <w:b/>
          <w:color w:val="000000"/>
          <w:sz w:val="20"/>
        </w:rPr>
        <w:t>Investment properties</w:t>
      </w:r>
    </w:p>
    <w:p>
      <w:pPr>
        <w:pStyle w:val="TextBody"/>
        <w:bidi w:val="0"/>
        <w:spacing w:lineRule="auto" w:line="300" w:before="120" w:after="160"/>
        <w:jc w:val="both"/>
        <w:rPr>
          <w:rFonts w:ascii="Times New Roman;serif" w:hAnsi="Times New Roman;serif"/>
          <w:b w:val="false"/>
          <w:color w:val="000000"/>
          <w:sz w:val="20"/>
        </w:rPr>
      </w:pPr>
      <w:r>
        <w:rPr>
          <w:rFonts w:ascii="Times New Roman;serif" w:hAnsi="Times New Roman;serif"/>
          <w:b w:val="false"/>
          <w:color w:val="000000"/>
          <w:sz w:val="20"/>
        </w:rPr>
        <w:t>Certain of the Company’s properties are held for long term investment and are included in the Balance Sheet at their fair values, in accordance with FRS 102. The Company utilizes market rates to determine fair value and did not use an independent appraiser to assess the fair value as of the balance sheet date. Accordingly, no depreciation is provided in respect of either freehold or long leasehold (i.e. unexpired leases over 20 years) investment properties.</w:t>
      </w:r>
    </w:p>
    <w:p>
      <w:pPr>
        <w:pStyle w:val="TextBody"/>
        <w:bidi w:val="0"/>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180" w:after="283"/>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 cont’d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i.</w:t>
      </w:r>
      <w:r>
        <w:rPr>
          <w:rFonts w:ascii="Times New Roman;serif" w:hAnsi="Times New Roman;serif"/>
          <w:b/>
          <w:color w:val="000000"/>
          <w:sz w:val="20"/>
        </w:rPr>
        <w:t>Impairment of Assets</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20"/>
        </w:rPr>
        <w:t>At each reporting date the Company reviews the carrying value of its assets to determine whether there is any indication that those assets have suffered an impairment loss. If any such indication exists, the recoverable amount of the asset is estimated in order to determine the extent of the impairment loss.</w:t>
      </w:r>
    </w:p>
    <w:p>
      <w:pPr>
        <w:pStyle w:val="TextBody"/>
        <w:bidi w:val="0"/>
        <w:spacing w:before="0" w:after="0"/>
        <w:ind w:left="0" w:right="0" w:hanging="11"/>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The recoverable amount of an asset is the higher of fair value less costs to sell, and value in use. Value in use is the present value of the future cash flow expected to be derived from the asset, or cash generating unit. The present value calculation involves estimating the future cash inflows and outflows to be derived from continuing use of the asset, and from its ultimate disposal, applying an appropriate discount rate to those future cash flows.</w:t>
      </w:r>
    </w:p>
    <w:p>
      <w:pPr>
        <w:pStyle w:val="TextBody"/>
        <w:bidi w:val="0"/>
        <w:spacing w:before="0" w:after="0"/>
        <w:ind w:left="0" w:right="0" w:hanging="11"/>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Where the recoverable amount of an asset is less than the carrying amount, an impairment loss is recognised immediately in profit or loss. An impairment loss recognised for all assets is reversed in a subsequent period if, and only if, the reasons for the impairment loss have ceased to apply. Impairment losses are charged to profit or loss in administrative expenses.</w:t>
      </w:r>
    </w:p>
    <w:p>
      <w:pPr>
        <w:pStyle w:val="TextBody"/>
        <w:bidi w:val="0"/>
        <w:spacing w:before="0" w:after="0"/>
        <w:ind w:left="0" w:right="0" w:hanging="11"/>
        <w:jc w:val="both"/>
        <w:rPr/>
      </w:pPr>
      <w:r>
        <w:rPr/>
      </w:r>
    </w:p>
    <w:p>
      <w:pPr>
        <w:pStyle w:val="TextBody"/>
        <w:bidi w:val="0"/>
        <w:spacing w:lineRule="auto" w:line="288" w:before="0" w:after="0"/>
        <w:jc w:val="both"/>
        <w:rPr/>
      </w:pPr>
      <w:r>
        <w:rPr>
          <w:rFonts w:ascii="Times New Roman;serif" w:hAnsi="Times New Roman;serif"/>
          <w:b/>
          <w:color w:val="000000"/>
          <w:sz w:val="20"/>
        </w:rPr>
        <w:t>j.</w:t>
      </w:r>
      <w:r>
        <w:rPr>
          <w:rFonts w:ascii="Times New Roman;serif" w:hAnsi="Times New Roman;serif"/>
          <w:b/>
          <w:color w:val="000000"/>
          <w:sz w:val="20"/>
        </w:rPr>
        <w:t>Impairment of financial instruments measured at cost or amortised cost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Recognition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the Company shall assess whether there is objective evidence of impairment of any financial assets that are measured at cost or amortised cost. If there is objective evidence of impairment, the same shall be recognised as an impairment loss in profit or loss immediately.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Objective evidence that a financial asset or group of assets is impaired includes observable data that come to the attention of the holder of the asset about the following loss events:</w:t>
      </w:r>
    </w:p>
    <w:p>
      <w:pPr>
        <w:pStyle w:val="TextBody"/>
        <w:bidi w:val="0"/>
        <w:spacing w:lineRule="auto" w:line="417" w:before="120" w:after="283"/>
        <w:jc w:val="both"/>
        <w:rPr>
          <w:rFonts w:ascii="Times New Roman;serif" w:hAnsi="Times New Roman;serif"/>
          <w:b w:val="false"/>
          <w:color w:val="000000"/>
          <w:sz w:val="20"/>
        </w:rPr>
      </w:pPr>
      <w:r>
        <w:rPr>
          <w:rFonts w:ascii="Times New Roman;serif" w:hAnsi="Times New Roman;serif"/>
          <w:b w:val="false"/>
          <w:color w:val="000000"/>
          <w:sz w:val="20"/>
        </w:rPr>
        <w:t>a.significant financial difficulty of the issuer or obligor;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 breach of contract, such as a default or delinquency in interest or principal payments;</w:t>
      </w:r>
    </w:p>
    <w:p>
      <w:pPr>
        <w:pStyle w:val="TextBody"/>
        <w:bidi w:val="0"/>
        <w:spacing w:lineRule="auto" w:line="288" w:before="60" w:after="60"/>
        <w:jc w:val="both"/>
        <w:rPr>
          <w:rFonts w:ascii="Times New Roman;serif" w:hAnsi="Times New Roman;serif"/>
          <w:b w:val="false"/>
          <w:color w:val="000000"/>
          <w:sz w:val="20"/>
        </w:rPr>
      </w:pPr>
      <w:r>
        <w:rPr>
          <w:rFonts w:ascii="Times New Roman;serif" w:hAnsi="Times New Roman;serif"/>
          <w:b w:val="false"/>
          <w:color w:val="000000"/>
          <w:sz w:val="20"/>
        </w:rPr>
        <w:t>c.the creditor, for economic or legal reasons relating to the debtor’s financial difficulty, granting to the debtor a concession that the creditor would not otherwise consider;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d.it has become probable that the debtor will enter bankruptcy or other financial reorganisation; and</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e.observable data indicating that there has been a measurable decrease in the estimated future cash flows from a group of financial assets since the initial recognition of those assets, even though the decrease cannot yet be identified with the individual financial assets in the group, such as adverse national or local economic conditions or adverse changes in industry conditions.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factors may also be evidence of impairment, including significant changes with an adverse effect that have taken place in the technological, market, economic or legal environment in which the issuer operates.</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There is also an assessment for following financial assets individually for impairment:</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a.all equity instruments regardless of significance; and</w:t>
      </w:r>
    </w:p>
    <w:p>
      <w:pPr>
        <w:pStyle w:val="TextBody"/>
        <w:bidi w:val="0"/>
        <w:spacing w:lineRule="auto" w:line="417" w:before="0" w:after="0"/>
        <w:jc w:val="both"/>
        <w:rPr>
          <w:rFonts w:ascii="Times New Roman;serif" w:hAnsi="Times New Roman;serif"/>
          <w:b w:val="false"/>
          <w:color w:val="000000"/>
          <w:sz w:val="20"/>
        </w:rPr>
      </w:pPr>
      <w:r>
        <w:rPr>
          <w:rFonts w:ascii="Times New Roman;serif" w:hAnsi="Times New Roman;serif"/>
          <w:b w:val="false"/>
          <w:color w:val="000000"/>
          <w:sz w:val="20"/>
        </w:rPr>
        <w:t>b.other financial assets that are individually significant.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assesses other financial assets for impairment either individually or grouped on the basis of similar credit risk characteristics</w:t>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spacing w:before="0" w:after="0"/>
        <w:ind w:left="0" w:right="0" w:hanging="11"/>
        <w:jc w:val="both"/>
        <w:rPr/>
      </w:pPr>
      <w:r>
        <w:rPr/>
      </w:r>
    </w:p>
    <w:p>
      <w:pPr>
        <w:pStyle w:val="TextBody"/>
        <w:bidi w:val="0"/>
        <w:ind w:left="0" w:right="0" w:hanging="11"/>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180" w:after="283"/>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60" w:after="283"/>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 cont’d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k.</w:t>
      </w:r>
      <w:r>
        <w:rPr>
          <w:rFonts w:ascii="Times New Roman;serif" w:hAnsi="Times New Roman;serif"/>
          <w:b/>
          <w:color w:val="000000"/>
          <w:sz w:val="20"/>
        </w:rPr>
        <w:t>Stocks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Stocks and work in progress are valued at the lower of cost and net realisable value, after making due allowance for slow-moving stocks. Cost includes a proportion of relevant production overheads as applicable.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l.</w:t>
      </w:r>
      <w:r>
        <w:rPr>
          <w:rFonts w:ascii="Times New Roman;serif" w:hAnsi="Times New Roman;serif"/>
          <w:b/>
          <w:color w:val="000000"/>
          <w:sz w:val="20"/>
        </w:rPr>
        <w:t>Finance and operating leases</w:t>
      </w:r>
    </w:p>
    <w:p>
      <w:pPr>
        <w:pStyle w:val="TextBody"/>
        <w:bidi w:val="0"/>
        <w:spacing w:lineRule="auto" w:line="288" w:before="120" w:after="283"/>
        <w:jc w:val="both"/>
        <w:rPr>
          <w:color w:val="000000"/>
        </w:rPr>
      </w:pPr>
      <w:r>
        <w:rPr>
          <w:color w:val="000000"/>
        </w:rPr>
        <w:t>    </w:t>
      </w:r>
      <w:r>
        <w:rPr>
          <w:rFonts w:ascii="Times New Roman;serif" w:hAnsi="Times New Roman;serif"/>
          <w:b w:val="false"/>
          <w:color w:val="000000"/>
          <w:sz w:val="20"/>
        </w:rPr>
        <w:t>Leases are classified as finance leases whenever the terms of the lease transfer substantially all the risks and rewards of ownership of the leased asset to the Company. All other leases are classified as operating leases.</w:t>
      </w:r>
    </w:p>
    <w:p>
      <w:pPr>
        <w:pStyle w:val="TextBody"/>
        <w:bidi w:val="0"/>
        <w:spacing w:before="0" w:after="0"/>
        <w:ind w:left="0" w:right="0" w:hanging="11"/>
        <w:jc w:val="both"/>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Where the Company enters into a lease which entails taking substantially all the risks and rewards of ownership of an asset, the asset is recorded in the balance sheet as a tangible fixed asset and is depreciated over its estimated useful life. Future instalments under such leases, net of finance charges, are included within creditors. Rentals payable are apportioned between the finance element, which is charged to the profit and loss account, and the capital element, which reduces the outstanding obligation for future instalments.</w:t>
      </w:r>
    </w:p>
    <w:p>
      <w:pPr>
        <w:pStyle w:val="TextBody"/>
        <w:bidi w:val="0"/>
        <w:spacing w:before="0" w:after="0"/>
        <w:ind w:left="0" w:right="0" w:hanging="11"/>
        <w:jc w:val="both"/>
        <w:rPr/>
      </w:pPr>
      <w:r>
        <w:rPr/>
      </w:r>
    </w:p>
    <w:p>
      <w:pPr>
        <w:pStyle w:val="TextBody"/>
        <w:bidi w:val="0"/>
        <w:spacing w:lineRule="auto" w:line="288" w:before="0" w:after="0"/>
        <w:ind w:left="0" w:right="0" w:hanging="11"/>
        <w:jc w:val="both"/>
        <w:rPr>
          <w:rFonts w:ascii="Times New Roman;serif" w:hAnsi="Times New Roman;serif"/>
          <w:b w:val="false"/>
          <w:color w:val="000000"/>
          <w:sz w:val="20"/>
        </w:rPr>
      </w:pPr>
      <w:r>
        <w:rPr>
          <w:rFonts w:ascii="Times New Roman;serif" w:hAnsi="Times New Roman;serif"/>
          <w:b w:val="false"/>
          <w:color w:val="000000"/>
          <w:sz w:val="20"/>
        </w:rPr>
        <w:t>All other leases are accounted for as ‘operating leases’, and the rental charges are charged to the profit and loss account on a straight line basis over the life of the lease.</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m.</w:t>
      </w:r>
      <w:r>
        <w:rPr>
          <w:rFonts w:ascii="Times New Roman;serif" w:hAnsi="Times New Roman;serif"/>
          <w:b/>
          <w:color w:val="000000"/>
          <w:sz w:val="20"/>
        </w:rPr>
        <w:t>Provisions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Provisions are recognised when there is a present obligation (legal or constructive) as a result of a past event, it is probable that the obligation will be required to be settled, and a reliable estimate can be made of the amount of the obligation. The amount recognised as a provision is the best estimate of the consideration required to settle the present obligation at the end of the reporting period, taking into account the risks and uncertainties surrounding the obligation. Provisions are discounted when the time value of money is material.</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n.</w:t>
      </w:r>
      <w:r>
        <w:rPr>
          <w:rFonts w:ascii="Times New Roman;serif" w:hAnsi="Times New Roman;serif"/>
          <w:b/>
          <w:color w:val="000000"/>
          <w:sz w:val="20"/>
        </w:rPr>
        <w:t>Financial instruments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recognised when the Company becomes party to the contractual provisions of the financial instrument. The Company holds basic financial instruments, which comprise cash and cash equivalents, trade and other receivables, equity investments, trade and other payables, and loans and borrowings. The Company has chosen to apply the provisions of Section 11 Basic Financial Instruments in full.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Forward foreign exchange contracts are used to manage currency risk. Any gains or losses are recognised in the statement of comprehensive income.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o.</w:t>
      </w:r>
      <w:r>
        <w:rPr>
          <w:rFonts w:ascii="Times New Roman;serif" w:hAnsi="Times New Roman;serif"/>
          <w:b/>
          <w:color w:val="000000"/>
          <w:sz w:val="20"/>
        </w:rPr>
        <w:t>Financial assets - classified as basic financial instruments</w:t>
      </w:r>
    </w:p>
    <w:p>
      <w:pPr>
        <w:pStyle w:val="TextBody"/>
        <w:bidi w:val="0"/>
        <w:spacing w:lineRule="auto" w:line="288" w:before="120" w:after="283"/>
        <w:ind w:left="0" w:right="0" w:hanging="340"/>
        <w:jc w:val="both"/>
        <w:rPr>
          <w:rFonts w:ascii="Times New Roman;serif" w:hAnsi="Times New Roman;serif"/>
          <w:b w:val="false"/>
          <w:color w:val="000000"/>
          <w:sz w:val="20"/>
        </w:rPr>
      </w:pPr>
      <w:r>
        <w:rPr>
          <w:rFonts w:ascii="Times New Roman;serif" w:hAnsi="Times New Roman;serif"/>
          <w:b w:val="false"/>
          <w:color w:val="000000"/>
          <w:sz w:val="20"/>
        </w:rPr>
        <w:t>a.Cash and cash equivalents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Cash and cash equivalents include cash in hand, deposits held with banks, and other short term highly liquid investments with original maturities of three months or less.</w:t>
      </w:r>
    </w:p>
    <w:p>
      <w:pPr>
        <w:pStyle w:val="TextBody"/>
        <w:bidi w:val="0"/>
        <w:spacing w:lineRule="auto" w:line="288" w:before="120" w:after="283"/>
        <w:ind w:left="0" w:right="0" w:hanging="340"/>
        <w:jc w:val="both"/>
        <w:rPr>
          <w:rFonts w:ascii="Times New Roman;serif" w:hAnsi="Times New Roman;serif"/>
          <w:b w:val="false"/>
          <w:color w:val="000000"/>
          <w:sz w:val="20"/>
        </w:rPr>
      </w:pPr>
      <w:r>
        <w:rPr>
          <w:rFonts w:ascii="Times New Roman;serif" w:hAnsi="Times New Roman;serif"/>
          <w:b w:val="false"/>
          <w:color w:val="000000"/>
          <w:sz w:val="20"/>
        </w:rPr>
        <w:t>b.Trade and other receivables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Trade and other receivables that are receivable within one year are measured at the undiscounted amount of the cash expected to be received, net of any impairment.</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At the end of each reporting period, the Company assesses whether there is objective evidence that any receivable amount may be impaired. A provision for impairment is established when there is objective evidence that the Company will not be able to collect all amounts due according to the original terms of the receivables. The amount of the provision is the difference between the asset's carrying amount and the present value of the estimated future cash flows, discounted at the effective interest rate. The amount of the provision is recognised immediately in profit and loss.</w:t>
      </w:r>
    </w:p>
    <w:p>
      <w:pPr>
        <w:pStyle w:val="TextBody"/>
        <w:bidi w:val="0"/>
        <w:spacing w:lineRule="auto" w:line="288" w:before="0" w:after="0"/>
        <w:ind w:left="0" w:right="0" w:hanging="338"/>
        <w:jc w:val="both"/>
        <w:rPr>
          <w:rFonts w:ascii="Times New Roman;serif" w:hAnsi="Times New Roman;serif"/>
          <w:b w:val="false"/>
          <w:color w:val="000000"/>
          <w:sz w:val="20"/>
        </w:rPr>
      </w:pPr>
      <w:r>
        <w:rPr>
          <w:rFonts w:ascii="Times New Roman;serif" w:hAnsi="Times New Roman;serif"/>
          <w:b w:val="false"/>
          <w:color w:val="000000"/>
          <w:sz w:val="20"/>
        </w:rPr>
        <w:t>c.Trade and other payables and loans and borrowings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Trade and other payables that are payable within one year are measured at the undiscounted amount of the cash expected to be paid.</w:t>
      </w:r>
    </w:p>
    <w:p>
      <w:pPr>
        <w:pStyle w:val="TextBody"/>
        <w:bidi w:val="0"/>
        <w:ind w:left="0" w:right="0" w:hanging="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ind w:left="0" w:right="0" w:hanging="720"/>
        <w:jc w:val="both"/>
        <w:rPr>
          <w:color w:val="000000"/>
        </w:rPr>
      </w:pPr>
      <w:r>
        <w:rPr>
          <w:color w:val="000000"/>
        </w:rPr>
        <w:t>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 cont’d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p.</w:t>
      </w:r>
      <w:r>
        <w:rPr>
          <w:rFonts w:ascii="Times New Roman;serif" w:hAnsi="Times New Roman;serif"/>
          <w:b/>
          <w:color w:val="000000"/>
          <w:sz w:val="20"/>
        </w:rPr>
        <w:t>Employee benefits expense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employee benefits are recognised for the cost of all employee benefits to which the Company’s employees have become entitled as a result of service rendered to the entity during the reporting period:</w:t>
      </w:r>
    </w:p>
    <w:p>
      <w:pPr>
        <w:pStyle w:val="TextBody"/>
        <w:bidi w:val="0"/>
        <w:spacing w:lineRule="auto" w:line="240" w:before="120" w:after="120"/>
        <w:ind w:left="0" w:right="0" w:hanging="360"/>
        <w:jc w:val="both"/>
        <w:rPr/>
      </w:pPr>
      <w:r>
        <w:rPr>
          <w:color w:val="000000"/>
        </w:rPr>
        <w:t>•</w:t>
      </w:r>
      <w:r>
        <w:rPr>
          <w:rFonts w:ascii="Times New Roman;serif" w:hAnsi="Times New Roman;serif"/>
          <w:b w:val="false"/>
          <w:color w:val="000000"/>
          <w:sz w:val="20"/>
        </w:rPr>
        <w:t>As a liability, after deducting amounts that have been paid either directly to the employees or as a contribution to an employee benefit fund. If the amount paid exceeds the obligation arising from service before the reporting date, the Company will recognise that excess as an asset to the extent that the prepayment will lead to a reduction in future payments or a cash refund.</w:t>
      </w:r>
    </w:p>
    <w:p>
      <w:pPr>
        <w:pStyle w:val="TextBody"/>
        <w:bidi w:val="0"/>
        <w:spacing w:lineRule="auto" w:line="240" w:before="120" w:after="120"/>
        <w:ind w:left="0" w:right="0" w:hanging="360"/>
        <w:jc w:val="both"/>
        <w:rPr/>
      </w:pPr>
      <w:r>
        <w:rPr>
          <w:color w:val="000000"/>
        </w:rPr>
        <w:t>•</w:t>
      </w:r>
      <w:r>
        <w:rPr>
          <w:rFonts w:ascii="Times New Roman;serif" w:hAnsi="Times New Roman;serif"/>
          <w:b w:val="false"/>
          <w:color w:val="000000"/>
          <w:sz w:val="20"/>
        </w:rPr>
        <w:t xml:space="preserve">As an expense, unless another section of this FRS requires the cost to be recognised as part of the cost of an asset such as inventories or property, plant, and equipment. </w:t>
      </w:r>
    </w:p>
    <w:p>
      <w:pPr>
        <w:pStyle w:val="TextBody"/>
        <w:bidi w:val="0"/>
        <w:spacing w:lineRule="auto" w:line="240" w:before="0" w:after="0"/>
        <w:ind w:left="0" w:right="0" w:hanging="360"/>
        <w:jc w:val="both"/>
        <w:rPr/>
      </w:pPr>
      <w:r>
        <w:rPr>
          <w:rFonts w:ascii="Times New Roman;serif" w:hAnsi="Times New Roman;serif"/>
          <w:b/>
          <w:color w:val="000000"/>
          <w:sz w:val="20"/>
        </w:rPr>
        <w:t>q.</w:t>
      </w:r>
      <w:r>
        <w:rPr>
          <w:rFonts w:ascii="Times New Roman;serif" w:hAnsi="Times New Roman;serif"/>
          <w:b/>
          <w:color w:val="000000"/>
          <w:sz w:val="20"/>
        </w:rPr>
        <w:t>Holiday pay provision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Holiday pay entitlement is accrued evenly on a monthly basis over the year, with the exception of long service holiday pay which is an additional automatic entitlement given in the UK at the start of each holiday year, in full.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holiday pay provision is calculated as accrued general entitlement, less days taken, plus untaken long service holiday pay, to give the net resulting liability.</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r.</w:t>
      </w:r>
      <w:r>
        <w:rPr>
          <w:rFonts w:ascii="Times New Roman;serif" w:hAnsi="Times New Roman;serif"/>
          <w:b/>
          <w:color w:val="000000"/>
          <w:sz w:val="20"/>
        </w:rPr>
        <w:t>Post-employment benefits: defined contribution plans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Post-employment benefits include: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retirement benefits, such as pensions;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post-employment benefits.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Arrangements whereby the Company provides post-employment benefits are referred to as post-employment benefit plans. In some cases, these arrangements are imposed by law rather than by action of the Company. In some cases, these arrangements arise from actions of the Company even in the absence of a formal, documented plan.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Post-employment benefit classified as defined contribution plans </w:t>
      </w:r>
    </w:p>
    <w:p>
      <w:pPr>
        <w:pStyle w:val="TextBody"/>
        <w:bidi w:val="0"/>
        <w:spacing w:lineRule="auto" w:line="240" w:before="120" w:after="120"/>
        <w:ind w:left="0" w:right="0" w:hanging="360"/>
        <w:jc w:val="both"/>
        <w:rPr/>
      </w:pPr>
      <w:r>
        <w:rPr>
          <w:color w:val="000000"/>
        </w:rPr>
        <w:t>•</w:t>
      </w:r>
      <w:r>
        <w:rPr>
          <w:rFonts w:ascii="Times New Roman;serif" w:hAnsi="Times New Roman;serif"/>
          <w:b w:val="false"/>
          <w:color w:val="000000"/>
          <w:sz w:val="20"/>
        </w:rPr>
        <w:t xml:space="preserve">Defined contribution plans are post-employment benefit plans under which the Company pays fixed contributions into a separate entity (a fund) and has no legal or constructive obligation to pay further contributions or to make direct benefit payments to employees if the fund does not hold sufficient assets to pay all employee benefits relating to employee service in the current and prior periods.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Thus, the amount of the post-employment benefits received by the employee is determined by the amount of contributions paid by the Company and also by the employee, where applicable, to a post-employment benefit plan or to an insurer, together with investment returns arising from the contributions.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s.</w:t>
      </w:r>
      <w:r>
        <w:rPr>
          <w:rFonts w:ascii="Times New Roman;serif" w:hAnsi="Times New Roman;serif"/>
          <w:b/>
          <w:color w:val="000000"/>
          <w:sz w:val="20"/>
        </w:rPr>
        <w:t>Research and development</w:t>
      </w:r>
    </w:p>
    <w:p>
      <w:pPr>
        <w:pStyle w:val="TextBody"/>
        <w:bidi w:val="0"/>
        <w:spacing w:lineRule="auto" w:line="288" w:before="120" w:after="283"/>
        <w:jc w:val="both"/>
        <w:rPr/>
      </w:pPr>
      <w:r>
        <w:rPr>
          <w:rFonts w:ascii="Times New Roman;serif" w:hAnsi="Times New Roman;serif"/>
          <w:b w:val="false"/>
          <w:color w:val="000000"/>
          <w:sz w:val="20"/>
        </w:rPr>
        <w:t>Net expenditure on research and development is expensed in the year that it is incurred. During the period ended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 the Company recognised net expenditure on research and development of £1,017,224.</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t.</w:t>
      </w:r>
      <w:r>
        <w:rPr>
          <w:rFonts w:ascii="Times New Roman;serif" w:hAnsi="Times New Roman;serif"/>
          <w:b/>
          <w:color w:val="000000"/>
          <w:sz w:val="20"/>
        </w:rPr>
        <w:t>Grants receivable</w:t>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Grants receivable, whether from government bodies or other entities, are generally project specific and receivable according to actual or anticipated costs. Income is either received, or accrued, to match the costs incurred, such that the effect on the profit and loss account is neutral.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w:t>
      </w:r>
      <w:r>
        <w:rPr>
          <w:rFonts w:ascii="Times New Roman;serif" w:hAnsi="Times New Roman;serif"/>
          <w:b/>
          <w:color w:val="000000"/>
          <w:sz w:val="20"/>
          <w:u w:val="single"/>
        </w:rPr>
        <w:t>Accounting policies cont’d</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u.</w:t>
      </w:r>
      <w:r>
        <w:rPr>
          <w:rFonts w:ascii="Times New Roman;serif" w:hAnsi="Times New Roman;serif"/>
          <w:b/>
          <w:color w:val="000000"/>
          <w:sz w:val="20"/>
        </w:rPr>
        <w:t>Investments in subsidiaries and associates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in subsidiary and associate undertakings are recognised at cost less any provision for impairment.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v.</w:t>
      </w:r>
      <w:r>
        <w:rPr>
          <w:rFonts w:ascii="Times New Roman;serif" w:hAnsi="Times New Roman;serif"/>
          <w:b/>
          <w:color w:val="000000"/>
          <w:sz w:val="20"/>
        </w:rPr>
        <w:t>Basis of consolidation</w:t>
      </w:r>
    </w:p>
    <w:p>
      <w:pPr>
        <w:pStyle w:val="TextBody"/>
        <w:bidi w:val="0"/>
        <w:spacing w:lineRule="auto" w:line="288" w:before="120" w:after="283"/>
        <w:jc w:val="both"/>
        <w:rPr/>
      </w:pPr>
      <w:r>
        <w:rPr>
          <w:rFonts w:ascii="Times New Roman;serif" w:hAnsi="Times New Roman;serif"/>
          <w:b w:val="false"/>
          <w:color w:val="000000"/>
          <w:sz w:val="20"/>
        </w:rPr>
        <w:t>The consolidated accounts contain the composite financial statements, made up to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September 2025, for the Company and all of its subsidiaries (note 24 gives further information). All intra company balances, transactions, incomes, and expenditures are eliminated on consolidation.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color w:val="000000"/>
          <w:sz w:val="20"/>
        </w:rPr>
        <w:t>w.</w:t>
      </w:r>
      <w:r>
        <w:rPr>
          <w:rFonts w:ascii="Times New Roman;serif" w:hAnsi="Times New Roman;serif"/>
          <w:b/>
          <w:color w:val="000000"/>
          <w:sz w:val="20"/>
        </w:rPr>
        <w:t>Judgements in Applying Accounting Policies and Key Sources of Estimation Uncertainty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applying the Company’s accounting policies, the directors are required to make judgments, estimates and assumptions in determining the carrying amount of assets and liabilities. The estimates and assumptions are based on the best and most reliable evidence available at the time when the decisions are made and are based on historical experience and other factors that are considered to be applicable. Due to the inherent subjectivity involved in making such judgements, estimates and assumptions, the actual results and outcomes may differ.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preparing these financial statements, the directors have made judgements and estimates that affect the application of accounting policies and the reported amounts of assets, liabilities, income and expenditure. Actual results may differ from these estimates. Estimates and underlying assumptions are reviewed on an ongoing basis. Revisions to estimates are recognised prospectively.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key areas of estimation uncertainty and critical judgements that have the most significant effect on the amounts recognised in the financial statements are as follows: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Standard Costing and Overhead Absorption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applies standard costing in valuing inventories and allocating production overheads, using cost estimates based on next year’s approved budget. These standard costs are a key input in applying the absorption costing method for calculating cost of sales.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directors consider this a key source of estimation uncertainty, as the accuracy of the budgeted costs directly affects inventory valuation and gross margin recognition in the year. Judgement is required in forecasting production volumes, labour and material costs, and overhead absorption rates. If actual results differ materially from these estimates, this could lead to a significant adjustment in cost of sales or closing stock valuation.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Impairment of Intangible Assets – Capitalised Product Development Costs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Development costs are capitalised as intangible assets where the criteria of FRS 102 Section 18 are met. These assets are subject to impairment reviews where indicators of impairment exist. Determining whether an impairment has occurred involves judgement about the future economic benefits expected from the products under development.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impairment assessment is based on estimated future cash flows derived from product sales forecasts and expected margins. Key assumptions include the timing and success of product launches, expected customer demand, pricing strategies, and the ongoing contribution of the product to the Company’s earnings. These forecasts are inherently uncertain and sensitive to market and operational factors. Changes in these assumptions could result in material impairment losses being recognised in the profit and loss account.</w:t>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288" w:before="0" w:after="0"/>
        <w:jc w:val="both"/>
        <w:rPr/>
      </w:pPr>
      <w:r>
        <w:rPr>
          <w:rFonts w:ascii="Times New Roman;serif" w:hAnsi="Times New Roman;serif"/>
          <w:b/>
          <w:color w:val="000000"/>
          <w:sz w:val="20"/>
        </w:rPr>
        <w:t>4.</w:t>
      </w:r>
      <w:r>
        <w:rPr>
          <w:rFonts w:ascii="Times New Roman;serif" w:hAnsi="Times New Roman;serif"/>
          <w:b/>
          <w:color w:val="000000"/>
          <w:sz w:val="20"/>
        </w:rPr>
        <w:t>Turnover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Turnover is the invoice value of goods provided and services rendered during the year, exclusive of value added tax. Turnover, as shown below, is entirely to third parties and relates to continuing activities. </w:t>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Class of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activity of the Company is the manufacture, for subsequent sale, of medical devices using innovative design and engineering techniques and allied injection moulding and assembly processes. </w:t>
      </w:r>
    </w:p>
    <w:p>
      <w:pPr>
        <w:pStyle w:val="TextBody"/>
        <w:bidi w:val="0"/>
        <w:spacing w:before="0" w:after="0"/>
        <w:ind w:left="0" w:right="0" w:hanging="720"/>
        <w:jc w:val="both"/>
        <w:rPr/>
      </w:pPr>
      <w:r>
        <w:rPr/>
      </w:r>
    </w:p>
    <w:p>
      <w:pPr>
        <w:pStyle w:val="TextBody"/>
        <w:bidi w:val="0"/>
        <w:spacing w:before="0" w:after="0"/>
        <w:jc w:val="both"/>
        <w:rPr/>
      </w:pPr>
      <w:r>
        <w:rPr/>
      </w:r>
    </w:p>
    <w:tbl>
      <w:tblPr>
        <w:tblW w:w="4385" w:type="dxa"/>
        <w:jc w:val="left"/>
        <w:tblInd w:w="0" w:type="dxa"/>
        <w:tblLayout w:type="fixed"/>
        <w:tblCellMar>
          <w:top w:w="28" w:type="dxa"/>
          <w:left w:w="28" w:type="dxa"/>
          <w:bottom w:w="28" w:type="dxa"/>
          <w:right w:w="28" w:type="dxa"/>
        </w:tblCellMar>
      </w:tblPr>
      <w:tblGrid>
        <w:gridCol w:w="999"/>
        <w:gridCol w:w="879"/>
        <w:gridCol w:w="881"/>
        <w:gridCol w:w="109"/>
        <w:gridCol w:w="109"/>
        <w:gridCol w:w="109"/>
        <w:gridCol w:w="343"/>
        <w:gridCol w:w="343"/>
        <w:gridCol w:w="350"/>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Analysed by geographical area</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cMar>
              <w:top w:w="0" w:type="dxa"/>
              <w:left w:w="0" w:type="dxa"/>
              <w:bottom w:w="0" w:type="dxa"/>
              <w:right w:w="0" w:type="dxa"/>
            </w:tcMar>
            <w:vAlign w:val="center"/>
          </w:tcPr>
          <w:p>
            <w:pPr>
              <w:pStyle w:val="TableContents"/>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United Kingdom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4,883,994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Canada and USA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24,000,928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Europe and Scandinavia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34,248,369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Australia and New Zealand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933,904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51,093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Far East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2,861,424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South 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1,546,942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Middle East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68,565,945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5271" w:type="dxa"/>
        <w:jc w:val="left"/>
        <w:tblInd w:w="0" w:type="dxa"/>
        <w:tblLayout w:type="fixed"/>
        <w:tblCellMar>
          <w:top w:w="28" w:type="dxa"/>
          <w:left w:w="28" w:type="dxa"/>
          <w:bottom w:w="28" w:type="dxa"/>
          <w:right w:w="28" w:type="dxa"/>
        </w:tblCellMar>
      </w:tblPr>
      <w:tblGrid>
        <w:gridCol w:w="1319"/>
        <w:gridCol w:w="1161"/>
        <w:gridCol w:w="1165"/>
        <w:gridCol w:w="109"/>
        <w:gridCol w:w="109"/>
        <w:gridCol w:w="109"/>
        <w:gridCol w:w="344"/>
        <w:gridCol w:w="344"/>
        <w:gridCol w:w="348"/>
        <w:gridCol w:w="109"/>
        <w:gridCol w:w="154"/>
      </w:tblGrid>
      <w:tr>
        <w:trPr/>
        <w:tc>
          <w:tcPr>
            <w:tcW w:w="131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Analysed by category</w:t>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Medical Devices – Product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42,486,151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Pharmaceutical Services – Product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24,663,118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Development, services and equipment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1,416,676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68,565,945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288" w:before="0" w:after="0"/>
        <w:jc w:val="both"/>
        <w:rPr/>
      </w:pPr>
      <w:r>
        <w:rPr>
          <w:rFonts w:ascii="Times New Roman;serif" w:hAnsi="Times New Roman;serif"/>
          <w:b/>
          <w:color w:val="000000"/>
          <w:sz w:val="20"/>
        </w:rPr>
        <w:t>5    </w:t>
      </w:r>
      <w:r>
        <w:rPr>
          <w:rFonts w:ascii="Times New Roman;serif" w:hAnsi="Times New Roman;serif"/>
          <w:b/>
          <w:color w:val="000000"/>
          <w:sz w:val="20"/>
          <w:u w:val="single"/>
        </w:rPr>
        <w:t>Operating loss</w:t>
      </w:r>
    </w:p>
    <w:p>
      <w:pPr>
        <w:pStyle w:val="TextBody"/>
        <w:bidi w:val="0"/>
        <w:spacing w:lineRule="auto" w:line="288" w:before="120" w:after="283"/>
        <w:jc w:val="both"/>
        <w:rPr/>
      </w:pPr>
      <w:r>
        <w:rPr>
          <w:rFonts w:ascii="Times New Roman;serif" w:hAnsi="Times New Roman;serif"/>
          <w:b/>
          <w:color w:val="000000"/>
          <w:sz w:val="20"/>
        </w:rPr>
        <w:t xml:space="preserve">(a) </w:t>
      </w:r>
      <w:r>
        <w:rPr>
          <w:rFonts w:ascii="Times New Roman;serif" w:hAnsi="Times New Roman;serif"/>
          <w:b w:val="false"/>
          <w:color w:val="000000"/>
          <w:sz w:val="20"/>
        </w:rPr>
        <w:t>The operating loss is shown after charging:</w:t>
      </w:r>
    </w:p>
    <w:p>
      <w:pPr>
        <w:pStyle w:val="TextBody"/>
        <w:bidi w:val="0"/>
        <w:spacing w:before="0" w:after="0"/>
        <w:ind w:left="0" w:right="0" w:hanging="720"/>
        <w:jc w:val="both"/>
        <w:rPr/>
      </w:pPr>
      <w:r>
        <w:rPr/>
      </w:r>
    </w:p>
    <w:tbl>
      <w:tblPr>
        <w:tblW w:w="5770" w:type="dxa"/>
        <w:jc w:val="left"/>
        <w:tblInd w:w="0" w:type="dxa"/>
        <w:tblLayout w:type="fixed"/>
        <w:tblCellMar>
          <w:top w:w="28" w:type="dxa"/>
          <w:left w:w="28" w:type="dxa"/>
          <w:bottom w:w="28" w:type="dxa"/>
          <w:right w:w="28" w:type="dxa"/>
        </w:tblCellMar>
      </w:tblPr>
      <w:tblGrid>
        <w:gridCol w:w="124"/>
        <w:gridCol w:w="623"/>
        <w:gridCol w:w="623"/>
        <w:gridCol w:w="623"/>
        <w:gridCol w:w="623"/>
        <w:gridCol w:w="623"/>
        <w:gridCol w:w="635"/>
        <w:gridCol w:w="125"/>
        <w:gridCol w:w="125"/>
        <w:gridCol w:w="125"/>
        <w:gridCol w:w="109"/>
        <w:gridCol w:w="109"/>
        <w:gridCol w:w="109"/>
        <w:gridCol w:w="309"/>
        <w:gridCol w:w="309"/>
        <w:gridCol w:w="31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50"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on tangible assets: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75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charge on intangible assets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Payments under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vehicle contract hire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hire of plant, machinery and office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173,083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Premises rent paid:    </w:t>
            </w:r>
          </w:p>
        </w:tc>
        <w:tc>
          <w:tcPr>
            <w:tcW w:w="225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124,571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Foreign exchange (gains)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And after crediting the following: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Rents receivable (external)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216,351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Royalties and similar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1,887,065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125" w:type="dxa"/>
            <w:gridSpan w:val="9"/>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Grant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1881"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69" w:type="dxa"/>
            <w:gridSpan w:val="3"/>
            <w:tcBorders/>
            <w:vAlign w:val="center"/>
          </w:tcPr>
          <w:p>
            <w:pPr>
              <w:pStyle w:val="TableContents"/>
              <w:bidi w:val="0"/>
              <w:spacing w:before="0" w:after="283"/>
              <w:jc w:val="left"/>
              <w:rPr>
                <w:sz w:val="4"/>
                <w:szCs w:val="4"/>
              </w:rPr>
            </w:pPr>
            <w:r>
              <w:rPr>
                <w:sz w:val="4"/>
                <w:szCs w:val="4"/>
              </w:rPr>
            </w:r>
          </w:p>
        </w:tc>
        <w:tc>
          <w:tcPr>
            <w:tcW w:w="3777" w:type="dxa"/>
            <w:gridSpan w:val="14"/>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jc w:val="both"/>
        <w:rPr>
          <w:color w:val="000000"/>
        </w:rPr>
      </w:pPr>
      <w:r>
        <w:rPr>
          <w:color w:val="000000"/>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288" w:before="0" w:after="0"/>
        <w:jc w:val="both"/>
        <w:rPr/>
      </w:pPr>
      <w:r>
        <w:rPr>
          <w:rFonts w:ascii="Times New Roman;serif" w:hAnsi="Times New Roman;serif"/>
          <w:b/>
          <w:color w:val="000000"/>
          <w:sz w:val="20"/>
        </w:rPr>
        <w:t>6    </w:t>
      </w:r>
      <w:r>
        <w:rPr>
          <w:rFonts w:ascii="Times New Roman;serif" w:hAnsi="Times New Roman;serif"/>
          <w:b/>
          <w:color w:val="000000"/>
          <w:sz w:val="20"/>
          <w:u w:val="single"/>
        </w:rPr>
        <w:t>Directors’ emoluments</w:t>
      </w:r>
    </w:p>
    <w:p>
      <w:pPr>
        <w:pStyle w:val="TextBody"/>
        <w:bidi w:val="0"/>
        <w:spacing w:lineRule="auto" w:line="288" w:before="0" w:after="0"/>
        <w:jc w:val="both"/>
        <w:rPr>
          <w:color w:val="000000"/>
        </w:rPr>
      </w:pPr>
      <w:r>
        <w:rPr>
          <w:color w:val="000000"/>
        </w:rPr>
        <w:t>                        </w:t>
      </w:r>
    </w:p>
    <w:tbl>
      <w:tblPr>
        <w:tblW w:w="6661" w:type="dxa"/>
        <w:jc w:val="left"/>
        <w:tblInd w:w="0" w:type="dxa"/>
        <w:tblLayout w:type="fixed"/>
        <w:tblCellMar>
          <w:top w:w="28" w:type="dxa"/>
          <w:left w:w="28" w:type="dxa"/>
          <w:bottom w:w="28" w:type="dxa"/>
          <w:right w:w="28" w:type="dxa"/>
        </w:tblCellMar>
      </w:tblPr>
      <w:tblGrid>
        <w:gridCol w:w="124"/>
        <w:gridCol w:w="687"/>
        <w:gridCol w:w="687"/>
        <w:gridCol w:w="687"/>
        <w:gridCol w:w="1034"/>
        <w:gridCol w:w="1034"/>
        <w:gridCol w:w="1037"/>
        <w:gridCol w:w="109"/>
        <w:gridCol w:w="109"/>
        <w:gridCol w:w="109"/>
        <w:gridCol w:w="259"/>
        <w:gridCol w:w="259"/>
        <w:gridCol w:w="26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6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Remuneration and other emoluments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466,866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6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Pension contributions – money purchase schemes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66" w:type="dxa"/>
            <w:gridSpan w:val="6"/>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506,866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66" w:type="dxa"/>
            <w:gridSpan w:val="6"/>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Amounts included above for: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Highest paid director:</w:t>
            </w:r>
          </w:p>
        </w:tc>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Remuneration and other emoluments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243,433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Director’s of the Company comprise all key management personnel. Pension contributions to money purchase pension schemes were paid in respect of 2 of the Directors.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7    </w:t>
      </w:r>
      <w:r>
        <w:rPr>
          <w:rFonts w:ascii="Times New Roman;serif" w:hAnsi="Times New Roman;serif"/>
          <w:b/>
          <w:color w:val="000000"/>
          <w:sz w:val="20"/>
          <w:u w:val="single"/>
        </w:rPr>
        <w:t>Profit on sale of fixed assets</w:t>
      </w:r>
    </w:p>
    <w:tbl>
      <w:tblPr>
        <w:tblW w:w="3345" w:type="dxa"/>
        <w:jc w:val="left"/>
        <w:tblInd w:w="0" w:type="dxa"/>
        <w:tblLayout w:type="fixed"/>
        <w:tblCellMar>
          <w:top w:w="28" w:type="dxa"/>
          <w:left w:w="28" w:type="dxa"/>
          <w:bottom w:w="28" w:type="dxa"/>
          <w:right w:w="28" w:type="dxa"/>
        </w:tblCellMar>
      </w:tblPr>
      <w:tblGrid>
        <w:gridCol w:w="857"/>
        <w:gridCol w:w="752"/>
        <w:gridCol w:w="760"/>
        <w:gridCol w:w="285"/>
        <w:gridCol w:w="285"/>
        <w:gridCol w:w="406"/>
      </w:tblGrid>
      <w:tr>
        <w:trPr/>
        <w:tc>
          <w:tcPr>
            <w:tcW w:w="8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Profit on sale of fixed assets</w:t>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2,123,156</w:t>
            </w:r>
          </w:p>
        </w:tc>
      </w:tr>
    </w:tbl>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color w:val="000000"/>
          <w:sz w:val="20"/>
        </w:rPr>
        <w:t>8    </w:t>
      </w:r>
      <w:r>
        <w:rPr>
          <w:rFonts w:ascii="Times New Roman;serif" w:hAnsi="Times New Roman;serif"/>
          <w:b/>
          <w:color w:val="000000"/>
          <w:sz w:val="20"/>
          <w:u w:val="single"/>
        </w:rPr>
        <w:t>Interest receivable and similar income</w:t>
      </w:r>
    </w:p>
    <w:tbl>
      <w:tblPr>
        <w:tblW w:w="4375" w:type="dxa"/>
        <w:jc w:val="left"/>
        <w:tblInd w:w="0" w:type="dxa"/>
        <w:tblLayout w:type="fixed"/>
        <w:tblCellMar>
          <w:top w:w="28" w:type="dxa"/>
          <w:left w:w="28" w:type="dxa"/>
          <w:bottom w:w="28" w:type="dxa"/>
          <w:right w:w="28" w:type="dxa"/>
        </w:tblCellMar>
      </w:tblPr>
      <w:tblGrid>
        <w:gridCol w:w="124"/>
        <w:gridCol w:w="959"/>
        <w:gridCol w:w="959"/>
        <w:gridCol w:w="962"/>
        <w:gridCol w:w="109"/>
        <w:gridCol w:w="109"/>
        <w:gridCol w:w="109"/>
        <w:gridCol w:w="259"/>
        <w:gridCol w:w="259"/>
        <w:gridCol w:w="26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Bank and other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670,164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9    </w:t>
      </w:r>
      <w:r>
        <w:rPr>
          <w:rFonts w:ascii="Times New Roman;serif" w:hAnsi="Times New Roman;serif"/>
          <w:b/>
          <w:color w:val="000000"/>
          <w:sz w:val="20"/>
          <w:u w:val="single"/>
        </w:rPr>
        <w:t>Interest payable</w:t>
      </w:r>
    </w:p>
    <w:p>
      <w:pPr>
        <w:pStyle w:val="TextBody"/>
        <w:bidi w:val="0"/>
        <w:spacing w:before="0" w:after="0"/>
        <w:jc w:val="both"/>
        <w:rPr/>
      </w:pPr>
      <w:r>
        <w:rPr/>
      </w:r>
    </w:p>
    <w:tbl>
      <w:tblPr>
        <w:tblW w:w="7720" w:type="dxa"/>
        <w:jc w:val="left"/>
        <w:tblInd w:w="0" w:type="dxa"/>
        <w:tblLayout w:type="fixed"/>
        <w:tblCellMar>
          <w:top w:w="28" w:type="dxa"/>
          <w:left w:w="28" w:type="dxa"/>
          <w:bottom w:w="28" w:type="dxa"/>
          <w:right w:w="28" w:type="dxa"/>
        </w:tblCellMar>
      </w:tblPr>
      <w:tblGrid>
        <w:gridCol w:w="124"/>
        <w:gridCol w:w="2108"/>
        <w:gridCol w:w="2108"/>
        <w:gridCol w:w="2114"/>
        <w:gridCol w:w="109"/>
        <w:gridCol w:w="109"/>
        <w:gridCol w:w="109"/>
        <w:gridCol w:w="224"/>
        <w:gridCol w:w="224"/>
        <w:gridCol w:w="22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Bank charges and interest on overdrafts wholly repayable within five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330" w:type="dxa"/>
            <w:gridSpan w:val="3"/>
            <w:tcBorders/>
            <w:vAlign w:val="center"/>
          </w:tcPr>
          <w:p>
            <w:pPr>
              <w:pStyle w:val="TableContents"/>
              <w:bidi w:val="0"/>
              <w:spacing w:before="0" w:after="283"/>
              <w:jc w:val="left"/>
              <w:rPr>
                <w:sz w:val="4"/>
                <w:szCs w:val="4"/>
              </w:rPr>
            </w:pPr>
            <w:r>
              <w:rPr>
                <w:sz w:val="4"/>
                <w:szCs w:val="4"/>
              </w:rPr>
            </w:r>
          </w:p>
        </w:tc>
        <w:tc>
          <w:tcPr>
            <w:tcW w:w="1266" w:type="dxa"/>
            <w:gridSpan w:val="8"/>
            <w:tcBorders/>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10    </w:t>
      </w:r>
      <w:r>
        <w:rPr>
          <w:rFonts w:ascii="Times New Roman;serif" w:hAnsi="Times New Roman;serif"/>
          <w:b/>
          <w:color w:val="000000"/>
          <w:sz w:val="20"/>
          <w:u w:val="single"/>
        </w:rPr>
        <w:t>Profit before tax</w:t>
      </w:r>
    </w:p>
    <w:p>
      <w:pPr>
        <w:pStyle w:val="TextBody"/>
        <w:bidi w:val="0"/>
        <w:spacing w:lineRule="auto" w:line="288" w:before="120" w:after="283"/>
        <w:ind w:left="0" w:right="0" w:firstLine="41"/>
        <w:jc w:val="both"/>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In the opinion of the directors, any apportionment of the result on ordinary activities and non-ordinary activities before taxation would be entirely arbitrary, due to the extensive interaction of the Company’s activities. No split is therefore considered necessary.</w:t>
      </w: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556" w:before="0" w:after="0"/>
        <w:jc w:val="center"/>
        <w:rPr>
          <w:color w:val="000000"/>
        </w:rPr>
      </w:pPr>
      <w:r>
        <w:rPr>
          <w:color w:val="000000"/>
        </w:rPr>
        <w:t xml:space="preserve">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11    </w:t>
      </w:r>
      <w:r>
        <w:rPr>
          <w:rFonts w:ascii="Times New Roman;serif" w:hAnsi="Times New Roman;serif"/>
          <w:b/>
          <w:color w:val="000000"/>
          <w:sz w:val="20"/>
          <w:u w:val="single"/>
        </w:rPr>
        <w:t>Taxation</w:t>
      </w:r>
    </w:p>
    <w:tbl>
      <w:tblPr>
        <w:tblW w:w="10205" w:type="dxa"/>
        <w:jc w:val="left"/>
        <w:tblInd w:w="0" w:type="dxa"/>
        <w:tblLayout w:type="fixed"/>
        <w:tblCellMar>
          <w:top w:w="28" w:type="dxa"/>
          <w:left w:w="28" w:type="dxa"/>
          <w:bottom w:w="28" w:type="dxa"/>
          <w:right w:w="28" w:type="dxa"/>
        </w:tblCellMar>
      </w:tblPr>
      <w:tblGrid>
        <w:gridCol w:w="124"/>
        <w:gridCol w:w="2519"/>
        <w:gridCol w:w="2484"/>
        <w:gridCol w:w="2491"/>
        <w:gridCol w:w="208"/>
        <w:gridCol w:w="208"/>
        <w:gridCol w:w="208"/>
        <w:gridCol w:w="562"/>
        <w:gridCol w:w="562"/>
        <w:gridCol w:w="571"/>
        <w:gridCol w:w="109"/>
        <w:gridCol w:w="159"/>
      </w:tblGrid>
      <w:tr>
        <w:trPr/>
        <w:tc>
          <w:tcPr>
            <w:tcW w:w="124"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484"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vAlign w:val="center"/>
          </w:tcPr>
          <w:p>
            <w:pPr>
              <w:pStyle w:val="TableContents"/>
              <w:bidi w:val="0"/>
              <w:spacing w:before="0" w:after="283"/>
              <w:jc w:val="left"/>
              <w:rPr>
                <w:sz w:val="4"/>
                <w:szCs w:val="4"/>
              </w:rPr>
            </w:pPr>
            <w:r>
              <w:rPr>
                <w:sz w:val="4"/>
                <w:szCs w:val="4"/>
              </w:rPr>
            </w:r>
          </w:p>
        </w:tc>
        <w:tc>
          <w:tcPr>
            <w:tcW w:w="624" w:type="dxa"/>
            <w:gridSpan w:val="3"/>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Corporation tax at an effective 25% on results, as adjusted</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(497,087)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Corporation tax provided in previous years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 from deferred taxation account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394,541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Overseas taxation in subsidiaries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329,040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before="0" w:after="0"/>
              <w:jc w:val="right"/>
              <w:rPr/>
            </w:pPr>
            <w:r>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813" w:type="dxa"/>
            <w:gridSpan w:val="9"/>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813" w:type="dxa"/>
            <w:gridSpan w:val="9"/>
            <w:tcBorders/>
            <w:tcMar>
              <w:top w:w="0" w:type="dxa"/>
              <w:left w:w="0" w:type="dxa"/>
              <w:bottom w:w="0" w:type="dxa"/>
              <w:right w:w="0" w:type="dxa"/>
            </w:tcMar>
            <w:vAlign w:val="center"/>
          </w:tcPr>
          <w:p>
            <w:pPr>
              <w:pStyle w:val="TableContents"/>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Deferred tax of £413,825 is expected to reverse in the next year as accelerated capital allowances reduce. The Company has used brought forward tax losses which had reduced tax payments in recent years.</w:t>
            </w:r>
          </w:p>
          <w:p>
            <w:pPr>
              <w:pStyle w:val="TableContents"/>
              <w:bidi w:val="0"/>
              <w:spacing w:before="0" w:after="0"/>
              <w:jc w:val="left"/>
              <w:rPr/>
            </w:pPr>
            <w:r>
              <w:rPr/>
            </w:r>
          </w:p>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Factors affecting the tax charge</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tax assessed for the year is lower than the standard rate of corporation tax in the UK. The difference is explained below: </w:t>
            </w:r>
          </w:p>
        </w:tc>
        <w:tc>
          <w:tcPr>
            <w:tcW w:w="268"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62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Result on ordinary activities multiplied by the standard rate of corporation tax in the UK of an effective 25%</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668,803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Effect of:</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tax credit and patent box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Different rates of tax on overseas earnings</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Capital allowances in excess of depreciation </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143,906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over provided in prior years    </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23,316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Tax losses set against taxable profits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(300,786)</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Difference in taxable profit on sales of property (indexation)</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(375,543)</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reconciling differences (including dividend receipts)</w:t>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94,437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Deferred tax adjustment</w:t>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394,541</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7494"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9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12    </w:t>
      </w:r>
      <w:r>
        <w:rPr>
          <w:rFonts w:ascii="Times New Roman;serif" w:hAnsi="Times New Roman;serif"/>
          <w:b/>
          <w:color w:val="000000"/>
          <w:sz w:val="20"/>
          <w:u w:val="single"/>
        </w:rPr>
        <w:t>Dividends</w:t>
      </w:r>
    </w:p>
    <w:p>
      <w:pPr>
        <w:pStyle w:val="TextBody"/>
        <w:bidi w:val="0"/>
        <w:spacing w:before="0" w:after="0"/>
        <w:jc w:val="both"/>
        <w:rPr/>
      </w:pPr>
      <w:r>
        <w:rPr/>
      </w:r>
    </w:p>
    <w:tbl>
      <w:tblPr>
        <w:tblW w:w="3414" w:type="dxa"/>
        <w:jc w:val="left"/>
        <w:tblInd w:w="0" w:type="dxa"/>
        <w:tblLayout w:type="fixed"/>
        <w:tblCellMar>
          <w:top w:w="28" w:type="dxa"/>
          <w:left w:w="28" w:type="dxa"/>
          <w:bottom w:w="28" w:type="dxa"/>
          <w:right w:w="28" w:type="dxa"/>
        </w:tblCellMar>
      </w:tblPr>
      <w:tblGrid>
        <w:gridCol w:w="124"/>
        <w:gridCol w:w="639"/>
        <w:gridCol w:w="639"/>
        <w:gridCol w:w="641"/>
        <w:gridCol w:w="109"/>
        <w:gridCol w:w="109"/>
        <w:gridCol w:w="109"/>
        <w:gridCol w:w="259"/>
        <w:gridCol w:w="259"/>
        <w:gridCol w:w="26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dividends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919"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ind w:left="0" w:right="0" w:firstLine="18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ind w:left="0" w:right="0" w:firstLine="180"/>
        <w:jc w:val="center"/>
        <w:rPr/>
      </w:pPr>
      <w:r>
        <w:rPr/>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13    </w:t>
      </w:r>
      <w:r>
        <w:rPr>
          <w:rFonts w:ascii="Times New Roman;serif" w:hAnsi="Times New Roman;serif"/>
          <w:b/>
          <w:color w:val="000000"/>
          <w:sz w:val="20"/>
          <w:u w:val="single"/>
        </w:rPr>
        <w:t>Intangible assets</w:t>
      </w:r>
    </w:p>
    <w:tbl>
      <w:tblPr>
        <w:tblW w:w="4962" w:type="dxa"/>
        <w:jc w:val="left"/>
        <w:tblInd w:w="0" w:type="dxa"/>
        <w:tblLayout w:type="fixed"/>
        <w:tblCellMar>
          <w:top w:w="28" w:type="dxa"/>
          <w:left w:w="28" w:type="dxa"/>
          <w:bottom w:w="28" w:type="dxa"/>
          <w:right w:w="28" w:type="dxa"/>
        </w:tblCellMar>
      </w:tblPr>
      <w:tblGrid>
        <w:gridCol w:w="859"/>
        <w:gridCol w:w="754"/>
        <w:gridCol w:w="757"/>
        <w:gridCol w:w="479"/>
        <w:gridCol w:w="479"/>
        <w:gridCol w:w="481"/>
        <w:gridCol w:w="109"/>
        <w:gridCol w:w="109"/>
        <w:gridCol w:w="109"/>
        <w:gridCol w:w="240"/>
        <w:gridCol w:w="240"/>
        <w:gridCol w:w="346"/>
      </w:tblGrid>
      <w:tr>
        <w:trPr/>
        <w:tc>
          <w:tcPr>
            <w:tcW w:w="85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Intangible Assets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Total</w:t>
            </w:r>
          </w:p>
        </w:tc>
      </w:tr>
      <w:tr>
        <w:trPr/>
        <w:tc>
          <w:tcPr>
            <w:tcW w:w="237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or Valuation</w:t>
            </w:r>
          </w:p>
        </w:tc>
        <w:tc>
          <w:tcPr>
            <w:tcW w:w="1439"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As at 1</w:t>
            </w:r>
            <w:r>
              <w:rPr>
                <w:rFonts w:ascii="Times New Roman;serif" w:hAnsi="Times New Roman;serif"/>
                <w:b w:val="false"/>
                <w:color w:val="000000"/>
                <w:sz w:val="13"/>
              </w:rPr>
              <w:t xml:space="preserve">st </w:t>
            </w:r>
            <w:r>
              <w:rPr>
                <w:rFonts w:ascii="Times New Roman;serif" w:hAnsi="Times New Roman;serif"/>
                <w:b w:val="false"/>
                <w:color w:val="000000"/>
                <w:sz w:val="20"/>
              </w:rPr>
              <w:t>October 2024</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479,648</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Additions in year</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Disposals in year</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w:t>
            </w:r>
          </w:p>
        </w:tc>
        <w:tc>
          <w:tcPr>
            <w:tcW w:w="14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479,648</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Accumulated amortisation</w:t>
            </w:r>
          </w:p>
        </w:tc>
        <w:tc>
          <w:tcPr>
            <w:tcW w:w="14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0"/>
              <w:jc w:val="right"/>
              <w:rPr/>
            </w:pPr>
            <w:r>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As at 1</w:t>
            </w:r>
            <w:r>
              <w:rPr>
                <w:rFonts w:ascii="Times New Roman;serif" w:hAnsi="Times New Roman;serif"/>
                <w:b w:val="false"/>
                <w:color w:val="000000"/>
                <w:sz w:val="13"/>
              </w:rPr>
              <w:t xml:space="preserve">st </w:t>
            </w:r>
            <w:r>
              <w:rPr>
                <w:rFonts w:ascii="Times New Roman;serif" w:hAnsi="Times New Roman;serif"/>
                <w:b w:val="false"/>
                <w:color w:val="000000"/>
                <w:sz w:val="20"/>
              </w:rPr>
              <w:t>October 2024</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47,965</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Amortisation charge</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47,965</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Impairment charge</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383,718</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479,648</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book value </w:t>
            </w:r>
          </w:p>
          <w:p>
            <w:pPr>
              <w:pStyle w:val="TableContents"/>
              <w:bidi w:val="0"/>
              <w:spacing w:lineRule="auto" w:line="288" w:before="0" w:after="0"/>
              <w:jc w:val="left"/>
              <w:rPr/>
            </w:pPr>
            <w:r>
              <w:rPr>
                <w:rFonts w:ascii="Times New Roman;serif" w:hAnsi="Times New Roman;serif"/>
                <w:b/>
                <w:color w:val="000000"/>
                <w:sz w:val="19"/>
              </w:rPr>
              <w:t>As at 30</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9"/>
              </w:rPr>
              <w:t>September 2025</w:t>
            </w:r>
          </w:p>
        </w:tc>
        <w:tc>
          <w:tcPr>
            <w:tcW w:w="1439" w:type="dxa"/>
            <w:gridSpan w:val="3"/>
            <w:tcBorders>
              <w:top w:val="double" w:sz="8"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26" w:type="dxa"/>
            <w:gridSpan w:val="3"/>
            <w:tcBorders>
              <w:top w:val="double" w:sz="8" w:space="0" w:color="000000"/>
              <w:bottom w:val="double" w:sz="5"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During the period ended 30th of September 2025, the Company recognised an impairment charge on Intangible assets as the carrying value exceeded the estimated fair value.</w:t>
      </w:r>
    </w:p>
    <w:p>
      <w:pPr>
        <w:pStyle w:val="TextBody"/>
        <w:bidi w:val="0"/>
        <w:spacing w:lineRule="auto" w:line="288" w:before="240" w:after="283"/>
        <w:jc w:val="both"/>
        <w:rPr/>
      </w:pPr>
      <w:r>
        <w:rPr>
          <w:rFonts w:ascii="Times New Roman;serif" w:hAnsi="Times New Roman;serif"/>
          <w:b/>
          <w:color w:val="000000"/>
          <w:sz w:val="20"/>
        </w:rPr>
        <w:t>14    </w:t>
      </w:r>
      <w:r>
        <w:rPr>
          <w:rFonts w:ascii="Times New Roman;serif" w:hAnsi="Times New Roman;serif"/>
          <w:b/>
          <w:color w:val="000000"/>
          <w:sz w:val="20"/>
          <w:u w:val="single"/>
        </w:rPr>
        <w:t>Fixed assets - Tangible assets</w:t>
      </w:r>
    </w:p>
    <w:tbl>
      <w:tblPr>
        <w:tblW w:w="10205" w:type="dxa"/>
        <w:jc w:val="left"/>
        <w:tblInd w:w="0" w:type="dxa"/>
        <w:tblLayout w:type="fixed"/>
        <w:tblCellMar>
          <w:top w:w="28" w:type="dxa"/>
          <w:left w:w="28" w:type="dxa"/>
          <w:bottom w:w="28" w:type="dxa"/>
          <w:right w:w="28" w:type="dxa"/>
        </w:tblCellMar>
      </w:tblPr>
      <w:tblGrid>
        <w:gridCol w:w="124"/>
        <w:gridCol w:w="699"/>
        <w:gridCol w:w="585"/>
        <w:gridCol w:w="586"/>
        <w:gridCol w:w="462"/>
        <w:gridCol w:w="462"/>
        <w:gridCol w:w="464"/>
        <w:gridCol w:w="109"/>
        <w:gridCol w:w="109"/>
        <w:gridCol w:w="109"/>
        <w:gridCol w:w="599"/>
        <w:gridCol w:w="510"/>
        <w:gridCol w:w="512"/>
        <w:gridCol w:w="109"/>
        <w:gridCol w:w="109"/>
        <w:gridCol w:w="109"/>
        <w:gridCol w:w="582"/>
        <w:gridCol w:w="538"/>
        <w:gridCol w:w="545"/>
        <w:gridCol w:w="109"/>
        <w:gridCol w:w="109"/>
        <w:gridCol w:w="109"/>
        <w:gridCol w:w="345"/>
        <w:gridCol w:w="345"/>
        <w:gridCol w:w="346"/>
        <w:gridCol w:w="109"/>
        <w:gridCol w:w="109"/>
        <w:gridCol w:w="109"/>
        <w:gridCol w:w="345"/>
        <w:gridCol w:w="345"/>
        <w:gridCol w:w="503"/>
      </w:tblGrid>
      <w:tr>
        <w:trPr/>
        <w:tc>
          <w:tcPr>
            <w:tcW w:w="12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88"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33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Freehold</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Plant,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Investment property</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Other land and buildings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machinery and equipment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Motor Vehicles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u w:val="single"/>
              </w:rPr>
            </w:pPr>
            <w:r>
              <w:rPr>
                <w:rFonts w:ascii="Times New Roman;serif" w:hAnsi="Times New Roman;serif"/>
                <w:b/>
                <w:color w:val="000000"/>
                <w:sz w:val="18"/>
                <w:u w:val="single"/>
              </w:rPr>
              <w:t>Total</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13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Cost or Valuation</w:t>
            </w:r>
          </w:p>
        </w:tc>
        <w:tc>
          <w:tcPr>
            <w:tcW w:w="1388"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cMar>
              <w:top w:w="0" w:type="dxa"/>
              <w:left w:w="0" w:type="dxa"/>
              <w:bottom w:w="0" w:type="dxa"/>
              <w:right w:w="0" w:type="dxa"/>
            </w:tcMar>
            <w:vAlign w:val="center"/>
          </w:tcPr>
          <w:p>
            <w:pPr>
              <w:pStyle w:val="TableContents"/>
              <w:bidi w:val="0"/>
              <w:spacing w:before="0" w:after="0"/>
              <w:jc w:val="righ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As at 1</w:t>
            </w:r>
            <w:r>
              <w:rPr>
                <w:rFonts w:ascii="Times New Roman;serif" w:hAnsi="Times New Roman;serif"/>
                <w:b w:val="false"/>
                <w:color w:val="000000"/>
                <w:sz w:val="13"/>
              </w:rPr>
              <w:t xml:space="preserve">st </w:t>
            </w:r>
            <w:r>
              <w:rPr>
                <w:rFonts w:ascii="Times New Roman;serif" w:hAnsi="Times New Roman;serif"/>
                <w:b w:val="false"/>
                <w:color w:val="000000"/>
                <w:sz w:val="20"/>
              </w:rPr>
              <w:t>October 2024</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48,387,823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52,536,680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103,358,352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Additions in year</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1,545,901</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Disposals in year</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(5,618,937)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(6,396,042)</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Exchange adjustment </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(277,493)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w:t>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42,680,110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53,116,759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98,230,718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Accumulated Depreciation</w:t>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As at 1</w:t>
            </w:r>
            <w:r>
              <w:rPr>
                <w:rFonts w:ascii="Times New Roman;serif" w:hAnsi="Times New Roman;serif"/>
                <w:b w:val="false"/>
                <w:color w:val="000000"/>
                <w:sz w:val="13"/>
              </w:rPr>
              <w:t xml:space="preserve">st </w:t>
            </w:r>
            <w:r>
              <w:rPr>
                <w:rFonts w:ascii="Times New Roman;serif" w:hAnsi="Times New Roman;serif"/>
                <w:b w:val="false"/>
                <w:color w:val="000000"/>
                <w:sz w:val="20"/>
              </w:rPr>
              <w:t>October 2024</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9,712,598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34,459,785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44,185,848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Charge for year</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3,128,147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Released on disposals</w:t>
            </w:r>
          </w:p>
        </w:tc>
        <w:tc>
          <w:tcPr>
            <w:tcW w:w="13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(2,202,576)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(2,729,039)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Exchange adjustment</w:t>
            </w:r>
          </w:p>
        </w:tc>
        <w:tc>
          <w:tcPr>
            <w:tcW w:w="13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(63,933)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w:t>
            </w:r>
          </w:p>
        </w:tc>
        <w:tc>
          <w:tcPr>
            <w:tcW w:w="13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8,304,095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36,203,367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44,521,023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Net book value </w:t>
            </w:r>
          </w:p>
          <w:p>
            <w:pPr>
              <w:pStyle w:val="TableContents"/>
              <w:bidi w:val="0"/>
              <w:spacing w:lineRule="auto" w:line="288" w:before="0" w:after="0"/>
              <w:jc w:val="left"/>
              <w:rPr/>
            </w:pPr>
            <w:r>
              <w:rPr>
                <w:rFonts w:ascii="Times New Roman;serif" w:hAnsi="Times New Roman;serif"/>
                <w:b/>
                <w:color w:val="000000"/>
                <w:sz w:val="19"/>
              </w:rPr>
              <w:t>As at 30</w:t>
            </w:r>
            <w:r>
              <w:rPr>
                <w:rFonts w:ascii="Times New Roman;serif" w:hAnsi="Times New Roman;serif"/>
                <w:b/>
                <w:color w:val="000000"/>
                <w:sz w:val="12"/>
              </w:rPr>
              <w:t>th</w:t>
            </w:r>
            <w:r>
              <w:rPr>
                <w:color w:val="000000"/>
              </w:rPr>
              <w:t xml:space="preserve"> </w:t>
            </w:r>
            <w:r>
              <w:rPr>
                <w:rFonts w:ascii="Times New Roman;serif" w:hAnsi="Times New Roman;serif"/>
                <w:b/>
                <w:color w:val="000000"/>
                <w:sz w:val="19"/>
              </w:rPr>
              <w:t>September 2025</w:t>
            </w:r>
          </w:p>
        </w:tc>
        <w:tc>
          <w:tcPr>
            <w:tcW w:w="138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2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34,376,015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16,913,392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288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9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53,709,695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870"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40"/>
        <w:jc w:val="both"/>
        <w:rPr/>
      </w:pPr>
      <w:r>
        <w:rPr>
          <w:rFonts w:ascii="Times New Roman;serif" w:hAnsi="Times New Roman;serif"/>
          <w:b w:val="false"/>
          <w:color w:val="000000"/>
          <w:sz w:val="20"/>
        </w:rPr>
        <w:t>Assets under construction as of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 and 2024 were £4,298,253 and £3,706,752, respectively.</w:t>
      </w:r>
    </w:p>
    <w:p>
      <w:pPr>
        <w:pStyle w:val="TextBody"/>
        <w:bidi w:val="0"/>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288" w:before="240" w:after="283"/>
        <w:jc w:val="both"/>
        <w:rPr/>
      </w:pPr>
      <w:r>
        <w:rPr>
          <w:rFonts w:ascii="Times New Roman;serif" w:hAnsi="Times New Roman;serif"/>
          <w:b/>
          <w:color w:val="000000"/>
          <w:sz w:val="20"/>
        </w:rPr>
        <w:t>15    </w:t>
      </w:r>
      <w:r>
        <w:rPr>
          <w:rFonts w:ascii="Times New Roman;serif" w:hAnsi="Times New Roman;serif"/>
          <w:b/>
          <w:color w:val="000000"/>
          <w:sz w:val="20"/>
          <w:u w:val="single"/>
        </w:rPr>
        <w:t>Investments</w:t>
      </w:r>
    </w:p>
    <w:tbl>
      <w:tblPr>
        <w:tblW w:w="4480" w:type="dxa"/>
        <w:jc w:val="left"/>
        <w:tblInd w:w="0" w:type="dxa"/>
        <w:tblLayout w:type="fixed"/>
        <w:tblCellMar>
          <w:top w:w="28" w:type="dxa"/>
          <w:left w:w="28" w:type="dxa"/>
          <w:bottom w:w="28" w:type="dxa"/>
          <w:right w:w="28" w:type="dxa"/>
        </w:tblCellMar>
      </w:tblPr>
      <w:tblGrid>
        <w:gridCol w:w="124"/>
        <w:gridCol w:w="994"/>
        <w:gridCol w:w="994"/>
        <w:gridCol w:w="997"/>
        <w:gridCol w:w="109"/>
        <w:gridCol w:w="109"/>
        <w:gridCol w:w="109"/>
        <w:gridCol w:w="259"/>
        <w:gridCol w:w="259"/>
        <w:gridCol w:w="26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Unlisted Investments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Opening cost brought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September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Provision for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Opening provision brought forward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795,828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Movement in the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98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both"/>
        <w:rPr>
          <w:color w:val="000000"/>
        </w:rPr>
      </w:pPr>
      <w:r>
        <w:rPr>
          <w:color w:val="000000"/>
        </w:rPr>
        <w:t>    </w:t>
      </w:r>
    </w:p>
    <w:p>
      <w:pPr>
        <w:pStyle w:val="TextBody"/>
        <w:bidi w:val="0"/>
        <w:spacing w:lineRule="auto" w:line="288" w:before="240" w:after="283"/>
        <w:jc w:val="both"/>
        <w:rPr/>
      </w:pPr>
      <w:r>
        <w:rPr>
          <w:rFonts w:ascii="Times New Roman;serif" w:hAnsi="Times New Roman;serif"/>
          <w:b/>
          <w:color w:val="000000"/>
          <w:sz w:val="20"/>
        </w:rPr>
        <w:t>16    </w:t>
      </w:r>
      <w:r>
        <w:rPr>
          <w:rFonts w:ascii="Times New Roman;serif" w:hAnsi="Times New Roman;serif"/>
          <w:b/>
          <w:color w:val="000000"/>
          <w:sz w:val="20"/>
          <w:u w:val="single"/>
        </w:rPr>
        <w:t>Stocks</w:t>
      </w:r>
    </w:p>
    <w:tbl>
      <w:tblPr>
        <w:tblW w:w="4945" w:type="dxa"/>
        <w:jc w:val="left"/>
        <w:tblInd w:w="0" w:type="dxa"/>
        <w:tblLayout w:type="fixed"/>
        <w:tblCellMar>
          <w:top w:w="28" w:type="dxa"/>
          <w:left w:w="28" w:type="dxa"/>
          <w:bottom w:w="28" w:type="dxa"/>
          <w:right w:w="28" w:type="dxa"/>
        </w:tblCellMar>
      </w:tblPr>
      <w:tblGrid>
        <w:gridCol w:w="124"/>
        <w:gridCol w:w="1064"/>
        <w:gridCol w:w="1064"/>
        <w:gridCol w:w="1067"/>
        <w:gridCol w:w="109"/>
        <w:gridCol w:w="109"/>
        <w:gridCol w:w="109"/>
        <w:gridCol w:w="343"/>
        <w:gridCol w:w="343"/>
        <w:gridCol w:w="350"/>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Finished goods and goods for resale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8,646,374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Work in progress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2,152,862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6,979,374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5"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17,778,610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17    </w:t>
      </w:r>
      <w:r>
        <w:rPr>
          <w:rFonts w:ascii="Times New Roman;serif" w:hAnsi="Times New Roman;serif"/>
          <w:b/>
          <w:color w:val="000000"/>
          <w:sz w:val="20"/>
          <w:u w:val="single"/>
        </w:rPr>
        <w:t>Debtors</w:t>
      </w:r>
    </w:p>
    <w:tbl>
      <w:tblPr>
        <w:tblW w:w="5785" w:type="dxa"/>
        <w:jc w:val="left"/>
        <w:tblInd w:w="0" w:type="dxa"/>
        <w:tblLayout w:type="fixed"/>
        <w:tblCellMar>
          <w:top w:w="28" w:type="dxa"/>
          <w:left w:w="28" w:type="dxa"/>
          <w:bottom w:w="28" w:type="dxa"/>
          <w:right w:w="28" w:type="dxa"/>
        </w:tblCellMar>
      </w:tblPr>
      <w:tblGrid>
        <w:gridCol w:w="124"/>
        <w:gridCol w:w="1343"/>
        <w:gridCol w:w="1343"/>
        <w:gridCol w:w="1349"/>
        <w:gridCol w:w="109"/>
        <w:gridCol w:w="109"/>
        <w:gridCol w:w="109"/>
        <w:gridCol w:w="344"/>
        <w:gridCol w:w="344"/>
        <w:gridCol w:w="34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debtors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10,641,481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Bad debt provisions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1,391,202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Corporation and overseas profits tax recoverable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1,181,120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Other debtors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035"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15,829,384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288" w:before="240" w:after="283"/>
        <w:jc w:val="both"/>
        <w:rPr/>
      </w:pPr>
      <w:r>
        <w:rPr>
          <w:rFonts w:ascii="Times New Roman;serif" w:hAnsi="Times New Roman;serif"/>
          <w:b/>
          <w:color w:val="000000"/>
          <w:sz w:val="20"/>
        </w:rPr>
        <w:t>18    </w:t>
      </w:r>
      <w:r>
        <w:rPr>
          <w:rFonts w:ascii="Times New Roman;serif" w:hAnsi="Times New Roman;serif"/>
          <w:b/>
          <w:color w:val="000000"/>
          <w:sz w:val="20"/>
          <w:u w:val="single"/>
        </w:rPr>
        <w:t>Creditors: amounts falling due within one year</w:t>
      </w:r>
    </w:p>
    <w:tbl>
      <w:tblPr>
        <w:tblW w:w="5334" w:type="dxa"/>
        <w:jc w:val="left"/>
        <w:tblInd w:w="0" w:type="dxa"/>
        <w:tblLayout w:type="fixed"/>
        <w:tblCellMar>
          <w:top w:w="28" w:type="dxa"/>
          <w:left w:w="28" w:type="dxa"/>
          <w:bottom w:w="28" w:type="dxa"/>
          <w:right w:w="28" w:type="dxa"/>
        </w:tblCellMar>
      </w:tblPr>
      <w:tblGrid>
        <w:gridCol w:w="124"/>
        <w:gridCol w:w="1193"/>
        <w:gridCol w:w="1193"/>
        <w:gridCol w:w="1198"/>
        <w:gridCol w:w="109"/>
        <w:gridCol w:w="109"/>
        <w:gridCol w:w="109"/>
        <w:gridCol w:w="343"/>
        <w:gridCol w:w="343"/>
        <w:gridCol w:w="350"/>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Trade creditors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8,890,335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Unpaid directors' remuneration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Directors’ and shareholders’ loan accounts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Payroll and other taxes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941,087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Accruals and sundry creditors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294,562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584"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10,189,403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color w:val="000000"/>
          <w:sz w:val="20"/>
        </w:rPr>
        <w:t>19    </w:t>
      </w:r>
      <w:r>
        <w:rPr>
          <w:rFonts w:ascii="Times New Roman;serif" w:hAnsi="Times New Roman;serif"/>
          <w:b/>
          <w:color w:val="000000"/>
          <w:sz w:val="20"/>
          <w:u w:val="single"/>
        </w:rPr>
        <w:t>Provisions for liabilities and charges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Deferred taxation</w:t>
      </w:r>
    </w:p>
    <w:tbl>
      <w:tblPr>
        <w:tblW w:w="7315" w:type="dxa"/>
        <w:jc w:val="left"/>
        <w:tblInd w:w="0" w:type="dxa"/>
        <w:tblLayout w:type="fixed"/>
        <w:tblCellMar>
          <w:top w:w="28" w:type="dxa"/>
          <w:left w:w="28" w:type="dxa"/>
          <w:bottom w:w="28" w:type="dxa"/>
          <w:right w:w="28" w:type="dxa"/>
        </w:tblCellMar>
      </w:tblPr>
      <w:tblGrid>
        <w:gridCol w:w="124"/>
        <w:gridCol w:w="1588"/>
        <w:gridCol w:w="1588"/>
        <w:gridCol w:w="1591"/>
        <w:gridCol w:w="187"/>
        <w:gridCol w:w="187"/>
        <w:gridCol w:w="187"/>
        <w:gridCol w:w="531"/>
        <w:gridCol w:w="531"/>
        <w:gridCol w:w="53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6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Provisions brought forward</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3,712,901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Transfer from taxation account    </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Provision carried forward</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4,107,442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28"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deferred tax account consists of the tax effect of timing differences in respect of:</w:t>
            </w:r>
          </w:p>
        </w:tc>
        <w:tc>
          <w:tcPr>
            <w:tcW w:w="263" w:type="dxa"/>
            <w:gridSpan w:val="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561"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Accelerated capital allowances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4,264,907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Tax losses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(612,889)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revaluations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67"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60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4,107,442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20    </w:t>
      </w:r>
      <w:r>
        <w:rPr>
          <w:rFonts w:ascii="Times New Roman;serif" w:hAnsi="Times New Roman;serif"/>
          <w:b/>
          <w:color w:val="000000"/>
          <w:sz w:val="20"/>
          <w:u w:val="single"/>
        </w:rPr>
        <w:t>Carrying amount of financial assets and liabilities measured at amortised cost</w:t>
      </w:r>
    </w:p>
    <w:p>
      <w:pPr>
        <w:pStyle w:val="TextBody"/>
        <w:bidi w:val="0"/>
        <w:spacing w:lineRule="auto" w:line="288" w:before="0" w:after="0"/>
        <w:jc w:val="both"/>
        <w:rPr>
          <w:color w:val="000000"/>
        </w:rPr>
      </w:pPr>
      <w:r>
        <w:rPr>
          <w:color w:val="000000"/>
        </w:rPr>
        <w:t>        </w:t>
      </w:r>
    </w:p>
    <w:tbl>
      <w:tblPr>
        <w:tblW w:w="6100" w:type="dxa"/>
        <w:jc w:val="left"/>
        <w:tblInd w:w="0" w:type="dxa"/>
        <w:tblLayout w:type="fixed"/>
        <w:tblCellMar>
          <w:top w:w="28" w:type="dxa"/>
          <w:left w:w="28" w:type="dxa"/>
          <w:bottom w:w="28" w:type="dxa"/>
          <w:right w:w="28" w:type="dxa"/>
        </w:tblCellMar>
      </w:tblPr>
      <w:tblGrid>
        <w:gridCol w:w="124"/>
        <w:gridCol w:w="1448"/>
        <w:gridCol w:w="1448"/>
        <w:gridCol w:w="1454"/>
        <w:gridCol w:w="109"/>
        <w:gridCol w:w="109"/>
        <w:gridCol w:w="109"/>
        <w:gridCol w:w="344"/>
        <w:gridCol w:w="344"/>
        <w:gridCol w:w="34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debtors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10,641,481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debtors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2,708,248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financial assets measured at amortised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13,349,729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Trade creditors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8,890,335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300,981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financial liabilities measured at amortised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9,191,316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350" w:type="dxa"/>
            <w:gridSpan w:val="3"/>
            <w:tcBorders/>
            <w:vAlign w:val="center"/>
          </w:tcPr>
          <w:p>
            <w:pPr>
              <w:pStyle w:val="TableContents"/>
              <w:bidi w:val="0"/>
              <w:spacing w:before="0" w:after="283"/>
              <w:jc w:val="left"/>
              <w:rPr>
                <w:sz w:val="4"/>
                <w:szCs w:val="4"/>
              </w:rPr>
            </w:pPr>
            <w:r>
              <w:rPr>
                <w:sz w:val="4"/>
                <w:szCs w:val="4"/>
              </w:rPr>
            </w:r>
          </w:p>
        </w:tc>
        <w:tc>
          <w:tcPr>
            <w:tcW w:w="1626" w:type="dxa"/>
            <w:gridSpan w:val="8"/>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Derivative financial instruments – forward contracts</w:t>
      </w:r>
    </w:p>
    <w:p>
      <w:pPr>
        <w:pStyle w:val="TextBody"/>
        <w:bidi w:val="0"/>
        <w:spacing w:lineRule="auto" w:line="288" w:before="120" w:after="283"/>
        <w:jc w:val="both"/>
        <w:rPr/>
      </w:pPr>
      <w:r>
        <w:rPr>
          <w:rFonts w:ascii="Times New Roman;serif" w:hAnsi="Times New Roman;serif"/>
          <w:b w:val="false"/>
          <w:color w:val="000000"/>
          <w:sz w:val="20"/>
        </w:rPr>
        <w:t>The Company enters into foreign currency contracts to mitigate exchange rate risk for certain foreign currencies.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 the outstanding contract matures within 12 months of the year end. If the trigger levels are hit, the Company is committed to sell $nil and receive a fixed sterling amount of £nil.</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21    </w:t>
      </w:r>
      <w:r>
        <w:rPr>
          <w:rFonts w:ascii="Times New Roman;serif" w:hAnsi="Times New Roman;serif"/>
          <w:b/>
          <w:color w:val="000000"/>
          <w:sz w:val="20"/>
          <w:u w:val="single"/>
        </w:rPr>
        <w:t>Share capital</w:t>
      </w:r>
    </w:p>
    <w:tbl>
      <w:tblPr>
        <w:tblW w:w="10205" w:type="dxa"/>
        <w:jc w:val="left"/>
        <w:tblInd w:w="0" w:type="dxa"/>
        <w:tblLayout w:type="fixed"/>
        <w:tblCellMar>
          <w:top w:w="28" w:type="dxa"/>
          <w:left w:w="28" w:type="dxa"/>
          <w:bottom w:w="28" w:type="dxa"/>
          <w:right w:w="28" w:type="dxa"/>
        </w:tblCellMar>
      </w:tblPr>
      <w:tblGrid>
        <w:gridCol w:w="124"/>
        <w:gridCol w:w="2322"/>
        <w:gridCol w:w="2322"/>
        <w:gridCol w:w="2328"/>
        <w:gridCol w:w="246"/>
        <w:gridCol w:w="246"/>
        <w:gridCol w:w="246"/>
        <w:gridCol w:w="696"/>
        <w:gridCol w:w="696"/>
        <w:gridCol w:w="712"/>
        <w:gridCol w:w="109"/>
        <w:gridCol w:w="158"/>
      </w:tblGrid>
      <w:tr>
        <w:trPr/>
        <w:tc>
          <w:tcPr>
            <w:tcW w:w="12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vAlign w:val="center"/>
          </w:tcPr>
          <w:p>
            <w:pPr>
              <w:pStyle w:val="TableContents"/>
              <w:bidi w:val="0"/>
              <w:spacing w:before="0" w:after="283"/>
              <w:jc w:val="left"/>
              <w:rPr>
                <w:sz w:val="4"/>
                <w:szCs w:val="4"/>
              </w:rPr>
            </w:pPr>
            <w:r>
              <w:rPr>
                <w:sz w:val="4"/>
                <w:szCs w:val="4"/>
              </w:rPr>
            </w:r>
          </w:p>
        </w:tc>
        <w:tc>
          <w:tcPr>
            <w:tcW w:w="738" w:type="dxa"/>
            <w:gridSpan w:val="3"/>
            <w:tcBorders/>
            <w:vAlign w:val="center"/>
          </w:tcPr>
          <w:p>
            <w:pPr>
              <w:pStyle w:val="TableContents"/>
              <w:bidi w:val="0"/>
              <w:spacing w:before="0" w:after="283"/>
              <w:jc w:val="left"/>
              <w:rPr>
                <w:sz w:val="4"/>
                <w:szCs w:val="4"/>
              </w:rPr>
            </w:pPr>
            <w:r>
              <w:rPr>
                <w:sz w:val="4"/>
                <w:szCs w:val="4"/>
              </w:rPr>
            </w:r>
          </w:p>
        </w:tc>
        <w:tc>
          <w:tcPr>
            <w:tcW w:w="21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Authorised</w:t>
            </w:r>
          </w:p>
        </w:tc>
        <w:tc>
          <w:tcPr>
            <w:tcW w:w="7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tcMar>
              <w:top w:w="0" w:type="dxa"/>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1,000,000 ordinary A shares of 50 pence each</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5,000,000 ordinary B shares of 10 pence each    </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CCEEFF" w:val="clear"/>
            <w:tcMar>
              <w:top w:w="0" w:type="dxa"/>
              <w:left w:w="0" w:type="dxa"/>
              <w:bottom w:w="0" w:type="dxa"/>
              <w:right w:w="0" w:type="dxa"/>
            </w:tcMar>
            <w:vAlign w:val="center"/>
          </w:tcPr>
          <w:p>
            <w:pPr>
              <w:pStyle w:val="TableContents"/>
              <w:bidi w:val="0"/>
              <w:spacing w:before="0" w:after="0"/>
              <w:jc w:val="both"/>
              <w:rPr/>
            </w:pPr>
            <w:r>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Issued and fully paid</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948 ordinary A shares of 50 pence each    </w:t>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4,740 ordinary B shares of 10 pence each</w:t>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948</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6972" w:type="dxa"/>
            <w:gridSpan w:val="3"/>
            <w:tcBorders/>
            <w:tcMar>
              <w:top w:w="0" w:type="dxa"/>
              <w:left w:w="0" w:type="dxa"/>
              <w:bottom w:w="0" w:type="dxa"/>
              <w:right w:w="0" w:type="dxa"/>
            </w:tcMar>
            <w:vAlign w:val="center"/>
          </w:tcPr>
          <w:p>
            <w:pPr>
              <w:pStyle w:val="TableContents"/>
              <w:bidi w:val="0"/>
              <w:spacing w:before="0" w:after="0"/>
              <w:jc w:val="both"/>
              <w:rPr/>
            </w:pPr>
            <w:r>
              <w:rPr/>
            </w:r>
          </w:p>
        </w:tc>
        <w:tc>
          <w:tcPr>
            <w:tcW w:w="73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04" w:type="dxa"/>
            <w:gridSpan w:val="3"/>
            <w:tcBorders>
              <w:top w:val="double" w:sz="8" w:space="0" w:color="000000"/>
            </w:tcBorders>
            <w:tcMar>
              <w:left w:w="0" w:type="dxa"/>
              <w:bottom w:w="0" w:type="dxa"/>
              <w:right w:w="0" w:type="dxa"/>
            </w:tcMar>
            <w:vAlign w:val="center"/>
          </w:tcPr>
          <w:p>
            <w:pPr>
              <w:pStyle w:val="TableContents"/>
              <w:bidi w:val="0"/>
              <w:spacing w:before="0" w:after="0"/>
              <w:jc w:val="righ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9814" w:type="dxa"/>
            <w:gridSpan w:val="9"/>
            <w:tcBorders/>
            <w:shd w:fill="FFFF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The Company’s share capital was restructured on 27</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October 2005 upon approval by the Directors, being subdivided and converted into 948 ordinary ‘A’ shares of 50 pence each, and 4,740 ordinary ‘B’ shares of 10 pence each. The different shares carry different rights, but the issued share capital value remains unchanged.</w:t>
            </w:r>
          </w:p>
        </w:tc>
        <w:tc>
          <w:tcPr>
            <w:tcW w:w="267" w:type="dxa"/>
            <w:gridSpan w:val="2"/>
            <w:tcBorders/>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22    </w:t>
      </w:r>
      <w:r>
        <w:rPr>
          <w:rFonts w:ascii="Times New Roman;serif" w:hAnsi="Times New Roman;serif"/>
          <w:b/>
          <w:color w:val="000000"/>
          <w:sz w:val="20"/>
          <w:u w:val="single"/>
        </w:rPr>
        <w:t>Profit and loss account</w:t>
      </w:r>
    </w:p>
    <w:tbl>
      <w:tblPr>
        <w:tblW w:w="5334" w:type="dxa"/>
        <w:jc w:val="left"/>
        <w:tblInd w:w="0" w:type="dxa"/>
        <w:tblLayout w:type="fixed"/>
        <w:tblCellMar>
          <w:top w:w="28" w:type="dxa"/>
          <w:left w:w="28" w:type="dxa"/>
          <w:bottom w:w="28" w:type="dxa"/>
          <w:right w:w="28" w:type="dxa"/>
        </w:tblCellMar>
      </w:tblPr>
      <w:tblGrid>
        <w:gridCol w:w="124"/>
        <w:gridCol w:w="1158"/>
        <w:gridCol w:w="1158"/>
        <w:gridCol w:w="1163"/>
        <w:gridCol w:w="109"/>
        <w:gridCol w:w="109"/>
        <w:gridCol w:w="109"/>
        <w:gridCol w:w="379"/>
        <w:gridCol w:w="379"/>
        <w:gridCol w:w="383"/>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Balance at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October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101,800,502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 retained for the year after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0"/>
              </w:rPr>
              <w:t>Balance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102,666,391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Non-distributable reserves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Contained within the profit and loss account balances above are non-distributable reserves amounting to £1,789,697.</w:t>
      </w:r>
    </w:p>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23    </w:t>
      </w:r>
      <w:r>
        <w:rPr>
          <w:rFonts w:ascii="Times New Roman;serif" w:hAnsi="Times New Roman;serif"/>
          <w:b/>
          <w:color w:val="000000"/>
          <w:sz w:val="20"/>
          <w:u w:val="single"/>
        </w:rPr>
        <w:t>Reconciliation of movement in shareholders’ funds</w:t>
      </w:r>
    </w:p>
    <w:tbl>
      <w:tblPr>
        <w:tblW w:w="5515" w:type="dxa"/>
        <w:jc w:val="left"/>
        <w:tblInd w:w="0" w:type="dxa"/>
        <w:tblLayout w:type="fixed"/>
        <w:tblCellMar>
          <w:top w:w="28" w:type="dxa"/>
          <w:left w:w="28" w:type="dxa"/>
          <w:bottom w:w="28" w:type="dxa"/>
          <w:right w:w="28" w:type="dxa"/>
        </w:tblCellMar>
      </w:tblPr>
      <w:tblGrid>
        <w:gridCol w:w="124"/>
        <w:gridCol w:w="1219"/>
        <w:gridCol w:w="1219"/>
        <w:gridCol w:w="1222"/>
        <w:gridCol w:w="109"/>
        <w:gridCol w:w="109"/>
        <w:gridCol w:w="109"/>
        <w:gridCol w:w="378"/>
        <w:gridCol w:w="378"/>
        <w:gridCol w:w="385"/>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Profit for the year after taxation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(450,000)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 to shareholders'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865,889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Shareholders' funds at 1</w:t>
            </w:r>
            <w:r>
              <w:rPr>
                <w:rFonts w:ascii="Times New Roman;serif" w:hAnsi="Times New Roman;serif"/>
                <w:b w:val="false"/>
                <w:color w:val="000000"/>
                <w:sz w:val="13"/>
              </w:rPr>
              <w:t>st</w:t>
            </w:r>
            <w:r>
              <w:rPr>
                <w:color w:val="000000"/>
              </w:rPr>
              <w:t xml:space="preserve"> </w:t>
            </w:r>
            <w:r>
              <w:rPr>
                <w:rFonts w:ascii="Times New Roman;serif" w:hAnsi="Times New Roman;serif"/>
                <w:b w:val="false"/>
                <w:color w:val="000000"/>
                <w:sz w:val="20"/>
              </w:rPr>
              <w:t>October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101,801,502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6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Shareholders' funds at 30th September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102,667,391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240" w:after="283"/>
        <w:jc w:val="both"/>
        <w:rPr/>
      </w:pPr>
      <w:r>
        <w:rPr>
          <w:rFonts w:ascii="Times New Roman;serif" w:hAnsi="Times New Roman;serif"/>
          <w:b/>
          <w:color w:val="000000"/>
          <w:sz w:val="20"/>
        </w:rPr>
        <w:t>24    </w:t>
      </w:r>
      <w:r>
        <w:rPr>
          <w:rFonts w:ascii="Times New Roman;serif" w:hAnsi="Times New Roman;serif"/>
          <w:b/>
          <w:color w:val="000000"/>
          <w:sz w:val="20"/>
          <w:u w:val="single"/>
        </w:rPr>
        <w:t>Components of cash and cash equivalents</w:t>
      </w:r>
    </w:p>
    <w:tbl>
      <w:tblPr>
        <w:tblW w:w="2261" w:type="dxa"/>
        <w:jc w:val="left"/>
        <w:tblInd w:w="0" w:type="dxa"/>
        <w:tblLayout w:type="fixed"/>
        <w:tblCellMar>
          <w:top w:w="28" w:type="dxa"/>
          <w:left w:w="28" w:type="dxa"/>
          <w:bottom w:w="28" w:type="dxa"/>
          <w:right w:w="28" w:type="dxa"/>
        </w:tblCellMar>
      </w:tblPr>
      <w:tblGrid>
        <w:gridCol w:w="124"/>
        <w:gridCol w:w="170"/>
        <w:gridCol w:w="170"/>
        <w:gridCol w:w="171"/>
        <w:gridCol w:w="109"/>
        <w:gridCol w:w="109"/>
        <w:gridCol w:w="109"/>
        <w:gridCol w:w="344"/>
        <w:gridCol w:w="344"/>
        <w:gridCol w:w="348"/>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29,646,547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29,646,547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288" w:before="240" w:after="283"/>
        <w:ind w:left="0" w:right="0" w:hanging="90"/>
        <w:jc w:val="both"/>
        <w:rPr/>
      </w:pPr>
      <w:r>
        <w:rPr>
          <w:rFonts w:ascii="Times New Roman;serif" w:hAnsi="Times New Roman;serif"/>
          <w:b/>
          <w:color w:val="000000"/>
          <w:sz w:val="20"/>
        </w:rPr>
        <w:t>25    </w:t>
      </w:r>
      <w:r>
        <w:rPr>
          <w:rFonts w:ascii="Times New Roman;serif" w:hAnsi="Times New Roman;serif"/>
          <w:b/>
          <w:color w:val="000000"/>
          <w:sz w:val="20"/>
          <w:u w:val="single"/>
        </w:rPr>
        <w:t>Subsidiaries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At the balance sheet date, these were as follows (direct and indirect shareholdings):</w:t>
      </w:r>
    </w:p>
    <w:tbl>
      <w:tblPr>
        <w:tblW w:w="10205" w:type="dxa"/>
        <w:jc w:val="left"/>
        <w:tblInd w:w="0" w:type="dxa"/>
        <w:tblLayout w:type="fixed"/>
        <w:tblCellMar>
          <w:top w:w="28" w:type="dxa"/>
          <w:left w:w="28" w:type="dxa"/>
          <w:bottom w:w="28" w:type="dxa"/>
          <w:right w:w="28" w:type="dxa"/>
        </w:tblCellMar>
      </w:tblPr>
      <w:tblGrid>
        <w:gridCol w:w="124"/>
        <w:gridCol w:w="1015"/>
        <w:gridCol w:w="999"/>
        <w:gridCol w:w="993"/>
        <w:gridCol w:w="668"/>
        <w:gridCol w:w="668"/>
        <w:gridCol w:w="670"/>
        <w:gridCol w:w="1293"/>
        <w:gridCol w:w="1293"/>
        <w:gridCol w:w="1296"/>
        <w:gridCol w:w="109"/>
        <w:gridCol w:w="109"/>
        <w:gridCol w:w="109"/>
        <w:gridCol w:w="249"/>
        <w:gridCol w:w="249"/>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vAlign w:val="center"/>
          </w:tcPr>
          <w:p>
            <w:pPr>
              <w:pStyle w:val="TableContents"/>
              <w:bidi w:val="0"/>
              <w:spacing w:before="0" w:after="283"/>
              <w:jc w:val="left"/>
              <w:rPr>
                <w:sz w:val="4"/>
                <w:szCs w:val="4"/>
              </w:rPr>
            </w:pPr>
            <w:r>
              <w:rPr>
                <w:sz w:val="4"/>
                <w:szCs w:val="4"/>
              </w:rPr>
            </w:r>
          </w:p>
        </w:tc>
        <w:tc>
          <w:tcPr>
            <w:tcW w:w="2006" w:type="dxa"/>
            <w:gridSpan w:val="3"/>
            <w:tcBorders/>
            <w:vAlign w:val="center"/>
          </w:tcPr>
          <w:p>
            <w:pPr>
              <w:pStyle w:val="TableContents"/>
              <w:bidi w:val="0"/>
              <w:spacing w:before="0" w:after="283"/>
              <w:jc w:val="left"/>
              <w:rPr>
                <w:sz w:val="4"/>
                <w:szCs w:val="4"/>
              </w:rPr>
            </w:pPr>
            <w:r>
              <w:rPr>
                <w:sz w:val="4"/>
                <w:szCs w:val="4"/>
              </w:rPr>
            </w:r>
          </w:p>
        </w:tc>
        <w:tc>
          <w:tcPr>
            <w:tcW w:w="3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vAlign w:val="center"/>
          </w:tcPr>
          <w:p>
            <w:pPr>
              <w:pStyle w:val="TableContents"/>
              <w:bidi w:val="0"/>
              <w:spacing w:before="0" w:after="283"/>
              <w:jc w:val="left"/>
              <w:rPr>
                <w:sz w:val="4"/>
                <w:szCs w:val="4"/>
              </w:rPr>
            </w:pPr>
            <w:r>
              <w:rPr>
                <w:sz w:val="4"/>
                <w:szCs w:val="4"/>
              </w:rPr>
            </w:r>
          </w:p>
        </w:tc>
        <w:tc>
          <w:tcPr>
            <w:tcW w:w="7074" w:type="dxa"/>
            <w:gridSpan w:val="12"/>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Subsidiaries</w:t>
            </w:r>
          </w:p>
        </w:tc>
        <w:tc>
          <w:tcPr>
            <w:tcW w:w="20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Country of registration</w:t>
            </w:r>
          </w:p>
        </w:tc>
        <w:tc>
          <w:tcPr>
            <w:tcW w:w="388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Shareholding ordinary shares / common stock)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Status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Owen Mumford Limited    </w:t>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England    </w:t>
            </w:r>
          </w:p>
        </w:tc>
        <w:tc>
          <w:tcPr>
            <w:tcW w:w="38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Trading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Medicross Limited</w:t>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England    </w:t>
            </w:r>
          </w:p>
        </w:tc>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Dormant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Owen Mumford GmbH</w:t>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Germany</w:t>
            </w:r>
          </w:p>
        </w:tc>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Trading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Owen Mumford USA, Inc.</w:t>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USA</w:t>
            </w:r>
          </w:p>
        </w:tc>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Trading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OM-Medical-Shop GmbH        </w:t>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Germany</w:t>
            </w:r>
          </w:p>
        </w:tc>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Dormant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Owen Mumford Sdn. Bhd.    </w:t>
            </w:r>
          </w:p>
        </w:tc>
        <w:tc>
          <w:tcPr>
            <w:tcW w:w="20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Malaysia    </w:t>
            </w:r>
          </w:p>
        </w:tc>
        <w:tc>
          <w:tcPr>
            <w:tcW w:w="38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Trading</w:t>
            </w:r>
          </w:p>
        </w:tc>
      </w:tr>
      <w:tr>
        <w:trPr/>
        <w:tc>
          <w:tcPr>
            <w:tcW w:w="124" w:type="dxa"/>
            <w:tcBorders/>
            <w:vAlign w:val="center"/>
          </w:tcPr>
          <w:p>
            <w:pPr>
              <w:pStyle w:val="TableContents"/>
              <w:bidi w:val="0"/>
              <w:spacing w:before="0" w:after="283"/>
              <w:jc w:val="left"/>
              <w:rPr>
                <w:sz w:val="4"/>
                <w:szCs w:val="4"/>
              </w:rPr>
            </w:pPr>
            <w:r>
              <w:rPr>
                <w:sz w:val="4"/>
                <w:szCs w:val="4"/>
              </w:rPr>
            </w:r>
          </w:p>
        </w:tc>
        <w:tc>
          <w:tcPr>
            <w:tcW w:w="30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Owen Mumford Technology Limited</w:t>
            </w:r>
          </w:p>
        </w:tc>
        <w:tc>
          <w:tcPr>
            <w:tcW w:w="20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England    </w:t>
            </w:r>
          </w:p>
        </w:tc>
        <w:tc>
          <w:tcPr>
            <w:tcW w:w="38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Dormant</w:t>
            </w:r>
          </w:p>
        </w:tc>
      </w:tr>
    </w:tbl>
    <w:p>
      <w:pPr>
        <w:pStyle w:val="TextBody"/>
        <w:bidi w:val="0"/>
        <w:spacing w:before="0" w:after="0"/>
        <w:jc w:val="both"/>
        <w:rPr/>
      </w:pPr>
      <w:r>
        <w:rPr/>
      </w:r>
    </w:p>
    <w:p>
      <w:pPr>
        <w:pStyle w:val="TextBody"/>
        <w:bidi w:val="0"/>
        <w:spacing w:lineRule="auto" w:line="288" w:before="240" w:after="283"/>
        <w:jc w:val="both"/>
        <w:rPr/>
      </w:pPr>
      <w:r>
        <w:rPr>
          <w:rFonts w:ascii="Times New Roman;serif" w:hAnsi="Times New Roman;serif"/>
          <w:b/>
          <w:color w:val="000000"/>
          <w:sz w:val="20"/>
        </w:rPr>
        <w:t>26    </w:t>
      </w:r>
      <w:r>
        <w:rPr>
          <w:rFonts w:ascii="Times New Roman;serif" w:hAnsi="Times New Roman;serif"/>
          <w:b/>
          <w:color w:val="000000"/>
          <w:sz w:val="20"/>
          <w:u w:val="single"/>
        </w:rPr>
        <w:t>Contingent liabilities</w:t>
      </w:r>
    </w:p>
    <w:p>
      <w:pPr>
        <w:pStyle w:val="TextBody"/>
        <w:bidi w:val="0"/>
        <w:spacing w:lineRule="auto" w:line="288" w:before="120" w:after="120"/>
        <w:ind w:left="0" w:right="0" w:hanging="720"/>
        <w:jc w:val="both"/>
        <w:rPr/>
      </w:pPr>
      <w:r>
        <w:rPr>
          <w:rFonts w:ascii="Times New Roman;serif" w:hAnsi="Times New Roman;serif"/>
          <w:b/>
          <w:color w:val="000000"/>
          <w:sz w:val="20"/>
        </w:rPr>
        <w:t>(i)</w:t>
      </w:r>
      <w:r>
        <w:rPr>
          <w:rFonts w:ascii="Times New Roman;serif" w:hAnsi="Times New Roman;serif"/>
          <w:b w:val="false"/>
          <w:color w:val="000000"/>
          <w:sz w:val="20"/>
        </w:rPr>
        <w:t>Owen Mumford Limited has given an indemnity to HM Revenue and Customs, in the figure of £10,000.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27</w:t>
      </w:r>
      <w:r>
        <w:rPr>
          <w:rFonts w:ascii="Times New Roman;serif" w:hAnsi="Times New Roman;serif"/>
          <w:b/>
          <w:color w:val="000000"/>
          <w:sz w:val="20"/>
          <w:u w:val="single"/>
        </w:rPr>
        <w:t>Pension commitments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operates defined contribution pension schemes for the majority of its employees. The assets of the schemes are held separately from those of the Company in independently administered funds.</w:t>
      </w:r>
    </w:p>
    <w:p>
      <w:pPr>
        <w:pStyle w:val="TextBody"/>
        <w:bidi w:val="0"/>
        <w:spacing w:lineRule="auto" w:line="288" w:before="120" w:after="283"/>
        <w:jc w:val="both"/>
        <w:rPr/>
      </w:pPr>
      <w:r>
        <w:rPr>
          <w:rFonts w:ascii="Times New Roman;serif" w:hAnsi="Times New Roman;serif"/>
          <w:b w:val="false"/>
          <w:color w:val="000000"/>
          <w:sz w:val="20"/>
        </w:rPr>
        <w:t>During the year ended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 the Company has made payments of £2,034,798 for defined contribution plans for the year ending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 and an amount of £145,974 is due in relation to the same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28</w:t>
      </w:r>
      <w:r>
        <w:rPr>
          <w:rFonts w:ascii="Times New Roman;serif" w:hAnsi="Times New Roman;serif"/>
          <w:b/>
          <w:color w:val="000000"/>
          <w:sz w:val="20"/>
          <w:u w:val="single"/>
        </w:rPr>
        <w:t>Related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has taken advantage of the exemption available in Section 33 Related Party Disclosures of FRS 102 and has therefore not disclosed transactions entered into between wholly owned members of the group.</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During the year ended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September 2025, the Company had a lease agreement in place at 58b Oxford Street, property belonging to the Company, that was occupied by a family member of a former founder of the Company. There was no rent charged on the property. Rent foregone, in addition to the market value of rent for this property for the current period, were not material to the Consolidated Financial Statements. The family member vacated 58b Oxford Street on the 26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June 2026.</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color w:val="000000"/>
          <w:sz w:val="20"/>
        </w:rPr>
        <w:t>29</w:t>
      </w:r>
      <w:r>
        <w:rPr>
          <w:rFonts w:ascii="Times New Roman;serif" w:hAnsi="Times New Roman;serif"/>
          <w:b/>
          <w:color w:val="000000"/>
          <w:sz w:val="20"/>
          <w:u w:val="single"/>
        </w:rPr>
        <w:t>Capital commitments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was committed to capital expenditure of an estimated £6,217,060 in respect of plant and machinery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September 2025. </w:t>
      </w:r>
    </w:p>
    <w:p>
      <w:pPr>
        <w:pStyle w:val="TextBody"/>
        <w:bidi w:val="0"/>
        <w:spacing w:before="0" w:after="0"/>
        <w:ind w:left="0" w:right="0" w:hanging="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had the following future minimum lease payments under non-cancellable operating leases for each of the following periods:</w:t>
      </w:r>
    </w:p>
    <w:p>
      <w:pPr>
        <w:pStyle w:val="TextBody"/>
        <w:bidi w:val="0"/>
        <w:spacing w:before="0" w:after="0"/>
        <w:jc w:val="both"/>
        <w:rPr/>
      </w:pPr>
      <w:r>
        <w:rPr/>
      </w:r>
    </w:p>
    <w:tbl>
      <w:tblPr>
        <w:tblW w:w="5169" w:type="dxa"/>
        <w:jc w:val="left"/>
        <w:tblInd w:w="0" w:type="dxa"/>
        <w:tblLayout w:type="fixed"/>
        <w:tblCellMar>
          <w:top w:w="28" w:type="dxa"/>
          <w:left w:w="28" w:type="dxa"/>
          <w:bottom w:w="28" w:type="dxa"/>
          <w:right w:w="28" w:type="dxa"/>
        </w:tblCellMar>
      </w:tblPr>
      <w:tblGrid>
        <w:gridCol w:w="1437"/>
        <w:gridCol w:w="1265"/>
        <w:gridCol w:w="1273"/>
        <w:gridCol w:w="308"/>
        <w:gridCol w:w="308"/>
        <w:gridCol w:w="315"/>
        <w:gridCol w:w="109"/>
        <w:gridCol w:w="154"/>
      </w:tblGrid>
      <w:tr>
        <w:trPr/>
        <w:tc>
          <w:tcPr>
            <w:tcW w:w="1437"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Payments due</w:t>
            </w:r>
          </w:p>
        </w:tc>
        <w:tc>
          <w:tcPr>
            <w:tcW w:w="93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2025</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later than one year</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941,788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Later than one year and not later than five years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2,785,938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Later than five years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1,131,667</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0"/>
              <w:jc w:val="both"/>
              <w:rPr/>
            </w:pPr>
            <w:r>
              <w:rPr/>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4,859,393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ind w:left="0" w:right="0" w:hanging="72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before="0" w:after="0"/>
        <w:ind w:left="0" w:right="0" w:hanging="720"/>
        <w:jc w:val="center"/>
        <w:rPr/>
      </w:pPr>
      <w:r>
        <w:rPr/>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color w:val="000000"/>
          <w:sz w:val="20"/>
        </w:rPr>
        <w:t>30</w:t>
      </w:r>
      <w:r>
        <w:rPr>
          <w:rFonts w:ascii="Times New Roman;serif" w:hAnsi="Times New Roman;serif"/>
          <w:b/>
          <w:color w:val="000000"/>
          <w:sz w:val="20"/>
          <w:u w:val="single"/>
        </w:rPr>
        <w:t>Secured Liabilities</w:t>
      </w:r>
    </w:p>
    <w:p>
      <w:pPr>
        <w:pStyle w:val="TextBody"/>
        <w:bidi w:val="0"/>
        <w:spacing w:before="0" w:after="0"/>
        <w:ind w:left="0" w:right="0" w:hanging="720"/>
        <w:jc w:val="both"/>
        <w:rPr/>
      </w:pPr>
      <w:r>
        <w:rPr/>
      </w:r>
    </w:p>
    <w:p>
      <w:pPr>
        <w:pStyle w:val="TextBody"/>
        <w:bidi w:val="0"/>
        <w:spacing w:lineRule="auto" w:line="288" w:before="0" w:after="0"/>
        <w:jc w:val="both"/>
        <w:rPr/>
      </w:pPr>
      <w:r>
        <w:rPr>
          <w:rFonts w:ascii="Times New Roman;serif" w:hAnsi="Times New Roman;serif"/>
          <w:b w:val="false"/>
          <w:color w:val="000000"/>
          <w:sz w:val="20"/>
        </w:rPr>
        <w:t>The deeds to certain of the UK freehold property, owned by Owen Mumford Limited, are held by Barclays Bank Plc, under fixed charges, as security against the company’s credit facility of £4,000,000. The credit facility was undrawn as of the 30th of September 2025. The fixed charges are dated 2</w:t>
      </w:r>
      <w:r>
        <w:rPr>
          <w:rFonts w:ascii="Times New Roman;serif" w:hAnsi="Times New Roman;serif"/>
          <w:b w:val="false"/>
          <w:color w:val="000000"/>
          <w:sz w:val="13"/>
        </w:rPr>
        <w:t>nd</w:t>
      </w:r>
      <w:r>
        <w:rPr>
          <w:color w:val="000000"/>
        </w:rPr>
        <w:t xml:space="preserve"> </w:t>
      </w:r>
      <w:r>
        <w:rPr>
          <w:rFonts w:ascii="Times New Roman;serif" w:hAnsi="Times New Roman;serif"/>
          <w:b w:val="false"/>
          <w:color w:val="000000"/>
          <w:sz w:val="20"/>
        </w:rPr>
        <w:t>February 2006 and 26</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November 2008.</w:t>
      </w:r>
    </w:p>
    <w:p>
      <w:pPr>
        <w:pStyle w:val="TextBody"/>
        <w:bidi w:val="0"/>
        <w:spacing w:lineRule="auto" w:line="288" w:before="240" w:after="283"/>
        <w:jc w:val="both"/>
        <w:rPr/>
      </w:pPr>
      <w:r>
        <w:rPr>
          <w:rFonts w:ascii="Times New Roman;serif" w:hAnsi="Times New Roman;serif"/>
          <w:b/>
          <w:color w:val="000000"/>
          <w:sz w:val="20"/>
        </w:rPr>
        <w:t>31</w:t>
      </w:r>
      <w:r>
        <w:rPr>
          <w:rFonts w:ascii="Times New Roman;serif" w:hAnsi="Times New Roman;serif"/>
          <w:b/>
          <w:color w:val="000000"/>
          <w:sz w:val="20"/>
          <w:u w:val="single"/>
        </w:rPr>
        <w:t>Ultimate controlling party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Company has no ultimate controlling party at 30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September 2025.</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32</w:t>
      </w:r>
      <w:r>
        <w:rPr>
          <w:color w:val="000000"/>
        </w:rPr>
        <w:t>    </w:t>
      </w:r>
      <w:r>
        <w:rPr>
          <w:rFonts w:ascii="Times New Roman;serif" w:hAnsi="Times New Roman;serif"/>
          <w:b/>
          <w:color w:val="000000"/>
          <w:sz w:val="20"/>
          <w:u w:val="single"/>
        </w:rPr>
        <w:t>Events after the reporting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Effective 15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May 2026, Embecta acquired all of the issued share capital of the Company. Upon acquisition, the Company and its subsidiaries became wholly-owned subsidiaries of Embecta.</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33</w:t>
      </w:r>
      <w:r>
        <w:rPr>
          <w:rFonts w:ascii="Times New Roman;serif" w:hAnsi="Times New Roman;serif"/>
          <w:b/>
          <w:color w:val="000000"/>
          <w:sz w:val="20"/>
          <w:u w:val="single"/>
        </w:rPr>
        <w:t>Summary of differences between accounting principles generally accepted in the United Kingdom and the United States of America</w:t>
      </w:r>
    </w:p>
    <w:p>
      <w:pPr>
        <w:pStyle w:val="TextBody"/>
        <w:bidi w:val="0"/>
        <w:spacing w:before="0" w:after="0"/>
        <w:jc w:val="both"/>
        <w:rPr/>
      </w:pPr>
      <w:r>
        <w:rPr/>
      </w:r>
    </w:p>
    <w:p>
      <w:pPr>
        <w:pStyle w:val="TextBody"/>
        <w:bidi w:val="0"/>
        <w:spacing w:lineRule="auto" w:line="321" w:before="0" w:after="160"/>
        <w:jc w:val="both"/>
        <w:rPr>
          <w:rFonts w:ascii="Times New Roman;serif" w:hAnsi="Times New Roman;serif"/>
          <w:b/>
          <w:color w:val="000000"/>
          <w:sz w:val="20"/>
        </w:rPr>
      </w:pPr>
      <w:r>
        <w:rPr>
          <w:rFonts w:ascii="Times New Roman;serif" w:hAnsi="Times New Roman;serif"/>
          <w:b/>
          <w:color w:val="000000"/>
          <w:sz w:val="20"/>
        </w:rPr>
        <w:t>Reconciliations to US GAAP</w:t>
      </w:r>
    </w:p>
    <w:p>
      <w:pPr>
        <w:pStyle w:val="TextBody"/>
        <w:bidi w:val="0"/>
        <w:spacing w:lineRule="auto" w:line="321" w:before="0" w:after="160"/>
        <w:jc w:val="both"/>
        <w:rPr/>
      </w:pPr>
      <w:r>
        <w:rPr>
          <w:rFonts w:ascii="Times New Roman;serif" w:hAnsi="Times New Roman;serif"/>
          <w:b w:val="false"/>
          <w:color w:val="000000"/>
          <w:sz w:val="20"/>
        </w:rPr>
        <w:t xml:space="preserve">The Company financial statements have been prepared in compliance with United Kingdom Accounting Standards, including Financial Reporting Standard 102, </w:t>
      </w:r>
      <w:r>
        <w:rPr>
          <w:color w:val="000000"/>
        </w:rPr>
        <w:t>‘‘</w:t>
      </w:r>
      <w:r>
        <w:rPr>
          <w:rFonts w:ascii="Times New Roman;serif" w:hAnsi="Times New Roman;serif"/>
          <w:b w:val="false"/>
          <w:i/>
          <w:color w:val="000000"/>
          <w:sz w:val="20"/>
        </w:rPr>
        <w:t>The Financial Reporting Standard applicable in the United Kingdom and the Republic of Ireland’’</w:t>
      </w:r>
      <w:r>
        <w:rPr>
          <w:color w:val="000000"/>
        </w:rPr>
        <w:t xml:space="preserve"> </w:t>
      </w:r>
      <w:r>
        <w:rPr>
          <w:rFonts w:ascii="Times New Roman;serif" w:hAnsi="Times New Roman;serif"/>
          <w:b w:val="false"/>
          <w:color w:val="000000"/>
          <w:sz w:val="20"/>
        </w:rPr>
        <w:t>(‘‘FRS 102’’ or “Local GAAP”), which differ in certain respects from accounting principles generally accepted in the United States of America (“US GAAP”). Differences which have an effect on the net income, shareholders’ equity, and financial position of the Company are set out below:</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Effect of differences between Local GAAP and US GAAP on comprehensive income after tax:</w:t>
      </w:r>
    </w:p>
    <w:tbl>
      <w:tblPr>
        <w:tblW w:w="8435" w:type="dxa"/>
        <w:jc w:val="left"/>
        <w:tblInd w:w="0" w:type="dxa"/>
        <w:tblLayout w:type="fixed"/>
        <w:tblCellMar>
          <w:top w:w="28" w:type="dxa"/>
          <w:left w:w="28" w:type="dxa"/>
          <w:bottom w:w="28" w:type="dxa"/>
          <w:right w:w="28" w:type="dxa"/>
        </w:tblCellMar>
      </w:tblPr>
      <w:tblGrid>
        <w:gridCol w:w="2193"/>
        <w:gridCol w:w="1929"/>
        <w:gridCol w:w="1938"/>
        <w:gridCol w:w="165"/>
        <w:gridCol w:w="165"/>
        <w:gridCol w:w="166"/>
        <w:gridCol w:w="574"/>
        <w:gridCol w:w="574"/>
        <w:gridCol w:w="577"/>
        <w:gridCol w:w="154"/>
      </w:tblGrid>
      <w:tr>
        <w:trPr/>
        <w:tc>
          <w:tcPr>
            <w:tcW w:w="2193"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Year Ended</w:t>
            </w:r>
          </w:p>
        </w:tc>
        <w:tc>
          <w:tcPr>
            <w:tcW w:w="154" w:type="dxa"/>
            <w:tcBorders/>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725"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30 September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op w:val="single" w:sz="8" w:space="0" w:color="000000"/>
            </w:tcBorders>
            <w:tcMar>
              <w:left w:w="0" w:type="dxa"/>
              <w:bottom w:w="0" w:type="dxa"/>
              <w:right w:w="0" w:type="dxa"/>
            </w:tcMar>
            <w:vAlign w:val="center"/>
          </w:tcPr>
          <w:p>
            <w:pPr>
              <w:pStyle w:val="TableContents"/>
              <w:bidi w:val="0"/>
              <w:spacing w:before="0" w:after="160"/>
              <w:jc w:val="left"/>
              <w:rPr/>
            </w:pPr>
            <w:r>
              <w:rPr/>
            </w:r>
          </w:p>
        </w:tc>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Note</w:t>
            </w:r>
          </w:p>
        </w:tc>
        <w:tc>
          <w:tcPr>
            <w:tcW w:w="1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comprehensive income for the period in accordance to Local GAAP</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left"/>
              <w:rPr/>
            </w:pPr>
            <w:r>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1,315,889 </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US GAAP adjustments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Accounting for leases under US GAAP</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(30,920)</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for investment property revaluation under US GAAP</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comprehensive income for the year in accordance to US GAAP</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1,269,469 </w:t>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Effect of differences between Local GAAP and US GAAP on net assets:</w:t>
      </w:r>
    </w:p>
    <w:tbl>
      <w:tblPr>
        <w:tblW w:w="10205" w:type="dxa"/>
        <w:jc w:val="left"/>
        <w:tblInd w:w="0" w:type="dxa"/>
        <w:tblLayout w:type="fixed"/>
        <w:tblCellMar>
          <w:top w:w="28" w:type="dxa"/>
          <w:left w:w="28" w:type="dxa"/>
          <w:bottom w:w="28" w:type="dxa"/>
          <w:right w:w="28" w:type="dxa"/>
        </w:tblCellMar>
      </w:tblPr>
      <w:tblGrid>
        <w:gridCol w:w="2832"/>
        <w:gridCol w:w="2471"/>
        <w:gridCol w:w="2479"/>
        <w:gridCol w:w="165"/>
        <w:gridCol w:w="165"/>
        <w:gridCol w:w="166"/>
        <w:gridCol w:w="619"/>
        <w:gridCol w:w="608"/>
        <w:gridCol w:w="543"/>
        <w:gridCol w:w="157"/>
      </w:tblGrid>
      <w:tr>
        <w:trPr/>
        <w:tc>
          <w:tcPr>
            <w:tcW w:w="2832"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4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tcMar>
              <w:top w:w="0" w:type="dxa"/>
              <w:left w:w="0" w:type="dxa"/>
              <w:bottom w:w="0" w:type="dxa"/>
              <w:right w:w="0" w:type="dxa"/>
            </w:tcMar>
            <w:vAlign w:val="center"/>
          </w:tcPr>
          <w:p>
            <w:pPr>
              <w:pStyle w:val="TableContents"/>
              <w:bidi w:val="0"/>
              <w:spacing w:lineRule="auto" w:line="321" w:before="0" w:after="160"/>
              <w:jc w:val="center"/>
              <w:rPr>
                <w:color w:val="000000"/>
              </w:rPr>
            </w:pPr>
            <w:r>
              <w:rPr>
                <w:color w:val="000000"/>
              </w:rPr>
              <w:t> </w:t>
            </w:r>
            <w:r>
              <w:rPr>
                <w:rFonts w:ascii="Times New Roman;serif" w:hAnsi="Times New Roman;serif"/>
                <w:b/>
                <w:color w:val="000000"/>
                <w:sz w:val="20"/>
              </w:rPr>
              <w:t>Year Ended</w:t>
            </w:r>
          </w:p>
        </w:tc>
        <w:tc>
          <w:tcPr>
            <w:tcW w:w="157" w:type="dxa"/>
            <w:tcBorders/>
          </w:tcPr>
          <w:p>
            <w:pPr>
              <w:pStyle w:val="TableContents"/>
              <w:bidi w:val="0"/>
              <w:spacing w:before="0" w:after="283"/>
              <w:jc w:val="left"/>
              <w:rPr>
                <w:sz w:val="4"/>
                <w:szCs w:val="4"/>
              </w:rPr>
            </w:pPr>
            <w:r>
              <w:rPr>
                <w:sz w:val="4"/>
                <w:szCs w:val="4"/>
              </w:rPr>
            </w:r>
          </w:p>
        </w:tc>
      </w:tr>
      <w:tr>
        <w:trPr/>
        <w:tc>
          <w:tcPr>
            <w:tcW w:w="778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tcMar>
              <w:top w:w="0" w:type="dxa"/>
              <w:left w:w="0" w:type="dxa"/>
              <w:bottom w:w="0" w:type="dxa"/>
              <w:right w:w="0" w:type="dxa"/>
            </w:tcMar>
            <w:vAlign w:val="center"/>
          </w:tcPr>
          <w:p>
            <w:pPr>
              <w:pStyle w:val="TableContents"/>
              <w:bidi w:val="0"/>
              <w:spacing w:lineRule="auto" w:line="321" w:before="0" w:after="160"/>
              <w:jc w:val="center"/>
              <w:rPr/>
            </w:pPr>
            <w:r>
              <w:rPr>
                <w:rFonts w:ascii="Times New Roman;serif" w:hAnsi="Times New Roman;serif"/>
                <w:b/>
                <w:color w:val="000000"/>
                <w:sz w:val="20"/>
              </w:rPr>
              <w:t>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September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Note</w:t>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assets less current liabilities in accordance to Local GAAP</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left"/>
              <w:rPr/>
            </w:pPr>
            <w:r>
              <w:rPr/>
            </w:r>
          </w:p>
        </w:tc>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102,667,391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US GAAP adjustments</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Accounting for leases under US GAAP</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Addition of right of use asset</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3,360,168</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496"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Addition of short term lease liability</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(392,617)</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Addition of long term lease liability</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(2,851,759)</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Removal of prepaid rent</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(146,712)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impact of Accounting for leases under US 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(30,920)</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for Investment property under US GAAP</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Removal of investment property revaluation surplus and addition of accumulated depreciation catch-up, net of tax </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(1,635,201)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impact of Accounting for Investment property under US 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(1,635,201)</w:t>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assets less current liabilities in accordance to US 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2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101,001,270 </w:t>
            </w:r>
          </w:p>
        </w:tc>
        <w:tc>
          <w:tcPr>
            <w:tcW w:w="5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capital and reserves in accordance to Local 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102,667,391 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i/>
                <w:color w:val="000000"/>
                <w:sz w:val="20"/>
              </w:rPr>
            </w:pPr>
            <w:r>
              <w:rPr>
                <w:rFonts w:ascii="Times New Roman;serif" w:hAnsi="Times New Roman;serif"/>
                <w:b w:val="false"/>
                <w:i/>
                <w:color w:val="000000"/>
                <w:sz w:val="20"/>
              </w:rPr>
              <w:t>US GAAP adjustments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160"/>
              <w:jc w:val="left"/>
              <w:rPr/>
            </w:pPr>
            <w:r>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for operating leases under US 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(30,920)</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for investment property under US GAAP</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(1,635,201)</w:t>
            </w:r>
          </w:p>
        </w:tc>
        <w:tc>
          <w:tcPr>
            <w:tcW w:w="5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Total equity in accordance to US GAAP</w:t>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160"/>
              <w:jc w:val="left"/>
              <w:rPr/>
            </w:pPr>
            <w:r>
              <w:rPr/>
            </w:r>
          </w:p>
        </w:tc>
        <w:tc>
          <w:tcPr>
            <w:tcW w:w="122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101,001,270 </w:t>
            </w:r>
          </w:p>
        </w:tc>
        <w:tc>
          <w:tcPr>
            <w:tcW w:w="54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Effect of differences between Local GAAP and US GAAP to net cashflow:</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There are no significant differences to the net cash flow under US GAAP other than the additional non-cash disclosures included below.</w:t>
      </w:r>
    </w:p>
    <w:tbl>
      <w:tblPr>
        <w:tblW w:w="6740" w:type="dxa"/>
        <w:jc w:val="left"/>
        <w:tblInd w:w="0" w:type="dxa"/>
        <w:tblLayout w:type="fixed"/>
        <w:tblCellMar>
          <w:top w:w="28" w:type="dxa"/>
          <w:left w:w="28" w:type="dxa"/>
          <w:bottom w:w="28" w:type="dxa"/>
          <w:right w:w="28" w:type="dxa"/>
        </w:tblCellMar>
      </w:tblPr>
      <w:tblGrid>
        <w:gridCol w:w="1532"/>
        <w:gridCol w:w="1346"/>
        <w:gridCol w:w="1352"/>
        <w:gridCol w:w="165"/>
        <w:gridCol w:w="165"/>
        <w:gridCol w:w="166"/>
        <w:gridCol w:w="619"/>
        <w:gridCol w:w="619"/>
        <w:gridCol w:w="622"/>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86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860"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Year Ended</w:t>
            </w:r>
          </w:p>
        </w:tc>
        <w:tc>
          <w:tcPr>
            <w:tcW w:w="154" w:type="dxa"/>
            <w:tcBorders/>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1860" w:type="dxa"/>
            <w:gridSpan w:val="3"/>
            <w:tcBorders/>
            <w:tcMar>
              <w:top w:w="0" w:type="dxa"/>
              <w:left w:w="0" w:type="dxa"/>
              <w:bottom w:w="0" w:type="dxa"/>
              <w:right w:w="0" w:type="dxa"/>
            </w:tcMar>
            <w:vAlign w:val="center"/>
          </w:tcPr>
          <w:p>
            <w:pPr>
              <w:pStyle w:val="TableContents"/>
              <w:bidi w:val="0"/>
              <w:spacing w:lineRule="auto" w:line="321" w:before="0" w:after="160"/>
              <w:jc w:val="center"/>
              <w:rPr/>
            </w:pPr>
            <w:r>
              <w:rPr>
                <w:rFonts w:ascii="Times New Roman;serif" w:hAnsi="Times New Roman;serif"/>
                <w:b/>
                <w:color w:val="000000"/>
                <w:sz w:val="20"/>
              </w:rPr>
              <w:t>30</w:t>
            </w:r>
            <w:r>
              <w:rPr>
                <w:rFonts w:ascii="Times New Roman;serif" w:hAnsi="Times New Roman;serif"/>
                <w:b/>
                <w:color w:val="000000"/>
                <w:sz w:val="13"/>
              </w:rPr>
              <w:t>th</w:t>
            </w:r>
            <w:r>
              <w:rPr>
                <w:color w:val="000000"/>
              </w:rPr>
              <w:t xml:space="preserve"> </w:t>
            </w:r>
            <w:r>
              <w:rPr>
                <w:rFonts w:ascii="Times New Roman;serif" w:hAnsi="Times New Roman;serif"/>
                <w:b/>
                <w:color w:val="000000"/>
                <w:sz w:val="20"/>
              </w:rPr>
              <w:t>September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496"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Note</w:t>
            </w:r>
          </w:p>
        </w:tc>
        <w:tc>
          <w:tcPr>
            <w:tcW w:w="18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0"/>
              </w:rPr>
            </w:pPr>
            <w:r>
              <w:rPr>
                <w:rFonts w:ascii="Times New Roman;serif" w:hAnsi="Times New Roman;serif"/>
                <w:b/>
                <w:color w:val="000000"/>
                <w:sz w:val="20"/>
              </w:rPr>
              <w:t>Supplemental disclosures of noncash activity</w:t>
            </w:r>
          </w:p>
        </w:tc>
        <w:tc>
          <w:tcPr>
            <w:tcW w:w="4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left"/>
              <w:rPr/>
            </w:pPr>
            <w:r>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16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Initial measurement of operating right of use assets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3,424,673 </w:t>
            </w:r>
          </w:p>
        </w:tc>
        <w:tc>
          <w:tcPr>
            <w:tcW w:w="6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Initial measurement of operating lease liabilities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321"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321" w:before="0" w:after="283"/>
              <w:jc w:val="right"/>
              <w:rPr>
                <w:rFonts w:ascii="Times New Roman;serif" w:hAnsi="Times New Roman;serif"/>
                <w:b w:val="false"/>
                <w:color w:val="000000"/>
                <w:sz w:val="20"/>
              </w:rPr>
            </w:pPr>
            <w:r>
              <w:rPr>
                <w:rFonts w:ascii="Times New Roman;serif" w:hAnsi="Times New Roman;serif"/>
                <w:b w:val="false"/>
                <w:color w:val="000000"/>
                <w:sz w:val="20"/>
              </w:rPr>
              <w:t>(3,357,276)</w:t>
            </w:r>
          </w:p>
        </w:tc>
        <w:tc>
          <w:tcPr>
            <w:tcW w:w="6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OWEN MUMFORD HOLDINGS LIMITED (COMPANY NO: 555254)</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NOTES TO THE ACCOUNTS</w:t>
      </w:r>
    </w:p>
    <w:p>
      <w:pPr>
        <w:pStyle w:val="TextBody"/>
        <w:bidi w:val="0"/>
        <w:spacing w:lineRule="auto" w:line="556" w:before="0" w:after="0"/>
        <w:jc w:val="center"/>
        <w:rPr>
          <w:rFonts w:ascii="Times New Roman;serif" w:hAnsi="Times New Roman;serif"/>
          <w:b/>
          <w:color w:val="000000"/>
          <w:sz w:val="20"/>
        </w:rPr>
      </w:pPr>
      <w:r>
        <w:rPr>
          <w:rFonts w:ascii="Times New Roman;serif" w:hAnsi="Times New Roman;serif"/>
          <w:b/>
          <w:color w:val="000000"/>
          <w:sz w:val="20"/>
        </w:rPr>
        <w:t>FOR THE YEAR ENDED 30TH SEPTEMBER 2025</w:t>
      </w:r>
    </w:p>
    <w:p>
      <w:pPr>
        <w:pStyle w:val="TextBody"/>
        <w:bidi w:val="0"/>
        <w:spacing w:lineRule="auto" w:line="321" w:before="0" w:after="160"/>
        <w:jc w:val="both"/>
        <w:rPr>
          <w:rFonts w:ascii="Times New Roman;serif" w:hAnsi="Times New Roman;serif"/>
          <w:b w:val="false"/>
          <w:i/>
          <w:color w:val="000000"/>
          <w:sz w:val="20"/>
        </w:rPr>
      </w:pPr>
      <w:r>
        <w:rPr>
          <w:rFonts w:ascii="Times New Roman;serif" w:hAnsi="Times New Roman;serif"/>
          <w:b w:val="false"/>
          <w:i/>
          <w:color w:val="000000"/>
          <w:sz w:val="20"/>
        </w:rPr>
        <w:t>Explanation of Local GAAP to US GAAP differences</w:t>
      </w:r>
    </w:p>
    <w:p>
      <w:pPr>
        <w:pStyle w:val="TextBody"/>
        <w:bidi w:val="0"/>
        <w:spacing w:lineRule="auto" w:line="321" w:before="0" w:after="160"/>
        <w:jc w:val="both"/>
        <w:rPr/>
      </w:pPr>
      <w:r>
        <w:rPr>
          <w:rFonts w:ascii="Times New Roman;serif" w:hAnsi="Times New Roman;serif"/>
          <w:b w:val="false"/>
          <w:color w:val="000000"/>
          <w:sz w:val="20"/>
        </w:rPr>
        <w:t>1.</w:t>
      </w:r>
      <w:r>
        <w:rPr>
          <w:rFonts w:ascii="Times New Roman;serif" w:hAnsi="Times New Roman;serif"/>
          <w:b w:val="false"/>
          <w:color w:val="000000"/>
          <w:sz w:val="20"/>
        </w:rPr>
        <w:t>Accounting for Leases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Under Local GAAP, the Company has accounted for facility leases on an operating lease basis where expenses related to leases are charged to the profit and loss account on a straight-line based over the period of the lease.</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Under US GAAP, an asset is recorded for the right to use the underlying asset (“ROU asset”) associated with the lease. The ROU asset is initially measured equal to the lease liability and adjusted for lease payments made at or before lease commencement, lease incentives, and any initial direct costs. For operating leases, the asset is then subsequently amortized generally on a straight-line basis.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Under US GAAP, lease liabilities are recorded based on the present value of the future lease payments over the lease term and assessed as of the commencement date. Incentives received from landlords, such as reimbursements for tenant improvements and rent abatement periods, effectively reduce the total lease payments owed for leases.</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utilizes its incremental borrowing rate by lease term in order to calculate the present value of its future lease payments when the implicit rates in the leases agreements are not readily determinable. The discount rate represents a risk-adjusted rate on a secured basis, and is the rate at which the Company would borrow funds to satisfy the scheduled lease liability payment streams commensurate with the lease term. The Company used a discount rate for the operating leases as of the commencement date of the lease, using available data.</w:t>
      </w:r>
    </w:p>
    <w:p>
      <w:pPr>
        <w:pStyle w:val="TextBody"/>
        <w:bidi w:val="0"/>
        <w:spacing w:lineRule="auto" w:line="321" w:before="0" w:after="160"/>
        <w:jc w:val="both"/>
        <w:rPr/>
      </w:pPr>
      <w:r>
        <w:rPr>
          <w:rFonts w:ascii="Times New Roman;serif" w:hAnsi="Times New Roman;serif"/>
          <w:b w:val="false"/>
          <w:color w:val="000000"/>
          <w:sz w:val="20"/>
        </w:rPr>
        <w:t>2.</w:t>
      </w:r>
      <w:r>
        <w:rPr>
          <w:rFonts w:ascii="Times New Roman;serif" w:hAnsi="Times New Roman;serif"/>
          <w:b w:val="false"/>
          <w:color w:val="000000"/>
          <w:sz w:val="20"/>
        </w:rPr>
        <w:t>Accounting for Investment Property</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Under Local GAAP, the Company has measured the investment property held for long term investment at its fair value. No depreciation is recognized on the investment property. </w:t>
      </w:r>
    </w:p>
    <w:p>
      <w:pPr>
        <w:pStyle w:val="TextBody"/>
        <w:bidi w:val="0"/>
        <w:spacing w:lineRule="auto" w:line="321" w:before="0" w:after="160"/>
        <w:jc w:val="both"/>
        <w:rPr>
          <w:rFonts w:ascii="Times New Roman;serif" w:hAnsi="Times New Roman;serif"/>
          <w:b w:val="false"/>
          <w:color w:val="000000"/>
          <w:sz w:val="20"/>
        </w:rPr>
      </w:pPr>
      <w:r>
        <w:rPr>
          <w:rFonts w:ascii="Times New Roman;serif" w:hAnsi="Times New Roman;serif"/>
          <w:b w:val="false"/>
          <w:color w:val="000000"/>
          <w:sz w:val="20"/>
        </w:rPr>
        <w:t>Under US GAAP, property, plant and equipment, including real estate property, are stated at cost, less accumulated depreciation. Depreciation is principally provided on the straight-line basis over the estimated useful life of the asset.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 xml:space="preserve">UNAUDITED PRO FORMA CONDENSED COMBINED FINANCIAL INFORMATION </w:t>
      </w:r>
    </w:p>
    <w:p>
      <w:pPr>
        <w:pStyle w:val="TextBody"/>
        <w:bidi w:val="0"/>
        <w:spacing w:lineRule="auto" w:line="288" w:before="20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Introduction</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May 15, 2026, Embecta Corp. (“Embecta”) completed its previously announced acquisition (the “Transaction”) of Owen Mumford Holdings Limited (“Owen Mumford”), pursuant to the terms of the Agreement for the Sale and Purchase (“the Agreement”), dated as of March 19, 2026. Owen Mumford is a privately held, UK-based innovator and manufacturer of medical devices and drug-delivery technologies. The Transaction was unanimously approved by the Embecta Board of Directors. The consideration transferred and transferable related to the Transaction is comprised of (i) an upfront cash payment of £126.0 million ($166.1 million) at closing, including £26.0 million ($34.3 million) of closing net cash (subject to customary adjustments, including for working capital), and (ii) up to an additional £50.0 million ($65.9 million) in performance-based earn-out payments based on net sales of the Aidaptus® next-generation auto-injector platform in the three-year period following the closing, for a total transaction value of up to £176.0 million ($232.0 million). The earn-out consideration is contingent on and will be based on actual net sales of the Aidaptus® products for the relevant earn-out periods, with the earn-out commencement date being July 1, 2026.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condensed combined financial information has been prepared in accordance with Article 11 of Regulation S-X.</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pro forma condensed combined balance sheet as of March 31, 2026 and the unaudited pro forma condensed combined statements of operations for the fiscal year ended September 30, 2025 and the six months ended March 31, 2026, are presented herein. The unaudited pro forma condensed combined balance sheet combines the unaudited condensed consolidated balance sheets of Embecta and Owen Mumford as of March 31, 2026 and gives effect to the Transaction as if it occurred on March 31, 2026. The unaudited pro forma condensed combined statements of operations combine the historical results of Embecta and Owen Mumford for the fiscal year ended September 30, 2025 and the six months ended March 31, 2026 and give effect to the Transaction as if it occurred on October 1, 2024. </w:t>
      </w:r>
    </w:p>
    <w:p>
      <w:pPr>
        <w:pStyle w:val="TextBody"/>
        <w:bidi w:val="0"/>
        <w:spacing w:lineRule="auto" w:line="288" w:before="200" w:after="240"/>
        <w:jc w:val="both"/>
        <w:rPr>
          <w:rFonts w:ascii="Times New Roman;serif" w:hAnsi="Times New Roman;serif"/>
          <w:b w:val="false"/>
          <w:color w:val="000000"/>
          <w:sz w:val="20"/>
        </w:rPr>
      </w:pPr>
      <w:r>
        <w:rPr>
          <w:rFonts w:ascii="Times New Roman;serif" w:hAnsi="Times New Roman;serif"/>
          <w:b w:val="false"/>
          <w:color w:val="000000"/>
          <w:sz w:val="20"/>
        </w:rPr>
        <w:t>The historical financial information has been adjusted in the unaudited pro forma condensed combined financial information to give effect to the following adjustments: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Adjustments to reconcile Owen Mumford's historical financial statements prepared in accordance with United Kingdom Generally Accepted Accounting Practice ("UK GAAP"), including Financial Reporting Standard 102 ("FRS 102"), to U.S. Generally Accepted Accounting Principles ("US GAAP") and conversion from Pounds Sterling ("GBP") to U.S. dollars ("USD");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Addressing accounting policy differences and classification and presentation of certain financial information;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Application of transaction accounting adjustments and the acquisition method of accounting in connection with the Transaction;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Adjustments for incremental financing of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is based on the assumptions and adjustments made by management that are described in the accompanying notes. Accordingly, the pro forma adjustments are preliminary, subject to further revision as additional information becomes available and additional analyses are performed and have been made solely for the purpose of providing 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of Embecta performed a preliminary review of Owen Mumford's accounting policies and adjustments are detailed within Note 2. Embecta management will continue to perform a detailed review of Owen Mumford's accounting policies following the closing of the Transaction in an effort to determine if differences in accounting policies require further adjustment or reclassification of Owen Mumford's results of operations or assets or liabilities to conform to Embecta's accounting policies and classification. As a result, Embecta may subsequently identify additional differences in the accounting policies which could differ materially from the unaudited pro forma condensed combined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presented is for informational purposes only and is not necessarily indicative of the financial position or results of operations that would have been realized upon completion of the Acquisition on the dates set forth above, nor is it indicative of future results or the financial position of the combined company. The unaudited pro forma condensed combined financial information does not reflect any anticipated synergies or dis-synergies, operating efficiencies or cost savings that may result from the Acquisition. The pro forma adjustments, which Embecta believes are reasonable under the circumstances, are preliminary and are based upon available information and certain assumptions described in the accompanying notes to the unaudited pro forma condensed combined financial information. Actual results and valuations may differ materially from the assumptions within the accompanying unaudited pro forma condensed combined financial information.</w:t>
      </w:r>
    </w:p>
    <w:p>
      <w:pPr>
        <w:pStyle w:val="TextBody"/>
        <w:bidi w:val="0"/>
        <w:spacing w:before="0" w:after="0"/>
        <w:jc w:val="both"/>
        <w:rPr/>
      </w:pPr>
      <w:r>
        <w:rPr/>
      </w:r>
    </w:p>
    <w:p>
      <w:pPr>
        <w:pStyle w:val="TextBody"/>
        <w:bidi w:val="0"/>
        <w:spacing w:before="200" w:after="283"/>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should be read in conjunction with: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accompanying notes to the unaudited pro forma condensed combined financial information;</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historical audited consolidated financial statements of Embecta as of and for the fiscal year ended September 30, 2025 and the related notes, included in Embecta’s Annual Report on Form 10-K for the fiscal year ended September 30, 2025, filed with the SEC on November 25, 2025;</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historical unaudited condensed consolidated financial statements of Embecta as of and for the six months ended March 31, 2026 and the related notes, included in Embecta’s Quarterly Report on Form 10-Q for the period ended March 31, 2026, filed with the SEC on May 5, 2026; and</w:t>
      </w:r>
    </w:p>
    <w:p>
      <w:pPr>
        <w:pStyle w:val="TextBody"/>
        <w:bidi w:val="0"/>
        <w:spacing w:lineRule="auto" w:line="288" w:before="60" w:after="60"/>
        <w:ind w:left="0" w:right="0" w:hanging="360"/>
        <w:jc w:val="both"/>
        <w:rPr/>
      </w:pPr>
      <w:r>
        <w:rPr>
          <w:color w:val="000000"/>
        </w:rPr>
        <w:t>●</w:t>
      </w:r>
      <w:r>
        <w:rPr>
          <w:rFonts w:ascii="Times New Roman;serif" w:hAnsi="Times New Roman;serif"/>
          <w:b w:val="false"/>
          <w:color w:val="000000"/>
          <w:sz w:val="20"/>
        </w:rPr>
        <w:t>The historical audited consolidated financial statements of Owen Mumford as of and for the fiscal year ended September 30, 2025 and the related notes, included in Exhibit 99.1 to this Form 8-K/A.</w:t>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BALANCE SHEET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of March 31,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in millions)</w:t>
      </w:r>
    </w:p>
    <w:tbl>
      <w:tblPr>
        <w:tblW w:w="11935" w:type="dxa"/>
        <w:jc w:val="left"/>
        <w:tblInd w:w="0" w:type="dxa"/>
        <w:tblLayout w:type="fixed"/>
        <w:tblCellMar>
          <w:top w:w="28" w:type="dxa"/>
          <w:left w:w="28" w:type="dxa"/>
          <w:bottom w:w="28" w:type="dxa"/>
          <w:right w:w="28" w:type="dxa"/>
        </w:tblCellMar>
      </w:tblPr>
      <w:tblGrid>
        <w:gridCol w:w="502"/>
        <w:gridCol w:w="323"/>
        <w:gridCol w:w="256"/>
        <w:gridCol w:w="109"/>
        <w:gridCol w:w="109"/>
        <w:gridCol w:w="109"/>
        <w:gridCol w:w="211"/>
        <w:gridCol w:w="781"/>
        <w:gridCol w:w="109"/>
        <w:gridCol w:w="109"/>
        <w:gridCol w:w="109"/>
        <w:gridCol w:w="109"/>
        <w:gridCol w:w="211"/>
        <w:gridCol w:w="631"/>
        <w:gridCol w:w="109"/>
        <w:gridCol w:w="109"/>
        <w:gridCol w:w="109"/>
        <w:gridCol w:w="109"/>
        <w:gridCol w:w="286"/>
        <w:gridCol w:w="571"/>
        <w:gridCol w:w="149"/>
        <w:gridCol w:w="150"/>
        <w:gridCol w:w="150"/>
        <w:gridCol w:w="151"/>
        <w:gridCol w:w="109"/>
        <w:gridCol w:w="109"/>
        <w:gridCol w:w="109"/>
        <w:gridCol w:w="211"/>
        <w:gridCol w:w="631"/>
        <w:gridCol w:w="109"/>
        <w:gridCol w:w="109"/>
        <w:gridCol w:w="109"/>
        <w:gridCol w:w="109"/>
        <w:gridCol w:w="233"/>
        <w:gridCol w:w="697"/>
        <w:gridCol w:w="121"/>
        <w:gridCol w:w="150"/>
        <w:gridCol w:w="150"/>
        <w:gridCol w:w="151"/>
        <w:gridCol w:w="109"/>
        <w:gridCol w:w="109"/>
        <w:gridCol w:w="109"/>
        <w:gridCol w:w="223"/>
        <w:gridCol w:w="667"/>
        <w:gridCol w:w="116"/>
        <w:gridCol w:w="150"/>
        <w:gridCol w:w="150"/>
        <w:gridCol w:w="151"/>
        <w:gridCol w:w="109"/>
        <w:gridCol w:w="109"/>
        <w:gridCol w:w="109"/>
        <w:gridCol w:w="211"/>
        <w:gridCol w:w="781"/>
        <w:gridCol w:w="154"/>
      </w:tblGrid>
      <w:tr>
        <w:trPr/>
        <w:tc>
          <w:tcPr>
            <w:tcW w:w="50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Embecta</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As of March 31, 2026</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Owen Mumford Reclassified</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As of March 31, 2026</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(UK GAAP)</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U.S. GAAP Adjustments</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3)</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Owen Mumford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Transaction</w:t>
              <w:br/>
              <w:t>Accounting Adjustments – Acquisition</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5)</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Transaction Accounting Adjustments – Financing</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7)</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4" w:space="0" w:color="000000"/>
            </w:tcBorders>
            <w:shd w:fill="CCEEFF" w:val="clear"/>
            <w:tcMar>
              <w:left w:w="0" w:type="dxa"/>
              <w:bottom w:w="0" w:type="dxa"/>
              <w:right w:w="0" w:type="dxa"/>
            </w:tcMar>
            <w:vAlign w:val="center"/>
          </w:tcPr>
          <w:p>
            <w:pPr>
              <w:pStyle w:val="TableContents"/>
              <w:bidi w:val="0"/>
              <w:spacing w:before="20" w:after="20"/>
              <w:jc w:val="right"/>
              <w:rPr/>
            </w:pPr>
            <w:r>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20" w:after="20"/>
              <w:jc w:val="right"/>
              <w:rPr>
                <w:color w:val="000000"/>
              </w:rPr>
            </w:pPr>
            <w:r>
              <w:rPr>
                <w:color w:val="000000"/>
              </w:rPr>
              <w:t> </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 (net of allowance for doubtful accounts of $2.2 million and $1.8 million as of March 31, 2026 and September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color w:val="000000"/>
                <w:sz w:val="20"/>
              </w:rPr>
            </w:pPr>
            <w:r>
              <w:rPr>
                <w:rFonts w:ascii="Times New Roman;serif" w:hAnsi="Times New Roman;serif"/>
                <w:b/>
                <w:color w:val="000000"/>
                <w:sz w:val="20"/>
              </w:rPr>
              <w:t>$</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(164.5)</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707.9</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20"/>
              </w:rPr>
            </w:pPr>
            <w:r>
              <w:rPr>
                <w:rFonts w:ascii="Times New Roman;serif" w:hAnsi="Times New Roman;serif"/>
                <w:b w:val="false"/>
                <w:color w:val="000000"/>
                <w:sz w:val="20"/>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5g</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5c, 5d</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4"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20" w:after="20"/>
              <w:jc w:val="right"/>
              <w:rPr>
                <w:color w:val="000000"/>
              </w:rPr>
            </w:pPr>
            <w:r>
              <w:rPr>
                <w:color w:val="000000"/>
              </w:rPr>
              <w:t>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20" w:after="20"/>
              <w:jc w:val="right"/>
              <w:rPr>
                <w:color w:val="000000"/>
              </w:rPr>
            </w:pPr>
            <w:r>
              <w:rPr>
                <w:color w:val="000000"/>
              </w:rPr>
              <w:t> </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wages and related items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20"/>
              </w:rPr>
            </w:pPr>
            <w:r>
              <w:rPr>
                <w:rFonts w:ascii="Times New Roman;serif" w:hAnsi="Times New Roman;serif"/>
                <w:b w:val="false"/>
                <w:color w:val="000000"/>
                <w:sz w:val="20"/>
              </w:rPr>
              <w:t>7b</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448.2</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Income Taxes and Other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20"/>
              </w:rPr>
            </w:pPr>
            <w:r>
              <w:rPr>
                <w:rFonts w:ascii="Times New Roman;serif" w:hAnsi="Times New Roman;serif"/>
                <w:b w:val="false"/>
                <w:color w:val="000000"/>
                <w:sz w:val="20"/>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w:t>
            </w:r>
          </w:p>
        </w:tc>
        <w:tc>
          <w:tcPr>
            <w:tcW w:w="4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20"/>
              </w:rPr>
            </w:pPr>
            <w:r>
              <w:rPr>
                <w:rFonts w:ascii="Times New Roman;serif" w:hAnsi="Times New Roman;serif"/>
                <w:b w:val="false"/>
                <w:color w:val="000000"/>
                <w:sz w:val="20"/>
              </w:rPr>
              <w:t>4, 5e</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Long-Term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1,316.9</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 Current Finance Lease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1,914.5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Embecta Corp.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20" w:after="20"/>
              <w:jc w:val="right"/>
              <w:rPr>
                <w:color w:val="000000"/>
              </w:rPr>
            </w:pPr>
            <w:r>
              <w:rPr>
                <w:color w:val="000000"/>
              </w:rPr>
              <w:t> </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1413" w:type="dxa"/>
        <w:jc w:val="left"/>
        <w:tblInd w:w="0" w:type="dxa"/>
        <w:tblLayout w:type="fixed"/>
        <w:tblCellMar>
          <w:top w:w="28" w:type="dxa"/>
          <w:left w:w="28" w:type="dxa"/>
          <w:bottom w:w="28" w:type="dxa"/>
          <w:right w:w="28" w:type="dxa"/>
        </w:tblCellMar>
      </w:tblPr>
      <w:tblGrid>
        <w:gridCol w:w="547"/>
        <w:gridCol w:w="401"/>
        <w:gridCol w:w="403"/>
        <w:gridCol w:w="109"/>
        <w:gridCol w:w="109"/>
        <w:gridCol w:w="109"/>
        <w:gridCol w:w="211"/>
        <w:gridCol w:w="781"/>
        <w:gridCol w:w="109"/>
        <w:gridCol w:w="109"/>
        <w:gridCol w:w="109"/>
        <w:gridCol w:w="109"/>
        <w:gridCol w:w="211"/>
        <w:gridCol w:w="631"/>
        <w:gridCol w:w="109"/>
        <w:gridCol w:w="109"/>
        <w:gridCol w:w="109"/>
        <w:gridCol w:w="109"/>
        <w:gridCol w:w="211"/>
        <w:gridCol w:w="421"/>
        <w:gridCol w:w="109"/>
        <w:gridCol w:w="109"/>
        <w:gridCol w:w="109"/>
        <w:gridCol w:w="109"/>
        <w:gridCol w:w="109"/>
        <w:gridCol w:w="109"/>
        <w:gridCol w:w="109"/>
        <w:gridCol w:w="211"/>
        <w:gridCol w:w="631"/>
        <w:gridCol w:w="109"/>
        <w:gridCol w:w="109"/>
        <w:gridCol w:w="109"/>
        <w:gridCol w:w="109"/>
        <w:gridCol w:w="211"/>
        <w:gridCol w:w="631"/>
        <w:gridCol w:w="109"/>
        <w:gridCol w:w="109"/>
        <w:gridCol w:w="109"/>
        <w:gridCol w:w="109"/>
        <w:gridCol w:w="109"/>
        <w:gridCol w:w="109"/>
        <w:gridCol w:w="109"/>
        <w:gridCol w:w="211"/>
        <w:gridCol w:w="631"/>
        <w:gridCol w:w="109"/>
        <w:gridCol w:w="109"/>
        <w:gridCol w:w="109"/>
        <w:gridCol w:w="109"/>
        <w:gridCol w:w="109"/>
        <w:gridCol w:w="109"/>
        <w:gridCol w:w="109"/>
        <w:gridCol w:w="211"/>
        <w:gridCol w:w="781"/>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$0.01 par value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- 250,000,000</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- 59,327,677 as of March 31, 2026 and 58,496,113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Additional paid-in capital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Accumulated deficit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7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319" w:before="20" w:after="20"/>
              <w:jc w:val="right"/>
              <w:rPr>
                <w:rFonts w:ascii="Times New Roman;serif" w:hAnsi="Times New Roman;serif"/>
                <w:b w:val="false"/>
                <w:color w:val="000000"/>
                <w:sz w:val="20"/>
              </w:rPr>
            </w:pPr>
            <w:r>
              <w:rPr>
                <w:rFonts w:ascii="Times New Roman;serif" w:hAnsi="Times New Roman;serif"/>
                <w:b w:val="false"/>
                <w:color w:val="000000"/>
                <w:sz w:val="20"/>
              </w:rPr>
              <w:t>3a</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(430.6)</w:t>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 xml:space="preserve">Accumulated other comprehensive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19" w:before="20" w:after="20"/>
              <w:jc w:val="right"/>
              <w:rPr>
                <w:color w:val="000000"/>
              </w:rPr>
            </w:pPr>
            <w:r>
              <w:rPr>
                <w:color w:val="000000"/>
              </w:rPr>
              <w:t> </w:t>
            </w:r>
          </w:p>
        </w:tc>
        <w:tc>
          <w:tcPr>
            <w:tcW w:w="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(290.0)</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1,029.3</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154.8</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180.0</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1,282.5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See the accompanying notes to the unaudited pro forma condensed combined financial information.</w:t>
      </w:r>
    </w:p>
    <w:p>
      <w:pPr>
        <w:pStyle w:val="TextBody"/>
        <w:bidi w:val="0"/>
        <w:spacing w:before="0" w:after="0"/>
        <w:jc w:val="both"/>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Six Months Ended March 31,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xml:space="preserve">($ in millions, except per share data) </w:t>
      </w:r>
    </w:p>
    <w:tbl>
      <w:tblPr>
        <w:tblW w:w="11690" w:type="dxa"/>
        <w:jc w:val="left"/>
        <w:tblInd w:w="0" w:type="dxa"/>
        <w:tblLayout w:type="fixed"/>
        <w:tblCellMar>
          <w:top w:w="28" w:type="dxa"/>
          <w:left w:w="28" w:type="dxa"/>
          <w:bottom w:w="28" w:type="dxa"/>
          <w:right w:w="28" w:type="dxa"/>
        </w:tblCellMar>
      </w:tblPr>
      <w:tblGrid>
        <w:gridCol w:w="669"/>
        <w:gridCol w:w="329"/>
        <w:gridCol w:w="293"/>
        <w:gridCol w:w="109"/>
        <w:gridCol w:w="109"/>
        <w:gridCol w:w="109"/>
        <w:gridCol w:w="211"/>
        <w:gridCol w:w="616"/>
        <w:gridCol w:w="109"/>
        <w:gridCol w:w="109"/>
        <w:gridCol w:w="109"/>
        <w:gridCol w:w="109"/>
        <w:gridCol w:w="240"/>
        <w:gridCol w:w="581"/>
        <w:gridCol w:w="125"/>
        <w:gridCol w:w="109"/>
        <w:gridCol w:w="109"/>
        <w:gridCol w:w="109"/>
        <w:gridCol w:w="292"/>
        <w:gridCol w:w="562"/>
        <w:gridCol w:w="152"/>
        <w:gridCol w:w="150"/>
        <w:gridCol w:w="150"/>
        <w:gridCol w:w="151"/>
        <w:gridCol w:w="109"/>
        <w:gridCol w:w="109"/>
        <w:gridCol w:w="109"/>
        <w:gridCol w:w="211"/>
        <w:gridCol w:w="511"/>
        <w:gridCol w:w="109"/>
        <w:gridCol w:w="109"/>
        <w:gridCol w:w="109"/>
        <w:gridCol w:w="109"/>
        <w:gridCol w:w="299"/>
        <w:gridCol w:w="597"/>
        <w:gridCol w:w="155"/>
        <w:gridCol w:w="150"/>
        <w:gridCol w:w="150"/>
        <w:gridCol w:w="151"/>
        <w:gridCol w:w="109"/>
        <w:gridCol w:w="109"/>
        <w:gridCol w:w="109"/>
        <w:gridCol w:w="286"/>
        <w:gridCol w:w="571"/>
        <w:gridCol w:w="149"/>
        <w:gridCol w:w="150"/>
        <w:gridCol w:w="150"/>
        <w:gridCol w:w="151"/>
        <w:gridCol w:w="109"/>
        <w:gridCol w:w="109"/>
        <w:gridCol w:w="109"/>
        <w:gridCol w:w="211"/>
        <w:gridCol w:w="616"/>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Embecta</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Owen Mumford Reclassified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(UK GAAP)</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 GAAP Adjustments</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(Note 3)</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Transaction Accounting Adjustments – Acquisition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(Note 6)</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Transaction Accounting Adjustments – Financing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(Note 7)</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309.7</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0.3</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195.7</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32.5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9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left"/>
              <w:rPr/>
            </w:pPr>
            <w:r>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9"/>
        <w:jc w:val="left"/>
        <w:rPr>
          <w:rFonts w:ascii="Times New Roman;serif" w:hAnsi="Times New Roman;serif"/>
          <w:b w:val="false"/>
          <w:color w:val="000000"/>
          <w:sz w:val="16"/>
        </w:rPr>
      </w:pPr>
      <w:r>
        <w:rPr>
          <w:rFonts w:ascii="Times New Roman;serif" w:hAnsi="Times New Roman;serif"/>
          <w:b w:val="false"/>
          <w:color w:val="000000"/>
          <w:sz w:val="16"/>
        </w:rPr>
        <w:t>See the accompanying notes to the unaudited pro forma condensed combined financial information.</w:t>
      </w:r>
    </w:p>
    <w:p>
      <w:pPr>
        <w:pStyle w:val="TextBody"/>
        <w:bidi w:val="0"/>
        <w:spacing w:before="0" w:after="0"/>
        <w:jc w:val="both"/>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PRO FORMA CONDENSED COMBINED STATEMENT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 September 30, 2025</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 in millions, except per share data)</w:t>
      </w:r>
    </w:p>
    <w:tbl>
      <w:tblPr>
        <w:tblW w:w="11990" w:type="dxa"/>
        <w:jc w:val="left"/>
        <w:tblInd w:w="0" w:type="dxa"/>
        <w:tblLayout w:type="fixed"/>
        <w:tblCellMar>
          <w:top w:w="28" w:type="dxa"/>
          <w:left w:w="28" w:type="dxa"/>
          <w:bottom w:w="28" w:type="dxa"/>
          <w:right w:w="28" w:type="dxa"/>
        </w:tblCellMar>
      </w:tblPr>
      <w:tblGrid>
        <w:gridCol w:w="669"/>
        <w:gridCol w:w="329"/>
        <w:gridCol w:w="293"/>
        <w:gridCol w:w="109"/>
        <w:gridCol w:w="109"/>
        <w:gridCol w:w="109"/>
        <w:gridCol w:w="211"/>
        <w:gridCol w:w="766"/>
        <w:gridCol w:w="109"/>
        <w:gridCol w:w="109"/>
        <w:gridCol w:w="109"/>
        <w:gridCol w:w="109"/>
        <w:gridCol w:w="240"/>
        <w:gridCol w:w="581"/>
        <w:gridCol w:w="125"/>
        <w:gridCol w:w="109"/>
        <w:gridCol w:w="109"/>
        <w:gridCol w:w="109"/>
        <w:gridCol w:w="292"/>
        <w:gridCol w:w="562"/>
        <w:gridCol w:w="152"/>
        <w:gridCol w:w="150"/>
        <w:gridCol w:w="150"/>
        <w:gridCol w:w="151"/>
        <w:gridCol w:w="109"/>
        <w:gridCol w:w="109"/>
        <w:gridCol w:w="109"/>
        <w:gridCol w:w="211"/>
        <w:gridCol w:w="511"/>
        <w:gridCol w:w="109"/>
        <w:gridCol w:w="109"/>
        <w:gridCol w:w="109"/>
        <w:gridCol w:w="109"/>
        <w:gridCol w:w="262"/>
        <w:gridCol w:w="653"/>
        <w:gridCol w:w="136"/>
        <w:gridCol w:w="150"/>
        <w:gridCol w:w="150"/>
        <w:gridCol w:w="151"/>
        <w:gridCol w:w="109"/>
        <w:gridCol w:w="109"/>
        <w:gridCol w:w="109"/>
        <w:gridCol w:w="286"/>
        <w:gridCol w:w="571"/>
        <w:gridCol w:w="149"/>
        <w:gridCol w:w="150"/>
        <w:gridCol w:w="150"/>
        <w:gridCol w:w="151"/>
        <w:gridCol w:w="109"/>
        <w:gridCol w:w="109"/>
        <w:gridCol w:w="109"/>
        <w:gridCol w:w="211"/>
        <w:gridCol w:w="766"/>
        <w:gridCol w:w="154"/>
      </w:tblGrid>
      <w:tr>
        <w:trPr/>
        <w:tc>
          <w:tcPr>
            <w:tcW w:w="66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Embecta Year Ended September 30, 2025 (U.S.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Owen Mumford Reclassified</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 xml:space="preserve">Year Ended </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September 30, 2025</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(UK GAAP)</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U.S. GAAP Adjustments</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3)</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(U.S.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Transaction Accounting Adjustments – Acquisition</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6)</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Transaction Accounting Adjustments – Financing</w:t>
            </w:r>
          </w:p>
          <w:p>
            <w:pPr>
              <w:pStyle w:val="TableContents"/>
              <w:bidi w:val="0"/>
              <w:spacing w:lineRule="auto" w:line="288" w:before="20" w:after="20"/>
              <w:jc w:val="center"/>
              <w:rPr>
                <w:rFonts w:ascii="Times New Roman;serif" w:hAnsi="Times New Roman;serif"/>
                <w:b/>
                <w:color w:val="000000"/>
                <w:sz w:val="16"/>
              </w:rPr>
            </w:pPr>
            <w:r>
              <w:rPr>
                <w:rFonts w:ascii="Times New Roman;serif" w:hAnsi="Times New Roman;serif"/>
                <w:b/>
                <w:color w:val="000000"/>
                <w:sz w:val="16"/>
              </w:rPr>
              <w:t>(Note 7)</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 Forma Combined</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6a</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676.8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713.3</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383.9</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434.7</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44.8</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8.0</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487.5</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4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95.4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w:t>
            </w: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(13.2)</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(8.8)</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left"/>
              <w:rPr/>
            </w:pPr>
            <w:r>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94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left"/>
              <w:rPr/>
            </w:pPr>
            <w:r>
              <w:rPr/>
            </w:r>
          </w:p>
        </w:tc>
        <w:tc>
          <w:tcPr>
            <w:tcW w:w="83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20" w:after="20"/>
              <w:jc w:val="right"/>
              <w:rPr/>
            </w:pPr>
            <w:r>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See the accompanying notes to the unaudited pro forma condensed combined financial information.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00"/>
        <w:jc w:val="center"/>
        <w:rPr/>
      </w:pPr>
      <w:r>
        <w:rPr>
          <w:rFonts w:ascii="Times New Roman;serif" w:hAnsi="Times New Roman;serif"/>
          <w:b/>
          <w:color w:val="000000"/>
          <w:sz w:val="20"/>
          <w:shd w:fill="FFFFFF" w:val="clear"/>
        </w:rPr>
        <w:t>NOTES TO THE UNAUDITED PRO FORMA CONDENSED COMBINED</w:t>
      </w:r>
      <w:r>
        <w:rPr>
          <w:color w:val="4A86E8"/>
        </w:rPr>
        <w:t xml:space="preserve"> </w:t>
      </w:r>
      <w:r>
        <w:rPr>
          <w:rFonts w:ascii="Times New Roman;serif" w:hAnsi="Times New Roman;serif"/>
          <w:b/>
          <w:color w:val="000000"/>
          <w:sz w:val="20"/>
          <w:shd w:fill="FFFFFF" w:val="clear"/>
        </w:rPr>
        <w:t>FINANCIAL INFORMATION</w:t>
      </w:r>
    </w:p>
    <w:p>
      <w:pPr>
        <w:pStyle w:val="TextBody"/>
        <w:bidi w:val="0"/>
        <w:spacing w:lineRule="auto" w:line="288" w:before="240" w:after="200"/>
        <w:jc w:val="center"/>
        <w:rPr>
          <w:rFonts w:ascii="Times New Roman;serif" w:hAnsi="Times New Roman;serif"/>
          <w:b w:val="false"/>
          <w:color w:val="000000"/>
          <w:sz w:val="20"/>
        </w:rPr>
      </w:pPr>
      <w:r>
        <w:rPr>
          <w:rFonts w:ascii="Times New Roman;serif" w:hAnsi="Times New Roman;serif"/>
          <w:b w:val="false"/>
          <w:color w:val="000000"/>
          <w:sz w:val="20"/>
        </w:rPr>
        <w:t>($ in millions, except per share data)</w:t>
      </w:r>
    </w:p>
    <w:p>
      <w:pPr>
        <w:pStyle w:val="TextBody"/>
        <w:bidi w:val="0"/>
        <w:spacing w:lineRule="auto" w:line="288" w:before="240" w:after="20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Note 1 - Basis of Presentation</w:t>
      </w:r>
    </w:p>
    <w:p>
      <w:pPr>
        <w:pStyle w:val="TextBody"/>
        <w:bidi w:val="0"/>
        <w:spacing w:lineRule="auto" w:line="288" w:before="24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unaudited pro forma condensed combined financial statements and related notes are prepared in accordance with Article 11 of Regulation S-X and present the historical financial information of Embecta and Owen Mumford and the pro forma effects of the Transaction and certain transaction accounting adjustments described herein. The historical financial information of Embecta has been prepared in accordance with U.S. GAAP and presented in millions of USD. Owen Mumford's historical financial information has been prepared in accordance with UK GAAP (FRS 102), as issued by the Financial Reporting Council of the United Kingdom, presented in GBP and translated to USD for condensed combined pro forma financial information purposes. As such, certain UK GAAP to U.S. GAAP adjustments are included in the unaudited pro forma condensed combined financial information as discussed in Note 3 below. </w:t>
      </w:r>
    </w:p>
    <w:p>
      <w:pPr>
        <w:pStyle w:val="TextBody"/>
        <w:bidi w:val="0"/>
        <w:spacing w:lineRule="auto" w:line="288" w:before="24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business combination of Owen Mumford has been accounted for using the acquisition method of accounting as per the provisions of Accounting Standard Codification (“ASC”) 805 - Business Combinations (“ASC 805”), using the fair value concepts defined in ASC Topic 820 – Fair Value Measurement ("ASC 820") and based on the historical consolidated financial statements of Embecta and the historical consolidated financial statements of Owen Mumford. Under ASC 805, all assets acquired and liabilities assumed in a business combination are generally recognized and measured at their assumed acquisition date fair value, while transaction costs and restructuring costs associated with the business combination are expensed as incurred. The excess of preliminary purchase price over the fair value of assets acquired and liabilities assumed has been recorded as goodwill. </w:t>
      </w:r>
    </w:p>
    <w:p>
      <w:pPr>
        <w:pStyle w:val="TextBody"/>
        <w:bidi w:val="0"/>
        <w:spacing w:lineRule="auto" w:line="288" w:before="24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pro forma adjustments represent management's best estimates and are based upon available information and certain assumptions that the management of Embecta believes are reasonable under the circumstances. The unaudited condensed combined pro forma financial statements are not necessarily indicative of what the combined company's financial position or results of operations would have been had the Transaction been completed on the dates indicated.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 unaudited pro forma condensed combined financial information does not purport to project the future financial position or operating results of the combined company. There were no material transactions between Embecta and Owen Mumford during the periods presented in the unaudited pro forma condensed combined financial statements. </w:t>
      </w:r>
    </w:p>
    <w:p>
      <w:pPr>
        <w:pStyle w:val="TextBody"/>
        <w:bidi w:val="0"/>
        <w:spacing w:lineRule="auto" w:line="288" w:before="36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2 - Embecta and Owen Mumford Reclassification Adjustments </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financial statements of Owen Mumford were prepared in accordance with UK GAAP (FRS 102) and reported in Pounds Sterling (GBP).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preparation of this unaudited pro forma condensed combined financial information, management performed a preliminary analysis of Owen Mumford’s financial information to identify differences in accounting policies as compared to those of Embecta and differences in financial statement presentation as compared to the presentation of Embecta. With the information currently available, Embecta has determined there are certain accounting policy differences which have been adjusted for in the unaudited pro forma condensed combined financial information described in the note below. In addition, certain adjustments have been made to conform Owen Mumford’s historical financial statements under UK GAAP to U.S. GAAP, as outlined in Note 3. Management of the combined company is currently in the process of conducting a more detailed review of accounting policies and reclassifications, which could be materially different from the amounts set forth in the unaudited pro forma condensed combined financial information presented herein.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For purposes of preparing the unaudited pro forma condensed combined financial information, the historical financial information of Owen Mumford was translated from GBP to USD using the following historical exchange rates as posted by the Federal Reserve: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98"/>
        <w:gridCol w:w="2988"/>
        <w:gridCol w:w="2996"/>
        <w:gridCol w:w="308"/>
        <w:gridCol w:w="308"/>
        <w:gridCol w:w="207"/>
      </w:tblGrid>
      <w:tr>
        <w:trPr/>
        <w:tc>
          <w:tcPr>
            <w:tcW w:w="3398" w:type="dxa"/>
            <w:tcBorders/>
            <w:vAlign w:val="center"/>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c>
          <w:tcPr>
            <w:tcW w:w="29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9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 / £</w:t>
            </w:r>
          </w:p>
        </w:tc>
      </w:tr>
      <w:tr>
        <w:trPr/>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sheet and related adjustments as of March 31, 2026: period end exchange rate as of March 31, 2026</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income and related adjustments for the year ended September 30, 2025: average exchange rate for that period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income and related adjustments for the six months ended March 31, 2026: average exchange rate for that period</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120"/>
        <w:jc w:val="both"/>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 to the table below for a preliminary reconciliation of the unaudited consolidated balance sheet as of March 31, 2026 of Owen Mumford from historical presentation to Embecta’s presentation, translated into U.S. Dollars. The amounts included in the table below may differ slightly from the historical financial statements of Owen Mumford due to rounding.</w:t>
      </w:r>
    </w:p>
    <w:tbl>
      <w:tblPr>
        <w:tblW w:w="10205" w:type="dxa"/>
        <w:jc w:val="left"/>
        <w:tblInd w:w="0" w:type="dxa"/>
        <w:tblLayout w:type="fixed"/>
        <w:tblCellMar>
          <w:top w:w="28" w:type="dxa"/>
          <w:left w:w="28" w:type="dxa"/>
          <w:bottom w:w="28" w:type="dxa"/>
          <w:right w:w="28" w:type="dxa"/>
        </w:tblCellMar>
      </w:tblPr>
      <w:tblGrid>
        <w:gridCol w:w="893"/>
        <w:gridCol w:w="726"/>
        <w:gridCol w:w="730"/>
        <w:gridCol w:w="820"/>
        <w:gridCol w:w="820"/>
        <w:gridCol w:w="822"/>
        <w:gridCol w:w="374"/>
        <w:gridCol w:w="374"/>
        <w:gridCol w:w="375"/>
        <w:gridCol w:w="374"/>
        <w:gridCol w:w="374"/>
        <w:gridCol w:w="375"/>
        <w:gridCol w:w="410"/>
        <w:gridCol w:w="410"/>
        <w:gridCol w:w="411"/>
        <w:gridCol w:w="158"/>
        <w:gridCol w:w="158"/>
        <w:gridCol w:w="160"/>
        <w:gridCol w:w="420"/>
        <w:gridCol w:w="420"/>
        <w:gridCol w:w="601"/>
      </w:tblGrid>
      <w:tr>
        <w:trPr/>
        <w:tc>
          <w:tcPr>
            <w:tcW w:w="893"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Embecta Historical Consolidated Balance Sheet Line Items</w:t>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Owen Mumford Historical Consolidated Balance Sheet Line Items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(GBP) </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(USD) </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Reclassification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(USD)</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Owen Mumford Reclassified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As of March 31, 2026</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3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equivalents</w:t>
            </w:r>
          </w:p>
        </w:tc>
        <w:tc>
          <w:tcPr>
            <w:tcW w:w="246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at bank and in hand</w:t>
            </w:r>
          </w:p>
        </w:tc>
        <w:tc>
          <w:tcPr>
            <w:tcW w:w="11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12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38.7</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Trade receivables, net </w:t>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Debtors</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w:t>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76"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76"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2349" w:type="dxa"/>
            <w:gridSpan w:val="3"/>
            <w:tcBorders/>
            <w:vAlign w:val="center"/>
          </w:tcPr>
          <w:p>
            <w:pPr>
              <w:pStyle w:val="TableContents"/>
              <w:bidi w:val="0"/>
              <w:spacing w:before="0" w:after="283"/>
              <w:jc w:val="left"/>
              <w:rPr>
                <w:sz w:val="4"/>
                <w:szCs w:val="4"/>
              </w:rPr>
            </w:pPr>
            <w:r>
              <w:rPr>
                <w:sz w:val="4"/>
                <w:szCs w:val="4"/>
              </w:rPr>
            </w:r>
          </w:p>
        </w:tc>
        <w:tc>
          <w:tcPr>
            <w:tcW w:w="2462"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76"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w:t>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Tangible assets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53.5</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Intangible Assets</w:t>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Taxes and Other Assets</w:t>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Creditors: amounts falling due within one year</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w:t>
            </w:r>
          </w:p>
        </w:tc>
        <w:tc>
          <w:tcPr>
            <w:tcW w:w="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 b, c</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4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w:t>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Salaries, wages and related items</w:t>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4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w:t>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finance lease liabilities</w:t>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taxes</w:t>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Deferred Income Taxes and Other Liabilities </w:t>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liabilities and charges</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Long-Term Debt </w:t>
            </w:r>
          </w:p>
        </w:tc>
        <w:tc>
          <w:tcPr>
            <w:tcW w:w="2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 xml:space="preserve">Non Current Finance Lease Liabilities </w:t>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Called up share capital</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24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redemption reserve</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24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Profit and loss account</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102.2</w:t>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w:t>
            </w:r>
          </w:p>
        </w:tc>
      </w:tr>
      <w:tr>
        <w:trPr/>
        <w:tc>
          <w:tcPr>
            <w:tcW w:w="2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2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a)Reclassification of $0.5 million related to accruals and sundry creditors to 'Accrued expenses' to conform with Embecta's presentation.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b)Reclassification of $2.1 million related to payroll and other taxes and unpaid directors' remuneration to 'Salaries, wages and related items' to conform with Embecta's presentation.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c)Reclassification of $0.6 million related to rebates out of ‘Accounts payable’ and into ‘Trade receivables, net’ in a contra-asset position to align with Embecta policy.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Refer to the table below for a preliminary reconciliation of the unaudited Condensed Consolidated Statement of Comprehensive Income for the six months ended March 31, 2026 of Owen Mumford from UK GAAP to U.S. GAAP, using Embecta’s accounting policies, and translated into U.S. Dollars. The amounts included in the table below may differ slightly from historical financial statements of Owen Mumford due to rounding. </w:t>
      </w:r>
    </w:p>
    <w:tbl>
      <w:tblPr>
        <w:tblW w:w="10205" w:type="dxa"/>
        <w:jc w:val="left"/>
        <w:tblInd w:w="0" w:type="dxa"/>
        <w:tblLayout w:type="fixed"/>
        <w:tblCellMar>
          <w:top w:w="28" w:type="dxa"/>
          <w:left w:w="28" w:type="dxa"/>
          <w:bottom w:w="28" w:type="dxa"/>
          <w:right w:w="28" w:type="dxa"/>
        </w:tblCellMar>
      </w:tblPr>
      <w:tblGrid>
        <w:gridCol w:w="739"/>
        <w:gridCol w:w="629"/>
        <w:gridCol w:w="633"/>
        <w:gridCol w:w="753"/>
        <w:gridCol w:w="696"/>
        <w:gridCol w:w="698"/>
        <w:gridCol w:w="407"/>
        <w:gridCol w:w="407"/>
        <w:gridCol w:w="408"/>
        <w:gridCol w:w="407"/>
        <w:gridCol w:w="407"/>
        <w:gridCol w:w="408"/>
        <w:gridCol w:w="410"/>
        <w:gridCol w:w="410"/>
        <w:gridCol w:w="411"/>
        <w:gridCol w:w="161"/>
        <w:gridCol w:w="161"/>
        <w:gridCol w:w="163"/>
        <w:gridCol w:w="552"/>
        <w:gridCol w:w="552"/>
        <w:gridCol w:w="793"/>
      </w:tblGrid>
      <w:tr>
        <w:trPr/>
        <w:tc>
          <w:tcPr>
            <w:tcW w:w="73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Embecta Historical Consolidated Statement of Income Line Items</w:t>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Owen Mumford Historical Consolidated Statement of Income Line Items</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(GBP)</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(USD)</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Reclassification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(USD)</w:t>
            </w:r>
          </w:p>
        </w:tc>
        <w:tc>
          <w:tcPr>
            <w:tcW w:w="485"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Note</w:t>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Owen Mumford Reclassified Six months ended March 31, 2026</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0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14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Turnover</w:t>
            </w:r>
          </w:p>
        </w:tc>
        <w:tc>
          <w:tcPr>
            <w:tcW w:w="12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w:t>
            </w:r>
          </w:p>
        </w:tc>
        <w:tc>
          <w:tcPr>
            <w:tcW w:w="122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w:t>
            </w:r>
          </w:p>
        </w:tc>
        <w:tc>
          <w:tcPr>
            <w:tcW w:w="123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48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 </w:t>
            </w:r>
          </w:p>
        </w:tc>
        <w:tc>
          <w:tcPr>
            <w:tcW w:w="189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products sold</w:t>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w:t>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costs</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Administrative expenses</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 c</w:t>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2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w:t>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2001" w:type="dxa"/>
            <w:gridSpan w:val="3"/>
            <w:tcBorders/>
            <w:vAlign w:val="center"/>
          </w:tcPr>
          <w:p>
            <w:pPr>
              <w:pStyle w:val="TableContents"/>
              <w:bidi w:val="0"/>
              <w:spacing w:before="0" w:after="283"/>
              <w:jc w:val="left"/>
              <w:rPr>
                <w:sz w:val="4"/>
                <w:szCs w:val="4"/>
              </w:rPr>
            </w:pPr>
            <w:r>
              <w:rPr>
                <w:sz w:val="4"/>
                <w:szCs w:val="4"/>
              </w:rPr>
            </w:r>
          </w:p>
        </w:tc>
        <w:tc>
          <w:tcPr>
            <w:tcW w:w="214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85" w:type="dxa"/>
            <w:gridSpan w:val="3"/>
            <w:tcBorders/>
            <w:vAlign w:val="center"/>
          </w:tcPr>
          <w:p>
            <w:pPr>
              <w:pStyle w:val="TableContents"/>
              <w:bidi w:val="0"/>
              <w:spacing w:before="0" w:after="283"/>
              <w:jc w:val="left"/>
              <w:rPr>
                <w:sz w:val="4"/>
                <w:szCs w:val="4"/>
              </w:rPr>
            </w:pPr>
            <w:r>
              <w:rPr>
                <w:sz w:val="4"/>
                <w:szCs w:val="4"/>
              </w:rPr>
            </w:r>
          </w:p>
        </w:tc>
        <w:tc>
          <w:tcPr>
            <w:tcW w:w="1897" w:type="dxa"/>
            <w:gridSpan w:val="3"/>
            <w:tcBorders/>
            <w:vAlign w:val="center"/>
          </w:tcPr>
          <w:p>
            <w:pPr>
              <w:pStyle w:val="TableContents"/>
              <w:bidi w:val="0"/>
              <w:spacing w:before="0" w:after="283"/>
              <w:jc w:val="left"/>
              <w:rPr>
                <w:sz w:val="4"/>
                <w:szCs w:val="4"/>
              </w:rPr>
            </w:pPr>
            <w:r>
              <w:rPr>
                <w:sz w:val="4"/>
                <w:szCs w:val="4"/>
              </w:rPr>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b, d, e</w:t>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(Profit)/loss on sale of fixed assets</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w:t>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2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 and similar income</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payable</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2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16"/>
              </w:rPr>
              <w:t>c, e</w:t>
            </w:r>
          </w:p>
        </w:tc>
        <w:tc>
          <w:tcPr>
            <w:tcW w:w="1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r>
      <w:tr>
        <w:trPr/>
        <w:tc>
          <w:tcPr>
            <w:tcW w:w="20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2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profit/(loss) on ordinary activities</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r>
    </w:tbl>
    <w:p>
      <w:pPr>
        <w:pStyle w:val="TextBody"/>
        <w:bidi w:val="0"/>
        <w:spacing w:lineRule="auto" w:line="288" w:before="12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a)Reclassification of $0.3 million of research and development costs out of ‘Selling and administrative expense’ and into 'Research and development expense' to conform with Embecta's presentation.</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b)Reclassification to combine $0.1 million of profit on sale of fixed assets into 'Other operating expenses' to conform with Embecta's presentation.</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c)Reclassification of $(0.4) million exchange gains/losses on transactions out of ‘Selling and administrative expense’ and into ‘Other income (expense), net’, to conform with Embecta's presentation.</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d)Reclassification of $0.8 million of royalty income out of ‘Other operating income’ and into ‘Revenue’ to conform with Embecta's presentation.</w:t>
      </w:r>
    </w:p>
    <w:p>
      <w:pPr>
        <w:pStyle w:val="TextBody"/>
        <w:bidi w:val="0"/>
        <w:spacing w:lineRule="auto" w:line="288"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e)Reclassification of $0.1 million of rental income out of ‘Other operating income’ and into ‘Other income (expense), net’ to conform with Embecta's presentation.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Refer to the table below for a preliminary reconciliation of the audited Consolidated Statement of Comprehensive Income for the fiscal year ended September 30, 2025 of Owen Mumford from UK GAAP to U.S. GAAP, using Embecta’s accounting policies, and translated into U.S. Dollars. The amounts included in the table below may differ slightly from the historical financial statements of Owen Mumford due to rounding.</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40"/>
        <w:gridCol w:w="630"/>
        <w:gridCol w:w="634"/>
        <w:gridCol w:w="754"/>
        <w:gridCol w:w="698"/>
        <w:gridCol w:w="699"/>
        <w:gridCol w:w="414"/>
        <w:gridCol w:w="414"/>
        <w:gridCol w:w="416"/>
        <w:gridCol w:w="414"/>
        <w:gridCol w:w="414"/>
        <w:gridCol w:w="416"/>
        <w:gridCol w:w="410"/>
        <w:gridCol w:w="410"/>
        <w:gridCol w:w="411"/>
        <w:gridCol w:w="155"/>
        <w:gridCol w:w="155"/>
        <w:gridCol w:w="157"/>
        <w:gridCol w:w="542"/>
        <w:gridCol w:w="542"/>
        <w:gridCol w:w="780"/>
      </w:tblGrid>
      <w:tr>
        <w:trPr/>
        <w:tc>
          <w:tcPr>
            <w:tcW w:w="7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Embecta Historical Consolidated Statement of Income Line Items</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Owen Mumford Historical Consolidated Statement of Income Line Items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September 30, 2025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(GBP)</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Owen Mumford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September 30, 2025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(USD)</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Reclassification</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(USD)</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Note</w:t>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Owen Mumford Reclassified Year ended September 30, 2025</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(USD)</w:t>
            </w:r>
          </w:p>
        </w:tc>
      </w:tr>
      <w:tr>
        <w:trPr/>
        <w:tc>
          <w:tcPr>
            <w:tcW w:w="2004"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Revenues</w:t>
            </w:r>
          </w:p>
        </w:tc>
        <w:tc>
          <w:tcPr>
            <w:tcW w:w="2151"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Turnover</w:t>
            </w:r>
          </w:p>
        </w:tc>
        <w:tc>
          <w:tcPr>
            <w:tcW w:w="1244"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68.6</w:t>
            </w:r>
          </w:p>
        </w:tc>
        <w:tc>
          <w:tcPr>
            <w:tcW w:w="1244"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w:t>
            </w:r>
          </w:p>
        </w:tc>
        <w:tc>
          <w:tcPr>
            <w:tcW w:w="1231"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467"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d</w:t>
            </w:r>
          </w:p>
        </w:tc>
        <w:tc>
          <w:tcPr>
            <w:tcW w:w="1864" w:type="dxa"/>
            <w:gridSpan w:val="3"/>
            <w:tcBorders>
              <w:top w:val="single" w:sz="4" w:space="0" w:color="000000"/>
            </w:tcBorders>
            <w:shd w:fill="CCEC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products sold</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35.4</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46.2</w:t>
            </w:r>
          </w:p>
        </w:tc>
      </w:tr>
      <w:tr>
        <w:trPr/>
        <w:tc>
          <w:tcPr>
            <w:tcW w:w="200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administrative expense</w:t>
            </w:r>
          </w:p>
        </w:tc>
        <w:tc>
          <w:tcPr>
            <w:tcW w:w="215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 costs</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2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Administrative expenses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43.5</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 c, f</w:t>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 expense</w:t>
            </w:r>
          </w:p>
        </w:tc>
        <w:tc>
          <w:tcPr>
            <w:tcW w:w="21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46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b</w:t>
            </w:r>
          </w:p>
        </w:tc>
        <w:tc>
          <w:tcPr>
            <w:tcW w:w="186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Impairment expense</w:t>
            </w:r>
          </w:p>
        </w:tc>
        <w:tc>
          <w:tcPr>
            <w:tcW w:w="2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f</w:t>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r>
      <w:tr>
        <w:trPr/>
        <w:tc>
          <w:tcPr>
            <w:tcW w:w="200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215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2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46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 d, e</w:t>
            </w:r>
          </w:p>
        </w:tc>
        <w:tc>
          <w:tcPr>
            <w:tcW w:w="186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(Profit)/loss on sale of fixed assets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a</w:t>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 net</w:t>
            </w:r>
          </w:p>
        </w:tc>
        <w:tc>
          <w:tcPr>
            <w:tcW w:w="215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receivable and similar income</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2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Interest payable</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00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2151" w:type="dxa"/>
            <w:gridSpan w:val="3"/>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4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23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467"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c, e</w:t>
            </w:r>
          </w:p>
        </w:tc>
        <w:tc>
          <w:tcPr>
            <w:tcW w:w="1864"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r>
      <w:tr>
        <w:trPr/>
        <w:tc>
          <w:tcPr>
            <w:tcW w:w="2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provision (benefit)</w:t>
            </w:r>
          </w:p>
        </w:tc>
        <w:tc>
          <w:tcPr>
            <w:tcW w:w="21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on profit/(loss) on ordinary activities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r>
    </w:tbl>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a)Reclassification to combine $2.8 million of profit on sale of fixed assets into 'Other operating expenses' to conform with Embecta's presentation.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b)Reclassification of $1.3 million of research and development costs out of the ‘Administrative expenses’ and into 'Research and development expense' to conform with Embecta's presentation.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c)Reclassification of $0.4 million exchange gains/losses on transactions out of ‘Administrative expenses’ and into ‘Other income (expense), net’, to conform with Embecta's presentation.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d)Reclassification of $2.5 million of royalty income out of ‘Other operating income’ and into ‘Revenues’ to conform with Embecta's presentation.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e)Reclassification of $0.3 million of rental income out of ‘Other operating income’ and into ‘Other income (expense), net’ to conform with Embecta's presentation.</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f)Reclassification of $0.5 million of impairment expense out of ‘Administrative expenses’ and into ‘Impairment expense’ to conform with Embecta’s presentation.</w:t>
      </w:r>
    </w:p>
    <w:p>
      <w:pPr>
        <w:pStyle w:val="TextBody"/>
        <w:bidi w:val="0"/>
        <w:spacing w:before="0" w:after="200"/>
        <w:jc w:val="both"/>
        <w:rPr/>
      </w:pPr>
      <w:r>
        <w:rPr/>
      </w:r>
    </w:p>
    <w:p>
      <w:pPr>
        <w:pStyle w:val="TextBody"/>
        <w:bidi w:val="0"/>
        <w:spacing w:lineRule="auto" w:line="288" w:before="36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3 - UK GAAP to U.S. GAAP Adjustments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Owen Mumford’s historical consolidated balance sheet as of March 31, 2026 and statements of comprehensive income for the year ended September 30, 2025 and the six months ended March 31, 2026, have been prepared in conformity with UK GAAP, including Financial Reporting Standard 102 ("FRS 102"), which differs in certain respects from U.S. GAAP. Management performed a preliminary review of Owen Mumford’s accounting policies and identified adjustments listed below. Adjustments were initially calculated in GBP and translated based on the exchange rates detailed in Note 2. Any differences between adjustments impacting the unaudited pro forma condensed combined balance sheet and the unaudited pro forma condensed combined statements of income are due to foreign exchange rates.</w:t>
      </w:r>
    </w:p>
    <w:p>
      <w:pPr>
        <w:pStyle w:val="TextBody"/>
        <w:bidi w:val="0"/>
        <w:spacing w:lineRule="auto" w:line="268" w:before="120" w:after="18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a)Reflects the adjustment for certain investment property which has historically been recorded at fair value. Under ASC 360 Topic - Long-lived Assets (“ASC 360”), investment property is recorded at its historical cost less accumulated depreciation. The adjustment reverses the historical fair value step-up recorded under FRS 102. There is no material impact to the pro forma condensed combined statements of income.</w:t>
      </w:r>
    </w:p>
    <w:p>
      <w:pPr>
        <w:pStyle w:val="TextBody"/>
        <w:bidi w:val="0"/>
        <w:spacing w:before="120" w:after="180"/>
        <w:jc w:val="left"/>
        <w:rPr/>
      </w:pPr>
      <w:r>
        <w:rPr/>
      </w:r>
    </w:p>
    <w:p>
      <w:pPr>
        <w:pStyle w:val="TextBody"/>
        <w:bidi w:val="0"/>
        <w:spacing w:before="120" w:after="18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06" w:type="dxa"/>
        <w:jc w:val="left"/>
        <w:tblInd w:w="0" w:type="dxa"/>
        <w:tblLayout w:type="fixed"/>
        <w:tblCellMar>
          <w:top w:w="28" w:type="dxa"/>
          <w:left w:w="28" w:type="dxa"/>
          <w:bottom w:w="28" w:type="dxa"/>
          <w:right w:w="28" w:type="dxa"/>
        </w:tblCellMar>
      </w:tblPr>
      <w:tblGrid>
        <w:gridCol w:w="1760"/>
        <w:gridCol w:w="1541"/>
        <w:gridCol w:w="1559"/>
        <w:gridCol w:w="211"/>
        <w:gridCol w:w="481"/>
        <w:gridCol w:w="154"/>
      </w:tblGrid>
      <w:tr>
        <w:trPr/>
        <w:tc>
          <w:tcPr>
            <w:tcW w:w="1760"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5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Revaluation uplift recognized under UK GAAP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depreciation catch-up on investment property</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 forma net adjustment to property, plant and equipment</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00"/>
        <w:jc w:val="both"/>
        <w:rPr>
          <w:rFonts w:ascii="Times New Roman;serif" w:hAnsi="Times New Roman;serif"/>
          <w:b w:val="false"/>
          <w:color w:val="000000"/>
          <w:sz w:val="20"/>
        </w:rPr>
      </w:pPr>
      <w:r>
        <w:rPr>
          <w:rFonts w:ascii="Times New Roman;serif" w:hAnsi="Times New Roman;serif"/>
          <w:b w:val="false"/>
          <w:color w:val="000000"/>
          <w:sz w:val="20"/>
        </w:rPr>
        <w:t>Under FRS 102 Owen Mumford recognized a deferred tax liability related to the revaluation of the investment property. As noted above the investment property will be recorded at historical cost, less accumulated depreciation, and thus the adjustment of $0.7 million to Deferred Income Taxes and Other Liabilities reflects the reversal of the deferred tax liability recognized under FRS 102 as well as the recognition of a deferred tax position under US GAAP due to the difference between the book versus tax basis of the investment property.</w:t>
      </w:r>
    </w:p>
    <w:p>
      <w:pPr>
        <w:pStyle w:val="TextBody"/>
        <w:bidi w:val="0"/>
        <w:spacing w:lineRule="auto" w:line="288" w:before="36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4 - Preliminary Purchase Price Allocation </w:t>
      </w:r>
    </w:p>
    <w:p>
      <w:pPr>
        <w:pStyle w:val="TextBody"/>
        <w:bidi w:val="0"/>
        <w:spacing w:lineRule="auto" w:line="288" w:before="0" w:after="200"/>
        <w:ind w:left="0" w:right="0" w:hanging="72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Estimated Aggregate Transaction Consideration</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table summarizes the preliminary estimated aggregate transaction consideration for Owen Mumford: </w:t>
      </w:r>
    </w:p>
    <w:tbl>
      <w:tblPr>
        <w:tblW w:w="7040" w:type="dxa"/>
        <w:jc w:val="left"/>
        <w:tblInd w:w="0" w:type="dxa"/>
        <w:tblLayout w:type="fixed"/>
        <w:tblCellMar>
          <w:top w:w="28" w:type="dxa"/>
          <w:left w:w="28" w:type="dxa"/>
          <w:bottom w:w="28" w:type="dxa"/>
          <w:right w:w="28" w:type="dxa"/>
        </w:tblCellMar>
      </w:tblPr>
      <w:tblGrid>
        <w:gridCol w:w="2190"/>
        <w:gridCol w:w="1922"/>
        <w:gridCol w:w="1947"/>
        <w:gridCol w:w="211"/>
        <w:gridCol w:w="616"/>
        <w:gridCol w:w="154"/>
      </w:tblGrid>
      <w:tr>
        <w:trPr/>
        <w:tc>
          <w:tcPr>
            <w:tcW w:w="2190"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605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Base Consideration in GBP </w:t>
            </w:r>
            <w:r>
              <w:rPr>
                <w:rFonts w:ascii="Times New Roman;serif" w:hAnsi="Times New Roman;serif"/>
                <w:b w:val="false"/>
                <w:color w:val="000000"/>
                <w:sz w:val="13"/>
              </w:rPr>
              <w:t>(i)</w:t>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Completion Net Cash in GBP </w:t>
            </w:r>
            <w:r>
              <w:rPr>
                <w:rFonts w:ascii="Times New Roman;serif" w:hAnsi="Times New Roman;serif"/>
                <w:b w:val="false"/>
                <w:color w:val="000000"/>
                <w:sz w:val="13"/>
              </w:rPr>
              <w:t>(ii)</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rate </w:t>
            </w:r>
            <w:r>
              <w:rPr>
                <w:rFonts w:ascii="Times New Roman;serif" w:hAnsi="Times New Roman;serif"/>
                <w:b w:val="false"/>
                <w:color w:val="000000"/>
                <w:sz w:val="13"/>
              </w:rPr>
              <w:t>(iii)</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Preliminary cash consideration in USD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Fair Value Contingent Consideration in GBP (Earn-out consideration)</w:t>
            </w:r>
            <w:r>
              <w:rPr>
                <w:color w:val="000000"/>
              </w:rPr>
              <w:t xml:space="preserve"> </w:t>
            </w:r>
            <w:r>
              <w:rPr>
                <w:rFonts w:ascii="Times New Roman;serif" w:hAnsi="Times New Roman;serif"/>
                <w:b w:val="false"/>
                <w:color w:val="000000"/>
                <w:sz w:val="13"/>
              </w:rPr>
              <w:t>(iv)</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w:t>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rate </w:t>
            </w:r>
            <w:r>
              <w:rPr>
                <w:rFonts w:ascii="Times New Roman;serif" w:hAnsi="Times New Roman;serif"/>
                <w:b w:val="false"/>
                <w:color w:val="000000"/>
                <w:sz w:val="13"/>
              </w:rPr>
              <w:t>(iii)</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w:t>
            </w:r>
          </w:p>
        </w:tc>
      </w:tr>
      <w:tr>
        <w:trPr/>
        <w:tc>
          <w:tcPr>
            <w:tcW w:w="6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Contingent Consideration in USD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preliminary aggregate Transaction consideration in USD</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 xml:space="preserve">The cash component of the preliminary estimated aggregate Transaction consideration. </w:t>
      </w:r>
    </w:p>
    <w:p>
      <w:pPr>
        <w:pStyle w:val="TextBody"/>
        <w:bidi w:val="0"/>
        <w:spacing w:lineRule="auto" w:line="26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ii)Estimated net cash provided of the preliminary estimated aggregate Transaction consideration.</w:t>
      </w:r>
    </w:p>
    <w:p>
      <w:pPr>
        <w:pStyle w:val="TextBody"/>
        <w:bidi w:val="0"/>
        <w:spacing w:lineRule="auto" w:line="288" w:before="0" w:after="0"/>
        <w:ind w:left="0" w:right="0" w:hanging="360"/>
        <w:jc w:val="both"/>
        <w:rPr/>
      </w:pPr>
      <w:r>
        <w:rPr>
          <w:rFonts w:ascii="Times New Roman;serif" w:hAnsi="Times New Roman;serif"/>
          <w:b w:val="false"/>
          <w:color w:val="000000"/>
          <w:sz w:val="20"/>
        </w:rPr>
        <w:t>iii)</w:t>
      </w:r>
      <w:r>
        <w:rPr>
          <w:rFonts w:ascii="Times New Roman;serif" w:hAnsi="Times New Roman;serif"/>
          <w:b w:val="false"/>
          <w:color w:val="000000"/>
          <w:sz w:val="20"/>
          <w:shd w:fill="FFFFFF" w:val="clear"/>
        </w:rPr>
        <w:t>Federal Reserve spot rate as of March 31, 2026.</w:t>
      </w:r>
    </w:p>
    <w:p>
      <w:pPr>
        <w:pStyle w:val="TextBody"/>
        <w:bidi w:val="0"/>
        <w:spacing w:lineRule="auto" w:line="288" w:before="0" w:after="0"/>
        <w:ind w:left="0" w:right="0" w:hanging="360"/>
        <w:jc w:val="both"/>
        <w:rPr/>
      </w:pPr>
      <w:r>
        <w:rPr>
          <w:rFonts w:ascii="Times New Roman;serif" w:hAnsi="Times New Roman;serif"/>
          <w:b w:val="false"/>
          <w:color w:val="000000"/>
          <w:sz w:val="20"/>
        </w:rPr>
        <w:t>iv)</w:t>
      </w:r>
      <w:r>
        <w:rPr>
          <w:rFonts w:ascii="Times New Roman;serif" w:hAnsi="Times New Roman;serif"/>
          <w:b w:val="false"/>
          <w:color w:val="000000"/>
          <w:sz w:val="20"/>
          <w:shd w:fill="FFFFFF" w:val="clear"/>
        </w:rPr>
        <w:t xml:space="preserve">The acquisition date provisional fair value of the estimated future payment to Owen Mumford based on the Aidaptus® contingent consideration. As part of the acquisition of Owen Mumford, Embecta may make additional cash payments to the sellers based on the actual net sales of the Aidaptus® products during each of the three earn-out periods beginning July 1, 2026. The fair value of the contingent consideration was estimated using a Monte Carlo simulation model that incorporated Embecta’s projected actual net sales and other valuation assumptions to estimate the probability-weighted expected payments. The contractual undiscounted payments under the earn-out arrangement range from £0, if no earn-out criteria are achieved, to a maximum of £50.0 million if the contractual performance conditions are fully satisfied. </w:t>
      </w:r>
    </w:p>
    <w:p>
      <w:pPr>
        <w:pStyle w:val="TextBody"/>
        <w:bidi w:val="0"/>
        <w:spacing w:before="0" w:after="120"/>
        <w:jc w:val="both"/>
        <w:rPr/>
      </w:pPr>
      <w:r>
        <w:rPr/>
      </w:r>
    </w:p>
    <w:p>
      <w:pPr>
        <w:pStyle w:val="TextBody"/>
        <w:bidi w:val="0"/>
        <w:spacing w:lineRule="auto" w:line="288" w:before="120" w:after="20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Preliminary Aggregate Transaction Consideration Allocation</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Embecta's purchase price allocation for the Transaction is preliminary and subject to revision as additional information about the fair value of the assets to be acquired and liabilities to be assumed becomes available. In general, due to the nature of certain assets acquired and liabilities assumed, Embecta has determined that the carrying value of these assets and liabilities as of March 31, 2026 approximates their fair value. Embecta has engaged a third-party valuation company to assist it in completing the valuation of certain other assets to be acquired and liabilities to be assumed. Accordingly, the unaudited pro forma condensed combined financial information includes a preliminary allocation of the purchase price based on assumptions and estimates that, while considered reasonable under the circumstances, are subject to changes, which may be material.</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Embecta will continue to refine its identification and valuation of assets to be acquired and liabilities to be assumed as further information becomes available. The final determination of the purchase price allocation will be completed as soon as practicable but no later than one year beyond the closing date of the Transaction and will be based on the fair values of the assets acquired and liabilities assumed as of the closing date. The final amounts allocated to assets acquired and liabilities assumed could differ significantly from the amounts presented in the unaudited pro forma condensed combined financial information.</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sets forth a preliminary allocation of the estimated purchase price to the identifiable tangible and intangible assets acquired and liabilities assumed of Owen Mumford based on Owen Mumford's unaudited interim consolidated balance sheet as of March 31, 2026, with the excess recorded as goodwill (in millions):</w:t>
      </w:r>
    </w:p>
    <w:p>
      <w:pPr>
        <w:pStyle w:val="TextBody"/>
        <w:bidi w:val="0"/>
        <w:spacing w:before="0" w:after="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21" w:type="dxa"/>
        <w:jc w:val="left"/>
        <w:tblInd w:w="0" w:type="dxa"/>
        <w:tblLayout w:type="fixed"/>
        <w:tblCellMar>
          <w:top w:w="28" w:type="dxa"/>
          <w:left w:w="28" w:type="dxa"/>
          <w:bottom w:w="28" w:type="dxa"/>
          <w:right w:w="28" w:type="dxa"/>
        </w:tblCellMar>
      </w:tblPr>
      <w:tblGrid>
        <w:gridCol w:w="1606"/>
        <w:gridCol w:w="1407"/>
        <w:gridCol w:w="1427"/>
        <w:gridCol w:w="211"/>
        <w:gridCol w:w="616"/>
        <w:gridCol w:w="154"/>
      </w:tblGrid>
      <w:tr>
        <w:trPr/>
        <w:tc>
          <w:tcPr>
            <w:tcW w:w="1606"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Preliminary aggregate Transaction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pPr>
            <w:r>
              <w:rPr>
                <w:rFonts w:ascii="Times New Roman;serif" w:hAnsi="Times New Roman;serif"/>
                <w:b/>
                <w:color w:val="000000"/>
                <w:sz w:val="20"/>
              </w:rPr>
              <w:t>Assets</w:t>
            </w:r>
            <w:r>
              <w:rPr>
                <w:rFonts w:ascii="Times New Roman;serif" w:hAnsi="Times New Roman;serif"/>
                <w:b w:val="false"/>
                <w:color w:val="000000"/>
                <w:sz w:val="20"/>
              </w:rPr>
              <w:t>:</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Cash and equivalents</w:t>
            </w:r>
          </w:p>
        </w:tc>
        <w:tc>
          <w:tcPr>
            <w:tcW w:w="211" w:type="dxa"/>
            <w:tcBorders/>
            <w:shd w:fill="CCEC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4" w:type="dxa"/>
            <w:tcBorders/>
            <w:shd w:fill="CCEC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w:t>
            </w:r>
          </w:p>
        </w:tc>
      </w:tr>
      <w:tr>
        <w:trPr/>
        <w:tc>
          <w:tcPr>
            <w:tcW w:w="4440" w:type="dxa"/>
            <w:gridSpan w:val="3"/>
            <w:tcBorders/>
            <w:shd w:fill="CCECFF" w:val="clear"/>
            <w:tcMar>
              <w:top w:w="0" w:type="dxa"/>
              <w:left w:w="0" w:type="dxa"/>
              <w:bottom w:w="0" w:type="dxa"/>
              <w:right w:w="0" w:type="dxa"/>
            </w:tcMar>
            <w:vAlign w:val="center"/>
          </w:tcPr>
          <w:p>
            <w:pPr>
              <w:pStyle w:val="TableContents"/>
              <w:bidi w:val="0"/>
              <w:spacing w:lineRule="auto" w:line="288" w:before="0" w:after="0"/>
              <w:ind w:left="0" w:right="0" w:firstLine="90"/>
              <w:jc w:val="left"/>
              <w:rPr/>
            </w:pPr>
            <w:r>
              <w:rPr>
                <w:rFonts w:ascii="Times New Roman;serif" w:hAnsi="Times New Roman;serif"/>
                <w:b w:val="false"/>
                <w:color w:val="000000"/>
                <w:sz w:val="20"/>
              </w:rPr>
              <w:t>Inventories</w:t>
            </w:r>
            <w:r>
              <w:rPr>
                <w:color w:val="000000"/>
              </w:rPr>
              <w:t xml:space="preserve"> </w:t>
            </w:r>
            <w:r>
              <w:rPr>
                <w:rFonts w:ascii="Times New Roman;serif" w:hAnsi="Times New Roman;serif"/>
                <w:b w:val="false"/>
                <w:color w:val="000000"/>
                <w:sz w:val="13"/>
              </w:rPr>
              <w:t>(i)</w:t>
            </w:r>
          </w:p>
        </w:tc>
        <w:tc>
          <w:tcPr>
            <w:tcW w:w="981" w:type="dxa"/>
            <w:gridSpan w:val="3"/>
            <w:tcBorders/>
            <w:shd w:fill="CCEC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pPr>
            <w:r>
              <w:rPr>
                <w:rFonts w:ascii="Times New Roman;serif" w:hAnsi="Times New Roman;serif"/>
                <w:b w:val="false"/>
                <w:color w:val="000000"/>
                <w:sz w:val="20"/>
              </w:rPr>
              <w:t>Property, Plant and Equipment, Net</w:t>
            </w:r>
            <w:r>
              <w:rPr>
                <w:color w:val="000000"/>
              </w:rPr>
              <w:t xml:space="preserve"> </w:t>
            </w:r>
            <w:r>
              <w:rPr>
                <w:rFonts w:ascii="Times New Roman;serif" w:hAnsi="Times New Roman;serif"/>
                <w:b w:val="false"/>
                <w:color w:val="000000"/>
                <w:sz w:val="13"/>
              </w:rPr>
              <w:t>(iii)</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pPr>
            <w:r>
              <w:rPr>
                <w:rFonts w:ascii="Times New Roman;serif" w:hAnsi="Times New Roman;serif"/>
                <w:b w:val="false"/>
                <w:color w:val="000000"/>
                <w:sz w:val="20"/>
              </w:rPr>
              <w:t>Intangible Assets</w:t>
            </w:r>
            <w:r>
              <w:rPr>
                <w:color w:val="000000"/>
              </w:rPr>
              <w:t xml:space="preserve"> </w:t>
            </w:r>
            <w:r>
              <w:rPr>
                <w:rFonts w:ascii="Times New Roman;serif" w:hAnsi="Times New Roman;serif"/>
                <w:b w:val="false"/>
                <w:color w:val="000000"/>
                <w:sz w:val="13"/>
              </w:rPr>
              <w:t>(ii)</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Liabilities:</w:t>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Salaries, wages and related items</w:t>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pPr>
            <w:r>
              <w:rPr>
                <w:rFonts w:ascii="Times New Roman;serif" w:hAnsi="Times New Roman;serif"/>
                <w:b w:val="false"/>
                <w:color w:val="000000"/>
                <w:sz w:val="20"/>
              </w:rPr>
              <w:t>Deferred Income Taxes and Other Liabilities</w:t>
            </w:r>
            <w:r>
              <w:rPr>
                <w:color w:val="000000"/>
              </w:rPr>
              <w:t xml:space="preserve"> </w:t>
            </w:r>
            <w:r>
              <w:rPr>
                <w:rFonts w:ascii="Times New Roman;serif" w:hAnsi="Times New Roman;serif"/>
                <w:b w:val="false"/>
                <w:color w:val="000000"/>
                <w:sz w:val="13"/>
              </w:rPr>
              <w:t>(iv)</w:t>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90"/>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8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w:t>
            </w:r>
          </w:p>
        </w:tc>
      </w:tr>
    </w:tbl>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The unaudited pro forma condensed combined balance sheet has been adjusted to record Owen Mumford’s inventories at a preliminary fair value of approximately $33.9 million, an increase of $7.5 million from the carrying value. The unaudited pro forma condensed combined statement of income for the year ended September 30, 2025 has been adjusted to recognize additional cost of products sold related to the increased basis. The additional costs are not anticipated to affect the condensed consolidated statement of income beyond twelve months after the Transaction date.</w:t>
      </w:r>
    </w:p>
    <w:p>
      <w:pPr>
        <w:pStyle w:val="TextBody"/>
        <w:bidi w:val="0"/>
        <w:spacing w:lineRule="auto" w:line="288" w:before="60" w:after="60"/>
        <w:ind w:left="0" w:right="0" w:hanging="360"/>
        <w:jc w:val="both"/>
        <w:rPr/>
      </w:pPr>
      <w:r>
        <w:rPr>
          <w:rFonts w:ascii="Times New Roman;serif" w:hAnsi="Times New Roman;serif"/>
          <w:b w:val="false"/>
          <w:color w:val="000000"/>
          <w:sz w:val="20"/>
        </w:rPr>
        <w:t>ii)</w:t>
      </w:r>
      <w:r>
        <w:rPr>
          <w:rFonts w:ascii="Times New Roman;serif" w:hAnsi="Times New Roman;serif"/>
          <w:b w:val="false"/>
          <w:color w:val="000000"/>
          <w:sz w:val="20"/>
          <w:shd w:fill="FFFFFF" w:val="clear"/>
        </w:rPr>
        <w:t>The unaudited pro forma condensed combined balance sheet has been adjusted to record Owen Mumford’s intangible assets at a preliminary fair value of approximately $40.5 million. The preliminary fair value of the acquired intangible assets was determined using an income approach, and more specifically, the multi-period excess earnings methodology as well as a cost / lost profits method. The valuation of intangible assets is preliminary and is subject to measurement period adjustments. Embecta is still in process of allocating fair value to the identifiable intangible asset components. Embecta expects to complete this process no later than twelve months after the closing of the Transaction. Preliminary useful lives for definite lived intangibles range from 12 to 13 years.</w:t>
      </w:r>
    </w:p>
    <w:p>
      <w:pPr>
        <w:pStyle w:val="TextBody"/>
        <w:bidi w:val="0"/>
        <w:spacing w:lineRule="auto" w:line="288" w:before="60" w:after="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iii)The unaudited pro forma condensed combined balance sheet has been adjusted to record Owen Mumford’s property, plant and equipment (consisting of an investment property, other land and buildings, plant, machinery and equipment, and motor vehicles) at a preliminary fair value of approximately $87.1 million. The preliminary fair value of the property, plant, and equipment was determined using the direct cost approach and trended cost method. The valuation of property, plant, and equipment is preliminary and is subject to measurement period adjustments. Embecta is still in process of allocating fair value to the property, plant, and equipment asset components. Embecta expects to complete this process no later than twelve months after the closing of this Transaction. The unaudited pro forma condensed combined statement of income has been adjusted to recognize additional depreciation expense related to the increased basis under cost of products sold. The additional depreciation expense is computed with the assumption that the various categories of assets will be depreciated over a range of useful lives from 3-36 years, on a straight-line basis.</w:t>
      </w:r>
    </w:p>
    <w:p>
      <w:pPr>
        <w:pStyle w:val="TextBody"/>
        <w:bidi w:val="0"/>
        <w:spacing w:lineRule="auto" w:line="288" w:before="200" w:after="200"/>
        <w:ind w:left="0" w:right="0" w:hanging="360"/>
        <w:jc w:val="both"/>
        <w:rPr/>
      </w:pPr>
      <w:r>
        <w:rPr>
          <w:rFonts w:ascii="Times New Roman;serif" w:hAnsi="Times New Roman;serif"/>
          <w:b w:val="false"/>
          <w:color w:val="000000"/>
          <w:sz w:val="20"/>
        </w:rPr>
        <w:t>iv)</w:t>
      </w:r>
      <w:r>
        <w:rPr>
          <w:rFonts w:ascii="Times New Roman;serif" w:hAnsi="Times New Roman;serif"/>
          <w:b w:val="false"/>
          <w:color w:val="000000"/>
          <w:sz w:val="20"/>
          <w:shd w:fill="FFFFFF" w:val="clear"/>
        </w:rPr>
        <w:t>Deferred tax liabilities were derived based on incremental differences in the book and tax basis created from the preliminary purchase allocation. A blended statutory tax rate of 25% was used in establishing the deferred tax liability based on jurisdictions where these assets and liabilities reside.</w:t>
      </w:r>
    </w:p>
    <w:p>
      <w:pPr>
        <w:pStyle w:val="TextBody"/>
        <w:bidi w:val="0"/>
        <w:spacing w:before="360" w:after="283"/>
        <w:jc w:val="left"/>
        <w:rPr/>
      </w:pPr>
      <w:r>
        <w:rPr/>
      </w:r>
    </w:p>
    <w:p>
      <w:pPr>
        <w:pStyle w:val="TextBody"/>
        <w:bidi w:val="0"/>
        <w:spacing w:before="360" w:after="200"/>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360" w:after="200"/>
        <w:jc w:val="left"/>
        <w:rPr/>
      </w:pPr>
      <w:r>
        <w:rPr/>
      </w:r>
    </w:p>
    <w:p>
      <w:pPr>
        <w:pStyle w:val="TextBody"/>
        <w:bidi w:val="0"/>
        <w:spacing w:before="360" w:after="200"/>
        <w:jc w:val="left"/>
        <w:rPr/>
      </w:pPr>
      <w:r>
        <w:rPr/>
      </w:r>
    </w:p>
    <w:p>
      <w:pPr>
        <w:pStyle w:val="TextBody"/>
        <w:bidi w:val="0"/>
        <w:spacing w:lineRule="auto" w:line="288" w:before="360" w:after="20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Note 5 - Adjustments to the Unaudited Pro Forma Condensed Combined Balance Sheet </w:t>
      </w:r>
    </w:p>
    <w:p>
      <w:pPr>
        <w:pStyle w:val="TextBody"/>
        <w:bidi w:val="0"/>
        <w:spacing w:lineRule="auto" w:line="288" w:before="200" w:after="283"/>
        <w:jc w:val="left"/>
        <w:rPr/>
      </w:pPr>
      <w:r>
        <w:rPr>
          <w:rFonts w:ascii="Times New Roman;serif" w:hAnsi="Times New Roman;serif"/>
          <w:b w:val="false"/>
          <w:color w:val="000000"/>
          <w:sz w:val="20"/>
          <w:shd w:fill="FFFFFF" w:val="clear"/>
        </w:rPr>
        <w:t>Adjustments included in</w:t>
      </w:r>
      <w:r>
        <w:rPr>
          <w:color w:val="4A86E8"/>
        </w:rPr>
        <w:t xml:space="preserve"> </w:t>
      </w:r>
      <w:r>
        <w:rPr>
          <w:rFonts w:ascii="Times New Roman;serif" w:hAnsi="Times New Roman;serif"/>
          <w:b w:val="false"/>
          <w:color w:val="000000"/>
          <w:sz w:val="20"/>
          <w:shd w:fill="FFFFFF" w:val="clear"/>
        </w:rPr>
        <w:t>the Transaction Accounting Adjustments - Acquisition column in the accompanying unaudited pro forma condensed combined balance sheet as of March 31, 2026 are as follows: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 Reflects adjustment to cash and equivalents: </w:t>
      </w:r>
    </w:p>
    <w:p>
      <w:pPr>
        <w:pStyle w:val="TextBody"/>
        <w:bidi w:val="0"/>
        <w:spacing w:before="0" w:after="120"/>
        <w:jc w:val="left"/>
        <w:rPr/>
      </w:pPr>
      <w:r>
        <w:rPr/>
      </w:r>
    </w:p>
    <w:tbl>
      <w:tblPr>
        <w:tblW w:w="6141" w:type="dxa"/>
        <w:jc w:val="left"/>
        <w:tblInd w:w="0" w:type="dxa"/>
        <w:tblLayout w:type="fixed"/>
        <w:tblCellMar>
          <w:top w:w="28" w:type="dxa"/>
          <w:left w:w="28" w:type="dxa"/>
          <w:bottom w:w="28" w:type="dxa"/>
          <w:right w:w="28" w:type="dxa"/>
        </w:tblCellMar>
      </w:tblPr>
      <w:tblGrid>
        <w:gridCol w:w="1843"/>
        <w:gridCol w:w="1614"/>
        <w:gridCol w:w="1628"/>
        <w:gridCol w:w="211"/>
        <w:gridCol w:w="691"/>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085"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 forma transaction accounting adjustments:</w:t>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cash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Estimated buyer transaction costs</w:t>
            </w:r>
            <w:r>
              <w:rPr>
                <w:color w:val="000000"/>
              </w:rPr>
              <w:t xml:space="preserve"> </w:t>
            </w:r>
            <w:r>
              <w:rPr>
                <w:rFonts w:ascii="Times New Roman;serif" w:hAnsi="Times New Roman;serif"/>
                <w:b w:val="false"/>
                <w:color w:val="000000"/>
                <w:sz w:val="13"/>
              </w:rPr>
              <w:t>(i)</w:t>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 forma accounting adjustment to cash and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hanging="360"/>
        <w:jc w:val="left"/>
        <w:rPr/>
      </w:pPr>
      <w:r>
        <w:rPr>
          <w:rFonts w:ascii="Times New Roman;serif" w:hAnsi="Times New Roman;serif"/>
          <w:b w:val="false"/>
          <w:color w:val="000000"/>
          <w:sz w:val="16"/>
        </w:rPr>
        <w:t>i)</w:t>
      </w:r>
      <w:r>
        <w:rPr>
          <w:rFonts w:ascii="Times New Roman;serif" w:hAnsi="Times New Roman;serif"/>
          <w:b w:val="false"/>
          <w:color w:val="000000"/>
          <w:sz w:val="16"/>
          <w:shd w:fill="FFFFFF" w:val="clear"/>
        </w:rPr>
        <w:t>These costs consist of legal advisory, financial advisory, accounting and consulting costs of Embecta estimated to be incurred subsequent to March 31, 2026. See Note 6b for further information surrounding acquisition-related transaction costs.</w: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 Reflects the preliminary purchase accounting adjustment for inventories based on the acquisition method of accounting. </w:t>
      </w:r>
    </w:p>
    <w:p>
      <w:pPr>
        <w:pStyle w:val="TextBody"/>
        <w:bidi w:val="0"/>
        <w:spacing w:before="0" w:after="120"/>
        <w:jc w:val="left"/>
        <w:rPr/>
      </w:pPr>
      <w:r>
        <w:rPr/>
      </w:r>
    </w:p>
    <w:tbl>
      <w:tblPr>
        <w:tblW w:w="6125" w:type="dxa"/>
        <w:jc w:val="left"/>
        <w:tblInd w:w="0" w:type="dxa"/>
        <w:tblLayout w:type="fixed"/>
        <w:tblCellMar>
          <w:top w:w="28" w:type="dxa"/>
          <w:left w:w="28" w:type="dxa"/>
          <w:bottom w:w="28" w:type="dxa"/>
          <w:right w:w="28" w:type="dxa"/>
        </w:tblCellMar>
      </w:tblPr>
      <w:tblGrid>
        <w:gridCol w:w="1897"/>
        <w:gridCol w:w="1667"/>
        <w:gridCol w:w="1685"/>
        <w:gridCol w:w="211"/>
        <w:gridCol w:w="511"/>
        <w:gridCol w:w="154"/>
      </w:tblGrid>
      <w:tr>
        <w:trPr/>
        <w:tc>
          <w:tcPr>
            <w:tcW w:w="189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52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 forma transaction accounting adjustments:</w:t>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fair value of acquired inventories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Owen Mumford inventory carrying value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 forma transaction accounting adjustment to inventories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Represents the adjustment of acquired inventories to their preliminary estimated fair value. The step up in inventories to fair value will increase cost of products sold as the inventories are sold, which for purposes of these pro forma financial statements is assumed to occur within the first year after the closing of the Transaction. These costs are non-recurring in nature and not anticipated to affect the condensed consolidated statement of income beyond twelve months after the closing of the Transaction.</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 Reflects the adjustments to Intangible assets for the preliminary fair value of the acquired intangibles of $40.5 million. Refer to Note 4 above for further detail.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 Reflects the preliminary purchase accounting adjustment for goodwill based on the acquisition method of accounting of $25.8 million. Refer to Note 4 above for further detail on the purchase price allocation and impact to goodwill. </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 Represents the adjustment to the deferred tax liability of $16.3 million associated with the incremental differences in the book and tax basis created from the preliminary purchase allocation, primarily resulting from the preliminary fair value of intangible assets. These adjustments were based on the applicable statutory tax rate with the respective estimated purchase price allocation. The effective tax rate of the combined company could be significantly different (either higher or lower) depending on post-Transaction activities, including cash needs, the geographical mix of income and changes in tax law. Because the tax rates used for the pro forma financial information are estimated, the blended rate will likely vary from the actual effective rate in periods subsequent to completion of the Transaction. This determination is preliminary and subject to change based upon the final determination of the fair value of the acquired assets and assumed liabilities. Refer to note 4, section iv, of the preliminary estimated aggregate Transaction consideration table for further detail on the contingent consideration liability. </w:t>
      </w:r>
    </w:p>
    <w:p>
      <w:pPr>
        <w:pStyle w:val="TextBody"/>
        <w:bidi w:val="0"/>
        <w:spacing w:lineRule="auto" w:line="288" w:before="20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 Represents the elimination of the Owen Mumford historical equity of $132.5 million and the adjustment to equity for the estimated Embecta transaction costs of $5.9 million (consisting of financial advisory, legal advisory, accounting and consulting costs). </w:t>
      </w:r>
    </w:p>
    <w:p>
      <w:pPr>
        <w:pStyle w:val="TextBody"/>
        <w:bidi w:val="0"/>
        <w:spacing w:before="0" w:after="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 Reflects the preliminary purchase accounting adjustment for property, plant and equipment based on the acquisition method of accounting.</w:t>
      </w:r>
    </w:p>
    <w:tbl>
      <w:tblPr>
        <w:tblW w:w="7596" w:type="dxa"/>
        <w:jc w:val="left"/>
        <w:tblInd w:w="0" w:type="dxa"/>
        <w:tblLayout w:type="fixed"/>
        <w:tblCellMar>
          <w:top w:w="28" w:type="dxa"/>
          <w:left w:w="28" w:type="dxa"/>
          <w:bottom w:w="28" w:type="dxa"/>
          <w:right w:w="28" w:type="dxa"/>
        </w:tblCellMar>
      </w:tblPr>
      <w:tblGrid>
        <w:gridCol w:w="2429"/>
        <w:gridCol w:w="2134"/>
        <w:gridCol w:w="2157"/>
        <w:gridCol w:w="211"/>
        <w:gridCol w:w="511"/>
        <w:gridCol w:w="154"/>
      </w:tblGrid>
      <w:tr>
        <w:trPr/>
        <w:tc>
          <w:tcPr>
            <w:tcW w:w="2429" w:type="dxa"/>
            <w:tcBorders/>
            <w:vAlign w:val="center"/>
          </w:tcPr>
          <w:p>
            <w:pPr>
              <w:pStyle w:val="TableContents"/>
              <w:bidi w:val="0"/>
              <w:spacing w:before="0" w:after="283"/>
              <w:jc w:val="left"/>
              <w:rPr>
                <w:sz w:val="4"/>
                <w:szCs w:val="4"/>
              </w:rPr>
            </w:pPr>
            <w:r>
              <w:rPr>
                <w:sz w:val="4"/>
                <w:szCs w:val="4"/>
              </w:rPr>
            </w:r>
          </w:p>
        </w:tc>
        <w:tc>
          <w:tcPr>
            <w:tcW w:w="213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672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 forma transaction accounting adjustments:</w:t>
            </w:r>
          </w:p>
        </w:tc>
        <w:tc>
          <w:tcPr>
            <w:tcW w:w="8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Preliminary fair value of acquired property, plant &amp;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Owen Mumford property, plant and equipment carrying value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 forma transaction accounting adjustments to property, plant &amp; equipment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40"/>
        <w:jc w:val="left"/>
        <w:rPr/>
      </w:pPr>
      <w:r>
        <w:rPr>
          <w:rFonts w:ascii="Times New Roman;serif" w:hAnsi="Times New Roman;serif"/>
          <w:b/>
          <w:color w:val="000000"/>
          <w:sz w:val="20"/>
        </w:rPr>
        <w:t>Note 6</w:t>
      </w:r>
      <w:r>
        <w:rPr>
          <w:color w:val="000000"/>
          <w:shd w:fill="FFFFFF" w:val="clear"/>
        </w:rPr>
        <w:t xml:space="preserve"> </w:t>
      </w:r>
      <w:r>
        <w:rPr>
          <w:rFonts w:ascii="Times New Roman;serif" w:hAnsi="Times New Roman;serif"/>
          <w:b/>
          <w:color w:val="000000"/>
          <w:sz w:val="20"/>
          <w:shd w:fill="FFFFFF" w:val="clear"/>
        </w:rPr>
        <w:t xml:space="preserve">- </w:t>
      </w:r>
      <w:r>
        <w:rPr>
          <w:rFonts w:ascii="Times New Roman;serif" w:hAnsi="Times New Roman;serif"/>
          <w:b/>
          <w:color w:val="000000"/>
          <w:sz w:val="20"/>
        </w:rPr>
        <w:t>Adjustments to the Unaudited Pro Forma Condensed Combined Statement of Income</w:t>
      </w:r>
    </w:p>
    <w:p>
      <w:pPr>
        <w:pStyle w:val="TextBody"/>
        <w:bidi w:val="0"/>
        <w:spacing w:lineRule="auto" w:line="288" w:before="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Adjustments included in the Transaction Accounting Adjustments - Acquisition column in the accompanying unaudited pro forma condensed combined statements of income for the six months ended March 31, 2026 and fiscal year ended September 30, 2025 are as follows: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Reflects the adjustments to cost of products sold, including the estimated fair value of inventories recognized through cost of products sold during the first year after the Transaction, the amortization of the estimated fair value of intangible assets and the incremental depreciation expense from the fair value adjustment to property, plant and equipment.</w:t>
      </w:r>
    </w:p>
    <w:tbl>
      <w:tblPr>
        <w:tblW w:w="10205" w:type="dxa"/>
        <w:jc w:val="left"/>
        <w:tblInd w:w="0" w:type="dxa"/>
        <w:tblLayout w:type="fixed"/>
        <w:tblCellMar>
          <w:top w:w="28" w:type="dxa"/>
          <w:left w:w="28" w:type="dxa"/>
          <w:bottom w:w="28" w:type="dxa"/>
          <w:right w:w="28" w:type="dxa"/>
        </w:tblCellMar>
      </w:tblPr>
      <w:tblGrid>
        <w:gridCol w:w="1930"/>
        <w:gridCol w:w="1671"/>
        <w:gridCol w:w="1682"/>
        <w:gridCol w:w="109"/>
        <w:gridCol w:w="109"/>
        <w:gridCol w:w="109"/>
        <w:gridCol w:w="775"/>
        <w:gridCol w:w="1496"/>
        <w:gridCol w:w="407"/>
        <w:gridCol w:w="109"/>
        <w:gridCol w:w="109"/>
        <w:gridCol w:w="109"/>
        <w:gridCol w:w="433"/>
        <w:gridCol w:w="834"/>
        <w:gridCol w:w="323"/>
      </w:tblGrid>
      <w:tr>
        <w:trPr/>
        <w:tc>
          <w:tcPr>
            <w:tcW w:w="193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Year Ended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5283"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 forma transaction accounting adjustments: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Inventory step-up flowing through cost of products sold</w:t>
            </w:r>
            <w:r>
              <w:rPr>
                <w:color w:val="000000"/>
              </w:rPr>
              <w:t xml:space="preserve"> </w:t>
            </w:r>
            <w:r>
              <w:rPr>
                <w:rFonts w:ascii="Times New Roman;serif" w:hAnsi="Times New Roman;serif"/>
                <w:b w:val="false"/>
                <w:color w:val="000000"/>
                <w:sz w:val="13"/>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Preliminary amortization expense related to fair value adjustments for intangible assets</w:t>
            </w:r>
            <w:r>
              <w:rPr>
                <w:color w:val="000000"/>
              </w:rPr>
              <w:t xml:space="preserve"> </w:t>
            </w:r>
            <w:r>
              <w:rPr>
                <w:rFonts w:ascii="Times New Roman;serif" w:hAnsi="Times New Roman;serif"/>
                <w:b w:val="false"/>
                <w:color w:val="000000"/>
                <w:sz w:val="13"/>
              </w:rPr>
              <w:t>(ii)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r>
      <w:tr>
        <w:trPr/>
        <w:tc>
          <w:tcPr>
            <w:tcW w:w="5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Property, plant and equipment depreciation step-up</w:t>
            </w:r>
            <w:r>
              <w:rPr>
                <w:color w:val="000000"/>
              </w:rPr>
              <w:t xml:space="preserve"> </w:t>
            </w:r>
            <w:r>
              <w:rPr>
                <w:rFonts w:ascii="Times New Roman;serif" w:hAnsi="Times New Roman;serif"/>
                <w:b w:val="false"/>
                <w:color w:val="000000"/>
                <w:sz w:val="13"/>
              </w:rPr>
              <w:t>(iii)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5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 forma transaction accounting adjustment to cost of products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0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32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360"/>
        <w:jc w:val="both"/>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These costs are non-recurring in nature and not anticipated to affect the condensed consolidated statement of income beyond twelve months after the closing of the Transaction.</w:t>
      </w:r>
    </w:p>
    <w:p>
      <w:pPr>
        <w:pStyle w:val="TextBody"/>
        <w:bidi w:val="0"/>
        <w:spacing w:lineRule="auto" w:line="288" w:before="60" w:after="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ii)A sensitivity analysis on amortization expense for the year ended September 30, 2025 and the six months ended March 31, 2026 has been performed to assess the effect of a one year change in the estimated useful life for intangible assets. A one year change on the $10.9 million fair value of the definite lived intangible assets would increase or decrease the amortization expense by about $0.1 million for the fiscal year ended September 30, 2025 and an immaterial impact for the six months ended March 31, 2026.</w:t>
      </w:r>
    </w:p>
    <w:p>
      <w:pPr>
        <w:pStyle w:val="TextBody"/>
        <w:bidi w:val="0"/>
        <w:spacing w:lineRule="auto" w:line="288" w:before="60" w:after="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iii)A sensitivity analysis on depreciation expense for the year ended September 30, 2025 and the six months ended March 31, 2026 has been performed to assess the effect of a one year change in the estimated useful life for property, plant and equipment. A one year change on the $73.4 million fair value of the depreciable property plant and equipment would increase or decrease the depreciation expense by about $0.7 million for the fiscal year ended September 30, 2025 and $0.4 million for the six months ended March 31, 2026.</w:t>
      </w:r>
    </w:p>
    <w:p>
      <w:pPr>
        <w:pStyle w:val="TextBody"/>
        <w:bidi w:val="0"/>
        <w:spacing w:lineRule="auto" w:line="288" w:before="120" w:after="120"/>
        <w:jc w:val="both"/>
        <w:rPr/>
      </w:pPr>
      <w:r>
        <w:rPr>
          <w:rFonts w:ascii="Times New Roman;serif" w:hAnsi="Times New Roman;serif"/>
          <w:b w:val="false"/>
          <w:color w:val="000000"/>
          <w:sz w:val="20"/>
          <w:shd w:fill="FFFFFF" w:val="clear"/>
        </w:rPr>
        <w:t>b)</w:t>
      </w:r>
      <w:r>
        <w:rPr>
          <w:color w:val="000000"/>
        </w:rPr>
        <w:t xml:space="preserve"> </w:t>
      </w:r>
      <w:r>
        <w:rPr>
          <w:rFonts w:ascii="Times New Roman;serif" w:hAnsi="Times New Roman;serif"/>
          <w:b w:val="false"/>
          <w:color w:val="000000"/>
          <w:sz w:val="20"/>
          <w:shd w:fill="FFFFFF" w:val="clear"/>
        </w:rPr>
        <w:t>Reflects the adjustments to selling and administrative expense including the amortization of the estimated fair value of intangible assets and the estimated transaction costs expensed.</w:t>
      </w:r>
    </w:p>
    <w:tbl>
      <w:tblPr>
        <w:tblW w:w="10205" w:type="dxa"/>
        <w:jc w:val="left"/>
        <w:tblInd w:w="0" w:type="dxa"/>
        <w:tblLayout w:type="fixed"/>
        <w:tblCellMar>
          <w:top w:w="28" w:type="dxa"/>
          <w:left w:w="28" w:type="dxa"/>
          <w:bottom w:w="28" w:type="dxa"/>
          <w:right w:w="28" w:type="dxa"/>
        </w:tblCellMar>
      </w:tblPr>
      <w:tblGrid>
        <w:gridCol w:w="1960"/>
        <w:gridCol w:w="1656"/>
        <w:gridCol w:w="1666"/>
        <w:gridCol w:w="109"/>
        <w:gridCol w:w="109"/>
        <w:gridCol w:w="109"/>
        <w:gridCol w:w="768"/>
        <w:gridCol w:w="1484"/>
        <w:gridCol w:w="404"/>
        <w:gridCol w:w="109"/>
        <w:gridCol w:w="109"/>
        <w:gridCol w:w="109"/>
        <w:gridCol w:w="440"/>
        <w:gridCol w:w="847"/>
        <w:gridCol w:w="326"/>
      </w:tblGrid>
      <w:tr>
        <w:trPr/>
        <w:tc>
          <w:tcPr>
            <w:tcW w:w="196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Year Ended</w:t>
            </w:r>
          </w:p>
          <w:p>
            <w:pPr>
              <w:pStyle w:val="TableContents"/>
              <w:bidi w:val="0"/>
              <w:spacing w:lineRule="auto" w:line="288" w:before="0" w:after="0"/>
              <w:jc w:val="center"/>
              <w:rPr>
                <w:color w:val="000000"/>
              </w:rPr>
            </w:pPr>
            <w:r>
              <w:rPr>
                <w:color w:val="000000"/>
              </w:rPr>
              <w:t> </w:t>
            </w:r>
            <w:r>
              <w:rPr>
                <w:rFonts w:ascii="Times New Roman;serif" w:hAnsi="Times New Roman;serif"/>
                <w:b/>
                <w:color w:val="000000"/>
                <w:sz w:val="20"/>
              </w:rPr>
              <w:t>September 30, 2025</w:t>
            </w:r>
          </w:p>
        </w:tc>
      </w:tr>
      <w:tr>
        <w:trPr/>
        <w:tc>
          <w:tcPr>
            <w:tcW w:w="5282"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Pro forma transaction accounting adjustments:</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Preliminary amortization expense related to fair value adjustments for intangible assets</w:t>
            </w:r>
            <w:r>
              <w:rPr>
                <w:color w:val="000000"/>
              </w:rPr>
              <w:t xml:space="preserve"> </w:t>
            </w:r>
            <w:r>
              <w:rPr>
                <w:rFonts w:ascii="Times New Roman;serif" w:hAnsi="Times New Roman;serif"/>
                <w:b w:val="false"/>
                <w:color w:val="000000"/>
                <w:sz w:val="13"/>
              </w:rPr>
              <w:t>(ii)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52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Expected transaction expenses</w:t>
            </w:r>
            <w:r>
              <w:rPr>
                <w:color w:val="000000"/>
              </w:rPr>
              <w:t xml:space="preserve"> </w:t>
            </w:r>
            <w:r>
              <w:rPr>
                <w:rFonts w:ascii="Times New Roman;serif" w:hAnsi="Times New Roman;serif"/>
                <w:b w:val="false"/>
                <w:color w:val="000000"/>
                <w:sz w:val="13"/>
              </w:rPr>
              <w:t>(i)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r>
      <w:tr>
        <w:trPr/>
        <w:tc>
          <w:tcPr>
            <w:tcW w:w="5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 forma transaction accounting adjustment to selling and administrative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4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ind w:left="0" w:right="0" w:hanging="360"/>
        <w:jc w:val="both"/>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Represents additional transaction costs to be incurred by Embecta subsequent to March 31, 2026. Total acquisition-related transaction costs incurred by Embecta are $11.5 million, of which $5.6 million had been incurred as of March 31, 2026, and $5.9 million were incurred subsequently. Pursuant to business combination accounting guidance, acquisition-related transaction costs are not included as a component of consideration transferred but are accounted for as expenses in the periods in which the costs are incurred. Acquisition-related transaction costs include advisory, legal and banking fees. These costs will not affect Embecta’s Condensed Consolidated Statement of Income beyond twelve months after the closing of the Transaction.</w:t>
      </w:r>
    </w:p>
    <w:p>
      <w:pPr>
        <w:pStyle w:val="TextBody"/>
        <w:bidi w:val="0"/>
        <w:spacing w:lineRule="auto" w:line="288" w:before="60" w:after="6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ii)A sensitivity analysis on amortization expense for the year ended September 30, 2025 and the six months ended March 31, 2026 has been performed to assess the effect of a one year change in the estimated useful life for intangible assets. A one year change on the $2.8 million fair value of the intangible asset would have an immaterial impact for the fiscal year ended September 30, 2025 and the six months ended March 31, 2026.</w:t>
      </w:r>
    </w:p>
    <w:p>
      <w:pPr>
        <w:pStyle w:val="TextBody"/>
        <w:bidi w:val="0"/>
        <w:spacing w:lineRule="auto" w:line="288" w:before="180" w:after="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Reflects the adjustment to other operating expenses related to retention bonuses of approximately $0.2 million for the six months ended March 31, 2026 and $1.9 million for the year ended September 30, 2025.</w:t>
      </w:r>
    </w:p>
    <w:p>
      <w:pPr>
        <w:pStyle w:val="TextBody"/>
        <w:bidi w:val="0"/>
        <w:spacing w:lineRule="auto" w:line="288" w:before="180" w:after="60"/>
        <w:jc w:val="both"/>
        <w:rPr/>
      </w:pPr>
      <w:r>
        <w:rPr>
          <w:rFonts w:ascii="Times New Roman;serif" w:hAnsi="Times New Roman;serif"/>
          <w:b w:val="false"/>
          <w:color w:val="000000"/>
          <w:sz w:val="20"/>
        </w:rPr>
        <w:t>d) Reflects the income tax impact of the transaction accounting adjustments, utilizing the blended statutory income tax rate of approximately 24% fo</w:t>
      </w:r>
      <w:r>
        <w:rPr>
          <w:rFonts w:ascii="Times New Roman;serif" w:hAnsi="Times New Roman;serif"/>
          <w:b w:val="false"/>
          <w:color w:val="000000"/>
          <w:sz w:val="20"/>
          <w:shd w:fill="FFFFFF" w:val="clear"/>
        </w:rPr>
        <w:t>r the six months ended March 31, 2026 and the year ended September 30, 2025. The effective tax rate of the combined company could be significantly different (either higher or lower) depending on post-acquisition activities. The tax adjustments do not include expected tax benefits from basis acquired.</w:t>
      </w:r>
    </w:p>
    <w:p>
      <w:pPr>
        <w:pStyle w:val="TextBody"/>
        <w:bidi w:val="0"/>
        <w:spacing w:lineRule="auto" w:line="288" w:before="360" w:after="240"/>
        <w:jc w:val="left"/>
        <w:rPr/>
      </w:pPr>
      <w:r>
        <w:rPr>
          <w:rFonts w:ascii="Times New Roman;serif" w:hAnsi="Times New Roman;serif"/>
          <w:b/>
          <w:color w:val="000000"/>
          <w:sz w:val="20"/>
        </w:rPr>
        <w:t>Note 7</w:t>
      </w:r>
      <w:r>
        <w:rPr>
          <w:color w:val="000000"/>
          <w:shd w:fill="FFFFFF" w:val="clear"/>
        </w:rPr>
        <w:t xml:space="preserve"> </w:t>
      </w:r>
      <w:r>
        <w:rPr>
          <w:rFonts w:ascii="Times New Roman;serif" w:hAnsi="Times New Roman;serif"/>
          <w:b/>
          <w:color w:val="000000"/>
          <w:sz w:val="20"/>
          <w:shd w:fill="FFFFFF" w:val="clear"/>
        </w:rPr>
        <w:t xml:space="preserve">- </w:t>
      </w:r>
      <w:r>
        <w:rPr>
          <w:rFonts w:ascii="Times New Roman;serif" w:hAnsi="Times New Roman;serif"/>
          <w:b/>
          <w:color w:val="000000"/>
          <w:sz w:val="20"/>
        </w:rPr>
        <w:t>Pro Forma Adjustments - Financing</w:t>
      </w:r>
    </w:p>
    <w:p>
      <w:pPr>
        <w:pStyle w:val="TextBody"/>
        <w:bidi w:val="0"/>
        <w:spacing w:lineRule="auto" w:line="288" w:before="0" w:after="120"/>
        <w:jc w:val="both"/>
        <w:rPr/>
      </w:pPr>
      <w:r>
        <w:rPr>
          <w:rFonts w:ascii="Times New Roman;serif" w:hAnsi="Times New Roman;serif"/>
          <w:b w:val="false"/>
          <w:color w:val="000000"/>
          <w:sz w:val="20"/>
          <w:shd w:fill="FFFFFF" w:val="clear"/>
        </w:rPr>
        <w:t>Adjustments included in</w:t>
      </w:r>
      <w:r>
        <w:rPr>
          <w:color w:val="000000"/>
        </w:rPr>
        <w:t xml:space="preserve"> </w:t>
      </w:r>
      <w:r>
        <w:rPr>
          <w:rFonts w:ascii="Times New Roman;serif" w:hAnsi="Times New Roman;serif"/>
          <w:b w:val="false"/>
          <w:color w:val="000000"/>
          <w:sz w:val="20"/>
          <w:shd w:fill="FFFFFF" w:val="clear"/>
        </w:rPr>
        <w:t>the Transaction Accounting Adjustments – Financing column in the accompanying unaudited pro forma condensed combined balance sheet as of March 31, 2026 are as follows:</w:t>
      </w:r>
    </w:p>
    <w:p>
      <w:pPr>
        <w:pStyle w:val="TextBody"/>
        <w:bidi w:val="0"/>
        <w:spacing w:lineRule="auto" w:line="288" w:before="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Reflects the $180.0 million adjustment to cash and equivalents due to the proceeds from the draw down under Embecta’s revolving credit facility. Per the terms of Embecta’s revolving credit agreement, no incremental debt issuance fees were incurred as part of the draw down.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 Reflects the $180.0 million adjustment to current debt obligations, due to the financing transactions in conjunction with the Transaction.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Adjustments included in the Transaction Accounting Adjustments – Financing column in the accompanying unaudited pro forma condensed combined statement of income for the six months ended March 31, 2026 and fiscal year ended September 30, 2025 are as follows:</w:t>
      </w:r>
    </w:p>
    <w:p>
      <w:pPr>
        <w:pStyle w:val="TextBody"/>
        <w:bidi w:val="0"/>
        <w:spacing w:before="0" w:after="0"/>
        <w:jc w:val="both"/>
        <w:rPr/>
      </w:pPr>
      <w:r>
        <w:rPr/>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 Reflects incremental interest expense related to the draw down under Embecta’s revolving credit facility of $5.7 million and $11.5 million for the six months ended March 31, 2026 and the year ended September 30, 2025, respectively, including an offset by a reduction of the unused fees of $0.2 million and $0.5 million over the undrawn capital under the revolving credit facility for the six months ended March 31, 2026 and the year ended September 30, 2025.</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new interest expense on transaction financing adjustments included in the unaudited pro forma condensed combined statement of income reflect the interest expense associated with draw down of the pre-existing revolving credit facility. Interest was recognized for the revolving credit facility using SOFR plus an applicable margin specified in the credit agreement, plus a credit spread adjustment, subject to a 0.25% commitment fee per annum on the unused portion of credit. The corresponding reduction in commitment fees on the unused portion of the revolving credit facility has been reflected as an offset to interest expense.</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 sensitivity analysis on interest expense for the year ended September 30, 2025 and the six months ended March 31, 2026 has been performed to assess the effect of a 12.5 basis point change of the hypothetical interest on the debt financing. A 1/8 of a percent change in the interest rate of the $180.0 million revolving credit facility drawdown would increase or decrease the interest expense by about $0.2 million for the fiscal year ended September 30, 2025 and $0.1 million for the six months ended March 31, 2026.</w:t>
      </w:r>
    </w:p>
    <w:p>
      <w:pPr>
        <w:pStyle w:val="TextBody"/>
        <w:bidi w:val="0"/>
        <w:spacing w:lineRule="auto" w:line="288"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 To record the income tax impact of the pro forma adjustments utilizing the statutory income tax rate of approximately 24%.</w:t>
      </w:r>
    </w:p>
    <w:p>
      <w:pPr>
        <w:pStyle w:val="TextBody"/>
        <w:bidi w:val="0"/>
        <w:spacing w:before="120" w:after="120"/>
        <w:jc w:val="both"/>
        <w:rPr/>
      </w:pPr>
      <w:r>
        <w:rPr/>
      </w:r>
    </w:p>
    <w:p>
      <w:pPr>
        <w:pStyle w:val="TextBody"/>
        <w:bidi w:val="0"/>
        <w:spacing w:before="20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44</Pages>
  <Words>14677</Words>
  <Characters>82688</Characters>
  <CharactersWithSpaces>96386</CharactersWithSpaces>
  <Paragraphs>2347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