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518160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705485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2821940</wp:posOffset>
            </wp:positionH>
            <wp:positionV relativeFrom="paragraph">
              <wp:posOffset>144145</wp:posOffset>
            </wp:positionV>
            <wp:extent cx="14979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7965"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2821940</wp:posOffset>
            </wp:positionH>
            <wp:positionV relativeFrom="paragraph">
              <wp:posOffset>166370</wp:posOffset>
            </wp:positionV>
            <wp:extent cx="14979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796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0" w:lineRule="exact"/>
        <w:rPr>
          <w:sz w:val="24"/>
          <w:szCs w:val="24"/>
          <w:color w:val="auto"/>
        </w:rPr>
      </w:pPr>
    </w:p>
    <w:p>
      <w:pPr>
        <w:ind w:left="480" w:hanging="455"/>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1" w:lineRule="exact"/>
        <w:rPr>
          <w:sz w:val="24"/>
          <w:szCs w:val="24"/>
          <w:color w:val="auto"/>
        </w:rPr>
      </w:pPr>
    </w:p>
    <w:p>
      <w:pPr>
        <w:ind w:left="480" w:hanging="455"/>
        <w:spacing w:after="0"/>
        <w:tabs>
          <w:tab w:leader="none" w:pos="480" w:val="left"/>
        </w:tabs>
        <w:numPr>
          <w:ilvl w:val="0"/>
          <w:numId w:val="2"/>
        </w:numPr>
        <w:rPr>
          <w:rFonts w:ascii="MS PGothic" w:cs="MS PGothic" w:eastAsia="MS PGothic" w:hAnsi="MS PGothic"/>
          <w:sz w:val="21"/>
          <w:szCs w:val="2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84455</wp:posOffset>
            </wp:positionV>
            <wp:extent cx="1395730" cy="570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5730" cy="57023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833755</wp:posOffset>
            </wp:positionV>
            <wp:extent cx="1497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79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2821940</wp:posOffset>
            </wp:positionH>
            <wp:positionV relativeFrom="paragraph">
              <wp:posOffset>135890</wp:posOffset>
            </wp:positionV>
            <wp:extent cx="1497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796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78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right"/>
              <w:ind w:right="1781"/>
              <w:spacing w:after="0"/>
              <w:rPr>
                <w:sz w:val="20"/>
                <w:szCs w:val="20"/>
                <w:color w:val="auto"/>
              </w:rPr>
            </w:pPr>
            <w:r>
              <w:rPr>
                <w:rFonts w:ascii="Arial" w:cs="Arial" w:eastAsia="Arial" w:hAnsi="Arial"/>
                <w:sz w:val="18"/>
                <w:szCs w:val="18"/>
                <w:b w:val="1"/>
                <w:bCs w:val="1"/>
                <w:color w:val="auto"/>
              </w:rPr>
              <w:t>87-1583942</w:t>
            </w:r>
          </w:p>
        </w:tc>
      </w:tr>
      <w:tr>
        <w:trPr>
          <w:trHeight w:val="180"/>
        </w:trPr>
        <w:tc>
          <w:tcPr>
            <w:tcW w:w="782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2"/>
              </w:rPr>
              <w:t>(State or other jurisdiction of</w:t>
            </w:r>
          </w:p>
        </w:tc>
        <w:tc>
          <w:tcPr>
            <w:tcW w:w="3420" w:type="dxa"/>
            <w:vAlign w:val="bottom"/>
          </w:tcPr>
          <w:p>
            <w:pPr>
              <w:jc w:val="center"/>
              <w:ind w:right="1101"/>
              <w:spacing w:after="0"/>
              <w:rPr>
                <w:sz w:val="20"/>
                <w:szCs w:val="20"/>
                <w:color w:val="auto"/>
              </w:rPr>
            </w:pPr>
            <w:r>
              <w:rPr>
                <w:rFonts w:ascii="Arial" w:cs="Arial" w:eastAsia="Arial" w:hAnsi="Arial"/>
                <w:sz w:val="14"/>
                <w:szCs w:val="14"/>
                <w:b w:val="1"/>
                <w:bCs w:val="1"/>
                <w:color w:val="auto"/>
                <w:w w:val="94"/>
              </w:rPr>
              <w:t>(I.R.S. employer</w:t>
            </w:r>
          </w:p>
        </w:tc>
      </w:tr>
      <w:tr>
        <w:trPr>
          <w:trHeight w:val="185"/>
        </w:trPr>
        <w:tc>
          <w:tcPr>
            <w:tcW w:w="782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3"/>
              </w:rPr>
              <w:t>incorporation or organization)</w:t>
            </w:r>
          </w:p>
        </w:tc>
        <w:tc>
          <w:tcPr>
            <w:tcW w:w="3420" w:type="dxa"/>
            <w:vAlign w:val="bottom"/>
          </w:tcPr>
          <w:p>
            <w:pPr>
              <w:jc w:val="center"/>
              <w:ind w:right="1101"/>
              <w:spacing w:after="0"/>
              <w:rPr>
                <w:sz w:val="20"/>
                <w:szCs w:val="20"/>
                <w:color w:val="auto"/>
              </w:rPr>
            </w:pPr>
            <w:r>
              <w:rPr>
                <w:rFonts w:ascii="Arial" w:cs="Arial" w:eastAsia="Arial" w:hAnsi="Arial"/>
                <w:sz w:val="14"/>
                <w:szCs w:val="14"/>
                <w:b w:val="1"/>
                <w:bCs w:val="1"/>
                <w:color w:val="auto"/>
                <w:w w:val="92"/>
              </w:rPr>
              <w:t>identification no.)</w:t>
            </w:r>
          </w:p>
        </w:tc>
      </w:tr>
      <w:tr>
        <w:trPr>
          <w:trHeight w:val="546"/>
        </w:trPr>
        <w:tc>
          <w:tcPr>
            <w:tcW w:w="78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0"/>
              </w:rPr>
              <w:t>300 Kimball Drive, Suite 300, Parsippany, New Jersey</w:t>
            </w:r>
          </w:p>
        </w:tc>
        <w:tc>
          <w:tcPr>
            <w:tcW w:w="3420" w:type="dxa"/>
            <w:vAlign w:val="bottom"/>
          </w:tcPr>
          <w:p>
            <w:pPr>
              <w:jc w:val="right"/>
              <w:ind w:right="1981"/>
              <w:spacing w:after="0"/>
              <w:rPr>
                <w:sz w:val="20"/>
                <w:szCs w:val="20"/>
                <w:color w:val="auto"/>
              </w:rPr>
            </w:pPr>
            <w:r>
              <w:rPr>
                <w:rFonts w:ascii="Arial" w:cs="Arial" w:eastAsia="Arial" w:hAnsi="Arial"/>
                <w:sz w:val="18"/>
                <w:szCs w:val="18"/>
                <w:b w:val="1"/>
                <w:bCs w:val="1"/>
                <w:color w:val="auto"/>
              </w:rPr>
              <w:t>07054</w:t>
            </w:r>
          </w:p>
        </w:tc>
      </w:tr>
      <w:tr>
        <w:trPr>
          <w:trHeight w:val="204"/>
        </w:trPr>
        <w:tc>
          <w:tcPr>
            <w:tcW w:w="782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20" w:type="dxa"/>
            <w:vAlign w:val="bottom"/>
          </w:tcPr>
          <w:p>
            <w:pPr>
              <w:jc w:val="center"/>
              <w:ind w:right="1081"/>
              <w:spacing w:after="0"/>
              <w:rPr>
                <w:sz w:val="20"/>
                <w:szCs w:val="20"/>
                <w:color w:val="auto"/>
              </w:rPr>
            </w:pPr>
            <w:r>
              <w:rPr>
                <w:rFonts w:ascii="Arial" w:cs="Arial" w:eastAsia="Arial" w:hAnsi="Arial"/>
                <w:sz w:val="14"/>
                <w:szCs w:val="14"/>
                <w:b w:val="1"/>
                <w:bCs w:val="1"/>
                <w:color w:val="auto"/>
                <w:w w:val="92"/>
              </w:rPr>
              <w:t>(Zip code)</w:t>
            </w:r>
          </w:p>
        </w:tc>
      </w:tr>
      <w:tr>
        <w:trPr>
          <w:trHeight w:val="546"/>
        </w:trPr>
        <w:tc>
          <w:tcPr>
            <w:tcW w:w="6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58"/>
        </w:trPr>
        <w:tc>
          <w:tcPr>
            <w:tcW w:w="7820" w:type="dxa"/>
            <w:vAlign w:val="bottom"/>
            <w:gridSpan w:val="3"/>
          </w:tcPr>
          <w:p>
            <w:pPr>
              <w:jc w:val="center"/>
              <w:ind w:left="3361"/>
              <w:spacing w:after="0"/>
              <w:rPr>
                <w:sz w:val="20"/>
                <w:szCs w:val="20"/>
                <w:color w:val="auto"/>
              </w:rPr>
            </w:pPr>
            <w:r>
              <w:rPr>
                <w:rFonts w:ascii="Arial" w:cs="Arial" w:eastAsia="Arial" w:hAnsi="Arial"/>
                <w:sz w:val="14"/>
                <w:szCs w:val="14"/>
                <w:b w:val="1"/>
                <w:bCs w:val="1"/>
                <w:color w:val="auto"/>
                <w:w w:val="90"/>
              </w:rPr>
              <w:t>(Registrant’s telephone number, including area code)</w:t>
            </w:r>
          </w:p>
        </w:tc>
        <w:tc>
          <w:tcPr>
            <w:tcW w:w="3420" w:type="dxa"/>
            <w:vAlign w:val="bottom"/>
          </w:tcPr>
          <w:p>
            <w:pPr>
              <w:spacing w:after="0"/>
              <w:rPr>
                <w:sz w:val="22"/>
                <w:szCs w:val="22"/>
                <w:color w:val="auto"/>
              </w:rPr>
            </w:pPr>
          </w:p>
        </w:tc>
      </w:tr>
      <w:tr>
        <w:trPr>
          <w:trHeight w:val="199"/>
        </w:trPr>
        <w:tc>
          <w:tcPr>
            <w:tcW w:w="444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32"/>
        </w:trPr>
        <w:tc>
          <w:tcPr>
            <w:tcW w:w="44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6"/>
                <w:szCs w:val="16"/>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01"/>
        </w:trPr>
        <w:tc>
          <w:tcPr>
            <w:tcW w:w="464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7"/>
              </w:rPr>
              <w:t>symbol(s)</w:t>
            </w:r>
          </w:p>
        </w:tc>
        <w:tc>
          <w:tcPr>
            <w:tcW w:w="120" w:type="dxa"/>
            <w:vAlign w:val="bottom"/>
          </w:tcPr>
          <w:p>
            <w:pPr>
              <w:spacing w:after="0"/>
              <w:rPr>
                <w:sz w:val="17"/>
                <w:szCs w:val="17"/>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9"/>
              </w:rPr>
              <w:t>on which registered</w:t>
            </w:r>
          </w:p>
        </w:tc>
      </w:tr>
      <w:tr>
        <w:trPr>
          <w:trHeight w:val="38"/>
        </w:trPr>
        <w:tc>
          <w:tcPr>
            <w:tcW w:w="4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03"/>
        </w:trPr>
        <w:tc>
          <w:tcPr>
            <w:tcW w:w="464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7"/>
                <w:szCs w:val="17"/>
                <w:color w:val="auto"/>
              </w:rPr>
            </w:pPr>
          </w:p>
        </w:tc>
        <w:tc>
          <w:tcPr>
            <w:tcW w:w="200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rPr>
              <w:t>EMBC</w:t>
            </w:r>
          </w:p>
        </w:tc>
        <w:tc>
          <w:tcPr>
            <w:tcW w:w="120" w:type="dxa"/>
            <w:vAlign w:val="bottom"/>
          </w:tcPr>
          <w:p>
            <w:pPr>
              <w:spacing w:after="0"/>
              <w:rPr>
                <w:sz w:val="17"/>
                <w:szCs w:val="17"/>
                <w:color w:val="auto"/>
              </w:rPr>
            </w:pPr>
          </w:p>
        </w:tc>
        <w:tc>
          <w:tcPr>
            <w:tcW w:w="434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1"/>
              </w:rPr>
              <w:t>The Nasdaq Stock Market LLC (Nasdaq Global Select</w:t>
            </w:r>
          </w:p>
        </w:tc>
      </w:tr>
      <w:tr>
        <w:trPr>
          <w:trHeight w:val="231"/>
        </w:trPr>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6"/>
              </w:rPr>
              <w:t>Market)</w:t>
            </w:r>
          </w:p>
        </w:tc>
      </w:tr>
    </w:tbl>
    <w:p>
      <w:pPr>
        <w:spacing w:after="0" w:line="30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5"/>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302"/>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6"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Embecta Corp. common stock outstanding as of May 3, 2023 was 57,293,549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979805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133350</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328930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Page</w:t>
            </w:r>
          </w:p>
        </w:tc>
      </w:tr>
      <w:tr>
        <w:trPr>
          <w:trHeight w:val="25"/>
        </w:trPr>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4"/>
        </w:trPr>
        <w:tc>
          <w:tcPr>
            <w:tcW w:w="10480" w:type="dxa"/>
            <w:vAlign w:val="bottom"/>
            <w:gridSpan w:val="17"/>
          </w:tcPr>
          <w:p>
            <w:pPr>
              <w:spacing w:after="0" w:line="195" w:lineRule="exact"/>
              <w:rPr>
                <w:sz w:val="20"/>
                <w:szCs w:val="20"/>
                <w:color w:val="auto"/>
              </w:rPr>
            </w:pPr>
            <w:r>
              <w:rPr>
                <w:rFonts w:ascii="Arial" w:cs="Arial" w:eastAsia="Arial" w:hAnsi="Arial"/>
                <w:sz w:val="18"/>
                <w:szCs w:val="18"/>
                <w:color w:val="0000FF"/>
              </w:rPr>
              <w:t>Part I. Financial Information</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8"/>
        </w:trPr>
        <w:tc>
          <w:tcPr>
            <w:tcW w:w="172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8760" w:type="dxa"/>
            <w:vAlign w:val="bottom"/>
            <w:gridSpan w:val="15"/>
          </w:tcPr>
          <w:p>
            <w:pPr>
              <w:spacing w:after="0"/>
              <w:rPr>
                <w:sz w:val="20"/>
                <w:szCs w:val="20"/>
                <w:color w:val="auto"/>
              </w:rPr>
            </w:pPr>
            <w:r>
              <w:rPr>
                <w:rFonts w:ascii="Arial" w:cs="Arial" w:eastAsia="Arial" w:hAnsi="Arial"/>
                <w:sz w:val="18"/>
                <w:szCs w:val="18"/>
                <w:color w:val="0000FF"/>
              </w:rPr>
              <w:t>Financial Statements and Supplementary Data (Unaudited)</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5"/>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3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7"/>
              </w:rPr>
              <w:t>Condensed Consolidated Statements of Income</w:t>
            </w:r>
          </w:p>
        </w:tc>
        <w:tc>
          <w:tcPr>
            <w:tcW w:w="820" w:type="dxa"/>
            <w:vAlign w:val="bottom"/>
            <w:tcBorders>
              <w:top w:val="single" w:sz="8" w:color="0000FF"/>
            </w:tcBorders>
            <w:gridSpan w:val="3"/>
          </w:tcPr>
          <w:p>
            <w:pPr>
              <w:spacing w:after="0"/>
              <w:rPr>
                <w:sz w:val="20"/>
                <w:szCs w:val="20"/>
                <w:color w:val="auto"/>
              </w:rPr>
            </w:pPr>
          </w:p>
        </w:tc>
        <w:tc>
          <w:tcPr>
            <w:tcW w:w="4560" w:type="dxa"/>
            <w:vAlign w:val="bottom"/>
            <w:gridSpan w:val="4"/>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5"/>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7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5"/>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Condensed Consolidated Balance Sheets</w:t>
            </w:r>
          </w:p>
        </w:tc>
        <w:tc>
          <w:tcPr>
            <w:tcW w:w="422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7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Equity</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8"/>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7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760" w:type="dxa"/>
            <w:vAlign w:val="bottom"/>
            <w:gridSpan w:val="1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172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5"/>
        </w:trPr>
        <w:tc>
          <w:tcPr>
            <w:tcW w:w="172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444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5"/>
        </w:trPr>
        <w:tc>
          <w:tcPr>
            <w:tcW w:w="172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7"/>
              </w:rPr>
              <w:t>Controls and Procedures</w:t>
            </w:r>
          </w:p>
        </w:tc>
        <w:tc>
          <w:tcPr>
            <w:tcW w:w="700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18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Part II. Other Information</w:t>
            </w:r>
          </w:p>
        </w:tc>
        <w:tc>
          <w:tcPr>
            <w:tcW w:w="8620" w:type="dxa"/>
            <w:vAlign w:val="bottom"/>
            <w:gridSpan w:val="14"/>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5"/>
        </w:trPr>
        <w:tc>
          <w:tcPr>
            <w:tcW w:w="172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Risk Factors</w:t>
            </w:r>
          </w:p>
        </w:tc>
        <w:tc>
          <w:tcPr>
            <w:tcW w:w="7860" w:type="dxa"/>
            <w:vAlign w:val="bottom"/>
            <w:gridSpan w:val="11"/>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5"/>
        </w:trPr>
        <w:tc>
          <w:tcPr>
            <w:tcW w:w="172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8760" w:type="dxa"/>
            <w:vAlign w:val="bottom"/>
            <w:gridSpan w:val="15"/>
          </w:tcPr>
          <w:p>
            <w:pPr>
              <w:spacing w:after="0"/>
              <w:rPr>
                <w:sz w:val="20"/>
                <w:szCs w:val="20"/>
                <w:color w:val="auto"/>
              </w:rPr>
            </w:pPr>
            <w:r>
              <w:rPr>
                <w:rFonts w:ascii="Arial" w:cs="Arial" w:eastAsia="Arial" w:hAnsi="Arial"/>
                <w:sz w:val="18"/>
                <w:szCs w:val="18"/>
                <w:color w:val="0000FF"/>
              </w:rPr>
              <w:t>Exhibits</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5"/>
        </w:trPr>
        <w:tc>
          <w:tcPr>
            <w:tcW w:w="7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Signatures</w:t>
            </w:r>
          </w:p>
        </w:tc>
        <w:tc>
          <w:tcPr>
            <w:tcW w:w="96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128905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40" w:type="dxa"/>
            <w:vAlign w:val="bottom"/>
            <w:gridSpan w:val="4"/>
          </w:tcPr>
          <w:p>
            <w:pPr>
              <w:jc w:val="right"/>
              <w:ind w:right="305"/>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spacing w:after="0"/>
              <w:rPr>
                <w:sz w:val="16"/>
                <w:szCs w:val="16"/>
                <w:color w:val="auto"/>
              </w:rPr>
            </w:pPr>
          </w:p>
        </w:tc>
      </w:tr>
      <w:tr>
        <w:trPr>
          <w:trHeight w:val="212"/>
        </w:trPr>
        <w:tc>
          <w:tcPr>
            <w:tcW w:w="4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17"/>
        </w:trPr>
        <w:tc>
          <w:tcPr>
            <w:tcW w:w="4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8"/>
                <w:szCs w:val="18"/>
                <w:color w:val="auto"/>
              </w:rPr>
            </w:pPr>
          </w:p>
        </w:tc>
        <w:tc>
          <w:tcPr>
            <w:tcW w:w="1160" w:type="dxa"/>
            <w:vAlign w:val="bottom"/>
            <w:gridSpan w:val="2"/>
          </w:tcPr>
          <w:p>
            <w:pPr>
              <w:jc w:val="right"/>
              <w:ind w:right="25"/>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6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540"/>
              <w:spacing w:after="0"/>
              <w:rPr>
                <w:sz w:val="20"/>
                <w:szCs w:val="20"/>
                <w:color w:val="auto"/>
              </w:rPr>
            </w:pPr>
            <w:r>
              <w:rPr>
                <w:rFonts w:ascii="Arial" w:cs="Arial" w:eastAsia="Arial" w:hAnsi="Arial"/>
                <w:sz w:val="16"/>
                <w:szCs w:val="16"/>
                <w:b w:val="1"/>
                <w:bCs w:val="1"/>
                <w:color w:val="auto"/>
                <w:w w:val="95"/>
              </w:rPr>
              <w:t>2022</w:t>
            </w:r>
          </w:p>
        </w:tc>
      </w:tr>
      <w:tr>
        <w:trPr>
          <w:trHeight w:val="228"/>
        </w:trPr>
        <w:tc>
          <w:tcPr>
            <w:tcW w:w="46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2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160" w:type="dxa"/>
            <w:vAlign w:val="bottom"/>
            <w:tcBorders>
              <w:bottom w:val="single" w:sz="8" w:color="CCEEFF"/>
            </w:tcBorders>
            <w:gridSpan w:val="2"/>
            <w:shd w:val="clear" w:color="auto" w:fill="CCEEFF"/>
          </w:tcPr>
          <w:p>
            <w:pPr>
              <w:jc w:val="right"/>
              <w:ind w:right="88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700" w:type="dxa"/>
            <w:vAlign w:val="bottom"/>
            <w:tcBorders>
              <w:bottom w:val="single" w:sz="8" w:color="CCEEFF"/>
            </w:tcBorders>
            <w:gridSpan w:val="2"/>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563.8</w:t>
            </w:r>
          </w:p>
        </w:tc>
      </w:tr>
      <w:tr>
        <w:trPr>
          <w:trHeight w:val="241"/>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r>
              <w:rPr>
                <w:rFonts w:ascii="Arial" w:cs="Arial" w:eastAsia="Arial" w:hAnsi="Arial"/>
                <w:sz w:val="20"/>
                <w:szCs w:val="20"/>
                <w:color w:val="auto"/>
                <w:vertAlign w:val="superscript"/>
              </w:rPr>
              <w:t>(1)</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w:t>
            </w:r>
          </w:p>
        </w:tc>
      </w:tr>
      <w:tr>
        <w:trPr>
          <w:trHeight w:val="215"/>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160" w:type="dxa"/>
            <w:vAlign w:val="bottom"/>
            <w:tcBorders>
              <w:bottom w:val="single" w:sz="8" w:color="CCEEFF"/>
            </w:tcBorders>
            <w:gridSpan w:val="2"/>
            <w:shd w:val="clear" w:color="auto" w:fill="CCEEFF"/>
          </w:tcPr>
          <w:p>
            <w:pPr>
              <w:jc w:val="right"/>
              <w:ind w:right="88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700" w:type="dxa"/>
            <w:vAlign w:val="bottom"/>
            <w:tcBorders>
              <w:bottom w:val="single" w:sz="8" w:color="CCEEFF"/>
            </w:tcBorders>
            <w:gridSpan w:val="2"/>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395.1</w:t>
            </w:r>
          </w:p>
        </w:tc>
      </w:tr>
      <w:tr>
        <w:trPr>
          <w:trHeight w:val="218"/>
        </w:trPr>
        <w:tc>
          <w:tcPr>
            <w:tcW w:w="46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32"/>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09"/>
        </w:trPr>
        <w:tc>
          <w:tcPr>
            <w:tcW w:w="460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134.2</w:t>
            </w:r>
          </w:p>
        </w:tc>
        <w:tc>
          <w:tcPr>
            <w:tcW w:w="1160" w:type="dxa"/>
            <w:vAlign w:val="bottom"/>
            <w:gridSpan w:val="2"/>
          </w:tcPr>
          <w:p>
            <w:pPr>
              <w:jc w:val="right"/>
              <w:ind w:right="885"/>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92.3</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234.2</w:t>
            </w:r>
          </w:p>
        </w:tc>
        <w:tc>
          <w:tcPr>
            <w:tcW w:w="700" w:type="dxa"/>
            <w:vAlign w:val="bottom"/>
            <w:gridSpan w:val="2"/>
          </w:tcPr>
          <w:p>
            <w:pPr>
              <w:jc w:val="right"/>
              <w:ind w:right="42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179.6</w:t>
            </w:r>
          </w:p>
        </w:tc>
      </w:tr>
      <w:tr>
        <w:trPr>
          <w:trHeight w:val="32"/>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5"/>
        </w:trPr>
        <w:tc>
          <w:tcPr>
            <w:tcW w:w="4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Operating Income</w:t>
            </w: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160" w:type="dxa"/>
            <w:vAlign w:val="bottom"/>
            <w:tcBorders>
              <w:bottom w:val="single" w:sz="8" w:color="CCEEFF"/>
            </w:tcBorders>
            <w:gridSpan w:val="2"/>
            <w:shd w:val="clear" w:color="auto" w:fill="CCEEFF"/>
          </w:tcPr>
          <w:p>
            <w:pPr>
              <w:jc w:val="right"/>
              <w:ind w:right="88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700" w:type="dxa"/>
            <w:vAlign w:val="bottom"/>
            <w:tcBorders>
              <w:bottom w:val="single" w:sz="8" w:color="CCEEFF"/>
            </w:tcBorders>
            <w:gridSpan w:val="2"/>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215.5</w:t>
            </w:r>
          </w:p>
        </w:tc>
      </w:tr>
      <w:tr>
        <w:trPr>
          <w:trHeight w:val="218"/>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5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2"/>
        </w:trPr>
        <w:tc>
          <w:tcPr>
            <w:tcW w:w="46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040" w:type="dxa"/>
            <w:vAlign w:val="bottom"/>
            <w:tcBorders>
              <w:top w:val="single" w:sz="8" w:color="auto"/>
            </w:tcBorders>
          </w:tcPr>
          <w:p>
            <w:pPr>
              <w:jc w:val="right"/>
              <w:ind w:right="86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17"/>
                <w:szCs w:val="17"/>
                <w:color w:val="auto"/>
              </w:rPr>
            </w:pPr>
          </w:p>
        </w:tc>
        <w:tc>
          <w:tcPr>
            <w:tcW w:w="580" w:type="dxa"/>
            <w:vAlign w:val="bottom"/>
            <w:tcBorders>
              <w:top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210.5</w:t>
            </w:r>
          </w:p>
        </w:tc>
      </w:tr>
      <w:tr>
        <w:trPr>
          <w:trHeight w:val="32"/>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09"/>
        </w:trPr>
        <w:tc>
          <w:tcPr>
            <w:tcW w:w="4600" w:type="dxa"/>
            <w:vAlign w:val="bottom"/>
          </w:tcPr>
          <w:p>
            <w:pPr>
              <w:ind w:left="106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14.0</w:t>
            </w:r>
          </w:p>
        </w:tc>
        <w:tc>
          <w:tcPr>
            <w:tcW w:w="1160" w:type="dxa"/>
            <w:vAlign w:val="bottom"/>
            <w:gridSpan w:val="2"/>
          </w:tcPr>
          <w:p>
            <w:pPr>
              <w:jc w:val="right"/>
              <w:ind w:right="885"/>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79.6</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49.2</w:t>
            </w:r>
          </w:p>
        </w:tc>
        <w:tc>
          <w:tcPr>
            <w:tcW w:w="700" w:type="dxa"/>
            <w:vAlign w:val="bottom"/>
            <w:gridSpan w:val="2"/>
          </w:tcPr>
          <w:p>
            <w:pPr>
              <w:jc w:val="right"/>
              <w:ind w:right="42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178.4</w:t>
            </w:r>
          </w:p>
        </w:tc>
      </w:tr>
      <w:tr>
        <w:trPr>
          <w:trHeight w:val="32"/>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4"/>
        </w:trPr>
        <w:tc>
          <w:tcPr>
            <w:tcW w:w="4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2"/>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1"/>
        </w:trPr>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160" w:type="dxa"/>
            <w:vAlign w:val="bottom"/>
            <w:tcBorders>
              <w:bottom w:val="single" w:sz="8" w:color="CCEEFF"/>
            </w:tcBorders>
            <w:gridSpan w:val="2"/>
            <w:shd w:val="clear" w:color="auto" w:fill="CCEEFF"/>
          </w:tcPr>
          <w:p>
            <w:pPr>
              <w:jc w:val="right"/>
              <w:ind w:right="88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700" w:type="dxa"/>
            <w:vAlign w:val="bottom"/>
            <w:tcBorders>
              <w:bottom w:val="single" w:sz="8" w:color="CCEEFF"/>
            </w:tcBorders>
            <w:gridSpan w:val="2"/>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09"/>
        </w:trPr>
        <w:tc>
          <w:tcPr>
            <w:tcW w:w="460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0.24</w:t>
            </w:r>
          </w:p>
        </w:tc>
        <w:tc>
          <w:tcPr>
            <w:tcW w:w="1160" w:type="dxa"/>
            <w:vAlign w:val="bottom"/>
            <w:gridSpan w:val="2"/>
          </w:tcPr>
          <w:p>
            <w:pPr>
              <w:jc w:val="right"/>
              <w:ind w:right="885"/>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1.38</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0.85</w:t>
            </w:r>
          </w:p>
        </w:tc>
        <w:tc>
          <w:tcPr>
            <w:tcW w:w="700" w:type="dxa"/>
            <w:vAlign w:val="bottom"/>
            <w:gridSpan w:val="2"/>
          </w:tcPr>
          <w:p>
            <w:pPr>
              <w:jc w:val="right"/>
              <w:ind w:right="42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774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3"/>
        <w:spacing w:after="0" w:line="214" w:lineRule="auto"/>
        <w:tabs>
          <w:tab w:leader="none" w:pos="32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For periods prior to the Separation, this income statement line includes cost of products sold from related party inventory purchases. For the three and six month periods ended March 31, 2022, cost of products sold from related party inventory purchases were $10.6 million and $22.1 million, respectively.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Embecta Corp.</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278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spacing w:after="0"/>
              <w:rPr>
                <w:sz w:val="16"/>
                <w:szCs w:val="16"/>
                <w:color w:val="auto"/>
              </w:rPr>
            </w:pPr>
          </w:p>
        </w:tc>
      </w:tr>
      <w:tr>
        <w:trPr>
          <w:trHeight w:val="212"/>
        </w:trPr>
        <w:tc>
          <w:tcPr>
            <w:tcW w:w="45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05"/>
        </w:trPr>
        <w:tc>
          <w:tcPr>
            <w:tcW w:w="452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6"/>
                <w:szCs w:val="16"/>
                <w:b w:val="1"/>
                <w:bCs w:val="1"/>
                <w:color w:val="auto"/>
              </w:rPr>
              <w:t>2022</w:t>
            </w:r>
          </w:p>
        </w:tc>
      </w:tr>
      <w:tr>
        <w:trPr>
          <w:trHeight w:val="32"/>
        </w:trPr>
        <w:tc>
          <w:tcPr>
            <w:tcW w:w="4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4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1"/>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CCEEFF"/>
            </w:tcBorders>
            <w:shd w:val="clear" w:color="auto" w:fill="CCEEFF"/>
          </w:tcPr>
          <w:p>
            <w:pPr>
              <w:jc w:val="right"/>
              <w:ind w:right="90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79.6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7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178.4</w:t>
            </w:r>
          </w:p>
        </w:tc>
      </w:tr>
      <w:tr>
        <w:trPr>
          <w:trHeight w:val="218"/>
        </w:trPr>
        <w:tc>
          <w:tcPr>
            <w:tcW w:w="45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1"/>
        </w:trPr>
        <w:tc>
          <w:tcPr>
            <w:tcW w:w="4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7"/>
              </w:rPr>
              <w:t>(7.1)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w w:val="95"/>
              </w:rPr>
              <w:t>(15.9)</w:t>
            </w:r>
          </w:p>
        </w:tc>
      </w:tr>
      <w:tr>
        <w:trPr>
          <w:trHeight w:val="209"/>
        </w:trPr>
        <w:tc>
          <w:tcPr>
            <w:tcW w:w="45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80" w:type="dxa"/>
            <w:vAlign w:val="bottom"/>
          </w:tcPr>
          <w:p>
            <w:pPr>
              <w:jc w:val="right"/>
              <w:ind w:right="90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1200" w:type="dxa"/>
            <w:vAlign w:val="bottom"/>
            <w:gridSpan w:val="2"/>
          </w:tcPr>
          <w:p>
            <w:pPr>
              <w:jc w:val="right"/>
              <w:ind w:right="1000"/>
              <w:spacing w:after="0"/>
              <w:rPr>
                <w:sz w:val="20"/>
                <w:szCs w:val="20"/>
                <w:color w:val="auto"/>
              </w:rPr>
            </w:pPr>
            <w:r>
              <w:rPr>
                <w:rFonts w:ascii="Arial" w:cs="Arial" w:eastAsia="Arial" w:hAnsi="Arial"/>
                <w:sz w:val="16"/>
                <w:szCs w:val="16"/>
                <w:color w:val="auto"/>
              </w:rPr>
              <w:t>$</w:t>
            </w:r>
          </w:p>
        </w:tc>
        <w:tc>
          <w:tcPr>
            <w:tcW w:w="480" w:type="dxa"/>
            <w:vAlign w:val="bottom"/>
          </w:tcPr>
          <w:p>
            <w:pPr>
              <w:ind w:left="140"/>
              <w:spacing w:after="0"/>
              <w:rPr>
                <w:sz w:val="20"/>
                <w:szCs w:val="20"/>
                <w:color w:val="auto"/>
              </w:rPr>
            </w:pPr>
            <w:r>
              <w:rPr>
                <w:rFonts w:ascii="Arial" w:cs="Arial" w:eastAsia="Arial" w:hAnsi="Arial"/>
                <w:sz w:val="16"/>
                <w:szCs w:val="16"/>
                <w:color w:val="auto"/>
                <w:w w:val="97"/>
              </w:rPr>
              <w:t>(7.1)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28.7</w:t>
            </w: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ind w:left="560"/>
              <w:spacing w:after="0"/>
              <w:rPr>
                <w:sz w:val="20"/>
                <w:szCs w:val="20"/>
                <w:color w:val="auto"/>
              </w:rPr>
            </w:pPr>
            <w:r>
              <w:rPr>
                <w:rFonts w:ascii="Arial" w:cs="Arial" w:eastAsia="Arial" w:hAnsi="Arial"/>
                <w:sz w:val="16"/>
                <w:szCs w:val="16"/>
                <w:color w:val="auto"/>
                <w:w w:val="95"/>
              </w:rPr>
              <w:t>(15.9)</w:t>
            </w:r>
          </w:p>
        </w:tc>
      </w:tr>
      <w:tr>
        <w:trPr>
          <w:trHeight w:val="32"/>
        </w:trPr>
        <w:tc>
          <w:tcPr>
            <w:tcW w:w="4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5"/>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72.5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162.5</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3"/>
              </w:rPr>
              <w:t>September 30, 2022</w:t>
            </w:r>
          </w:p>
        </w:tc>
      </w:tr>
      <w:tr>
        <w:trPr>
          <w:trHeight w:val="206"/>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ind w:right="46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09"/>
        </w:trPr>
        <w:tc>
          <w:tcPr>
            <w:tcW w:w="740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1"/>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r>
      <w:tr>
        <w:trPr>
          <w:trHeight w:val="178"/>
        </w:trPr>
        <w:tc>
          <w:tcPr>
            <w:tcW w:w="7400" w:type="dxa"/>
            <w:vAlign w:val="bottom"/>
          </w:tcPr>
          <w:p>
            <w:pPr>
              <w:ind w:left="700"/>
              <w:spacing w:after="0" w:line="178" w:lineRule="exact"/>
              <w:rPr>
                <w:sz w:val="20"/>
                <w:szCs w:val="20"/>
                <w:color w:val="auto"/>
              </w:rPr>
            </w:pPr>
            <w:r>
              <w:rPr>
                <w:rFonts w:ascii="Arial" w:cs="Arial" w:eastAsia="Arial" w:hAnsi="Arial"/>
                <w:sz w:val="16"/>
                <w:szCs w:val="16"/>
                <w:color w:val="auto"/>
                <w:w w:val="96"/>
              </w:rPr>
              <w:t>Trade receivables, net (net of allowance for doubtful accounts of $1.1 million and $1.3 million as of</w:t>
            </w: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5"/>
        </w:trPr>
        <w:tc>
          <w:tcPr>
            <w:tcW w:w="7400" w:type="dxa"/>
            <w:vAlign w:val="bottom"/>
          </w:tcPr>
          <w:p>
            <w:pPr>
              <w:ind w:left="880"/>
              <w:spacing w:after="0"/>
              <w:rPr>
                <w:sz w:val="20"/>
                <w:szCs w:val="20"/>
                <w:color w:val="auto"/>
              </w:rPr>
            </w:pPr>
            <w:r>
              <w:rPr>
                <w:rFonts w:ascii="Arial" w:cs="Arial" w:eastAsia="Arial" w:hAnsi="Arial"/>
                <w:sz w:val="16"/>
                <w:szCs w:val="16"/>
                <w:color w:val="auto"/>
              </w:rPr>
              <w:t>March 31, 2023 and September 30, 2022, respectively)</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32"/>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1"/>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18"/>
        </w:trPr>
        <w:tc>
          <w:tcPr>
            <w:tcW w:w="7400" w:type="dxa"/>
            <w:vAlign w:val="bottom"/>
          </w:tcPr>
          <w:p>
            <w:pPr>
              <w:ind w:left="1060"/>
              <w:spacing w:after="0"/>
              <w:rPr>
                <w:sz w:val="20"/>
                <w:szCs w:val="20"/>
                <w:color w:val="auto"/>
              </w:rPr>
            </w:pPr>
            <w:r>
              <w:rPr>
                <w:rFonts w:ascii="Arial" w:cs="Arial" w:eastAsia="Arial" w:hAnsi="Arial"/>
                <w:sz w:val="16"/>
                <w:szCs w:val="16"/>
                <w:color w:val="auto"/>
              </w:rPr>
              <w:t>Materials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31"/>
        </w:trPr>
        <w:tc>
          <w:tcPr>
            <w:tcW w:w="7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Work in process</w:t>
            </w: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7400" w:type="dxa"/>
            <w:vAlign w:val="bottom"/>
          </w:tcPr>
          <w:p>
            <w:pPr>
              <w:ind w:left="1060"/>
              <w:spacing w:after="0"/>
              <w:rPr>
                <w:sz w:val="20"/>
                <w:szCs w:val="20"/>
                <w:color w:val="auto"/>
              </w:rPr>
            </w:pPr>
            <w:r>
              <w:rPr>
                <w:rFonts w:ascii="Arial" w:cs="Arial" w:eastAsia="Arial" w:hAnsi="Arial"/>
                <w:sz w:val="16"/>
                <w:szCs w:val="16"/>
                <w:color w:val="auto"/>
              </w:rPr>
              <w:t>Finished products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93.8</w:t>
            </w:r>
          </w:p>
        </w:tc>
      </w:tr>
      <w:tr>
        <w:trPr>
          <w:trHeight w:val="32"/>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1"/>
        </w:trPr>
        <w:tc>
          <w:tcPr>
            <w:tcW w:w="74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Total Inventories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r>
      <w:tr>
        <w:trPr>
          <w:trHeight w:val="209"/>
        </w:trPr>
        <w:tc>
          <w:tcPr>
            <w:tcW w:w="7400" w:type="dxa"/>
            <w:vAlign w:val="bottom"/>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110.9</w:t>
            </w:r>
          </w:p>
        </w:tc>
      </w:tr>
      <w:tr>
        <w:trPr>
          <w:trHeight w:val="32"/>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1"/>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Prepaid expenses and other</w:t>
            </w: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212"/>
        </w:trPr>
        <w:tc>
          <w:tcPr>
            <w:tcW w:w="7400" w:type="dxa"/>
            <w:vAlign w:val="bottom"/>
          </w:tcPr>
          <w:p>
            <w:pPr>
              <w:ind w:left="10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756.3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664.7</w:t>
            </w:r>
          </w:p>
        </w:tc>
      </w:tr>
      <w:tr>
        <w:trPr>
          <w:trHeight w:val="23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301.6</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32"/>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1,210.0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1,086.4</w:t>
            </w:r>
          </w:p>
        </w:tc>
      </w:tr>
      <w:tr>
        <w:trPr>
          <w:trHeight w:val="32"/>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8"/>
        </w:trPr>
        <w:tc>
          <w:tcPr>
            <w:tcW w:w="74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r>
      <w:tr>
        <w:trPr>
          <w:trHeight w:val="218"/>
        </w:trPr>
        <w:tc>
          <w:tcPr>
            <w:tcW w:w="7400" w:type="dxa"/>
            <w:vAlign w:val="bottom"/>
          </w:tcPr>
          <w:p>
            <w:pPr>
              <w:ind w:left="36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1"/>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09"/>
        </w:trPr>
        <w:tc>
          <w:tcPr>
            <w:tcW w:w="7400" w:type="dxa"/>
            <w:vAlign w:val="bottom"/>
          </w:tcPr>
          <w:p>
            <w:pPr>
              <w:ind w:left="70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104.3</w:t>
            </w:r>
          </w:p>
        </w:tc>
      </w:tr>
      <w:tr>
        <w:trPr>
          <w:trHeight w:val="32"/>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8"/>
        </w:trPr>
        <w:tc>
          <w:tcPr>
            <w:tcW w:w="74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09"/>
        </w:trPr>
        <w:tc>
          <w:tcPr>
            <w:tcW w:w="7400" w:type="dxa"/>
            <w:vAlign w:val="bottom"/>
          </w:tcPr>
          <w:p>
            <w:pPr>
              <w:ind w:left="700"/>
              <w:spacing w:after="0"/>
              <w:rPr>
                <w:sz w:val="20"/>
                <w:szCs w:val="20"/>
                <w:color w:val="auto"/>
              </w:rPr>
            </w:pPr>
            <w:r>
              <w:rPr>
                <w:rFonts w:ascii="Arial" w:cs="Arial" w:eastAsia="Arial" w:hAnsi="Arial"/>
                <w:sz w:val="16"/>
                <w:szCs w:val="16"/>
                <w:color w:val="auto"/>
              </w:rPr>
              <w:t>Salaries, wages and related items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32"/>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1"/>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debt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8"/>
        </w:trPr>
        <w:tc>
          <w:tcPr>
            <w:tcW w:w="7400" w:type="dxa"/>
            <w:vAlign w:val="bottom"/>
          </w:tcPr>
          <w:p>
            <w:pPr>
              <w:ind w:left="700"/>
              <w:spacing w:after="0"/>
              <w:rPr>
                <w:sz w:val="20"/>
                <w:szCs w:val="20"/>
                <w:color w:val="auto"/>
              </w:rPr>
            </w:pPr>
            <w:r>
              <w:rPr>
                <w:rFonts w:ascii="Arial" w:cs="Arial" w:eastAsia="Arial" w:hAnsi="Arial"/>
                <w:sz w:val="16"/>
                <w:szCs w:val="16"/>
                <w:color w:val="auto"/>
              </w:rPr>
              <w:t>Current finance lease liabilities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6"/>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02"/>
        </w:trPr>
        <w:tc>
          <w:tcPr>
            <w:tcW w:w="7400" w:type="dxa"/>
            <w:vAlign w:val="bottom"/>
            <w:tcBorders>
              <w:top w:val="single" w:sz="8" w:color="CCEEFF"/>
            </w:tcBorders>
          </w:tcPr>
          <w:p>
            <w:pPr>
              <w:ind w:left="10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301.0</w:t>
            </w:r>
          </w:p>
        </w:tc>
      </w:tr>
      <w:tr>
        <w:trPr>
          <w:trHeight w:val="32"/>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1,598.1</w:t>
            </w:r>
          </w:p>
        </w:tc>
      </w:tr>
      <w:tr>
        <w:trPr>
          <w:trHeight w:val="32"/>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 Current Finance Lease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18"/>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191"/>
        </w:trPr>
        <w:tc>
          <w:tcPr>
            <w:tcW w:w="7400" w:type="dxa"/>
            <w:vAlign w:val="bottom"/>
          </w:tcPr>
          <w:p>
            <w:pPr>
              <w:ind w:left="700"/>
              <w:spacing w:after="0"/>
              <w:rPr>
                <w:sz w:val="20"/>
                <w:szCs w:val="20"/>
                <w:color w:val="auto"/>
              </w:rPr>
            </w:pPr>
            <w:r>
              <w:rPr>
                <w:rFonts w:ascii="Arial" w:cs="Arial" w:eastAsia="Arial" w:hAnsi="Arial"/>
                <w:sz w:val="16"/>
                <w:szCs w:val="16"/>
                <w:color w:val="auto"/>
              </w:rPr>
              <w:t>Common stock, $0.01 par value</w:t>
            </w: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74"/>
        </w:trPr>
        <w:tc>
          <w:tcPr>
            <w:tcW w:w="7400" w:type="dxa"/>
            <w:vAlign w:val="bottom"/>
          </w:tcPr>
          <w:p>
            <w:pPr>
              <w:ind w:left="700"/>
              <w:spacing w:after="0" w:line="175" w:lineRule="exact"/>
              <w:rPr>
                <w:sz w:val="20"/>
                <w:szCs w:val="20"/>
                <w:color w:val="auto"/>
              </w:rPr>
            </w:pPr>
            <w:r>
              <w:rPr>
                <w:rFonts w:ascii="Arial" w:cs="Arial" w:eastAsia="Arial" w:hAnsi="Arial"/>
                <w:sz w:val="16"/>
                <w:szCs w:val="16"/>
                <w:color w:val="auto"/>
              </w:rPr>
              <w:t>Authorized - 250,000,000</w:t>
            </w: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5"/>
        </w:trPr>
        <w:tc>
          <w:tcPr>
            <w:tcW w:w="7400" w:type="dxa"/>
            <w:vAlign w:val="bottom"/>
          </w:tcPr>
          <w:p>
            <w:pPr>
              <w:ind w:left="700"/>
              <w:spacing w:after="0"/>
              <w:rPr>
                <w:sz w:val="20"/>
                <w:szCs w:val="20"/>
                <w:color w:val="auto"/>
              </w:rPr>
            </w:pPr>
            <w:r>
              <w:rPr>
                <w:rFonts w:ascii="Arial" w:cs="Arial" w:eastAsia="Arial" w:hAnsi="Arial"/>
                <w:sz w:val="16"/>
                <w:szCs w:val="16"/>
                <w:color w:val="auto"/>
                <w:w w:val="92"/>
              </w:rPr>
              <w:t>Issued and outstanding - 57,287,537 as of March 31, 2023 and 57,055,327 as of September 30, 2022</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0.6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2"/>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1"/>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8"/>
        </w:trPr>
        <w:tc>
          <w:tcPr>
            <w:tcW w:w="7400" w:type="dxa"/>
            <w:vAlign w:val="bottom"/>
          </w:tcPr>
          <w:p>
            <w:pPr>
              <w:ind w:left="70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(577.1)</w:t>
            </w:r>
          </w:p>
        </w:tc>
      </w:tr>
      <w:tr>
        <w:trPr>
          <w:trHeight w:val="256"/>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(324.9)</w:t>
            </w:r>
          </w:p>
        </w:tc>
      </w:tr>
      <w:tr>
        <w:trPr>
          <w:trHeight w:val="202"/>
        </w:trPr>
        <w:tc>
          <w:tcPr>
            <w:tcW w:w="7400" w:type="dxa"/>
            <w:vAlign w:val="bottom"/>
            <w:tcBorders>
              <w:top w:val="single" w:sz="8" w:color="CCEEFF"/>
            </w:tcBorders>
          </w:tcPr>
          <w:p>
            <w:pPr>
              <w:ind w:left="1060"/>
              <w:spacing w:after="0"/>
              <w:rPr>
                <w:sz w:val="20"/>
                <w:szCs w:val="20"/>
                <w:color w:val="auto"/>
              </w:rPr>
            </w:pPr>
            <w:r>
              <w:rPr>
                <w:rFonts w:ascii="Arial" w:cs="Arial" w:eastAsia="Arial" w:hAnsi="Arial"/>
                <w:sz w:val="16"/>
                <w:szCs w:val="16"/>
                <w:color w:val="auto"/>
              </w:rPr>
              <w:t>Total Equity</w:t>
            </w:r>
          </w:p>
        </w:tc>
        <w:tc>
          <w:tcPr>
            <w:tcW w:w="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(822.6)</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(891.4)</w:t>
            </w:r>
          </w:p>
        </w:tc>
      </w:tr>
      <w:tr>
        <w:trPr>
          <w:trHeight w:val="32"/>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Embecta Corp.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2100" w:type="dxa"/>
            <w:vAlign w:val="bottom"/>
            <w:gridSpan w:val="3"/>
          </w:tcPr>
          <w:p>
            <w:pPr>
              <w:jc w:val="right"/>
              <w:ind w:right="389"/>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ind w:right="29"/>
              <w:spacing w:after="0"/>
              <w:rPr>
                <w:sz w:val="20"/>
                <w:szCs w:val="20"/>
                <w:color w:val="auto"/>
              </w:rPr>
            </w:pPr>
            <w:r>
              <w:rPr>
                <w:rFonts w:ascii="Arial" w:cs="Arial" w:eastAsia="Arial" w:hAnsi="Arial"/>
                <w:sz w:val="14"/>
                <w:szCs w:val="14"/>
                <w:color w:val="auto"/>
                <w:w w:val="93"/>
              </w:rPr>
              <w:t>Net Investment</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29"/>
              <w:spacing w:after="0"/>
              <w:rPr>
                <w:sz w:val="20"/>
                <w:szCs w:val="20"/>
                <w:color w:val="auto"/>
              </w:rPr>
            </w:pPr>
            <w:r>
              <w:rPr>
                <w:rFonts w:ascii="Arial" w:cs="Arial" w:eastAsia="Arial" w:hAnsi="Arial"/>
                <w:sz w:val="14"/>
                <w:szCs w:val="14"/>
                <w:color w:val="auto"/>
                <w:w w:val="95"/>
              </w:rPr>
              <w:t>from Becton,</w:t>
            </w: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w w:val="95"/>
              </w:rPr>
              <w:t>Accumulated Other</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Additional Paid-In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49"/>
              <w:spacing w:after="0"/>
              <w:rPr>
                <w:sz w:val="20"/>
                <w:szCs w:val="20"/>
                <w:color w:val="auto"/>
              </w:rPr>
            </w:pPr>
            <w:r>
              <w:rPr>
                <w:rFonts w:ascii="Arial" w:cs="Arial" w:eastAsia="Arial" w:hAnsi="Arial"/>
                <w:sz w:val="14"/>
                <w:szCs w:val="14"/>
                <w:color w:val="auto"/>
                <w:w w:val="93"/>
              </w:rPr>
              <w:t>Dickinson and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w w:val="91"/>
              </w:rPr>
              <w:t>Comprehensive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1160" w:type="dxa"/>
            <w:vAlign w:val="bottom"/>
          </w:tcPr>
          <w:p>
            <w:pPr>
              <w:jc w:val="right"/>
              <w:ind w:right="309"/>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Par Value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89"/>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29"/>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9"/>
              <w:spacing w:after="0"/>
              <w:rPr>
                <w:sz w:val="20"/>
                <w:szCs w:val="20"/>
                <w:color w:val="auto"/>
              </w:rPr>
            </w:pPr>
            <w:r>
              <w:rPr>
                <w:rFonts w:ascii="Arial" w:cs="Arial" w:eastAsia="Arial" w:hAnsi="Arial"/>
                <w:sz w:val="14"/>
                <w:szCs w:val="14"/>
                <w:color w:val="auto"/>
                <w:w w:val="93"/>
              </w:rPr>
              <w:t>Company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w w:val="96"/>
              </w:rPr>
              <w:t>(Loss) Income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6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
        </w:trPr>
        <w:tc>
          <w:tcPr>
            <w:tcW w:w="26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829.8</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550.5</w:t>
            </w:r>
          </w:p>
        </w:tc>
        <w:tc>
          <w:tcPr>
            <w:tcW w:w="0" w:type="dxa"/>
            <w:vAlign w:val="bottom"/>
          </w:tcPr>
          <w:p>
            <w:pPr>
              <w:spacing w:after="0"/>
              <w:rPr>
                <w:sz w:val="1"/>
                <w:szCs w:val="1"/>
                <w:color w:val="auto"/>
              </w:rPr>
            </w:pPr>
          </w:p>
        </w:tc>
      </w:tr>
      <w:tr>
        <w:trPr>
          <w:trHeight w:val="169"/>
        </w:trPr>
        <w:tc>
          <w:tcPr>
            <w:tcW w:w="2600" w:type="dxa"/>
            <w:vAlign w:val="bottom"/>
          </w:tcPr>
          <w:p>
            <w:pPr>
              <w:ind w:left="120"/>
              <w:spacing w:after="0"/>
              <w:rPr>
                <w:sz w:val="20"/>
                <w:szCs w:val="20"/>
                <w:color w:val="auto"/>
              </w:rPr>
            </w:pPr>
            <w:r>
              <w:rPr>
                <w:rFonts w:ascii="Arial" w:cs="Arial" w:eastAsia="Arial" w:hAnsi="Arial"/>
                <w:sz w:val="14"/>
                <w:szCs w:val="14"/>
                <w:color w:val="auto"/>
                <w:w w:val="97"/>
              </w:rPr>
              <w:t>Net income attributable to Diabetes Care</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00" w:type="dxa"/>
            <w:vAlign w:val="bottom"/>
          </w:tcPr>
          <w:p>
            <w:pPr>
              <w:ind w:left="300"/>
              <w:spacing w:after="0"/>
              <w:rPr>
                <w:sz w:val="20"/>
                <w:szCs w:val="20"/>
                <w:color w:val="auto"/>
              </w:rPr>
            </w:pPr>
            <w:r>
              <w:rPr>
                <w:rFonts w:ascii="Arial" w:cs="Arial" w:eastAsia="Arial" w:hAnsi="Arial"/>
                <w:sz w:val="14"/>
                <w:szCs w:val="14"/>
                <w:color w:val="auto"/>
              </w:rPr>
              <w:t>Business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200"/>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loss, net of taxes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2"/>
        </w:trPr>
        <w:tc>
          <w:tcPr>
            <w:tcW w:w="2600" w:type="dxa"/>
            <w:vAlign w:val="bottom"/>
          </w:tcPr>
          <w:p>
            <w:pPr>
              <w:ind w:left="120"/>
              <w:spacing w:after="0"/>
              <w:rPr>
                <w:sz w:val="20"/>
                <w:szCs w:val="20"/>
                <w:color w:val="auto"/>
              </w:rPr>
            </w:pPr>
            <w:r>
              <w:rPr>
                <w:rFonts w:ascii="Arial" w:cs="Arial" w:eastAsia="Arial" w:hAnsi="Arial"/>
                <w:sz w:val="14"/>
                <w:szCs w:val="14"/>
                <w:color w:val="auto"/>
              </w:rPr>
              <w:t>Net transfers to Becton, Dickinson and</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(1,590.5)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(1,590.5)</w:t>
            </w:r>
          </w:p>
        </w:tc>
        <w:tc>
          <w:tcPr>
            <w:tcW w:w="0" w:type="dxa"/>
            <w:vAlign w:val="bottom"/>
          </w:tcPr>
          <w:p>
            <w:pPr>
              <w:spacing w:after="0"/>
              <w:rPr>
                <w:sz w:val="1"/>
                <w:szCs w:val="1"/>
                <w:color w:val="auto"/>
              </w:rPr>
            </w:pPr>
          </w:p>
        </w:tc>
      </w:tr>
      <w:tr>
        <w:trPr>
          <w:trHeight w:val="187"/>
        </w:trPr>
        <w:tc>
          <w:tcPr>
            <w:tcW w:w="2600" w:type="dxa"/>
            <w:vAlign w:val="bottom"/>
          </w:tcPr>
          <w:p>
            <w:pPr>
              <w:ind w:left="300"/>
              <w:spacing w:after="0"/>
              <w:rPr>
                <w:sz w:val="20"/>
                <w:szCs w:val="20"/>
                <w:color w:val="auto"/>
              </w:rPr>
            </w:pPr>
            <w:r>
              <w:rPr>
                <w:rFonts w:ascii="Arial" w:cs="Arial" w:eastAsia="Arial" w:hAnsi="Arial"/>
                <w:sz w:val="14"/>
                <w:szCs w:val="14"/>
                <w:color w:val="auto"/>
              </w:rPr>
              <w:t>Company</w:t>
            </w: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(681.1)</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(967.5)</w:t>
            </w:r>
          </w:p>
        </w:tc>
        <w:tc>
          <w:tcPr>
            <w:tcW w:w="0" w:type="dxa"/>
            <w:vAlign w:val="bottom"/>
          </w:tcPr>
          <w:p>
            <w:pPr>
              <w:spacing w:after="0"/>
              <w:rPr>
                <w:sz w:val="1"/>
                <w:szCs w:val="1"/>
                <w:color w:val="auto"/>
              </w:rPr>
            </w:pPr>
          </w:p>
        </w:tc>
      </w:tr>
      <w:tr>
        <w:trPr>
          <w:trHeight w:val="262"/>
        </w:trPr>
        <w:tc>
          <w:tcPr>
            <w:tcW w:w="2600" w:type="dxa"/>
            <w:vAlign w:val="bottom"/>
            <w:tcBorders>
              <w:top w:val="single" w:sz="8" w:color="CCEEFF"/>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57,213,757</w:t>
            </w:r>
          </w:p>
        </w:tc>
        <w:tc>
          <w:tcPr>
            <w:tcW w:w="940" w:type="dxa"/>
            <w:vAlign w:val="bottom"/>
            <w:tcBorders>
              <w:bottom w:val="single" w:sz="8" w:color="CCEEFF"/>
            </w:tcBorders>
            <w:gridSpan w:val="2"/>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(836.1)</w:t>
            </w:r>
          </w:p>
        </w:tc>
        <w:tc>
          <w:tcPr>
            <w:tcW w:w="0" w:type="dxa"/>
            <w:vAlign w:val="bottom"/>
          </w:tcPr>
          <w:p>
            <w:pPr>
              <w:spacing w:after="0"/>
              <w:rPr>
                <w:sz w:val="1"/>
                <w:szCs w:val="1"/>
                <w:color w:val="auto"/>
              </w:rPr>
            </w:pPr>
          </w:p>
        </w:tc>
      </w:tr>
      <w:tr>
        <w:trPr>
          <w:trHeight w:val="189"/>
        </w:trPr>
        <w:tc>
          <w:tcPr>
            <w:tcW w:w="2600" w:type="dxa"/>
            <w:vAlign w:val="bottom"/>
          </w:tcPr>
          <w:p>
            <w:pPr>
              <w:ind w:left="120"/>
              <w:spacing w:after="0"/>
              <w:rPr>
                <w:sz w:val="20"/>
                <w:szCs w:val="20"/>
                <w:color w:val="auto"/>
              </w:rPr>
            </w:pPr>
            <w:r>
              <w:rPr>
                <w:rFonts w:ascii="Arial" w:cs="Arial" w:eastAsia="Arial" w:hAnsi="Arial"/>
                <w:sz w:val="14"/>
                <w:szCs w:val="14"/>
                <w:color w:val="auto"/>
                <w:w w:val="95"/>
              </w:rPr>
              <w:t>Net income attributable to Embecta Corp.</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3"/>
              </w:rPr>
              <w:t>Other comprehensive income, net of taxes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260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Common dividends ($0.15 per share)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9"/>
        </w:trPr>
        <w:tc>
          <w:tcPr>
            <w:tcW w:w="2600" w:type="dxa"/>
            <w:vAlign w:val="bottom"/>
          </w:tcPr>
          <w:p>
            <w:pPr>
              <w:ind w:left="120"/>
              <w:spacing w:after="0"/>
              <w:rPr>
                <w:sz w:val="20"/>
                <w:szCs w:val="20"/>
                <w:color w:val="auto"/>
              </w:rPr>
            </w:pPr>
            <w:r>
              <w:rPr>
                <w:rFonts w:ascii="Arial" w:cs="Arial" w:eastAsia="Arial" w:hAnsi="Arial"/>
                <w:sz w:val="14"/>
                <w:szCs w:val="14"/>
                <w:color w:val="auto"/>
                <w:w w:val="94"/>
              </w:rPr>
              <w:t>Issuance of shares related to stock-based</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73,780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7"/>
        </w:trPr>
        <w:tc>
          <w:tcPr>
            <w:tcW w:w="2600" w:type="dxa"/>
            <w:vAlign w:val="bottom"/>
          </w:tcPr>
          <w:p>
            <w:pPr>
              <w:ind w:left="300"/>
              <w:spacing w:after="0"/>
              <w:rPr>
                <w:sz w:val="20"/>
                <w:szCs w:val="20"/>
                <w:color w:val="auto"/>
              </w:rPr>
            </w:pPr>
            <w:r>
              <w:rPr>
                <w:rFonts w:ascii="Arial" w:cs="Arial" w:eastAsia="Arial" w:hAnsi="Arial"/>
                <w:sz w:val="14"/>
                <w:szCs w:val="14"/>
                <w:color w:val="auto"/>
              </w:rPr>
              <w:t>compensation plans</w:t>
            </w: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Balance at March 31, 2023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57,287,537</w:t>
            </w:r>
          </w:p>
        </w:tc>
        <w:tc>
          <w:tcPr>
            <w:tcW w:w="940" w:type="dxa"/>
            <w:vAlign w:val="bottom"/>
            <w:tcBorders>
              <w:bottom w:val="single" w:sz="8" w:color="CCEEFF"/>
            </w:tcBorders>
            <w:gridSpan w:val="2"/>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(296.2)</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(822.6)</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79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2100" w:type="dxa"/>
            <w:vAlign w:val="bottom"/>
            <w:gridSpan w:val="3"/>
          </w:tcPr>
          <w:p>
            <w:pPr>
              <w:jc w:val="right"/>
              <w:ind w:right="389"/>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ind w:right="29"/>
              <w:spacing w:after="0"/>
              <w:rPr>
                <w:sz w:val="20"/>
                <w:szCs w:val="20"/>
                <w:color w:val="auto"/>
              </w:rPr>
            </w:pPr>
            <w:r>
              <w:rPr>
                <w:rFonts w:ascii="Arial" w:cs="Arial" w:eastAsia="Arial" w:hAnsi="Arial"/>
                <w:sz w:val="14"/>
                <w:szCs w:val="14"/>
                <w:color w:val="auto"/>
                <w:w w:val="93"/>
              </w:rPr>
              <w:t>Net Investment</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29"/>
              <w:spacing w:after="0"/>
              <w:rPr>
                <w:sz w:val="20"/>
                <w:szCs w:val="20"/>
                <w:color w:val="auto"/>
              </w:rPr>
            </w:pPr>
            <w:r>
              <w:rPr>
                <w:rFonts w:ascii="Arial" w:cs="Arial" w:eastAsia="Arial" w:hAnsi="Arial"/>
                <w:sz w:val="14"/>
                <w:szCs w:val="14"/>
                <w:color w:val="auto"/>
                <w:w w:val="95"/>
              </w:rPr>
              <w:t>from Becton,</w:t>
            </w: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w w:val="95"/>
              </w:rPr>
              <w:t>Accumulated Other</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Additional Paid-In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49"/>
              <w:spacing w:after="0"/>
              <w:rPr>
                <w:sz w:val="20"/>
                <w:szCs w:val="20"/>
                <w:color w:val="auto"/>
              </w:rPr>
            </w:pPr>
            <w:r>
              <w:rPr>
                <w:rFonts w:ascii="Arial" w:cs="Arial" w:eastAsia="Arial" w:hAnsi="Arial"/>
                <w:sz w:val="14"/>
                <w:szCs w:val="14"/>
                <w:color w:val="auto"/>
                <w:w w:val="93"/>
              </w:rPr>
              <w:t>Dickinson and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w w:val="91"/>
              </w:rPr>
              <w:t>Comprehensive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1160" w:type="dxa"/>
            <w:vAlign w:val="bottom"/>
          </w:tcPr>
          <w:p>
            <w:pPr>
              <w:jc w:val="right"/>
              <w:ind w:right="309"/>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Par Value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89"/>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29"/>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9"/>
              <w:spacing w:after="0"/>
              <w:rPr>
                <w:sz w:val="20"/>
                <w:szCs w:val="20"/>
                <w:color w:val="auto"/>
              </w:rPr>
            </w:pPr>
            <w:r>
              <w:rPr>
                <w:rFonts w:ascii="Arial" w:cs="Arial" w:eastAsia="Arial" w:hAnsi="Arial"/>
                <w:sz w:val="14"/>
                <w:szCs w:val="14"/>
                <w:color w:val="auto"/>
                <w:w w:val="93"/>
              </w:rPr>
              <w:t>Company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w w:val="96"/>
              </w:rPr>
              <w:t>(Loss) Income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6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
        </w:trPr>
        <w:tc>
          <w:tcPr>
            <w:tcW w:w="26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October 1, 2021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864.8</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594.3</w:t>
            </w:r>
          </w:p>
        </w:tc>
        <w:tc>
          <w:tcPr>
            <w:tcW w:w="0" w:type="dxa"/>
            <w:vAlign w:val="bottom"/>
          </w:tcPr>
          <w:p>
            <w:pPr>
              <w:spacing w:after="0"/>
              <w:rPr>
                <w:sz w:val="1"/>
                <w:szCs w:val="1"/>
                <w:color w:val="auto"/>
              </w:rPr>
            </w:pPr>
          </w:p>
        </w:tc>
      </w:tr>
      <w:tr>
        <w:trPr>
          <w:trHeight w:val="169"/>
        </w:trPr>
        <w:tc>
          <w:tcPr>
            <w:tcW w:w="2600" w:type="dxa"/>
            <w:vAlign w:val="bottom"/>
          </w:tcPr>
          <w:p>
            <w:pPr>
              <w:ind w:left="120"/>
              <w:spacing w:after="0"/>
              <w:rPr>
                <w:sz w:val="20"/>
                <w:szCs w:val="20"/>
                <w:color w:val="auto"/>
              </w:rPr>
            </w:pPr>
            <w:r>
              <w:rPr>
                <w:rFonts w:ascii="Arial" w:cs="Arial" w:eastAsia="Arial" w:hAnsi="Arial"/>
                <w:sz w:val="14"/>
                <w:szCs w:val="14"/>
                <w:color w:val="auto"/>
                <w:w w:val="97"/>
              </w:rPr>
              <w:t>Net income attributable to Diabetes Care</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00" w:type="dxa"/>
            <w:vAlign w:val="bottom"/>
          </w:tcPr>
          <w:p>
            <w:pPr>
              <w:ind w:left="300"/>
              <w:spacing w:after="0"/>
              <w:rPr>
                <w:sz w:val="20"/>
                <w:szCs w:val="20"/>
                <w:color w:val="auto"/>
              </w:rPr>
            </w:pPr>
            <w:r>
              <w:rPr>
                <w:rFonts w:ascii="Arial" w:cs="Arial" w:eastAsia="Arial" w:hAnsi="Arial"/>
                <w:sz w:val="14"/>
                <w:szCs w:val="14"/>
                <w:color w:val="auto"/>
              </w:rPr>
              <w:t>Business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178.4</w:t>
            </w:r>
          </w:p>
        </w:tc>
        <w:tc>
          <w:tcPr>
            <w:tcW w:w="0" w:type="dxa"/>
            <w:vAlign w:val="bottom"/>
          </w:tcPr>
          <w:p>
            <w:pPr>
              <w:spacing w:after="0"/>
              <w:rPr>
                <w:sz w:val="1"/>
                <w:szCs w:val="1"/>
                <w:color w:val="auto"/>
              </w:rPr>
            </w:pPr>
          </w:p>
        </w:tc>
      </w:tr>
      <w:tr>
        <w:trPr>
          <w:trHeight w:val="220"/>
        </w:trPr>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 net of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2"/>
        </w:trPr>
        <w:tc>
          <w:tcPr>
            <w:tcW w:w="2600" w:type="dxa"/>
            <w:vAlign w:val="bottom"/>
          </w:tcPr>
          <w:p>
            <w:pPr>
              <w:ind w:left="120"/>
              <w:spacing w:after="0"/>
              <w:rPr>
                <w:sz w:val="20"/>
                <w:szCs w:val="20"/>
                <w:color w:val="auto"/>
              </w:rPr>
            </w:pPr>
            <w:r>
              <w:rPr>
                <w:rFonts w:ascii="Arial" w:cs="Arial" w:eastAsia="Arial" w:hAnsi="Arial"/>
                <w:sz w:val="14"/>
                <w:szCs w:val="14"/>
                <w:color w:val="auto"/>
              </w:rPr>
              <w:t>Net transfers to Becton, Dickinson and</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(1,724.3)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00" w:type="dxa"/>
            <w:vAlign w:val="bottom"/>
          </w:tcPr>
          <w:p>
            <w:pPr>
              <w:ind w:left="300"/>
              <w:spacing w:after="0"/>
              <w:rPr>
                <w:sz w:val="20"/>
                <w:szCs w:val="20"/>
                <w:color w:val="auto"/>
              </w:rPr>
            </w:pPr>
            <w:r>
              <w:rPr>
                <w:rFonts w:ascii="Arial" w:cs="Arial" w:eastAsia="Arial" w:hAnsi="Arial"/>
                <w:sz w:val="14"/>
                <w:szCs w:val="14"/>
                <w:color w:val="auto"/>
              </w:rPr>
              <w:t>Company</w:t>
            </w: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(1,724.3)</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(681.1)</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(967.5)</w:t>
            </w:r>
          </w:p>
        </w:tc>
        <w:tc>
          <w:tcPr>
            <w:tcW w:w="0" w:type="dxa"/>
            <w:vAlign w:val="bottom"/>
          </w:tcPr>
          <w:p>
            <w:pPr>
              <w:spacing w:after="0"/>
              <w:rPr>
                <w:sz w:val="1"/>
                <w:szCs w:val="1"/>
                <w:color w:val="auto"/>
              </w:rPr>
            </w:pPr>
          </w:p>
        </w:tc>
      </w:tr>
      <w:tr>
        <w:trPr>
          <w:trHeight w:val="208"/>
        </w:trPr>
        <w:tc>
          <w:tcPr>
            <w:tcW w:w="260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October 1, 2022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57,055,327</w:t>
            </w:r>
          </w:p>
        </w:tc>
        <w:tc>
          <w:tcPr>
            <w:tcW w:w="940" w:type="dxa"/>
            <w:vAlign w:val="bottom"/>
            <w:tcBorders>
              <w:bottom w:val="single" w:sz="8" w:color="CCEEFF"/>
            </w:tcBorders>
            <w:gridSpan w:val="2"/>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(891.4)</w:t>
            </w:r>
          </w:p>
        </w:tc>
        <w:tc>
          <w:tcPr>
            <w:tcW w:w="0" w:type="dxa"/>
            <w:vAlign w:val="bottom"/>
          </w:tcPr>
          <w:p>
            <w:pPr>
              <w:spacing w:after="0"/>
              <w:rPr>
                <w:sz w:val="1"/>
                <w:szCs w:val="1"/>
                <w:color w:val="auto"/>
              </w:rPr>
            </w:pPr>
          </w:p>
        </w:tc>
      </w:tr>
      <w:tr>
        <w:trPr>
          <w:trHeight w:val="209"/>
        </w:trPr>
        <w:tc>
          <w:tcPr>
            <w:tcW w:w="2600" w:type="dxa"/>
            <w:vAlign w:val="bottom"/>
          </w:tcPr>
          <w:p>
            <w:pPr>
              <w:ind w:left="120"/>
              <w:spacing w:after="0"/>
              <w:rPr>
                <w:sz w:val="20"/>
                <w:szCs w:val="20"/>
                <w:color w:val="auto"/>
              </w:rPr>
            </w:pPr>
            <w:r>
              <w:rPr>
                <w:rFonts w:ascii="Arial" w:cs="Arial" w:eastAsia="Arial" w:hAnsi="Arial"/>
                <w:sz w:val="14"/>
                <w:szCs w:val="14"/>
                <w:color w:val="auto"/>
                <w:w w:val="95"/>
              </w:rPr>
              <w:t>Net income attributable to Embecta Corp.</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20"/>
        </w:trPr>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3"/>
              </w:rPr>
              <w:t>Other comprehensive income, net of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3"/>
        </w:trPr>
        <w:tc>
          <w:tcPr>
            <w:tcW w:w="260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Common dividends ($0.30 per share)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69"/>
        </w:trPr>
        <w:tc>
          <w:tcPr>
            <w:tcW w:w="2600" w:type="dxa"/>
            <w:vAlign w:val="bottom"/>
          </w:tcPr>
          <w:p>
            <w:pPr>
              <w:ind w:left="120"/>
              <w:spacing w:after="0"/>
              <w:rPr>
                <w:sz w:val="20"/>
                <w:szCs w:val="20"/>
                <w:color w:val="auto"/>
              </w:rPr>
            </w:pPr>
            <w:r>
              <w:rPr>
                <w:rFonts w:ascii="Arial" w:cs="Arial" w:eastAsia="Arial" w:hAnsi="Arial"/>
                <w:sz w:val="14"/>
                <w:szCs w:val="14"/>
                <w:color w:val="auto"/>
                <w:w w:val="94"/>
              </w:rPr>
              <w:t>Issuance of shares related to stock-based</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232,210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00" w:type="dxa"/>
            <w:vAlign w:val="bottom"/>
          </w:tcPr>
          <w:p>
            <w:pPr>
              <w:ind w:left="300"/>
              <w:spacing w:after="0"/>
              <w:rPr>
                <w:sz w:val="20"/>
                <w:szCs w:val="20"/>
                <w:color w:val="auto"/>
              </w:rPr>
            </w:pPr>
            <w:r>
              <w:rPr>
                <w:rFonts w:ascii="Arial" w:cs="Arial" w:eastAsia="Arial" w:hAnsi="Arial"/>
                <w:sz w:val="14"/>
                <w:szCs w:val="14"/>
                <w:color w:val="auto"/>
              </w:rPr>
              <w:t>compensation plans</w:t>
            </w: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57,287,537</w:t>
            </w:r>
          </w:p>
        </w:tc>
        <w:tc>
          <w:tcPr>
            <w:tcW w:w="940" w:type="dxa"/>
            <w:vAlign w:val="bottom"/>
            <w:tcBorders>
              <w:bottom w:val="single" w:sz="8" w:color="CCEEFF"/>
            </w:tcBorders>
            <w:gridSpan w:val="2"/>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(296.2)</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(822.6)</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79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Six Months Ended</w:t>
      </w:r>
    </w:p>
    <w:p>
      <w:pPr>
        <w:jc w:val="center"/>
        <w:ind w:left="79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8255</wp:posOffset>
            </wp:positionV>
            <wp:extent cx="2094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42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40" w:type="dxa"/>
            <w:vAlign w:val="bottom"/>
          </w:tcPr>
          <w:p>
            <w:pPr>
              <w:spacing w:after="0"/>
              <w:rPr>
                <w:sz w:val="18"/>
                <w:szCs w:val="18"/>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2022</w:t>
            </w:r>
          </w:p>
        </w:tc>
      </w:tr>
      <w:tr>
        <w:trPr>
          <w:trHeight w:val="194"/>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1"/>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r>
      <w:tr>
        <w:trPr>
          <w:trHeight w:val="218"/>
        </w:trPr>
        <w:tc>
          <w:tcPr>
            <w:tcW w:w="794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1"/>
        </w:trPr>
        <w:tc>
          <w:tcPr>
            <w:tcW w:w="7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09"/>
        </w:trPr>
        <w:tc>
          <w:tcPr>
            <w:tcW w:w="794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2"/>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8"/>
        </w:trPr>
        <w:tc>
          <w:tcPr>
            <w:tcW w:w="7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9"/>
        </w:trPr>
        <w:tc>
          <w:tcPr>
            <w:tcW w:w="7940" w:type="dxa"/>
            <w:vAlign w:val="bottom"/>
          </w:tcPr>
          <w:p>
            <w:pPr>
              <w:ind w:left="700"/>
              <w:spacing w:after="0"/>
              <w:rPr>
                <w:sz w:val="20"/>
                <w:szCs w:val="20"/>
                <w:color w:val="auto"/>
              </w:rPr>
            </w:pPr>
            <w:r>
              <w:rPr>
                <w:rFonts w:ascii="Arial" w:cs="Arial" w:eastAsia="Arial" w:hAnsi="Arial"/>
                <w:sz w:val="16"/>
                <w:szCs w:val="16"/>
                <w:color w:val="auto"/>
              </w:rPr>
              <w:t>Net periodic pension benefit and other postretirement costs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2"/>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1"/>
        </w:trPr>
        <w:tc>
          <w:tcPr>
            <w:tcW w:w="7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940" w:type="dxa"/>
            <w:vAlign w:val="bottom"/>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1"/>
        </w:trPr>
        <w:tc>
          <w:tcPr>
            <w:tcW w:w="79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Trade receivables, net</w:t>
            </w: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r>
      <w:tr>
        <w:trPr>
          <w:trHeight w:val="209"/>
        </w:trPr>
        <w:tc>
          <w:tcPr>
            <w:tcW w:w="7940" w:type="dxa"/>
            <w:vAlign w:val="bottom"/>
          </w:tcPr>
          <w:p>
            <w:pPr>
              <w:ind w:left="1060"/>
              <w:spacing w:after="0"/>
              <w:rPr>
                <w:sz w:val="20"/>
                <w:szCs w:val="20"/>
                <w:color w:val="auto"/>
              </w:rPr>
            </w:pPr>
            <w:r>
              <w:rPr>
                <w:rFonts w:ascii="Arial" w:cs="Arial" w:eastAsia="Arial" w:hAnsi="Arial"/>
                <w:sz w:val="16"/>
                <w:szCs w:val="16"/>
                <w:color w:val="auto"/>
              </w:rPr>
              <w:t>Inventories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2"/>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8"/>
        </w:trPr>
        <w:tc>
          <w:tcPr>
            <w:tcW w:w="794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940" w:type="dxa"/>
            <w:vAlign w:val="bottom"/>
          </w:tcPr>
          <w:p>
            <w:pPr>
              <w:ind w:left="1060"/>
              <w:spacing w:after="0"/>
              <w:rPr>
                <w:sz w:val="20"/>
                <w:szCs w:val="20"/>
                <w:color w:val="auto"/>
              </w:rPr>
            </w:pPr>
            <w:r>
              <w:rPr>
                <w:rFonts w:ascii="Arial" w:cs="Arial" w:eastAsia="Arial" w:hAnsi="Arial"/>
                <w:sz w:val="16"/>
                <w:szCs w:val="16"/>
                <w:color w:val="auto"/>
              </w:rPr>
              <w:t>Prepaid expenses and other</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2"/>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1"/>
        </w:trPr>
        <w:tc>
          <w:tcPr>
            <w:tcW w:w="79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8"/>
        </w:trPr>
        <w:tc>
          <w:tcPr>
            <w:tcW w:w="7940" w:type="dxa"/>
            <w:vAlign w:val="bottom"/>
          </w:tcPr>
          <w:p>
            <w:pPr>
              <w:ind w:left="1060"/>
              <w:spacing w:after="0"/>
              <w:rPr>
                <w:sz w:val="20"/>
                <w:szCs w:val="20"/>
                <w:color w:val="auto"/>
              </w:rPr>
            </w:pPr>
            <w:r>
              <w:rPr>
                <w:rFonts w:ascii="Arial" w:cs="Arial" w:eastAsia="Arial" w:hAnsi="Arial"/>
                <w:sz w:val="16"/>
                <w:szCs w:val="16"/>
                <w:color w:val="auto"/>
              </w:rPr>
              <w:t>Income and other net taxes payable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51"/>
        </w:trPr>
        <w:tc>
          <w:tcPr>
            <w:tcW w:w="79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Other assets and liabilities, net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2"/>
        </w:trPr>
        <w:tc>
          <w:tcPr>
            <w:tcW w:w="794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top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321.4</w:t>
            </w:r>
          </w:p>
        </w:tc>
      </w:tr>
      <w:tr>
        <w:trPr>
          <w:trHeight w:val="32"/>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8"/>
        </w:trPr>
        <w:tc>
          <w:tcPr>
            <w:tcW w:w="7940" w:type="dxa"/>
            <w:vAlign w:val="bottom"/>
          </w:tcPr>
          <w:p>
            <w:pPr>
              <w:ind w:left="7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(10.5)</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56"/>
        </w:trPr>
        <w:tc>
          <w:tcPr>
            <w:tcW w:w="7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Acquisition of intangible assets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2"/>
        </w:trPr>
        <w:tc>
          <w:tcPr>
            <w:tcW w:w="7940" w:type="dxa"/>
            <w:vAlign w:val="bottom"/>
            <w:tcBorders>
              <w:top w:val="single" w:sz="8" w:color="CCEEFF"/>
            </w:tcBorders>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1060" w:type="dxa"/>
            <w:vAlign w:val="bottom"/>
            <w:tcBorders>
              <w:top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32"/>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09"/>
        </w:trPr>
        <w:tc>
          <w:tcPr>
            <w:tcW w:w="7940" w:type="dxa"/>
            <w:vAlign w:val="bottom"/>
          </w:tcPr>
          <w:p>
            <w:pPr>
              <w:ind w:left="700"/>
              <w:spacing w:after="0"/>
              <w:rPr>
                <w:sz w:val="20"/>
                <w:szCs w:val="20"/>
                <w:color w:val="auto"/>
              </w:rPr>
            </w:pPr>
            <w:r>
              <w:rPr>
                <w:rFonts w:ascii="Arial" w:cs="Arial" w:eastAsia="Arial" w:hAnsi="Arial"/>
                <w:sz w:val="16"/>
                <w:szCs w:val="16"/>
                <w:color w:val="auto"/>
              </w:rPr>
              <w:t>Proceeds from the issuance of long-term debt</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1,450.0</w:t>
            </w:r>
          </w:p>
        </w:tc>
      </w:tr>
      <w:tr>
        <w:trPr>
          <w:trHeight w:val="32"/>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8"/>
        </w:trPr>
        <w:tc>
          <w:tcPr>
            <w:tcW w:w="7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Payments on long-term debt</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940" w:type="dxa"/>
            <w:vAlign w:val="bottom"/>
          </w:tcPr>
          <w:p>
            <w:pPr>
              <w:ind w:left="700"/>
              <w:spacing w:after="0"/>
              <w:rPr>
                <w:sz w:val="20"/>
                <w:szCs w:val="20"/>
                <w:color w:val="auto"/>
              </w:rPr>
            </w:pPr>
            <w:r>
              <w:rPr>
                <w:rFonts w:ascii="Arial" w:cs="Arial" w:eastAsia="Arial" w:hAnsi="Arial"/>
                <w:sz w:val="16"/>
                <w:szCs w:val="16"/>
                <w:color w:val="auto"/>
              </w:rPr>
              <w:t>Payment of long-term debt issuance costs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32"/>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1"/>
        </w:trPr>
        <w:tc>
          <w:tcPr>
            <w:tcW w:w="7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 of revolving credit facility fees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8"/>
        </w:trPr>
        <w:tc>
          <w:tcPr>
            <w:tcW w:w="7940" w:type="dxa"/>
            <w:vAlign w:val="bottom"/>
          </w:tcPr>
          <w:p>
            <w:pPr>
              <w:ind w:left="700"/>
              <w:spacing w:after="0"/>
              <w:rPr>
                <w:sz w:val="20"/>
                <w:szCs w:val="20"/>
                <w:color w:val="auto"/>
              </w:rPr>
            </w:pPr>
            <w:r>
              <w:rPr>
                <w:rFonts w:ascii="Arial" w:cs="Arial" w:eastAsia="Arial" w:hAnsi="Arial"/>
                <w:sz w:val="16"/>
                <w:szCs w:val="16"/>
                <w:color w:val="auto"/>
              </w:rPr>
              <w:t>Payments related to tax withholding for stock-based compensation</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on finance lease</w:t>
            </w: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940" w:type="dxa"/>
            <w:vAlign w:val="bottom"/>
          </w:tcPr>
          <w:p>
            <w:pPr>
              <w:ind w:left="700"/>
              <w:spacing w:after="0"/>
              <w:rPr>
                <w:sz w:val="20"/>
                <w:szCs w:val="20"/>
                <w:color w:val="auto"/>
              </w:rPr>
            </w:pPr>
            <w:r>
              <w:rPr>
                <w:rFonts w:ascii="Arial" w:cs="Arial" w:eastAsia="Arial" w:hAnsi="Arial"/>
                <w:sz w:val="16"/>
                <w:szCs w:val="16"/>
                <w:color w:val="auto"/>
              </w:rPr>
              <w:t>Dividend payments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8"/>
        </w:trPr>
        <w:tc>
          <w:tcPr>
            <w:tcW w:w="7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Net consideration paid to Becton, Dickinson and Company in connection with the Separation</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(1,266.0)</w:t>
            </w:r>
          </w:p>
        </w:tc>
      </w:tr>
      <w:tr>
        <w:trPr>
          <w:trHeight w:val="209"/>
        </w:trPr>
        <w:tc>
          <w:tcPr>
            <w:tcW w:w="7940" w:type="dxa"/>
            <w:vAlign w:val="bottom"/>
          </w:tcPr>
          <w:p>
            <w:pPr>
              <w:ind w:left="700"/>
              <w:spacing w:after="0"/>
              <w:rPr>
                <w:sz w:val="20"/>
                <w:szCs w:val="20"/>
                <w:color w:val="auto"/>
              </w:rPr>
            </w:pPr>
            <w:r>
              <w:rPr>
                <w:rFonts w:ascii="Arial" w:cs="Arial" w:eastAsia="Arial" w:hAnsi="Arial"/>
                <w:sz w:val="16"/>
                <w:szCs w:val="16"/>
                <w:color w:val="auto"/>
              </w:rPr>
              <w:t>Net transfers to Becton, Dickinson and Company</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(189.3)</w:t>
            </w:r>
          </w:p>
        </w:tc>
      </w:tr>
      <w:tr>
        <w:trPr>
          <w:trHeight w:val="32"/>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5"/>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15"/>
        </w:trPr>
        <w:tc>
          <w:tcPr>
            <w:tcW w:w="7940" w:type="dxa"/>
            <w:vAlign w:val="bottom"/>
          </w:tcPr>
          <w:p>
            <w:pPr>
              <w:ind w:left="340"/>
              <w:spacing w:after="0"/>
              <w:rPr>
                <w:sz w:val="20"/>
                <w:szCs w:val="20"/>
                <w:color w:val="auto"/>
              </w:rPr>
            </w:pPr>
            <w:r>
              <w:rPr>
                <w:rFonts w:ascii="Arial" w:cs="Arial" w:eastAsia="Arial" w:hAnsi="Arial"/>
                <w:sz w:val="16"/>
                <w:szCs w:val="16"/>
                <w:color w:val="auto"/>
              </w:rPr>
              <w:t>Effect of exchange rate changes on cash and cash equivalents</w:t>
            </w:r>
          </w:p>
        </w:tc>
        <w:tc>
          <w:tcPr>
            <w:tcW w:w="10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21"/>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Change in Cash and cash equivalents</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264.3</w:t>
            </w:r>
          </w:p>
        </w:tc>
      </w:tr>
      <w:tr>
        <w:trPr>
          <w:trHeight w:val="209"/>
        </w:trPr>
        <w:tc>
          <w:tcPr>
            <w:tcW w:w="7940" w:type="dxa"/>
            <w:vAlign w:val="bottom"/>
          </w:tcPr>
          <w:p>
            <w:pPr>
              <w:ind w:left="340"/>
              <w:spacing w:after="0"/>
              <w:rPr>
                <w:sz w:val="20"/>
                <w:szCs w:val="20"/>
                <w:color w:val="auto"/>
              </w:rPr>
            </w:pPr>
            <w:r>
              <w:rPr>
                <w:rFonts w:ascii="Arial" w:cs="Arial" w:eastAsia="Arial" w:hAnsi="Arial"/>
                <w:sz w:val="16"/>
                <w:szCs w:val="16"/>
                <w:color w:val="auto"/>
              </w:rPr>
              <w:t>Opening Cash and cash equivalents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5"/>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Closing Cash and cash equivalents</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w:t>
      </w:r>
    </w:p>
    <w:p>
      <w:pPr>
        <w:spacing w:after="0" w:line="10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a proprietary digital application designed to assist people with managing their diabetes. The Company primarily sells products to wholesalers and distributors that sell to retail and institutional channels who in turn sell to patients or use the products to deliver insulin injections to patients.</w:t>
      </w:r>
    </w:p>
    <w:p>
      <w:pPr>
        <w:spacing w:after="0" w:line="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("Diabetes Care Business") into Embecta, a new, publicly traded company (the "Separation").</w:t>
      </w:r>
    </w:p>
    <w:p>
      <w:pPr>
        <w:spacing w:after="0" w:line="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B2A29"/>
        </w:rPr>
        <w:t>The Separation occurred by means of a pro-rata distribution of all of Embecta’s issued and outstanding shares of common stock on the basis of one share of Embecta common stock, par value $0.01 per share, for every five shares of BD common stock, par value $1.00 per share, held as of the close of business on March 22, 2022, the record date for the distribution. Embecta is now a standalone publicly traded company and, on April 1, 2022, regular-way trading of Embecta common stock commenced on the Nasdaq Global Select Market under the ticker symbol "EMBC".</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B2A29"/>
        </w:rPr>
        <w:t>In connection with the Separation, BD and Embecta entered into various agreements to provide a framework for the relationship between BD and Embecta after the Separation, including, but not limited to,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factoring and receivables agreements, local support and service agreements and other transaction documents.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April 1, 2022, the Company became a standalone publicly traded company, and its financial statements are now presented on a consolidated basis. Prior to the Separation on April 1, 2022, the Company’s historical combined financial statements were prepared on a standalone basis and were derived from BD's Consolidated Financial Statements and accounting records. The unaudited financial statements for all periods presented, including the historical results of the Company prior to April 1, 2022, are now referred to as "Condensed Consolidated Financial Statements", and have been prepared pursuant to the rules and regulations for reporting on Form 10-Q. Accordingly, certain information and disclosures required by United States generally accepted accounting principles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These interim statements should be read in conjunction with the audited financial statements and notes thereto included in Embecta’s Annual Report on Form 10-K for the year ended September 30, 2022 filed with the Securities and Exchange Commission on December 22, 2022 (the "2022 Form 10-K").</w:t>
      </w:r>
    </w:p>
    <w:p>
      <w:pPr>
        <w:spacing w:after="0" w:line="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Prior to the Separation, the Company was referred to as the Diabetes Care Business. The assets, liabilities, revenue and expenses of the Diabetes Care Business were reflected in the Condensed Combined Financial Statements on a historical cost basis, as included in the consolidated financial statements of BD, using the historical accounting policies applied by BD. The Condensed Combined Financial Statements did not purport to reflect what the Company’s results of operations, comprehensive income, financial position, equity or cash flows would have been had the Company operated as a standalone public company during the periods presented.</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Diabetes Care Business had historically functioned together with the other businesses controlled by BD. Accordingly, the Diabetes Care Business relied on BD’s corporate and other support functions for its business. Therefore, for the period prior to the Separation, certain corporate and shared costs were allocated to the Diabetes Care Business based on a specific identification basis or, when specific identification was not practicable, a proportional cost allocation method. Refer to Note 2 of the audited Consolidated Financial Statements in the 2022 Form 10-K for additional details on Embecta's basis of presentation during periods prior to the Separation, at Separation and post Separation.</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As the separate legal entities that made up the Diabetes Care Business were not historically held by a single legal entity, </w:t>
      </w:r>
      <w:r>
        <w:rPr>
          <w:rFonts w:ascii="Arial" w:cs="Arial" w:eastAsia="Arial" w:hAnsi="Arial"/>
          <w:sz w:val="18"/>
          <w:szCs w:val="18"/>
          <w:i w:val="1"/>
          <w:iCs w:val="1"/>
          <w:color w:val="auto"/>
        </w:rPr>
        <w:t>Net Investment from Becton,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Dickinson and Company </w:t>
      </w:r>
      <w:r>
        <w:rPr>
          <w:rFonts w:ascii="Arial" w:cs="Arial" w:eastAsia="Arial" w:hAnsi="Arial"/>
          <w:sz w:val="18"/>
          <w:szCs w:val="18"/>
          <w:color w:val="auto"/>
        </w:rPr>
        <w:t>was shown in lieu of stockholders’ equity in these Condensed Consolidated Financial Statements.</w:t>
      </w:r>
      <w:r>
        <w:rPr>
          <w:rFonts w:ascii="Arial" w:cs="Arial" w:eastAsia="Arial" w:hAnsi="Arial"/>
          <w:sz w:val="18"/>
          <w:szCs w:val="18"/>
          <w:i w:val="1"/>
          <w:iCs w:val="1"/>
          <w:color w:val="auto"/>
        </w:rPr>
        <w:t xml:space="preserve"> Net Investment from Becton, Dickinson and Company </w:t>
      </w:r>
      <w:r>
        <w:rPr>
          <w:rFonts w:ascii="Arial" w:cs="Arial" w:eastAsia="Arial" w:hAnsi="Arial"/>
          <w:sz w:val="18"/>
          <w:szCs w:val="18"/>
          <w:color w:val="auto"/>
        </w:rPr>
        <w:t>represented BD’s interest in the</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recorded assets of the Diabetes Care Business and the cumulative investment by BD through the date of the Separation, inclusive of operating results.</w:t>
      </w:r>
    </w:p>
    <w:p>
      <w:pPr>
        <w:spacing w:after="0" w:line="1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periods prior to the Separation, income tax expense and tax balances in the Condensed Combined Financial Statements were calculated on a separate tax return basis. The separate tax return method applies the accounting guidance for income taxes to the standalone financial statements as if we were a separate taxpayer and a standalone enterprise. Management believes the assumptions supporting the allocation and presentation of income taxes on a separate return basis are reasonable.</w:t>
      </w:r>
    </w:p>
    <w:p>
      <w:pPr>
        <w:spacing w:after="0" w:line="97" w:lineRule="exact"/>
        <w:rPr>
          <w:sz w:val="20"/>
          <w:szCs w:val="20"/>
          <w:color w:val="auto"/>
        </w:rPr>
      </w:pPr>
    </w:p>
    <w:p>
      <w:pPr>
        <w:ind w:right="1160"/>
        <w:spacing w:after="0" w:line="388" w:lineRule="auto"/>
        <w:rPr>
          <w:sz w:val="20"/>
          <w:szCs w:val="20"/>
          <w:color w:val="auto"/>
        </w:rPr>
      </w:pPr>
      <w:r>
        <w:rPr>
          <w:rFonts w:ascii="Arial" w:cs="Arial" w:eastAsia="Arial" w:hAnsi="Arial"/>
          <w:sz w:val="18"/>
          <w:szCs w:val="18"/>
          <w:color w:val="auto"/>
        </w:rPr>
        <w:t xml:space="preserve">As part of the Separation, </w:t>
      </w:r>
      <w:r>
        <w:rPr>
          <w:rFonts w:ascii="Arial" w:cs="Arial" w:eastAsia="Arial" w:hAnsi="Arial"/>
          <w:sz w:val="18"/>
          <w:szCs w:val="18"/>
          <w:i w:val="1"/>
          <w:iCs w:val="1"/>
          <w:color w:val="auto"/>
        </w:rPr>
        <w:t>Net Investment from Becton, Dickinson and Company</w:t>
      </w:r>
      <w:r>
        <w:rPr>
          <w:rFonts w:ascii="Arial" w:cs="Arial" w:eastAsia="Arial" w:hAnsi="Arial"/>
          <w:sz w:val="18"/>
          <w:szCs w:val="18"/>
          <w:color w:val="auto"/>
        </w:rPr>
        <w:t xml:space="preserve"> was reclassified as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and </w:t>
      </w:r>
      <w:r>
        <w:rPr>
          <w:rFonts w:ascii="Arial" w:cs="Arial" w:eastAsia="Arial" w:hAnsi="Arial"/>
          <w:sz w:val="18"/>
          <w:szCs w:val="18"/>
          <w:i w:val="1"/>
          <w:iCs w:val="1"/>
          <w:color w:val="auto"/>
        </w:rPr>
        <w:t>Accumulated Deficit</w:t>
      </w:r>
      <w:r>
        <w:rPr>
          <w:rFonts w:ascii="Arial" w:cs="Arial" w:eastAsia="Arial" w:hAnsi="Arial"/>
          <w:sz w:val="18"/>
          <w:szCs w:val="18"/>
          <w:color w:val="auto"/>
        </w:rPr>
        <w:t xml:space="preserve">. </w:t>
      </w:r>
      <w:r>
        <w:rPr>
          <w:rFonts w:ascii="Arial" w:cs="Arial" w:eastAsia="Arial" w:hAnsi="Arial"/>
          <w:sz w:val="18"/>
          <w:szCs w:val="18"/>
          <w:i w:val="1"/>
          <w:iCs w:val="1"/>
          <w:color w:val="auto"/>
        </w:rPr>
        <w:t>Use of Estimates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Condensed Consolidated Financial Statements. Actual results could differ from these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provides updates to our "Summary of Significant Accounting Policies" as disclosed in the Form 10-K.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The Company capitalizes costs incurred to implement cloud computing arrangements that are service contracts within </w:t>
      </w:r>
      <w:r>
        <w:rPr>
          <w:rFonts w:ascii="Arial" w:cs="Arial" w:eastAsia="Arial" w:hAnsi="Arial"/>
          <w:sz w:val="16"/>
          <w:szCs w:val="16"/>
          <w:i w:val="1"/>
          <w:iCs w:val="1"/>
          <w:color w:val="auto"/>
        </w:rPr>
        <w:t>Prepaid expenses and other</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Deferred Income Taxes and Other Assets </w:t>
      </w:r>
      <w:r>
        <w:rPr>
          <w:rFonts w:ascii="Arial" w:cs="Arial" w:eastAsia="Arial" w:hAnsi="Arial"/>
          <w:sz w:val="16"/>
          <w:szCs w:val="16"/>
          <w:color w:val="auto"/>
        </w:rPr>
        <w:t>in the Company's Condensed Consolidated Balance Sheets. Implementation costs associated with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are capitalized when incurred during the application development phase. The Company amortizes the costs over the expected term of the hosting arrangement using the straight-line method to the same income statement line as the associated cloud operating expenses. The total balance of capitalized costs associated with these arrangements as of March 31, 2023 is $15.4 million which primarily relates to the implementation of the Company's new enterprise resource planning system ("ERP"). Once the implementation of the new ERP is complete and ready for its intended use, the capitalized costs are expected to be amortized over the term of the hosting arrangement which is expected to be five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October 2021, the Financial Accounting Standards Board issued Accounting Standards Update 2021-08, Business Combinations (Topic 805): Accounting for Contract Assets and Contract Liabilities from Contracts with Customers. The new guidance requires contract assets and contract liabilities acquired in a business combination to be recognized and measured by the acquirer on the acquisition date in accordance with Accounting Standards Codification 606, Revenue from Contracts with Customers, as if it had originated the contracts. The Company adopted this guidance at the beginning of fiscal year 2023 and it did not materially impact the Company's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current year presentation.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Third Party Arrangements and Related Party Disclosures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Separation, BD ceased to be a related party to Embecta and accordingly, no related party transactions or balances are reported subsequent to April 1, 2022.</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Agreements that Embecta entered into with BD that govern aspects of Embecta's relationship with BD following the Separation include, but are not limited to the Transition Services Agreements ("TSA"), </w:t>
      </w:r>
      <w:r>
        <w:rPr>
          <w:rFonts w:ascii="Arial" w:cs="Arial" w:eastAsia="Arial" w:hAnsi="Arial"/>
          <w:sz w:val="18"/>
          <w:szCs w:val="18"/>
          <w:color w:val="2B2A29"/>
        </w:rPr>
        <w:t>Trade Receivables Factoring Agreements ("Factoring Agreements"),</w:t>
      </w:r>
      <w:r>
        <w:rPr>
          <w:rFonts w:ascii="Arial" w:cs="Arial" w:eastAsia="Arial" w:hAnsi="Arial"/>
          <w:sz w:val="18"/>
          <w:szCs w:val="18"/>
          <w:color w:val="auto"/>
        </w:rPr>
        <w:t xml:space="preserve"> Distribution Agreements, Cannula Supply Agreement, Tax Matters Agreement,</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Logistics Services Agreement, employee matters agreement, an intellectual property matters agreement, local support services agreements, certain other manufacturing arrangements and a process services agreement and lease agreement for a manufacturing facility located in Holdrege, Nebraska. For details on the rights and responsibilities of the parties under these agreements refer to Note 4 to the audited Consolidated Financial Statements in the 2022 Form 10-K.</w:t>
      </w:r>
    </w:p>
    <w:p>
      <w:pPr>
        <w:spacing w:after="0" w:line="76"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 xml:space="preserve">The amount due from BD under the above agreements was $133.6 million at March 31, 2023 and is reflected in </w:t>
      </w:r>
      <w:r>
        <w:rPr>
          <w:rFonts w:ascii="Arial" w:cs="Arial" w:eastAsia="Arial" w:hAnsi="Arial"/>
          <w:sz w:val="18"/>
          <w:szCs w:val="18"/>
          <w:i w:val="1"/>
          <w:iCs w:val="1"/>
          <w:color w:val="auto"/>
        </w:rPr>
        <w:t>Amounts due from Becton, Dickinson and</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The amount due to BD under these agreements was $74.3 million at March 31, 2023 and is included in</w:t>
      </w:r>
      <w:r>
        <w:rPr>
          <w:rFonts w:ascii="Arial" w:cs="Arial" w:eastAsia="Arial" w:hAnsi="Arial"/>
          <w:sz w:val="18"/>
          <w:szCs w:val="18"/>
          <w:i w:val="1"/>
          <w:iCs w:val="1"/>
          <w:color w:val="auto"/>
        </w:rPr>
        <w:t xml:space="preserve"> Amounts due to Becton, Dickinson and Company</w:t>
      </w:r>
      <w:r>
        <w:rPr>
          <w:rFonts w:ascii="Arial" w:cs="Arial" w:eastAsia="Arial" w:hAnsi="Arial"/>
          <w:sz w:val="18"/>
          <w:szCs w:val="18"/>
          <w:color w:val="auto"/>
        </w:rPr>
        <w:t>.</w:t>
      </w:r>
    </w:p>
    <w:p>
      <w:pPr>
        <w:spacing w:after="0" w:line="72" w:lineRule="exact"/>
        <w:rPr>
          <w:sz w:val="20"/>
          <w:szCs w:val="20"/>
          <w:color w:val="auto"/>
        </w:rPr>
      </w:pPr>
    </w:p>
    <w:p>
      <w:pPr>
        <w:jc w:val="both"/>
        <w:ind w:right="100"/>
        <w:spacing w:after="0" w:line="285" w:lineRule="auto"/>
        <w:rPr>
          <w:sz w:val="20"/>
          <w:szCs w:val="20"/>
          <w:color w:val="auto"/>
        </w:rPr>
      </w:pPr>
      <w:r>
        <w:rPr>
          <w:rFonts w:ascii="Arial" w:cs="Arial" w:eastAsia="Arial" w:hAnsi="Arial"/>
          <w:sz w:val="16"/>
          <w:szCs w:val="16"/>
          <w:color w:val="auto"/>
        </w:rPr>
        <w:t xml:space="preserve">The closing of the transfers of certain assets and liabilities related to the Diabetes Care Business in certain jurisdictions, including China, Mexico, and Italy, as contemplated by the Separation and Distribution Agreement did not occur at Separation. The transfers of the relevant local assets and liabilities for these deferred countries are expected to close at a future date. As of March 31, 2023, the Company estimates that amounts due to BD related to certain assets and liabilities in deferred close jurisdictions is $45.9 million and are reflected in </w:t>
      </w:r>
      <w:r>
        <w:rPr>
          <w:rFonts w:ascii="Arial" w:cs="Arial" w:eastAsia="Arial" w:hAnsi="Arial"/>
          <w:sz w:val="16"/>
          <w:szCs w:val="16"/>
          <w:i w:val="1"/>
          <w:iCs w:val="1"/>
          <w:color w:val="auto"/>
        </w:rPr>
        <w:t>Accrued expenses</w:t>
      </w:r>
      <w:r>
        <w:rPr>
          <w:rFonts w:ascii="Arial" w:cs="Arial" w:eastAsia="Arial" w:hAnsi="Arial"/>
          <w:sz w:val="16"/>
          <w:szCs w:val="16"/>
          <w:color w:val="auto"/>
        </w:rPr>
        <w:t xml:space="preserve">. As of March 31, 2023, the Company estimates that amounts due from BD related to certain assets and liabilities in deferred close jurisdictions are $6.3 million and is reflected in </w:t>
      </w:r>
      <w:r>
        <w:rPr>
          <w:rFonts w:ascii="Arial" w:cs="Arial" w:eastAsia="Arial" w:hAnsi="Arial"/>
          <w:sz w:val="16"/>
          <w:szCs w:val="16"/>
          <w:i w:val="1"/>
          <w:iCs w:val="1"/>
          <w:color w:val="auto"/>
        </w:rPr>
        <w:t>Prepaid expenses and other</w:t>
      </w:r>
      <w:r>
        <w:rPr>
          <w:rFonts w:ascii="Arial" w:cs="Arial" w:eastAsia="Arial" w:hAnsi="Arial"/>
          <w:sz w:val="16"/>
          <w:szCs w:val="16"/>
          <w:color w:val="auto"/>
        </w:rPr>
        <w:t>.</w:t>
      </w:r>
    </w:p>
    <w:p>
      <w:pPr>
        <w:spacing w:after="0" w:line="47"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Prior to the Separation, the Company did not operate as a standalone business and the Condensed Combined Financial Statements were derived from the consolidated financial statements and accounting records of BD. The following disclosure summarizes activity between the Company and BD up to the Separation, including the affiliates of BD that were not part of the Separation.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Medical Segment Allocations from BD</w:t>
      </w:r>
    </w:p>
    <w:p>
      <w:pPr>
        <w:spacing w:after="0" w:line="101"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Prior to the Separation, BD provided significant corporate, finance, human resources, information technology, facilities, and legal services, among others (collectively, “General Corporate Expenses”) to the Company. Some of these services continue to be provided by BD to the Company on a temporary basis under the Transition Services Agreement. For purposes of these Condensed Consolidated Financial Statements for the periods prior to the Separation, the General Corporate Expenses have been allocated to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allocations of General Corporate Expenses are reflected in the Condensed Consolidated Statements of Income as follows:</w:t>
      </w:r>
    </w:p>
    <w:p>
      <w:pPr>
        <w:spacing w:after="0" w:line="137" w:lineRule="exact"/>
        <w:rPr>
          <w:sz w:val="20"/>
          <w:szCs w:val="20"/>
          <w:color w:val="auto"/>
        </w:rPr>
      </w:pPr>
    </w:p>
    <w:p>
      <w:pPr>
        <w:ind w:left="7680"/>
        <w:spacing w:after="0"/>
        <w:tabs>
          <w:tab w:leader="none" w:pos="940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Six months ended March</w:t>
      </w:r>
    </w:p>
    <w:p>
      <w:pPr>
        <w:ind w:left="8040"/>
        <w:spacing w:after="0"/>
        <w:tabs>
          <w:tab w:leader="none" w:pos="10140" w:val="left"/>
        </w:tabs>
        <w:rPr>
          <w:sz w:val="20"/>
          <w:szCs w:val="20"/>
          <w:color w:val="auto"/>
        </w:rPr>
      </w:pPr>
      <w:r>
        <w:rPr>
          <w:rFonts w:ascii="Arial" w:cs="Arial" w:eastAsia="Arial" w:hAnsi="Arial"/>
          <w:sz w:val="16"/>
          <w:szCs w:val="16"/>
          <w:b w:val="1"/>
          <w:bCs w:val="1"/>
          <w:color w:val="auto"/>
        </w:rPr>
        <w:t>March 31,</w:t>
      </w:r>
      <w:r>
        <w:rPr>
          <w:sz w:val="20"/>
          <w:szCs w:val="20"/>
          <w:color w:val="auto"/>
        </w:rPr>
        <w:tab/>
      </w:r>
      <w:r>
        <w:rPr>
          <w:rFonts w:ascii="Arial" w:cs="Arial" w:eastAsia="Arial" w:hAnsi="Arial"/>
          <w:sz w:val="15"/>
          <w:szCs w:val="15"/>
          <w:b w:val="1"/>
          <w:bCs w:val="1"/>
          <w:color w:val="auto"/>
        </w:rPr>
        <w:t>31,</w:t>
      </w:r>
    </w:p>
    <w:p>
      <w:pPr>
        <w:sectPr>
          <w:pgSz w:w="11900" w:h="16838" w:orient="portrait"/>
          <w:cols w:equalWidth="0" w:num="1">
            <w:col w:w="11340"/>
          </w:cols>
          <w:pgMar w:left="320" w:top="229" w:right="239" w:bottom="1440" w:gutter="0" w:footer="0" w:header="0"/>
        </w:sect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products sold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and administrative expense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 expense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 net</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General Corporate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68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680"/>
              <w:spacing w:after="0"/>
              <w:rPr>
                <w:sz w:val="20"/>
                <w:szCs w:val="20"/>
                <w:color w:val="auto"/>
              </w:rPr>
            </w:pPr>
            <w:r>
              <w:rPr>
                <w:rFonts w:ascii="Arial" w:cs="Arial" w:eastAsia="Arial" w:hAnsi="Arial"/>
                <w:sz w:val="16"/>
                <w:szCs w:val="16"/>
                <w:b w:val="1"/>
                <w:bCs w:val="1"/>
                <w:color w:val="auto"/>
              </w:rPr>
              <w:t>2022</w:t>
            </w:r>
          </w:p>
        </w:tc>
      </w:tr>
      <w:tr>
        <w:trPr>
          <w:trHeight w:val="31"/>
        </w:trPr>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2"/>
        </w:trPr>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0.7</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8"/>
        </w:trPr>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41"/>
        </w:trPr>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4"/>
        </w:trPr>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26.4</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32"/>
        </w:trPr>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-799465</wp:posOffset>
            </wp:positionV>
            <wp:extent cx="7133590" cy="153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-4744720</wp:posOffset>
            </wp:positionH>
            <wp:positionV relativeFrom="paragraph">
              <wp:posOffset>-492760</wp:posOffset>
            </wp:positionV>
            <wp:extent cx="7133590" cy="153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-4744720</wp:posOffset>
            </wp:positionH>
            <wp:positionV relativeFrom="paragraph">
              <wp:posOffset>-186690</wp:posOffset>
            </wp:positionV>
            <wp:extent cx="7133590" cy="170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018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6760" w:space="720"/>
            <w:col w:w="3860"/>
          </w:cols>
          <w:pgMar w:left="320" w:top="229" w:right="239" w:bottom="1440" w:gutter="0" w:footer="0" w:header="0"/>
          <w:type w:val="continuous"/>
        </w:sectPr>
      </w:pPr>
    </w:p>
    <w:p>
      <w:pPr>
        <w:jc w:val="both"/>
        <w:ind w:right="100"/>
        <w:spacing w:after="0" w:line="258" w:lineRule="auto"/>
        <w:rPr>
          <w:sz w:val="20"/>
          <w:szCs w:val="20"/>
          <w:color w:val="auto"/>
        </w:rPr>
      </w:pPr>
      <w:r>
        <w:rPr>
          <w:rFonts w:ascii="Arial" w:cs="Arial" w:eastAsia="Arial" w:hAnsi="Arial"/>
          <w:sz w:val="17"/>
          <w:szCs w:val="17"/>
          <w:color w:val="auto"/>
        </w:rPr>
        <w:t>These expenses were allocated to the Company on a pro rata basis of global and regional revenues, headcount, research and development spend and other drivers. Management believes the assumptions underlying the Condensed Consolidated Financial Statements, including the assumptions regarding allocating General Corporate Expenses from BD, are reasonable. Nevertheless, the Condensed Consolidated Financial Statements for periods prior to the Separation may not include all of the actual expenses that would have been incurred and may not reflect the Company’s consolidated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01"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The following transactions represent activity in the ordinary course of business between the Company and BD prior to the Separation for certain materials for use in production of certain medical products that were not at arm’s length. The following table summarizes related party purchases for the three month and six month periods ended March 31, 2022:</w:t>
      </w:r>
    </w:p>
    <w:p>
      <w:pPr>
        <w:spacing w:after="0" w:line="144"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Three months ended March</w:t>
            </w:r>
          </w:p>
        </w:tc>
        <w:tc>
          <w:tcPr>
            <w:tcW w:w="12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Six months ended March</w:t>
            </w:r>
          </w:p>
        </w:tc>
      </w:tr>
      <w:tr>
        <w:trPr>
          <w:trHeight w:val="212"/>
        </w:trPr>
        <w:tc>
          <w:tcPr>
            <w:tcW w:w="69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60"/>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31,</w:t>
            </w:r>
          </w:p>
        </w:tc>
      </w:tr>
      <w:tr>
        <w:trPr>
          <w:trHeight w:val="205"/>
        </w:trPr>
        <w:tc>
          <w:tcPr>
            <w:tcW w:w="6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jc w:val="right"/>
              <w:ind w:right="80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ind w:right="600"/>
              <w:spacing w:after="0"/>
              <w:rPr>
                <w:sz w:val="20"/>
                <w:szCs w:val="20"/>
                <w:color w:val="auto"/>
              </w:rPr>
            </w:pPr>
            <w:r>
              <w:rPr>
                <w:rFonts w:ascii="Arial" w:cs="Arial" w:eastAsia="Arial" w:hAnsi="Arial"/>
                <w:sz w:val="16"/>
                <w:szCs w:val="16"/>
                <w:b w:val="1"/>
                <w:bCs w:val="1"/>
                <w:color w:val="auto"/>
              </w:rPr>
              <w:t>2022</w:t>
            </w:r>
          </w:p>
        </w:tc>
      </w:tr>
      <w:tr>
        <w:trPr>
          <w:trHeight w:val="32"/>
        </w:trPr>
        <w:tc>
          <w:tcPr>
            <w:tcW w:w="6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from BD</w:t>
            </w: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32"/>
        </w:trPr>
        <w:tc>
          <w:tcPr>
            <w:tcW w:w="6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229"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All significant intercompany transactions between the Company and BD prior to the Separation have been included in the Condensed Consolidated Financial Statements and are considered to be effectively settled for cash at the time the transaction is recorded. For the period prior to the Separation, the total net effect of the settlement of these intercompany transactions is reflected in the Condensed Consolidated Statements of Cash Flows as a financing activity and in the Condensed Consolidated Balance Sheets as </w:t>
      </w:r>
      <w:r>
        <w:rPr>
          <w:rFonts w:ascii="Arial" w:cs="Arial" w:eastAsia="Arial" w:hAnsi="Arial"/>
          <w:sz w:val="17"/>
          <w:szCs w:val="17"/>
          <w:i w:val="1"/>
          <w:iCs w:val="1"/>
          <w:color w:val="auto"/>
        </w:rPr>
        <w:t>Net Investment from Becton, Dickinson and Company.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Prior to the Separation, net transfers to BD were included within </w:t>
      </w:r>
      <w:r>
        <w:rPr>
          <w:rFonts w:ascii="Arial" w:cs="Arial" w:eastAsia="Arial" w:hAnsi="Arial"/>
          <w:sz w:val="18"/>
          <w:szCs w:val="18"/>
          <w:i w:val="1"/>
          <w:iCs w:val="1"/>
          <w:color w:val="auto"/>
        </w:rPr>
        <w:t>Net Investment from Becton, Dickinson and Company</w:t>
      </w:r>
      <w:r>
        <w:rPr>
          <w:rFonts w:ascii="Arial" w:cs="Arial" w:eastAsia="Arial" w:hAnsi="Arial"/>
          <w:sz w:val="18"/>
          <w:szCs w:val="18"/>
          <w:color w:val="auto"/>
        </w:rPr>
        <w:t>. in the Condensed Consolidated Statements of Equity and represent the net effect of transactions between the Company and BD.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net transfers to BD for the three months ended March 31, 2022:</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pooling and general financing activities</w:t>
            </w:r>
            <w:r>
              <w:rPr>
                <w:rFonts w:ascii="Arial" w:cs="Arial" w:eastAsia="Arial" w:hAnsi="Arial"/>
                <w:sz w:val="20"/>
                <w:szCs w:val="20"/>
                <w:color w:val="auto"/>
                <w:vertAlign w:val="superscript"/>
              </w:rPr>
              <w:t>(1)</w:t>
            </w:r>
          </w:p>
        </w:tc>
        <w:tc>
          <w:tcPr>
            <w:tcW w:w="1300" w:type="dxa"/>
            <w:vAlign w:val="bottom"/>
            <w:shd w:val="clear" w:color="auto" w:fill="CCEEFF"/>
          </w:tcPr>
          <w:p>
            <w:pPr>
              <w:jc w:val="right"/>
              <w:ind w:right="1120"/>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r>
      <w:tr>
        <w:trPr>
          <w:trHeight w:val="209"/>
        </w:trPr>
        <w:tc>
          <w:tcPr>
            <w:tcW w:w="8140" w:type="dxa"/>
            <w:vAlign w:val="bottom"/>
          </w:tcPr>
          <w:p>
            <w:pPr>
              <w:ind w:left="20"/>
              <w:spacing w:after="0"/>
              <w:rPr>
                <w:sz w:val="20"/>
                <w:szCs w:val="20"/>
                <w:color w:val="auto"/>
              </w:rPr>
            </w:pPr>
            <w:r>
              <w:rPr>
                <w:rFonts w:ascii="Arial" w:cs="Arial" w:eastAsia="Arial" w:hAnsi="Arial"/>
                <w:sz w:val="16"/>
                <w:szCs w:val="16"/>
                <w:color w:val="auto"/>
              </w:rPr>
              <w:t>Corporate and segment allocations, excluding non-cash stock-based compensation</w:t>
            </w:r>
          </w:p>
        </w:tc>
        <w:tc>
          <w:tcPr>
            <w:tcW w:w="1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32"/>
        </w:trPr>
        <w:tc>
          <w:tcPr>
            <w:tcW w:w="8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8"/>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deemed settled with BD</w:t>
            </w:r>
          </w:p>
        </w:tc>
        <w:tc>
          <w:tcPr>
            <w:tcW w:w="1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8140" w:type="dxa"/>
            <w:vAlign w:val="bottom"/>
          </w:tcPr>
          <w:p>
            <w:pPr>
              <w:ind w:left="20"/>
              <w:spacing w:after="0"/>
              <w:rPr>
                <w:sz w:val="20"/>
                <w:szCs w:val="20"/>
                <w:color w:val="auto"/>
              </w:rPr>
            </w:pPr>
            <w:r>
              <w:rPr>
                <w:rFonts w:ascii="Arial" w:cs="Arial" w:eastAsia="Arial" w:hAnsi="Arial"/>
                <w:sz w:val="16"/>
                <w:szCs w:val="16"/>
                <w:color w:val="auto"/>
              </w:rPr>
              <w:t>Net consideration paid to BD in connection with the spin off</w:t>
            </w:r>
          </w:p>
        </w:tc>
        <w:tc>
          <w:tcPr>
            <w:tcW w:w="1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1,266.0</w:t>
            </w:r>
          </w:p>
        </w:tc>
      </w:tr>
      <w:tr>
        <w:trPr>
          <w:trHeight w:val="32"/>
        </w:trPr>
        <w:tc>
          <w:tcPr>
            <w:tcW w:w="8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party senior secured notes</w:t>
            </w:r>
          </w:p>
        </w:tc>
        <w:tc>
          <w:tcPr>
            <w:tcW w:w="13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197.0</w:t>
            </w:r>
          </w:p>
        </w:tc>
      </w:tr>
      <w:tr>
        <w:trPr>
          <w:trHeight w:val="221"/>
        </w:trPr>
        <w:tc>
          <w:tcPr>
            <w:tcW w:w="8140" w:type="dxa"/>
            <w:vAlign w:val="bottom"/>
          </w:tcPr>
          <w:p>
            <w:pPr>
              <w:ind w:left="20"/>
              <w:spacing w:after="0"/>
              <w:rPr>
                <w:sz w:val="20"/>
                <w:szCs w:val="20"/>
                <w:color w:val="auto"/>
              </w:rPr>
            </w:pPr>
            <w:r>
              <w:rPr>
                <w:rFonts w:ascii="Arial" w:cs="Arial" w:eastAsia="Arial" w:hAnsi="Arial"/>
                <w:sz w:val="16"/>
                <w:szCs w:val="16"/>
                <w:color w:val="auto"/>
              </w:rPr>
              <w:t>Other transfers to (from) BD, net</w:t>
            </w:r>
          </w:p>
        </w:tc>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r>
      <w:tr>
        <w:trPr>
          <w:trHeight w:val="26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transfers to BD</w:t>
            </w:r>
          </w:p>
        </w:tc>
        <w:tc>
          <w:tcPr>
            <w:tcW w:w="1300" w:type="dxa"/>
            <w:vAlign w:val="bottom"/>
            <w:tcBorders>
              <w:bottom w:val="single" w:sz="8" w:color="CCEEFF"/>
            </w:tcBorders>
            <w:shd w:val="clear" w:color="auto" w:fill="CCEEFF"/>
          </w:tcPr>
          <w:p>
            <w:pPr>
              <w:jc w:val="right"/>
              <w:ind w:right="1120"/>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the net transfers to BD for the six months ended March 31, 2022:</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pooling and general financing activities</w:t>
            </w:r>
            <w:r>
              <w:rPr>
                <w:rFonts w:ascii="Arial" w:cs="Arial" w:eastAsia="Arial" w:hAnsi="Arial"/>
                <w:sz w:val="20"/>
                <w:szCs w:val="20"/>
                <w:color w:val="auto"/>
                <w:vertAlign w:val="superscript"/>
              </w:rPr>
              <w:t>(1)</w:t>
            </w: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r>
      <w:tr>
        <w:trPr>
          <w:trHeight w:val="218"/>
        </w:trPr>
        <w:tc>
          <w:tcPr>
            <w:tcW w:w="9560" w:type="dxa"/>
            <w:vAlign w:val="bottom"/>
          </w:tcPr>
          <w:p>
            <w:pPr>
              <w:ind w:left="20"/>
              <w:spacing w:after="0"/>
              <w:rPr>
                <w:sz w:val="20"/>
                <w:szCs w:val="20"/>
                <w:color w:val="auto"/>
              </w:rPr>
            </w:pPr>
            <w:r>
              <w:rPr>
                <w:rFonts w:ascii="Arial" w:cs="Arial" w:eastAsia="Arial" w:hAnsi="Arial"/>
                <w:sz w:val="16"/>
                <w:szCs w:val="16"/>
                <w:color w:val="auto"/>
              </w:rPr>
              <w:t>Corporate and segment allocations, excluding non-cash stock-based compensation</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231"/>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 deemed settled with BD</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9560" w:type="dxa"/>
            <w:vAlign w:val="bottom"/>
          </w:tcPr>
          <w:p>
            <w:pPr>
              <w:ind w:left="20"/>
              <w:spacing w:after="0"/>
              <w:rPr>
                <w:sz w:val="20"/>
                <w:szCs w:val="20"/>
                <w:color w:val="auto"/>
              </w:rPr>
            </w:pPr>
            <w:r>
              <w:rPr>
                <w:rFonts w:ascii="Arial" w:cs="Arial" w:eastAsia="Arial" w:hAnsi="Arial"/>
                <w:sz w:val="16"/>
                <w:szCs w:val="16"/>
                <w:color w:val="auto"/>
              </w:rPr>
              <w:t>Other Separation related adjustments, net</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2"/>
        </w:trPr>
        <w:tc>
          <w:tcPr>
            <w:tcW w:w="95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transfers to BD as reflected in the Condensed Consolidated Statements of Cash Flows</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w:t>
            </w:r>
          </w:p>
        </w:tc>
      </w:tr>
      <w:tr>
        <w:trPr>
          <w:trHeight w:val="209"/>
        </w:trPr>
        <w:tc>
          <w:tcPr>
            <w:tcW w:w="95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32"/>
        </w:trPr>
        <w:tc>
          <w:tcPr>
            <w:tcW w:w="9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expense</w:t>
            </w:r>
          </w:p>
        </w:tc>
        <w:tc>
          <w:tcPr>
            <w:tcW w:w="5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8"/>
        </w:trPr>
        <w:tc>
          <w:tcPr>
            <w:tcW w:w="9560" w:type="dxa"/>
            <w:vAlign w:val="bottom"/>
          </w:tcPr>
          <w:p>
            <w:pPr>
              <w:ind w:left="20"/>
              <w:spacing w:after="0"/>
              <w:rPr>
                <w:sz w:val="20"/>
                <w:szCs w:val="20"/>
                <w:color w:val="auto"/>
              </w:rPr>
            </w:pPr>
            <w:r>
              <w:rPr>
                <w:rFonts w:ascii="Arial" w:cs="Arial" w:eastAsia="Arial" w:hAnsi="Arial"/>
                <w:sz w:val="16"/>
                <w:szCs w:val="16"/>
                <w:color w:val="auto"/>
              </w:rPr>
              <w:t>Net Consideration paid to BD in connection with the Separation</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1,266.0</w:t>
            </w:r>
          </w:p>
        </w:tc>
      </w:tr>
      <w:tr>
        <w:trPr>
          <w:trHeight w:val="231"/>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party senior secured notes</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197.0</w:t>
            </w:r>
          </w:p>
        </w:tc>
      </w:tr>
      <w:tr>
        <w:trPr>
          <w:trHeight w:val="209"/>
        </w:trPr>
        <w:tc>
          <w:tcPr>
            <w:tcW w:w="9560" w:type="dxa"/>
            <w:vAlign w:val="bottom"/>
          </w:tcPr>
          <w:p>
            <w:pPr>
              <w:ind w:left="20"/>
              <w:spacing w:after="0"/>
              <w:rPr>
                <w:sz w:val="20"/>
                <w:szCs w:val="20"/>
                <w:color w:val="auto"/>
              </w:rPr>
            </w:pPr>
            <w:r>
              <w:rPr>
                <w:rFonts w:ascii="Arial" w:cs="Arial" w:eastAsia="Arial" w:hAnsi="Arial"/>
                <w:sz w:val="16"/>
                <w:szCs w:val="16"/>
                <w:color w:val="auto"/>
              </w:rPr>
              <w:t>Other transfers to (from) BD, net</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84.1</w:t>
            </w:r>
          </w:p>
        </w:tc>
      </w:tr>
      <w:tr>
        <w:trPr>
          <w:trHeight w:val="32"/>
        </w:trPr>
        <w:tc>
          <w:tcPr>
            <w:tcW w:w="95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transfers to BD</w:t>
            </w:r>
          </w:p>
        </w:tc>
        <w:tc>
          <w:tcPr>
            <w:tcW w:w="580" w:type="dxa"/>
            <w:vAlign w:val="bottom"/>
            <w:tcBorders>
              <w:bottom w:val="single" w:sz="8" w:color="CCEEFF"/>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1,724.3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320" w:hanging="313"/>
        <w:spacing w:after="0" w:line="221" w:lineRule="auto"/>
        <w:tabs>
          <w:tab w:leader="none" w:pos="3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nature of activities includes financing activities for capital transfers, cash sweeps and other treasury services. As part of this activity, cash balances were swept to BD on a daily basis under the BD Treasury function and the Company receives capital from BD for its cash needs.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Collaboration Agreement</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March 2023, the Company entered into a collaboration agreement with a third-party to develop and commercialize an interoperable automated glycemic controller ("iAGC") to complement the Company's insulin patch pump currently in development. The Company believes that both parties are active participants in the operating activities of the collaboration and exposed to certain risks and rewards depending on commercial success. The transaction included an upfront payment of $2.5 million for project costs, which was expensed to </w:t>
      </w: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xml:space="preserve"> during the three and six month periods ended March 31, 2023. Upon successful commercialization of the iAGC, the Company will be responsible for the sales and marketing effort and would pay a royalty to the third-party based on future product sales to customers. The Company expects that it will be the principal in the end customer sale and 100% of product sales will be included in Revenues and any royalty payments and continued project costs after commercialization will be included in Cost of products sold as they are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Other Operating Expenses</w:t>
      </w:r>
    </w:p>
    <w:p>
      <w:pPr>
        <w:spacing w:after="0" w:line="1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connection with the Separation, the Company incurred separation and stand-up costs of approximately </w:t>
      </w:r>
      <w:r>
        <w:rPr>
          <w:rFonts w:ascii="Arial" w:cs="Arial" w:eastAsia="Arial" w:hAnsi="Arial"/>
          <w:sz w:val="18"/>
          <w:szCs w:val="18"/>
          <w:color w:val="2B2A29"/>
        </w:rPr>
        <w:t>$25.6 million</w:t>
      </w:r>
      <w:r>
        <w:rPr>
          <w:rFonts w:ascii="Arial" w:cs="Arial" w:eastAsia="Arial" w:hAnsi="Arial"/>
          <w:sz w:val="18"/>
          <w:szCs w:val="18"/>
          <w:color w:val="auto"/>
        </w:rPr>
        <w:t xml:space="preserve"> and $35.5 million during the three and six months ended March 31, 2023, respectively. There were $7.4 million and $15.8 million of separation and stand-up costs incurred during the three and six months ended March 31, 2022, respectively. The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jc w:val="right"/>
        <w:ind w:right="2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costs incurred primarily consist of costs associated with accounting, auditing, legal services, supply chain, employee retention, and certain other costs to establish certain stand-alone functions to assist with the transition to being a stand-alone entity.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Contingencies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was not a party to any material legal proceedings at March 31, 2023 or September 30, 2022, nor is it a party to any material legal proceedings as of the date of issuance of these Condensed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Revenues</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policies for recognizing sales have not changed from those described in the 2022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Revenues</w:t>
      </w:r>
    </w:p>
    <w:p>
      <w:pPr>
        <w:spacing w:after="0" w:line="1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results.</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liability attributed to variable consideration at March 31, 2023 and September 30, 2022 was $37.9 million and $43.8 million, respectively. Sales deductions recorded as a reduction of gross revenues for the three months ended March 31, 2023 and 2022 were $95.2 million and $78.1 million, respectively. Sales deductions recorded as a reduction of gross revenues for the six months ended March 31, 2023 and 2022 were $187.8 million and $163.9 million,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revenue by geographic region is provided within Note 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Arial" w:cs="Arial" w:eastAsia="Arial" w:hAnsi="Arial"/>
          <w:sz w:val="16"/>
          <w:szCs w:val="16"/>
          <w:i w:val="1"/>
          <w:iCs w:val="1"/>
          <w:color w:val="auto"/>
        </w:rPr>
        <w:t>Prepaid expenses and other</w:t>
      </w:r>
      <w:r>
        <w:rPr>
          <w:rFonts w:ascii="Arial" w:cs="Arial" w:eastAsia="Arial" w:hAnsi="Arial"/>
          <w:sz w:val="16"/>
          <w:szCs w:val="16"/>
          <w:color w:val="auto"/>
        </w:rPr>
        <w:t xml:space="preserve"> in the Condensed Consolidated Balance Sheets.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 balance was $1.2 million as of March 31, 2023 and September 30, 2022, respectively.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Segment and Geographical Data</w:t>
      </w:r>
    </w:p>
    <w:p>
      <w:pPr>
        <w:spacing w:after="0" w:line="11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Greater Asia, the Company has distribution agreements, and in China the Company relies on its own commercial team to support sales execution. In Latin America, the Company maintains distribution agreements and direct sales representatives.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disaggregates its revenue by geography as management believes this category best depicts how the nature, amount, and timing of revenues and cash flows are affected by economic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region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0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Six months ended March 31,</w:t>
            </w:r>
          </w:p>
        </w:tc>
      </w:tr>
      <w:tr>
        <w:trPr>
          <w:trHeight w:val="32"/>
        </w:trPr>
        <w:tc>
          <w:tcPr>
            <w:tcW w:w="12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1"/>
        </w:trPr>
        <w:tc>
          <w:tcPr>
            <w:tcW w:w="1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16"/>
                <w:szCs w:val="16"/>
                <w:b w:val="1"/>
                <w:bCs w:val="1"/>
                <w:color w:val="auto"/>
              </w:rPr>
              <w:t>2022</w:t>
            </w:r>
            <w:r>
              <w:rPr>
                <w:rFonts w:ascii="Arial" w:cs="Arial" w:eastAsia="Arial" w:hAnsi="Arial"/>
                <w:sz w:val="20"/>
                <w:szCs w:val="20"/>
                <w:b w:val="1"/>
                <w:bCs w:val="1"/>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80"/>
              <w:spacing w:after="0" w:line="221" w:lineRule="exact"/>
              <w:rPr>
                <w:sz w:val="20"/>
                <w:szCs w:val="20"/>
                <w:color w:val="auto"/>
              </w:rPr>
            </w:pPr>
            <w:r>
              <w:rPr>
                <w:rFonts w:ascii="Arial" w:cs="Arial" w:eastAsia="Arial" w:hAnsi="Arial"/>
                <w:sz w:val="16"/>
                <w:szCs w:val="16"/>
                <w:b w:val="1"/>
                <w:bCs w:val="1"/>
                <w:color w:val="auto"/>
              </w:rPr>
              <w:t>2022</w:t>
            </w:r>
            <w:r>
              <w:rPr>
                <w:rFonts w:ascii="Arial" w:cs="Arial" w:eastAsia="Arial" w:hAnsi="Arial"/>
                <w:sz w:val="20"/>
                <w:szCs w:val="20"/>
                <w:b w:val="1"/>
                <w:bCs w:val="1"/>
                <w:color w:val="auto"/>
                <w:vertAlign w:val="superscript"/>
              </w:rPr>
              <w:t>(1)</w:t>
            </w:r>
          </w:p>
        </w:tc>
      </w:tr>
      <w:tr>
        <w:trPr>
          <w:trHeight w:val="215"/>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18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292.2</w:t>
            </w:r>
          </w:p>
        </w:tc>
      </w:tr>
      <w:tr>
        <w:trPr>
          <w:trHeight w:val="241"/>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International</w:t>
            </w:r>
            <w:r>
              <w:rPr>
                <w:rFonts w:ascii="Arial" w:cs="Arial" w:eastAsia="Arial" w:hAnsi="Arial"/>
                <w:sz w:val="20"/>
                <w:szCs w:val="20"/>
                <w:color w:val="auto"/>
                <w:vertAlign w:val="superscript"/>
              </w:rPr>
              <w:t>(2)</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w:t>
            </w:r>
          </w:p>
        </w:tc>
      </w:tr>
      <w:tr>
        <w:trPr>
          <w:trHeight w:val="235"/>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18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75"/>
        </w:trPr>
        <w:tc>
          <w:tcPr>
            <w:tcW w:w="1220" w:type="dxa"/>
            <w:vAlign w:val="bottom"/>
            <w:tcBorders>
              <w:bottom w:val="single" w:sz="8" w:color="auto"/>
            </w:tcBorders>
          </w:tcPr>
          <w:p>
            <w:pPr>
              <w:spacing w:after="0"/>
              <w:rPr>
                <w:sz w:val="23"/>
                <w:szCs w:val="23"/>
                <w:color w:val="auto"/>
              </w:rPr>
            </w:pPr>
          </w:p>
        </w:tc>
        <w:tc>
          <w:tcPr>
            <w:tcW w:w="3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164" w:lineRule="exact"/>
        <w:rPr>
          <w:sz w:val="20"/>
          <w:szCs w:val="20"/>
          <w:color w:val="auto"/>
        </w:rPr>
      </w:pPr>
    </w:p>
    <w:p>
      <w:pPr>
        <w:ind w:left="320" w:hanging="313"/>
        <w:spacing w:after="0" w:line="221" w:lineRule="auto"/>
        <w:tabs>
          <w:tab w:leader="none" w:pos="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$1.5 million was reclassified between United States and International for both the three and six months ended March 31, 2022 respectively to conform to the current year presentation.</w:t>
      </w:r>
    </w:p>
    <w:p>
      <w:pPr>
        <w:spacing w:after="0" w:line="90" w:lineRule="exact"/>
        <w:rPr>
          <w:rFonts w:ascii="Arial" w:cs="Arial" w:eastAsia="Arial" w:hAnsi="Arial"/>
          <w:sz w:val="21"/>
          <w:szCs w:val="21"/>
          <w:color w:val="auto"/>
          <w:vertAlign w:val="superscript"/>
        </w:rPr>
      </w:pPr>
    </w:p>
    <w:p>
      <w:pPr>
        <w:ind w:left="320" w:hanging="313"/>
        <w:spacing w:after="0" w:line="221" w:lineRule="auto"/>
        <w:tabs>
          <w:tab w:leader="none" w:pos="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March 31, 2023 and 2022, no individual country outside of the United States generated net revenues that represented more than 10.0% of total revenues.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2B2A29"/>
        </w:rPr>
        <w:t>Time Vested Restricted Stock Units ("TVUs")</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2B2A29"/>
        </w:rPr>
        <w:t xml:space="preserve">During the six </w:t>
      </w:r>
      <w:r>
        <w:rPr>
          <w:rFonts w:ascii="Arial" w:cs="Arial" w:eastAsia="Arial" w:hAnsi="Arial"/>
          <w:sz w:val="18"/>
          <w:szCs w:val="18"/>
          <w:color w:val="000000"/>
        </w:rPr>
        <w:t>months ended March 31, 2023</w:t>
      </w:r>
      <w:r>
        <w:rPr>
          <w:rFonts w:ascii="Arial" w:cs="Arial" w:eastAsia="Arial" w:hAnsi="Arial"/>
          <w:sz w:val="18"/>
          <w:szCs w:val="18"/>
          <w:color w:val="2B2A29"/>
        </w:rPr>
        <w:t>, Embecta granted 634,032 of restricted stock units ("RSUs") in the form of TVUs to employees which vest ratably over three years, subject to continued employment of the recipients.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2B2A29"/>
        </w:rPr>
        <w:t>Performance Based Restricted Stock Units ("PSUs")</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2B2A29"/>
        </w:rPr>
        <w:t xml:space="preserve">During the </w:t>
      </w:r>
      <w:r>
        <w:rPr>
          <w:rFonts w:ascii="Arial" w:cs="Arial" w:eastAsia="Arial" w:hAnsi="Arial"/>
          <w:sz w:val="16"/>
          <w:szCs w:val="16"/>
          <w:color w:val="000000"/>
        </w:rPr>
        <w:t>six months ended March 31, 2023</w:t>
      </w:r>
      <w:r>
        <w:rPr>
          <w:rFonts w:ascii="Arial" w:cs="Arial" w:eastAsia="Arial" w:hAnsi="Arial"/>
          <w:sz w:val="16"/>
          <w:szCs w:val="16"/>
          <w:color w:val="2B2A29"/>
        </w:rPr>
        <w:t xml:space="preserve">, Embecta awarded 244,192 of RSUs in the form of PSUs to certain executive officers and employees which vest after three years, subject to continued employment of the recipients and the 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Stock-based compensation expense for these awards for the three and six </w:t>
      </w:r>
      <w:r>
        <w:rPr>
          <w:rFonts w:ascii="Arial" w:cs="Arial" w:eastAsia="Arial" w:hAnsi="Arial"/>
          <w:sz w:val="16"/>
          <w:szCs w:val="16"/>
          <w:color w:val="000000"/>
        </w:rPr>
        <w:t>months ended March 31, 2023</w:t>
      </w:r>
      <w:r>
        <w:rPr>
          <w:rFonts w:ascii="Arial" w:cs="Arial" w:eastAsia="Arial" w:hAnsi="Arial"/>
          <w:sz w:val="16"/>
          <w:szCs w:val="16"/>
          <w:color w:val="2B2A29"/>
        </w:rPr>
        <w:t xml:space="preserve"> was $0.5 million and $0.6 million, respectively.</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0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Total direct and allocated stock-based compensation expense for the three and six months ended March 31, 2023 and 2022 and the respective income tax benefits recognized by the Company in the Condensed Consolidated Statements of Income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80" w:type="dxa"/>
            <w:vAlign w:val="bottom"/>
          </w:tcPr>
          <w:p>
            <w:pPr>
              <w:spacing w:after="0"/>
              <w:rPr>
                <w:sz w:val="18"/>
                <w:szCs w:val="18"/>
                <w:color w:val="auto"/>
              </w:rPr>
            </w:pPr>
          </w:p>
        </w:tc>
        <w:tc>
          <w:tcPr>
            <w:tcW w:w="27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Six months ended March 31,</w:t>
            </w:r>
          </w:p>
        </w:tc>
      </w:tr>
      <w:tr>
        <w:trPr>
          <w:trHeight w:val="32"/>
        </w:trPr>
        <w:tc>
          <w:tcPr>
            <w:tcW w:w="4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5"/>
        </w:trPr>
        <w:tc>
          <w:tcPr>
            <w:tcW w:w="4780" w:type="dxa"/>
            <w:vAlign w:val="bottom"/>
          </w:tcPr>
          <w:p>
            <w:pPr>
              <w:spacing w:after="0"/>
              <w:rPr>
                <w:sz w:val="18"/>
                <w:szCs w:val="18"/>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2022</w:t>
            </w:r>
          </w:p>
        </w:tc>
      </w:tr>
      <w:tr>
        <w:trPr>
          <w:trHeight w:val="221"/>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products sold</w:t>
            </w:r>
          </w:p>
        </w:tc>
        <w:tc>
          <w:tcPr>
            <w:tcW w:w="110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60" w:type="dxa"/>
            <w:vAlign w:val="bottom"/>
            <w:tcBorders>
              <w:bottom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4780" w:type="dxa"/>
            <w:vAlign w:val="bottom"/>
          </w:tcPr>
          <w:p>
            <w:pPr>
              <w:ind w:left="20"/>
              <w:spacing w:after="0"/>
              <w:rPr>
                <w:sz w:val="20"/>
                <w:szCs w:val="20"/>
                <w:color w:val="auto"/>
              </w:rPr>
            </w:pPr>
            <w:r>
              <w:rPr>
                <w:rFonts w:ascii="Arial" w:cs="Arial" w:eastAsia="Arial" w:hAnsi="Arial"/>
                <w:sz w:val="16"/>
                <w:szCs w:val="16"/>
                <w:color w:val="auto"/>
              </w:rPr>
              <w:t>Selling and administrative expense</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2"/>
        </w:trPr>
        <w:tc>
          <w:tcPr>
            <w:tcW w:w="4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1"/>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4780" w:type="dxa"/>
            <w:vAlign w:val="bottom"/>
          </w:tcPr>
          <w:p>
            <w:pPr>
              <w:ind w:left="20"/>
              <w:spacing w:after="0"/>
              <w:rPr>
                <w:sz w:val="20"/>
                <w:szCs w:val="20"/>
                <w:color w:val="auto"/>
              </w:rPr>
            </w:pPr>
            <w:r>
              <w:rPr>
                <w:rFonts w:ascii="Arial" w:cs="Arial" w:eastAsia="Arial" w:hAnsi="Arial"/>
                <w:sz w:val="16"/>
                <w:szCs w:val="16"/>
                <w:color w:val="auto"/>
              </w:rPr>
              <w:t>Total Stock-Based Compensation Expense</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5.8</w:t>
            </w:r>
          </w:p>
        </w:tc>
        <w:tc>
          <w:tcPr>
            <w:tcW w:w="126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3.9</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32"/>
        </w:trPr>
        <w:tc>
          <w:tcPr>
            <w:tcW w:w="4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Tax benefit associated with stock-based compensation costs recognized</w:t>
            </w:r>
          </w:p>
        </w:tc>
        <w:tc>
          <w:tcPr>
            <w:tcW w:w="110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60" w:type="dxa"/>
            <w:vAlign w:val="bottom"/>
            <w:tcBorders>
              <w:bottom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 summary of stock appreciation rights ("SARs") outstanding as of March 31, 2023 and changes during the six months ended March 31, 2023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162"/>
              <w:spacing w:after="0"/>
              <w:rPr>
                <w:sz w:val="20"/>
                <w:szCs w:val="20"/>
                <w:color w:val="auto"/>
              </w:rPr>
            </w:pPr>
            <w:r>
              <w:rPr>
                <w:rFonts w:ascii="Arial" w:cs="Arial" w:eastAsia="Arial" w:hAnsi="Arial"/>
                <w:sz w:val="14"/>
                <w:szCs w:val="14"/>
                <w:b w:val="1"/>
                <w:bCs w:val="1"/>
                <w:color w:val="auto"/>
                <w:w w:val="93"/>
              </w:rPr>
              <w:t>Weighted Average</w:t>
            </w: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ind w:right="123"/>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1560" w:type="dxa"/>
            <w:vAlign w:val="bottom"/>
          </w:tcPr>
          <w:p>
            <w:pPr>
              <w:jc w:val="right"/>
              <w:ind w:right="81"/>
              <w:spacing w:after="0"/>
              <w:rPr>
                <w:sz w:val="20"/>
                <w:szCs w:val="20"/>
                <w:color w:val="auto"/>
              </w:rPr>
            </w:pPr>
            <w:r>
              <w:rPr>
                <w:rFonts w:ascii="Arial" w:cs="Arial" w:eastAsia="Arial" w:hAnsi="Arial"/>
                <w:sz w:val="14"/>
                <w:szCs w:val="14"/>
                <w:b w:val="1"/>
                <w:bCs w:val="1"/>
                <w:color w:val="auto"/>
              </w:rPr>
              <w:t>SARs (in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82"/>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54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October 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1,916.7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Forfeited, canceled or expired</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5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Vested and expected to vest at March 31</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1,816.9</w:t>
            </w:r>
          </w:p>
        </w:tc>
        <w:tc>
          <w:tcPr>
            <w:tcW w:w="3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29.05</w:t>
            </w:r>
          </w:p>
        </w:tc>
        <w:tc>
          <w:tcPr>
            <w:tcW w:w="17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8.2</w:t>
            </w:r>
          </w:p>
        </w:tc>
        <w:tc>
          <w:tcPr>
            <w:tcW w:w="2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2"/>
        </w:trPr>
        <w:tc>
          <w:tcPr>
            <w:tcW w:w="45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at March 31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amounts exercised include shares withheld for taxes that are not formally issued to the market.</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SARs with an intrinsic value of $0.3 million and grant date fair value of $0.6 million were exercised during the six months ended March 31, 2023.</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summary of time-vested RSUs and performance-based RSUs outstanding as of March 31, 2023 and changes during the six months ended March 31, 2023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85"/>
        </w:trPr>
        <w:tc>
          <w:tcPr>
            <w:tcW w:w="7940" w:type="dxa"/>
            <w:vAlign w:val="bottom"/>
          </w:tcPr>
          <w:p>
            <w:pPr>
              <w:spacing w:after="0"/>
              <w:rPr>
                <w:sz w:val="16"/>
                <w:szCs w:val="16"/>
                <w:color w:val="auto"/>
              </w:rPr>
            </w:pPr>
          </w:p>
        </w:tc>
        <w:tc>
          <w:tcPr>
            <w:tcW w:w="1600" w:type="dxa"/>
            <w:vAlign w:val="bottom"/>
          </w:tcPr>
          <w:p>
            <w:pPr>
              <w:jc w:val="right"/>
              <w:ind w:right="101"/>
              <w:spacing w:after="0"/>
              <w:rPr>
                <w:sz w:val="20"/>
                <w:szCs w:val="20"/>
                <w:color w:val="auto"/>
              </w:rPr>
            </w:pPr>
            <w:r>
              <w:rPr>
                <w:rFonts w:ascii="Arial" w:cs="Arial" w:eastAsia="Arial" w:hAnsi="Arial"/>
                <w:sz w:val="14"/>
                <w:szCs w:val="14"/>
                <w:b w:val="1"/>
                <w:bCs w:val="1"/>
                <w:color w:val="auto"/>
              </w:rPr>
              <w:t>RSUs (in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41"/>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5"/>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at October 1</w:t>
            </w: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977.5</w:t>
            </w:r>
          </w:p>
        </w:tc>
        <w:tc>
          <w:tcPr>
            <w:tcW w:w="32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0" w:type="dxa"/>
            <w:vAlign w:val="bottom"/>
          </w:tcPr>
          <w:p>
            <w:pPr>
              <w:spacing w:after="0"/>
              <w:rPr>
                <w:sz w:val="1"/>
                <w:szCs w:val="1"/>
                <w:color w:val="auto"/>
              </w:rPr>
            </w:pPr>
          </w:p>
        </w:tc>
      </w:tr>
      <w:tr>
        <w:trPr>
          <w:trHeight w:val="218"/>
        </w:trPr>
        <w:tc>
          <w:tcPr>
            <w:tcW w:w="7940" w:type="dxa"/>
            <w:vAlign w:val="bottom"/>
          </w:tcPr>
          <w:p>
            <w:pPr>
              <w:ind w:left="2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695.1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23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color w:val="auto"/>
              </w:rPr>
              <w:t>Forfeited, canceled or expired</w:t>
            </w:r>
          </w:p>
        </w:tc>
        <w:tc>
          <w:tcPr>
            <w:tcW w:w="160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32"/>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at March 31</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1,331.0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Expected to vest at March 31</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40" w:type="dxa"/>
            <w:vAlign w:val="bottom"/>
            <w:vMerge w:val="continue"/>
          </w:tcPr>
          <w:p>
            <w:pPr>
              <w:spacing w:after="0"/>
              <w:rPr>
                <w:sz w:val="16"/>
                <w:szCs w:val="16"/>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1,257.9</w:t>
            </w:r>
          </w:p>
        </w:tc>
        <w:tc>
          <w:tcPr>
            <w:tcW w:w="32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32"/>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RSUs distributed include shares withheld for taxes that are not formally issued to the market.</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weighted average grant date fair value of time restricted stock units granted during the six months ended March 31, 2023 is $32.38 and the total fair value of time vested stock units vested during the six months ended March 31, 2023 is $8.8 million.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2023, the weighted average remaining vesting term of time vested restricted stock units is 2.0 years.</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amount of unrecognized compensation expense for all non-vested stock-based awards granted as of March 31, 2023, is approximately $40.4 million, which is expected to be recognized over a weighted-average remaining life of approximately 2.2 years. At March 31, 2023, 3.5 million shares were authorized for future grants under the 2022 Employee and Director Equity Based Compensation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Other Intangible Assets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consisted of:</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5"/>
              </w:rPr>
              <w:t>September 30, 2022</w:t>
            </w:r>
          </w:p>
        </w:tc>
      </w:tr>
      <w:tr>
        <w:trPr>
          <w:trHeight w:val="218"/>
        </w:trPr>
        <w:tc>
          <w:tcPr>
            <w:tcW w:w="730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1"/>
        </w:trPr>
        <w:tc>
          <w:tcPr>
            <w:tcW w:w="7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Patents – gross</w:t>
            </w:r>
          </w:p>
        </w:tc>
        <w:tc>
          <w:tcPr>
            <w:tcW w:w="1520" w:type="dxa"/>
            <w:vAlign w:val="bottom"/>
            <w:tcBorders>
              <w:bottom w:val="single" w:sz="8" w:color="CCEEFF"/>
            </w:tcBorders>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9"/>
        </w:trPr>
        <w:tc>
          <w:tcPr>
            <w:tcW w:w="7300" w:type="dxa"/>
            <w:vAlign w:val="bottom"/>
          </w:tcPr>
          <w:p>
            <w:pPr>
              <w:ind w:left="240"/>
              <w:spacing w:after="0"/>
              <w:rPr>
                <w:sz w:val="20"/>
                <w:szCs w:val="20"/>
                <w:color w:val="auto"/>
              </w:rPr>
            </w:pPr>
            <w:r>
              <w:rPr>
                <w:rFonts w:ascii="Arial" w:cs="Arial" w:eastAsia="Arial" w:hAnsi="Arial"/>
                <w:sz w:val="16"/>
                <w:szCs w:val="16"/>
                <w:color w:val="auto"/>
              </w:rPr>
              <w:t>Less: accumulated amortization</w:t>
            </w:r>
          </w:p>
        </w:tc>
        <w:tc>
          <w:tcPr>
            <w:tcW w:w="15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2"/>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5"/>
        </w:trPr>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Patents – net</w:t>
            </w:r>
          </w:p>
        </w:tc>
        <w:tc>
          <w:tcPr>
            <w:tcW w:w="1520" w:type="dxa"/>
            <w:vAlign w:val="bottom"/>
            <w:tcBorders>
              <w:bottom w:val="single" w:sz="8" w:color="CCEEFF"/>
            </w:tcBorders>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2"/>
        </w:trPr>
        <w:tc>
          <w:tcPr>
            <w:tcW w:w="7300" w:type="dxa"/>
            <w:vAlign w:val="bottom"/>
          </w:tcPr>
          <w:p>
            <w:pPr>
              <w:ind w:left="240"/>
              <w:spacing w:after="0"/>
              <w:rPr>
                <w:sz w:val="20"/>
                <w:szCs w:val="20"/>
                <w:color w:val="auto"/>
              </w:rPr>
            </w:pPr>
            <w:r>
              <w:rPr>
                <w:rFonts w:ascii="Arial" w:cs="Arial" w:eastAsia="Arial" w:hAnsi="Arial"/>
                <w:sz w:val="16"/>
                <w:szCs w:val="16"/>
                <w:color w:val="auto"/>
              </w:rPr>
              <w:t>Customer Relationships and Other – gross</w:t>
            </w:r>
          </w:p>
        </w:tc>
        <w:tc>
          <w:tcPr>
            <w:tcW w:w="1520" w:type="dxa"/>
            <w:vAlign w:val="bottom"/>
            <w:tcBorders>
              <w:top w:val="single" w:sz="8" w:color="auto"/>
            </w:tcBorders>
          </w:tcPr>
          <w:p>
            <w:pPr>
              <w:jc w:val="right"/>
              <w:ind w:right="1340"/>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51"/>
        </w:trPr>
        <w:tc>
          <w:tcPr>
            <w:tcW w:w="7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Less: accumulated amortization</w:t>
            </w:r>
          </w:p>
        </w:tc>
        <w:tc>
          <w:tcPr>
            <w:tcW w:w="1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2"/>
        </w:trPr>
        <w:tc>
          <w:tcPr>
            <w:tcW w:w="7300" w:type="dxa"/>
            <w:vAlign w:val="bottom"/>
          </w:tcPr>
          <w:p>
            <w:pPr>
              <w:ind w:left="140"/>
              <w:spacing w:after="0"/>
              <w:rPr>
                <w:sz w:val="20"/>
                <w:szCs w:val="20"/>
                <w:color w:val="auto"/>
              </w:rPr>
            </w:pPr>
            <w:r>
              <w:rPr>
                <w:rFonts w:ascii="Arial" w:cs="Arial" w:eastAsia="Arial" w:hAnsi="Arial"/>
                <w:sz w:val="16"/>
                <w:szCs w:val="16"/>
                <w:color w:val="auto"/>
              </w:rPr>
              <w:t>Customer Relationships and Other – net</w:t>
            </w:r>
          </w:p>
        </w:tc>
        <w:tc>
          <w:tcPr>
            <w:tcW w:w="1520" w:type="dxa"/>
            <w:vAlign w:val="bottom"/>
            <w:tcBorders>
              <w:top w:val="single" w:sz="8" w:color="auto"/>
            </w:tcBorders>
          </w:tcPr>
          <w:p>
            <w:pPr>
              <w:jc w:val="right"/>
              <w:ind w:right="1340"/>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32"/>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5"/>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amortized intangible assets</w:t>
            </w:r>
          </w:p>
        </w:tc>
        <w:tc>
          <w:tcPr>
            <w:tcW w:w="1520" w:type="dxa"/>
            <w:vAlign w:val="bottom"/>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9"/>
        </w:trPr>
        <w:tc>
          <w:tcPr>
            <w:tcW w:w="73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15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15.7</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32"/>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Goodwill and Other Intangible Assets</w:t>
            </w:r>
          </w:p>
        </w:tc>
        <w:tc>
          <w:tcPr>
            <w:tcW w:w="1520" w:type="dxa"/>
            <w:vAlign w:val="bottom"/>
            <w:tcBorders>
              <w:bottom w:val="single" w:sz="8" w:color="CCEEFF"/>
            </w:tcBorders>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24.0</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Long-Term Debt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On March 31, 2022, Embecta entered into a credit agreement (the “Credit Agreement”), providing for:</w:t>
      </w:r>
    </w:p>
    <w:p>
      <w:pPr>
        <w:spacing w:after="0" w:line="101" w:lineRule="exact"/>
        <w:rPr>
          <w:sz w:val="20"/>
          <w:szCs w:val="20"/>
          <w:color w:val="auto"/>
        </w:rPr>
      </w:pPr>
    </w:p>
    <w:p>
      <w:pPr>
        <w:jc w:val="both"/>
        <w:ind w:left="900" w:hanging="571"/>
        <w:spacing w:after="0" w:line="275" w:lineRule="auto"/>
        <w:tabs>
          <w:tab w:leader="none" w:pos="900" w:val="left"/>
        </w:tabs>
        <w:numPr>
          <w:ilvl w:val="0"/>
          <w:numId w:val="6"/>
        </w:numPr>
        <w:rPr>
          <w:rFonts w:ascii="Arial" w:cs="Arial" w:eastAsia="Arial" w:hAnsi="Arial"/>
          <w:sz w:val="16"/>
          <w:szCs w:val="16"/>
          <w:color w:val="2B2A29"/>
        </w:rPr>
      </w:pPr>
      <w:r>
        <w:rPr>
          <w:rFonts w:ascii="Arial" w:cs="Arial" w:eastAsia="Arial" w:hAnsi="Arial"/>
          <w:sz w:val="16"/>
          <w:szCs w:val="16"/>
          <w:color w:val="auto"/>
        </w:rPr>
        <w:t xml:space="preserve">a Term Loan B Facility (the "Term Loan") in the amount of $950.0 million, with a </w:t>
      </w:r>
      <w:r>
        <w:rPr>
          <w:rFonts w:ascii="Arial" w:cs="Arial" w:eastAsia="Arial" w:hAnsi="Arial"/>
          <w:sz w:val="16"/>
          <w:szCs w:val="16"/>
          <w:color w:val="2B2A29"/>
        </w:rPr>
        <w:t>seven</w:t>
      </w:r>
      <w:r>
        <w:rPr>
          <w:rFonts w:ascii="Arial" w:cs="Arial" w:eastAsia="Arial" w:hAnsi="Arial"/>
          <w:sz w:val="16"/>
          <w:szCs w:val="16"/>
          <w:color w:val="auto"/>
        </w:rPr>
        <w:t xml:space="preserve">-year </w:t>
      </w:r>
      <w:r>
        <w:rPr>
          <w:rFonts w:ascii="Arial" w:cs="Arial" w:eastAsia="Arial" w:hAnsi="Arial"/>
          <w:sz w:val="16"/>
          <w:szCs w:val="16"/>
          <w:color w:val="2B2A29"/>
        </w:rPr>
        <w:t>term that matures in March 2029. The interest rate</w:t>
      </w:r>
      <w:r>
        <w:rPr>
          <w:rFonts w:ascii="Arial" w:cs="Arial" w:eastAsia="Arial" w:hAnsi="Arial"/>
          <w:sz w:val="16"/>
          <w:szCs w:val="16"/>
          <w:color w:val="auto"/>
        </w:rPr>
        <w:t xml:space="preserve"> </w:t>
      </w:r>
      <w:r>
        <w:rPr>
          <w:rFonts w:ascii="Arial" w:cs="Arial" w:eastAsia="Arial" w:hAnsi="Arial"/>
          <w:sz w:val="16"/>
          <w:szCs w:val="16"/>
          <w:color w:val="2B2A29"/>
        </w:rPr>
        <w:t>is 300 basis points over the secured overnight financing rate (“SOFR”), with a 0.50% SOFR floor. The Term Loan was issued at a discount of 0.50%. Principal and interest payments on the Term Loan commenced on June 30, 2022. Such quarterly principal payments are calculated as</w:t>
      </w:r>
    </w:p>
    <w:p>
      <w:pPr>
        <w:ind w:left="900"/>
        <w:spacing w:after="0"/>
        <w:rPr>
          <w:rFonts w:ascii="Arial" w:cs="Arial" w:eastAsia="Arial" w:hAnsi="Arial"/>
          <w:sz w:val="16"/>
          <w:szCs w:val="16"/>
          <w:color w:val="2B2A29"/>
        </w:rPr>
      </w:pPr>
      <w:r>
        <w:rPr>
          <w:rFonts w:ascii="Arial" w:cs="Arial" w:eastAsia="Arial" w:hAnsi="Arial"/>
          <w:sz w:val="18"/>
          <w:szCs w:val="18"/>
          <w:color w:val="2B2A29"/>
        </w:rPr>
        <w:t xml:space="preserve">0.25% of the initial principal amount, with the remaining balance payable upon maturity; </w:t>
      </w:r>
      <w:r>
        <w:rPr>
          <w:rFonts w:ascii="Arial" w:cs="Arial" w:eastAsia="Arial" w:hAnsi="Arial"/>
          <w:sz w:val="18"/>
          <w:szCs w:val="18"/>
          <w:color w:val="000000"/>
        </w:rPr>
        <w:t>and</w:t>
      </w:r>
    </w:p>
    <w:p>
      <w:pPr>
        <w:spacing w:after="0" w:line="85" w:lineRule="exact"/>
        <w:rPr>
          <w:rFonts w:ascii="Arial" w:cs="Arial" w:eastAsia="Arial" w:hAnsi="Arial"/>
          <w:sz w:val="16"/>
          <w:szCs w:val="16"/>
          <w:color w:val="2B2A29"/>
        </w:rPr>
      </w:pPr>
    </w:p>
    <w:p>
      <w:pPr>
        <w:jc w:val="both"/>
        <w:ind w:left="900" w:hanging="571"/>
        <w:spacing w:after="0" w:line="285" w:lineRule="auto"/>
        <w:tabs>
          <w:tab w:leader="none" w:pos="900" w:val="left"/>
        </w:tabs>
        <w:numPr>
          <w:ilvl w:val="0"/>
          <w:numId w:val="6"/>
        </w:numPr>
        <w:rPr>
          <w:rFonts w:ascii="Arial" w:cs="Arial" w:eastAsia="Arial" w:hAnsi="Arial"/>
          <w:sz w:val="16"/>
          <w:szCs w:val="16"/>
          <w:color w:val="2B2A29"/>
        </w:rPr>
      </w:pPr>
      <w:r>
        <w:rPr>
          <w:rFonts w:ascii="Arial" w:cs="Arial" w:eastAsia="Arial" w:hAnsi="Arial"/>
          <w:sz w:val="16"/>
          <w:szCs w:val="16"/>
          <w:color w:val="auto"/>
        </w:rPr>
        <w:t xml:space="preserve">a Revolving Credit Facility (the "Revolving Credit Facility") in an aggregate principal amount of up to $500.0 million, with a </w:t>
      </w:r>
      <w:r>
        <w:rPr>
          <w:rFonts w:ascii="Arial" w:cs="Arial" w:eastAsia="Arial" w:hAnsi="Arial"/>
          <w:sz w:val="16"/>
          <w:szCs w:val="16"/>
          <w:color w:val="2B2A29"/>
        </w:rPr>
        <w:t>five</w:t>
      </w:r>
      <w:r>
        <w:rPr>
          <w:rFonts w:ascii="Arial" w:cs="Arial" w:eastAsia="Arial" w:hAnsi="Arial"/>
          <w:sz w:val="16"/>
          <w:szCs w:val="16"/>
          <w:color w:val="auto"/>
        </w:rPr>
        <w:t xml:space="preserve">-year term that matures in 2027. </w:t>
      </w:r>
      <w:r>
        <w:rPr>
          <w:rFonts w:ascii="Arial" w:cs="Arial" w:eastAsia="Arial" w:hAnsi="Arial"/>
          <w:sz w:val="16"/>
          <w:szCs w:val="16"/>
          <w:color w:val="2B2A29"/>
        </w:rPr>
        <w:t>Borrowings under the Revolving Credit Facility bear interest, at Embecta’s option, at an annual rate equal to (a) in the case of</w:t>
      </w:r>
      <w:r>
        <w:rPr>
          <w:rFonts w:ascii="Arial" w:cs="Arial" w:eastAsia="Arial" w:hAnsi="Arial"/>
          <w:sz w:val="16"/>
          <w:szCs w:val="16"/>
          <w:color w:val="auto"/>
        </w:rPr>
        <w:t xml:space="preserve"> </w:t>
      </w:r>
      <w:r>
        <w:rPr>
          <w:rFonts w:ascii="Arial" w:cs="Arial" w:eastAsia="Arial" w:hAnsi="Arial"/>
          <w:sz w:val="16"/>
          <w:szCs w:val="16"/>
          <w:color w:val="2B2A29"/>
        </w:rPr>
        <w:t xml:space="preserve">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Arial" w:cs="Arial" w:eastAsia="Arial" w:hAnsi="Arial"/>
          <w:sz w:val="16"/>
          <w:szCs w:val="16"/>
          <w:color w:val="000000"/>
        </w:rPr>
        <w:t>As of March 31, 2023, no amount has been drawn on the Revolving Credit Facility.</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The Credit Agreement and the indentures for Embecta's outstanding 5.00% senior secured notes due February 2030 (the "5.00% Notes") and </w:t>
      </w:r>
      <w:r>
        <w:rPr>
          <w:rFonts w:ascii="Arial" w:cs="Arial" w:eastAsia="Arial" w:hAnsi="Arial"/>
          <w:sz w:val="17"/>
          <w:szCs w:val="17"/>
          <w:color w:val="2B2A29"/>
        </w:rPr>
        <w:t>6.75%</w:t>
      </w:r>
      <w:r>
        <w:rPr>
          <w:rFonts w:ascii="Arial" w:cs="Arial" w:eastAsia="Arial" w:hAnsi="Arial"/>
          <w:sz w:val="17"/>
          <w:szCs w:val="17"/>
          <w:color w:val="auto"/>
        </w:rPr>
        <w:t xml:space="preserve"> senior secured notes due February 2030 (the "</w:t>
      </w:r>
      <w:r>
        <w:rPr>
          <w:rFonts w:ascii="Arial" w:cs="Arial" w:eastAsia="Arial" w:hAnsi="Arial"/>
          <w:sz w:val="17"/>
          <w:szCs w:val="17"/>
          <w:color w:val="2B2A29"/>
        </w:rPr>
        <w:t>6.75%</w:t>
      </w:r>
      <w:r>
        <w:rPr>
          <w:rFonts w:ascii="Arial" w:cs="Arial" w:eastAsia="Arial" w:hAnsi="Arial"/>
          <w:sz w:val="17"/>
          <w:szCs w:val="17"/>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Arial" w:cs="Arial" w:eastAsia="Arial" w:hAnsi="Arial"/>
          <w:sz w:val="17"/>
          <w:szCs w:val="17"/>
          <w:color w:val="2B2A29"/>
        </w:rPr>
        <w:t>6.75%</w:t>
      </w:r>
      <w:r>
        <w:rPr>
          <w:rFonts w:ascii="Arial" w:cs="Arial" w:eastAsia="Arial" w:hAnsi="Arial"/>
          <w:sz w:val="17"/>
          <w:szCs w:val="17"/>
          <w:color w:val="auto"/>
        </w:rPr>
        <w:t xml:space="preserve">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Embecta's total debt outstanding as of March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due March 2029</w:t>
            </w: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940.5</w:t>
            </w:r>
          </w:p>
        </w:tc>
      </w:tr>
      <w:tr>
        <w:trPr>
          <w:trHeight w:val="209"/>
        </w:trPr>
        <w:tc>
          <w:tcPr>
            <w:tcW w:w="9640" w:type="dxa"/>
            <w:vAlign w:val="bottom"/>
          </w:tcPr>
          <w:p>
            <w:pPr>
              <w:ind w:left="20"/>
              <w:spacing w:after="0"/>
              <w:rPr>
                <w:sz w:val="20"/>
                <w:szCs w:val="20"/>
                <w:color w:val="auto"/>
              </w:rPr>
            </w:pPr>
            <w:r>
              <w:rPr>
                <w:rFonts w:ascii="Arial" w:cs="Arial" w:eastAsia="Arial" w:hAnsi="Arial"/>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500.0</w:t>
            </w:r>
          </w:p>
        </w:tc>
      </w:tr>
      <w:tr>
        <w:trPr>
          <w:trHeight w:val="32"/>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62"/>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2B2A29"/>
              </w:rPr>
              <w:t xml:space="preserve">6.75% </w:t>
            </w:r>
            <w:r>
              <w:rPr>
                <w:rFonts w:ascii="Arial" w:cs="Arial" w:eastAsia="Arial" w:hAnsi="Arial"/>
                <w:sz w:val="16"/>
                <w:szCs w:val="16"/>
                <w:color w:val="000000"/>
              </w:rPr>
              <w:t>Notes due February 2030</w:t>
            </w: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r>
      <w:tr>
        <w:trPr>
          <w:trHeight w:val="202"/>
        </w:trPr>
        <w:tc>
          <w:tcPr>
            <w:tcW w:w="9640" w:type="dxa"/>
            <w:vAlign w:val="bottom"/>
          </w:tcPr>
          <w:p>
            <w:pPr>
              <w:ind w:left="20"/>
              <w:spacing w:after="0"/>
              <w:rPr>
                <w:sz w:val="20"/>
                <w:szCs w:val="20"/>
                <w:color w:val="auto"/>
              </w:rPr>
            </w:pPr>
            <w:r>
              <w:rPr>
                <w:rFonts w:ascii="Arial" w:cs="Arial" w:eastAsia="Arial" w:hAnsi="Arial"/>
                <w:sz w:val="16"/>
                <w:szCs w:val="16"/>
                <w:color w:val="auto"/>
              </w:rPr>
              <w:t>Total principal debt issued</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1,640.5</w:t>
            </w:r>
          </w:p>
        </w:tc>
      </w:tr>
      <w:tr>
        <w:trPr>
          <w:trHeight w:val="32"/>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debt obligations</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r>
      <w:tr>
        <w:trPr>
          <w:trHeight w:val="209"/>
        </w:trPr>
        <w:tc>
          <w:tcPr>
            <w:tcW w:w="9640" w:type="dxa"/>
            <w:vAlign w:val="bottom"/>
          </w:tcPr>
          <w:p>
            <w:pPr>
              <w:ind w:left="20"/>
              <w:spacing w:after="0"/>
              <w:rPr>
                <w:sz w:val="20"/>
                <w:szCs w:val="20"/>
                <w:color w:val="auto"/>
              </w:rPr>
            </w:pPr>
            <w:r>
              <w:rPr>
                <w:rFonts w:ascii="Arial" w:cs="Arial" w:eastAsia="Arial" w:hAnsi="Arial"/>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(35.0)</w:t>
            </w:r>
          </w:p>
        </w:tc>
      </w:tr>
      <w:tr>
        <w:trPr>
          <w:trHeight w:val="32"/>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540" w:type="dxa"/>
            <w:vAlign w:val="bottom"/>
            <w:tcBorders>
              <w:bottom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1,596.0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B2A29"/>
        </w:rPr>
        <w:t xml:space="preserve">The debt issuance costs on the Term Loan, </w:t>
      </w:r>
      <w:r>
        <w:rPr>
          <w:rFonts w:ascii="Arial" w:cs="Arial" w:eastAsia="Arial" w:hAnsi="Arial"/>
          <w:sz w:val="18"/>
          <w:szCs w:val="18"/>
          <w:color w:val="000000"/>
        </w:rPr>
        <w:t>5.00%</w:t>
      </w:r>
      <w:r>
        <w:rPr>
          <w:rFonts w:ascii="Arial" w:cs="Arial" w:eastAsia="Arial" w:hAnsi="Arial"/>
          <w:sz w:val="18"/>
          <w:szCs w:val="18"/>
          <w:color w:val="2B2A29"/>
        </w:rPr>
        <w:t xml:space="preserve"> Notes, 6.75% </w:t>
      </w:r>
      <w:r>
        <w:rPr>
          <w:rFonts w:ascii="Arial" w:cs="Arial" w:eastAsia="Arial" w:hAnsi="Arial"/>
          <w:sz w:val="18"/>
          <w:szCs w:val="18"/>
          <w:color w:val="000000"/>
        </w:rPr>
        <w:t>Notes</w:t>
      </w:r>
      <w:r>
        <w:rPr>
          <w:rFonts w:ascii="Arial" w:cs="Arial" w:eastAsia="Arial" w:hAnsi="Arial"/>
          <w:sz w:val="18"/>
          <w:szCs w:val="18"/>
          <w:color w:val="2B2A29"/>
        </w:rPr>
        <w:t xml:space="preserve"> and the discount on the Term Loan are reported in the Condensed Consolidated Balance Sheets as a reduction of debt and are amortized as a component of </w:t>
      </w:r>
      <w:r>
        <w:rPr>
          <w:rFonts w:ascii="Arial" w:cs="Arial" w:eastAsia="Arial" w:hAnsi="Arial"/>
          <w:sz w:val="18"/>
          <w:szCs w:val="18"/>
          <w:i w:val="1"/>
          <w:iCs w:val="1"/>
          <w:color w:val="2B2A29"/>
        </w:rPr>
        <w:t>Interest expense, net</w:t>
      </w:r>
      <w:r>
        <w:rPr>
          <w:rFonts w:ascii="Arial" w:cs="Arial" w:eastAsia="Arial" w:hAnsi="Arial"/>
          <w:sz w:val="18"/>
          <w:szCs w:val="18"/>
          <w:color w:val="2B2A29"/>
        </w:rPr>
        <w:t xml:space="preserve"> over the term of the related debt using the effective interest method.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schedule of principal payments required on long-term debt for the next five fiscal years and thereafter is as follows:</w:t>
      </w:r>
    </w:p>
    <w:p>
      <w:pPr>
        <w:spacing w:after="0" w:line="156"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4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2"/>
        </w:trPr>
        <w:tc>
          <w:tcPr>
            <w:tcW w:w="4620" w:type="dxa"/>
            <w:vAlign w:val="bottom"/>
          </w:tcPr>
          <w:p>
            <w:pPr>
              <w:spacing w:after="0"/>
              <w:rPr>
                <w:sz w:val="20"/>
                <w:szCs w:val="20"/>
                <w:color w:val="auto"/>
              </w:rPr>
            </w:pPr>
            <w:r>
              <w:rPr>
                <w:rFonts w:ascii="Arial" w:cs="Arial" w:eastAsia="Arial" w:hAnsi="Arial"/>
                <w:sz w:val="16"/>
                <w:szCs w:val="16"/>
                <w:color w:val="auto"/>
              </w:rPr>
              <w:t>2024</w:t>
            </w:r>
          </w:p>
        </w:tc>
        <w:tc>
          <w:tcPr>
            <w:tcW w:w="44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4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2"/>
        </w:trPr>
        <w:tc>
          <w:tcPr>
            <w:tcW w:w="4620" w:type="dxa"/>
            <w:vAlign w:val="bottom"/>
          </w:tcPr>
          <w:p>
            <w:pPr>
              <w:spacing w:after="0"/>
              <w:rPr>
                <w:sz w:val="20"/>
                <w:szCs w:val="20"/>
                <w:color w:val="auto"/>
              </w:rPr>
            </w:pPr>
            <w:r>
              <w:rPr>
                <w:rFonts w:ascii="Arial" w:cs="Arial" w:eastAsia="Arial" w:hAnsi="Arial"/>
                <w:sz w:val="16"/>
                <w:szCs w:val="16"/>
                <w:color w:val="auto"/>
              </w:rPr>
              <w:t>2026</w:t>
            </w:r>
          </w:p>
        </w:tc>
        <w:tc>
          <w:tcPr>
            <w:tcW w:w="44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44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9"/>
        </w:trPr>
        <w:tc>
          <w:tcPr>
            <w:tcW w:w="4620" w:type="dxa"/>
            <w:vAlign w:val="bottom"/>
          </w:tcPr>
          <w:p>
            <w:pPr>
              <w:spacing w:after="0"/>
              <w:rPr>
                <w:sz w:val="20"/>
                <w:szCs w:val="20"/>
                <w:color w:val="auto"/>
              </w:rPr>
            </w:pPr>
            <w:r>
              <w:rPr>
                <w:rFonts w:ascii="Arial" w:cs="Arial" w:eastAsia="Arial" w:hAnsi="Arial"/>
                <w:sz w:val="16"/>
                <w:szCs w:val="16"/>
                <w:color w:val="auto"/>
              </w:rPr>
              <w:t>Thereafter</w:t>
            </w:r>
          </w:p>
        </w:tc>
        <w:tc>
          <w:tcPr>
            <w:tcW w:w="44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1,597.7</w:t>
            </w:r>
          </w:p>
        </w:tc>
      </w:tr>
    </w:tbl>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B2A29"/>
        </w:rPr>
        <w:t>The estimated fair value of long-term debt (including current portion) at March 31, 2023 was $1,561.8 million compared with a carrying value (which includes a reduction for unamortized debt issuance costs and discounts) of $1,605.5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April 1, 2022, the date of the Separation, 57,012,925 shares of Embecta's common stock, par value $0.01 per share, were distributed to BD shareholders of record as of March 22, 2022, the record date of the distribution. This share amount is utilized for the calculation of earnings per basic and diluted common share for all periods presented prior to the Separation.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calculation of earnings per basic and diluted common share for the </w:t>
      </w:r>
      <w:r>
        <w:rPr>
          <w:rFonts w:ascii="Arial" w:cs="Arial" w:eastAsia="Arial" w:hAnsi="Arial"/>
          <w:sz w:val="17"/>
          <w:szCs w:val="17"/>
          <w:color w:val="2B2A29"/>
        </w:rPr>
        <w:t>three and six months ended March 31, 2023 and 2022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70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0"/>
              </w:rPr>
              <w:t>Six Months Ended</w:t>
            </w:r>
          </w:p>
        </w:tc>
        <w:tc>
          <w:tcPr>
            <w:tcW w:w="960" w:type="dxa"/>
            <w:vAlign w:val="bottom"/>
          </w:tcPr>
          <w:p>
            <w:pPr>
              <w:spacing w:after="0"/>
              <w:rPr>
                <w:sz w:val="16"/>
                <w:szCs w:val="16"/>
                <w:color w:val="auto"/>
              </w:rPr>
            </w:pPr>
          </w:p>
        </w:tc>
      </w:tr>
      <w:tr>
        <w:trPr>
          <w:trHeight w:val="212"/>
        </w:trPr>
        <w:tc>
          <w:tcPr>
            <w:tcW w:w="46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6"/>
                <w:szCs w:val="16"/>
                <w:b w:val="1"/>
                <w:bCs w:val="1"/>
                <w:color w:val="auto"/>
              </w:rPr>
              <w:t>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r>
      <w:tr>
        <w:trPr>
          <w:trHeight w:val="234"/>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 in millions and shares in thousands, except per share amounts)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w w:val="89"/>
              </w:rPr>
              <w:t>2022</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Embecta</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14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8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w:t>
            </w:r>
          </w:p>
        </w:tc>
      </w:tr>
      <w:tr>
        <w:trPr>
          <w:trHeight w:val="161"/>
        </w:trPr>
        <w:tc>
          <w:tcPr>
            <w:tcW w:w="4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41"/>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number of shares outstanding</w:t>
            </w: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57,260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57,798</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57,186</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57,798</w:t>
            </w:r>
          </w:p>
        </w:tc>
      </w:tr>
      <w:tr>
        <w:trPr>
          <w:trHeight w:val="238"/>
        </w:trPr>
        <w:tc>
          <w:tcPr>
            <w:tcW w:w="4620" w:type="dxa"/>
            <w:vAlign w:val="bottom"/>
          </w:tcPr>
          <w:p>
            <w:pPr>
              <w:ind w:left="20"/>
              <w:spacing w:after="0"/>
              <w:rPr>
                <w:sz w:val="20"/>
                <w:szCs w:val="20"/>
                <w:color w:val="auto"/>
              </w:rPr>
            </w:pPr>
            <w:r>
              <w:rPr>
                <w:rFonts w:ascii="Arial" w:cs="Arial" w:eastAsia="Arial" w:hAnsi="Arial"/>
                <w:sz w:val="16"/>
                <w:szCs w:val="16"/>
                <w:color w:val="auto"/>
              </w:rPr>
              <w:t>Stock awards and equity units (share equivalent)</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57,513</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57,798</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57,612</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57,798</w:t>
            </w:r>
          </w:p>
        </w:tc>
      </w:tr>
      <w:tr>
        <w:trPr>
          <w:trHeight w:val="161"/>
        </w:trPr>
        <w:tc>
          <w:tcPr>
            <w:tcW w:w="4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41"/>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 - Basic</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14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8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36"/>
        </w:trPr>
        <w:tc>
          <w:tcPr>
            <w:tcW w:w="4620" w:type="dxa"/>
            <w:vAlign w:val="bottom"/>
          </w:tcPr>
          <w:p>
            <w:pPr>
              <w:ind w:left="20"/>
              <w:spacing w:after="0"/>
              <w:rPr>
                <w:sz w:val="20"/>
                <w:szCs w:val="20"/>
                <w:color w:val="auto"/>
              </w:rPr>
            </w:pPr>
            <w:r>
              <w:rPr>
                <w:rFonts w:ascii="Arial" w:cs="Arial" w:eastAsia="Arial" w:hAnsi="Arial"/>
                <w:sz w:val="16"/>
                <w:szCs w:val="16"/>
                <w:color w:val="auto"/>
              </w:rPr>
              <w:t>Earnings per common share - Diluted</w:t>
            </w: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0.24</w:t>
            </w:r>
          </w:p>
        </w:tc>
        <w:tc>
          <w:tcPr>
            <w:tcW w:w="1140" w:type="dxa"/>
            <w:vAlign w:val="bottom"/>
            <w:gridSpan w:val="2"/>
          </w:tcPr>
          <w:p>
            <w:pPr>
              <w:jc w:val="right"/>
              <w:ind w:right="8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1.38</w:t>
            </w:r>
          </w:p>
        </w:tc>
        <w:tc>
          <w:tcPr>
            <w:tcW w:w="108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0.85</w:t>
            </w:r>
          </w:p>
        </w:tc>
        <w:tc>
          <w:tcPr>
            <w:tcW w:w="7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3.09</w:t>
            </w:r>
          </w:p>
        </w:tc>
      </w:tr>
    </w:tbl>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periods prior to the Separation, it is assumed that there were no dilutive equity instruments as there were no equity awards of Embecta outstanding prior to the Separation.</w:t>
      </w:r>
    </w:p>
    <w:p>
      <w:pPr>
        <w:spacing w:after="0" w:line="6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For periods subsequent to the Separation, earnings per diluted share is computed by giving effect to all potentially dilutive stock awards that are outstanding. The computation of earnings per diluted share excludes the effect of the potential exercise of stock-based awards, when the effect of the potential exercise would be anti-dilutive. For the </w:t>
      </w:r>
      <w:r>
        <w:rPr>
          <w:rFonts w:ascii="Arial" w:cs="Arial" w:eastAsia="Arial" w:hAnsi="Arial"/>
          <w:sz w:val="18"/>
          <w:szCs w:val="18"/>
          <w:color w:val="2B2A29"/>
        </w:rPr>
        <w:t>three and six months ended March 31, 2023</w:t>
      </w:r>
      <w:r>
        <w:rPr>
          <w:rFonts w:ascii="Arial" w:cs="Arial" w:eastAsia="Arial" w:hAnsi="Arial"/>
          <w:sz w:val="18"/>
          <w:szCs w:val="18"/>
          <w:color w:val="auto"/>
        </w:rPr>
        <w:t>, 2.2 million and 1.8 million, respectively, of dilutive share equivalents issuable under stock-</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based compensation plans were excluded from the diluted shares outstanding calculation because the result would have been antidilutive.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vary from quarter to quarter because of changes in the global pretax income or geographical mix of the Company's earnings, changes in tax laws and matters related to tax audits.</w:t>
      </w:r>
    </w:p>
    <w:p>
      <w:pPr>
        <w:spacing w:after="0" w:line="4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effective tax rates were 42.9% and 15.2% for the three months ended March 31, 2023 and 2022, respectively, and 39.0% and 15.2% for the six months ended March 31, 2023 and 2022, respectively. The increase in the Company’s effective tax rates from both prior comparative periods are primarily due to the establishment of a valuation allowance against the utilization of interest expense carryforwards generated during the current periods resulting from U.S. interest deduction limitation rules, higher tax expense on undistributed earnings of foreign subsidiaries and higher U.S. taxes on the earnings of foreign subsidiaries. This was partially offset by tax benefits from non-taxable permanent differences.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Financial Instruments and Fair Value Measurements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following reconciles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reported within the Condensed Consolidated Balance Sheets as of March 31, 2023 and September 30, 2022, to the total amounts shown in the Condensed Consolidated Statements of Cash Flows: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3"/>
              </w:rPr>
              <w:t>September 30, 2022</w:t>
            </w:r>
          </w:p>
        </w:tc>
      </w:tr>
      <w:tr>
        <w:trPr>
          <w:trHeight w:val="211"/>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r>
    </w:tbl>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and cash equivalents as of March 31, 2023 includes cash held in money market funds and other cash equivalents. All cash and cash equivalents are Level 1 in the fair value hierarchy.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Risks and Related Strategies</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foreign currency exposures throughout Europe, Greater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notional amounts of the Company’s foreign currency-related derivative instruments were as follows as of March 31, 2023 and September 30, 2022, respectively: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Hedge Designation</w:t>
            </w:r>
          </w:p>
        </w:tc>
        <w:tc>
          <w:tcPr>
            <w:tcW w:w="34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jc w:val="right"/>
              <w:ind w:right="320"/>
              <w:spacing w:after="0"/>
              <w:rPr>
                <w:sz w:val="20"/>
                <w:szCs w:val="20"/>
                <w:color w:val="auto"/>
              </w:rPr>
            </w:pPr>
            <w:r>
              <w:rPr>
                <w:rFonts w:ascii="Arial" w:cs="Arial" w:eastAsia="Arial" w:hAnsi="Arial"/>
                <w:sz w:val="16"/>
                <w:szCs w:val="16"/>
                <w:b w:val="1"/>
                <w:bCs w:val="1"/>
                <w:color w:val="FFFFFF"/>
              </w:rPr>
              <w:t>March 31, 2023</w:t>
            </w:r>
          </w:p>
        </w:tc>
      </w:tr>
      <w:tr>
        <w:trPr>
          <w:trHeight w:val="211"/>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 (a)</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Undesignated</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bl>
    <w:p>
      <w:pPr>
        <w:spacing w:after="0" w:line="227" w:lineRule="exact"/>
        <w:rPr>
          <w:sz w:val="20"/>
          <w:szCs w:val="20"/>
          <w:color w:val="auto"/>
        </w:rPr>
      </w:pPr>
    </w:p>
    <w:p>
      <w:pPr>
        <w:jc w:val="both"/>
        <w:ind w:left="660" w:hanging="331"/>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Represent hedges of transactional foreign exchange exposures resulting primarily from intercompany payables and receivables. Gains and losses on these instruments are recognized immediately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and prior to the Separation, the Company’s operations formed part of BD’s monitoring of concentrations of credit risk associated with financial institutions for which BD conducted business.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2023, the Company had transferred the majority of its trade receivables to BD under the Factoring Agreements (see Note 3). As a result, the Company is no longer exposed to credit risk associated with those transferred</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receivables and does not have material credit risk exposure associated with the remaining $19.1 million of trade receivables.</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Three of the Company’s customers represent at least 10.0% of total gross revenues individually and, in the aggregate, represented approximately 39.6% for the three months ended March 31, 2023, and three of the Company's customers represented at least 10.0% of total gross revenues individually and, in the aggregate, represent 40.0% of total revenues for the six months ended March 31, 2023.</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Property, Plant and Equipment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September 30, 2022</w:t>
            </w:r>
          </w:p>
        </w:tc>
      </w:tr>
      <w:tr>
        <w:trPr>
          <w:trHeight w:val="21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0" w:type="dxa"/>
            <w:vAlign w:val="bottom"/>
            <w:tcBorders>
              <w:bottom w:val="single" w:sz="8" w:color="CCEEFF"/>
            </w:tcBorders>
            <w:shd w:val="clear" w:color="auto" w:fill="CCEEFF"/>
          </w:tcPr>
          <w:p>
            <w:pPr>
              <w:jc w:val="right"/>
              <w:ind w:right="16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638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32"/>
        </w:trPr>
        <w:tc>
          <w:tcPr>
            <w:tcW w:w="6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equipment and fixtures</w:t>
            </w:r>
          </w:p>
        </w:tc>
        <w:tc>
          <w:tcPr>
            <w:tcW w:w="18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w:t>
            </w:r>
          </w:p>
        </w:tc>
      </w:tr>
      <w:tr>
        <w:trPr>
          <w:trHeight w:val="209"/>
        </w:trPr>
        <w:tc>
          <w:tcPr>
            <w:tcW w:w="638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1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2"/>
        </w:trPr>
        <w:tc>
          <w:tcPr>
            <w:tcW w:w="6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18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r>
      <w:tr>
        <w:trPr>
          <w:trHeight w:val="212"/>
        </w:trPr>
        <w:tc>
          <w:tcPr>
            <w:tcW w:w="6380" w:type="dxa"/>
            <w:vAlign w:val="bottom"/>
          </w:tcPr>
          <w:p>
            <w:pPr>
              <w:spacing w:after="0"/>
              <w:rPr>
                <w:sz w:val="18"/>
                <w:szCs w:val="18"/>
                <w:color w:val="auto"/>
              </w:rPr>
            </w:pPr>
          </w:p>
        </w:tc>
        <w:tc>
          <w:tcPr>
            <w:tcW w:w="1800" w:type="dxa"/>
            <w:vAlign w:val="bottom"/>
            <w:tcBorders>
              <w:top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701.6</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02"/>
        </w:trPr>
        <w:tc>
          <w:tcPr>
            <w:tcW w:w="63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Total Property, Plant and Equipment, Net</w:t>
            </w:r>
          </w:p>
        </w:tc>
        <w:tc>
          <w:tcPr>
            <w:tcW w:w="1800" w:type="dxa"/>
            <w:vAlign w:val="bottom"/>
            <w:tcBorders>
              <w:top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313.5</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301.6</w:t>
            </w:r>
          </w:p>
        </w:tc>
      </w:tr>
      <w:tr>
        <w:trPr>
          <w:trHeight w:val="32"/>
        </w:trPr>
        <w:tc>
          <w:tcPr>
            <w:tcW w:w="63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Leases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finance lease assets and liabilities are attributed to our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leases primarily relate to our real estate leases that are not classified as finance leases.</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Lease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leases are included in our Condensed Consolidated Balance Sheets as follows: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22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March 31, 2023</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September 30, 2022</w:t>
            </w:r>
          </w:p>
        </w:tc>
      </w:tr>
      <w:tr>
        <w:trPr>
          <w:trHeight w:val="20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Leases</w:t>
            </w:r>
          </w:p>
        </w:tc>
        <w:tc>
          <w:tcPr>
            <w:tcW w:w="1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60" w:type="dxa"/>
            <w:vAlign w:val="bottom"/>
          </w:tcPr>
          <w:p>
            <w:pPr>
              <w:jc w:val="right"/>
              <w:ind w:right="168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34.3</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100"/>
              <w:spacing w:after="0"/>
              <w:rPr>
                <w:sz w:val="20"/>
                <w:szCs w:val="20"/>
                <w:color w:val="auto"/>
              </w:rPr>
            </w:pPr>
            <w:r>
              <w:rPr>
                <w:rFonts w:ascii="Arial" w:cs="Arial" w:eastAsia="Arial" w:hAnsi="Arial"/>
                <w:sz w:val="16"/>
                <w:szCs w:val="16"/>
                <w:color w:val="auto"/>
              </w:rPr>
              <w:t>35.5</w:t>
            </w:r>
          </w:p>
        </w:tc>
      </w:tr>
      <w:tr>
        <w:trPr>
          <w:trHeight w:val="32"/>
        </w:trPr>
        <w:tc>
          <w:tcPr>
            <w:tcW w:w="62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5"/>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Finance Lease Assets</w:t>
            </w:r>
          </w:p>
        </w:tc>
        <w:tc>
          <w:tcPr>
            <w:tcW w:w="1860" w:type="dxa"/>
            <w:vAlign w:val="bottom"/>
            <w:shd w:val="clear" w:color="auto" w:fill="CCEEFF"/>
          </w:tcPr>
          <w:p>
            <w:pPr>
              <w:jc w:val="right"/>
              <w:ind w:right="168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34.3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35.5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61"/>
        </w:trPr>
        <w:tc>
          <w:tcPr>
            <w:tcW w:w="62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00" w:type="dxa"/>
            <w:vAlign w:val="bottom"/>
          </w:tcPr>
          <w:p>
            <w:pPr>
              <w:spacing w:after="0"/>
              <w:rPr>
                <w:sz w:val="5"/>
                <w:szCs w:val="5"/>
                <w:color w:val="auto"/>
              </w:rPr>
            </w:pPr>
          </w:p>
        </w:tc>
      </w:tr>
      <w:tr>
        <w:trPr>
          <w:trHeight w:val="221"/>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finance lease liabilities</w:t>
            </w:r>
          </w:p>
        </w:tc>
        <w:tc>
          <w:tcPr>
            <w:tcW w:w="1860" w:type="dxa"/>
            <w:vAlign w:val="bottom"/>
            <w:tcBorders>
              <w:bottom w:val="single" w:sz="8" w:color="CCEEFF"/>
            </w:tcBorders>
            <w:shd w:val="clear" w:color="auto" w:fill="CCEEFF"/>
          </w:tcPr>
          <w:p>
            <w:pPr>
              <w:jc w:val="right"/>
              <w:ind w:right="16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3.6</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3.6</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Non Current Finance Lease Liabilities</w:t>
            </w:r>
          </w:p>
        </w:tc>
        <w:tc>
          <w:tcPr>
            <w:tcW w:w="1860" w:type="dxa"/>
            <w:vAlign w:val="bottom"/>
          </w:tcPr>
          <w:p>
            <w:pPr>
              <w:spacing w:after="0"/>
              <w:rPr>
                <w:sz w:val="18"/>
                <w:szCs w:val="18"/>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tcPr>
          <w:p>
            <w:pPr>
              <w:jc w:val="right"/>
              <w:ind w:right="100"/>
              <w:spacing w:after="0"/>
              <w:rPr>
                <w:sz w:val="20"/>
                <w:szCs w:val="20"/>
                <w:color w:val="auto"/>
              </w:rPr>
            </w:pPr>
            <w:r>
              <w:rPr>
                <w:rFonts w:ascii="Arial" w:cs="Arial" w:eastAsia="Arial" w:hAnsi="Arial"/>
                <w:sz w:val="16"/>
                <w:szCs w:val="16"/>
                <w:color w:val="auto"/>
              </w:rPr>
              <w:t>32.6</w:t>
            </w:r>
          </w:p>
        </w:tc>
      </w:tr>
      <w:tr>
        <w:trPr>
          <w:trHeight w:val="32"/>
        </w:trPr>
        <w:tc>
          <w:tcPr>
            <w:tcW w:w="62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5"/>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Finance Lease Liabilities</w:t>
            </w:r>
          </w:p>
        </w:tc>
        <w:tc>
          <w:tcPr>
            <w:tcW w:w="1860" w:type="dxa"/>
            <w:vAlign w:val="bottom"/>
            <w:shd w:val="clear" w:color="auto" w:fill="CCEEFF"/>
          </w:tcPr>
          <w:p>
            <w:pPr>
              <w:jc w:val="right"/>
              <w:ind w:right="168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35.6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6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21"/>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6.8 %</w:t>
            </w:r>
          </w:p>
        </w:tc>
      </w:tr>
      <w:tr>
        <w:trPr>
          <w:trHeight w:val="32"/>
        </w:trPr>
        <w:tc>
          <w:tcPr>
            <w:tcW w:w="6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107"/>
        </w:trPr>
        <w:tc>
          <w:tcPr>
            <w:tcW w:w="622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100" w:type="dxa"/>
            <w:vAlign w:val="bottom"/>
            <w:shd w:val="clear" w:color="auto" w:fill="CCEEFF"/>
          </w:tcPr>
          <w:p>
            <w:pPr>
              <w:spacing w:after="0"/>
              <w:rPr>
                <w:sz w:val="9"/>
                <w:szCs w:val="9"/>
                <w:color w:val="auto"/>
              </w:rPr>
            </w:pPr>
          </w:p>
        </w:tc>
      </w:tr>
      <w:tr>
        <w:trPr>
          <w:trHeight w:val="219"/>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1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5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60" w:type="dxa"/>
            <w:vAlign w:val="bottom"/>
            <w:tcBorders>
              <w:bottom w:val="single" w:sz="8" w:color="CCEEFF"/>
            </w:tcBorders>
            <w:shd w:val="clear" w:color="auto" w:fill="CCEEFF"/>
          </w:tcPr>
          <w:p>
            <w:pPr>
              <w:jc w:val="right"/>
              <w:ind w:right="16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18.5</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6.3</w:t>
            </w:r>
          </w:p>
        </w:tc>
      </w:tr>
      <w:tr>
        <w:trPr>
          <w:trHeight w:val="202"/>
        </w:trPr>
        <w:tc>
          <w:tcPr>
            <w:tcW w:w="622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Total Operating Lease Assets</w:t>
            </w:r>
          </w:p>
        </w:tc>
        <w:tc>
          <w:tcPr>
            <w:tcW w:w="1860" w:type="dxa"/>
            <w:vAlign w:val="bottom"/>
            <w:tcBorders>
              <w:top w:val="single" w:sz="8" w:color="auto"/>
            </w:tcBorders>
          </w:tcPr>
          <w:p>
            <w:pPr>
              <w:jc w:val="right"/>
              <w:ind w:right="168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18.5</w:t>
            </w: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21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6.3</w:t>
            </w:r>
          </w:p>
        </w:tc>
      </w:tr>
      <w:tr>
        <w:trPr>
          <w:trHeight w:val="32"/>
        </w:trPr>
        <w:tc>
          <w:tcPr>
            <w:tcW w:w="62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74"/>
        </w:trPr>
        <w:tc>
          <w:tcPr>
            <w:tcW w:w="62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r>
      <w:tr>
        <w:trPr>
          <w:trHeight w:val="218"/>
        </w:trPr>
        <w:tc>
          <w:tcPr>
            <w:tcW w:w="622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1860" w:type="dxa"/>
            <w:vAlign w:val="bottom"/>
          </w:tcPr>
          <w:p>
            <w:pPr>
              <w:jc w:val="right"/>
              <w:ind w:right="168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100"/>
              <w:spacing w:after="0"/>
              <w:rPr>
                <w:sz w:val="20"/>
                <w:szCs w:val="20"/>
                <w:color w:val="auto"/>
              </w:rPr>
            </w:pPr>
            <w:r>
              <w:rPr>
                <w:rFonts w:ascii="Arial" w:cs="Arial" w:eastAsia="Arial" w:hAnsi="Arial"/>
                <w:sz w:val="16"/>
                <w:szCs w:val="16"/>
                <w:color w:val="auto"/>
              </w:rPr>
              <w:t>2.0</w:t>
            </w:r>
          </w:p>
        </w:tc>
      </w:tr>
      <w:tr>
        <w:trPr>
          <w:trHeight w:val="25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1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4.3</w:t>
            </w:r>
          </w:p>
        </w:tc>
      </w:tr>
      <w:tr>
        <w:trPr>
          <w:trHeight w:val="202"/>
        </w:trPr>
        <w:tc>
          <w:tcPr>
            <w:tcW w:w="622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Total Operating Lease Liabilities</w:t>
            </w:r>
          </w:p>
        </w:tc>
        <w:tc>
          <w:tcPr>
            <w:tcW w:w="1860" w:type="dxa"/>
            <w:vAlign w:val="bottom"/>
            <w:tcBorders>
              <w:top w:val="single" w:sz="8" w:color="auto"/>
            </w:tcBorders>
          </w:tcPr>
          <w:p>
            <w:pPr>
              <w:jc w:val="right"/>
              <w:ind w:right="168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19.1</w:t>
            </w: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21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6.3</w:t>
            </w:r>
          </w:p>
        </w:tc>
      </w:tr>
      <w:tr>
        <w:trPr>
          <w:trHeight w:val="32"/>
        </w:trPr>
        <w:tc>
          <w:tcPr>
            <w:tcW w:w="62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74"/>
        </w:trPr>
        <w:tc>
          <w:tcPr>
            <w:tcW w:w="62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r>
      <w:tr>
        <w:trPr>
          <w:trHeight w:val="218"/>
        </w:trPr>
        <w:tc>
          <w:tcPr>
            <w:tcW w:w="6220" w:type="dxa"/>
            <w:vAlign w:val="bottom"/>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86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tcPr>
          <w:p>
            <w:pPr>
              <w:jc w:val="right"/>
              <w:ind w:right="40"/>
              <w:spacing w:after="0"/>
              <w:rPr>
                <w:sz w:val="20"/>
                <w:szCs w:val="20"/>
                <w:color w:val="auto"/>
              </w:rPr>
            </w:pPr>
            <w:r>
              <w:rPr>
                <w:rFonts w:ascii="Arial" w:cs="Arial" w:eastAsia="Arial" w:hAnsi="Arial"/>
                <w:sz w:val="16"/>
                <w:szCs w:val="16"/>
                <w:color w:val="auto"/>
              </w:rPr>
              <w:t>3.2</w:t>
            </w:r>
          </w:p>
        </w:tc>
      </w:tr>
      <w:tr>
        <w:trPr>
          <w:trHeight w:val="218"/>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1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32"/>
        </w:trPr>
        <w:tc>
          <w:tcPr>
            <w:tcW w:w="6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six months ended March 31, 2023 and 2022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18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March 31, 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March 31, 2022</w:t>
            </w:r>
          </w:p>
        </w:tc>
      </w:tr>
      <w:tr>
        <w:trPr>
          <w:trHeight w:val="215"/>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Right of use assets obtained in exchange for lease liabilities</w:t>
            </w:r>
          </w:p>
        </w:tc>
        <w:tc>
          <w:tcPr>
            <w:tcW w:w="1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8"/>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w:t>
            </w:r>
          </w:p>
        </w:tc>
      </w:tr>
      <w:tr>
        <w:trPr>
          <w:trHeight w:val="32"/>
        </w:trPr>
        <w:tc>
          <w:tcPr>
            <w:tcW w:w="63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9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April 1, 2022, the Company entered into a real estate lease for a new Corporate Headquarters located in Parsippany, NJ. The lease commenced during the second quarter of fiscal year 2023 and has an initial term of ten years. The Company has an option to extend the lease for additional periods of six years and four years,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finance and operating lease liabilities as of March 31, 2023 by fiscal year are as follows: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Finance Leases</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Operating Leases</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60"/>
              <w:spacing w:after="0"/>
              <w:rPr>
                <w:sz w:val="20"/>
                <w:szCs w:val="20"/>
                <w:color w:val="auto"/>
              </w:rPr>
            </w:pPr>
            <w:r>
              <w:rPr>
                <w:rFonts w:ascii="Arial" w:cs="Arial" w:eastAsia="Arial" w:hAnsi="Arial"/>
                <w:sz w:val="16"/>
                <w:szCs w:val="16"/>
                <w:b w:val="1"/>
                <w:bCs w:val="1"/>
                <w:color w:val="auto"/>
              </w:rPr>
              <w:t>Total</w:t>
            </w:r>
          </w:p>
        </w:tc>
      </w:tr>
      <w:tr>
        <w:trPr>
          <w:trHeight w:val="218"/>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2023</w:t>
            </w:r>
          </w:p>
        </w:tc>
        <w:tc>
          <w:tcPr>
            <w:tcW w:w="1800" w:type="dxa"/>
            <w:vAlign w:val="bottom"/>
            <w:tcBorders>
              <w:bottom w:val="single" w:sz="8" w:color="CCEEFF"/>
            </w:tcBorders>
            <w:shd w:val="clear" w:color="auto" w:fill="CCEEFF"/>
          </w:tcPr>
          <w:p>
            <w:pPr>
              <w:jc w:val="right"/>
              <w:ind w:right="16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4160" w:type="dxa"/>
            <w:vAlign w:val="bottom"/>
          </w:tcPr>
          <w:p>
            <w:pPr>
              <w:ind w:left="120"/>
              <w:spacing w:after="0"/>
              <w:rPr>
                <w:sz w:val="20"/>
                <w:szCs w:val="20"/>
                <w:color w:val="auto"/>
              </w:rPr>
            </w:pPr>
            <w:r>
              <w:rPr>
                <w:rFonts w:ascii="Arial" w:cs="Arial" w:eastAsia="Arial" w:hAnsi="Arial"/>
                <w:sz w:val="16"/>
                <w:szCs w:val="16"/>
                <w:color w:val="auto"/>
              </w:rPr>
              <w:t>2024</w:t>
            </w:r>
          </w:p>
        </w:tc>
        <w:tc>
          <w:tcPr>
            <w:tcW w:w="1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2"/>
        </w:trPr>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8"/>
        </w:trPr>
        <w:tc>
          <w:tcPr>
            <w:tcW w:w="4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2025</w:t>
            </w:r>
          </w:p>
        </w:tc>
        <w:tc>
          <w:tcPr>
            <w:tcW w:w="1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9"/>
        </w:trPr>
        <w:tc>
          <w:tcPr>
            <w:tcW w:w="4160" w:type="dxa"/>
            <w:vAlign w:val="bottom"/>
          </w:tcPr>
          <w:p>
            <w:pPr>
              <w:ind w:left="120"/>
              <w:spacing w:after="0"/>
              <w:rPr>
                <w:sz w:val="20"/>
                <w:szCs w:val="20"/>
                <w:color w:val="auto"/>
              </w:rPr>
            </w:pPr>
            <w:r>
              <w:rPr>
                <w:rFonts w:ascii="Arial" w:cs="Arial" w:eastAsia="Arial" w:hAnsi="Arial"/>
                <w:sz w:val="16"/>
                <w:szCs w:val="16"/>
                <w:color w:val="auto"/>
              </w:rPr>
              <w:t>2026</w:t>
            </w:r>
          </w:p>
        </w:tc>
        <w:tc>
          <w:tcPr>
            <w:tcW w:w="1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2"/>
        </w:trPr>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1"/>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2027</w:t>
            </w:r>
          </w:p>
        </w:tc>
        <w:tc>
          <w:tcPr>
            <w:tcW w:w="1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21"/>
        </w:trPr>
        <w:tc>
          <w:tcPr>
            <w:tcW w:w="4160" w:type="dxa"/>
            <w:vAlign w:val="bottom"/>
          </w:tcPr>
          <w:p>
            <w:pPr>
              <w:ind w:left="120"/>
              <w:spacing w:after="0"/>
              <w:rPr>
                <w:sz w:val="20"/>
                <w:szCs w:val="20"/>
                <w:color w:val="auto"/>
              </w:rPr>
            </w:pPr>
            <w:r>
              <w:rPr>
                <w:rFonts w:ascii="Arial" w:cs="Arial" w:eastAsia="Arial" w:hAnsi="Arial"/>
                <w:sz w:val="16"/>
                <w:szCs w:val="16"/>
                <w:color w:val="auto"/>
              </w:rPr>
              <w:t>Thereafter</w:t>
            </w:r>
          </w:p>
        </w:tc>
        <w:tc>
          <w:tcPr>
            <w:tcW w:w="1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r>
      <w:tr>
        <w:trPr>
          <w:trHeight w:val="24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800" w:type="dxa"/>
            <w:vAlign w:val="bottom"/>
            <w:tcBorders>
              <w:bottom w:val="single" w:sz="8" w:color="CCEEFF"/>
            </w:tcBorders>
            <w:shd w:val="clear" w:color="auto" w:fill="CCEEFF"/>
          </w:tcPr>
          <w:p>
            <w:pPr>
              <w:jc w:val="right"/>
              <w:ind w:right="16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02"/>
        </w:trPr>
        <w:tc>
          <w:tcPr>
            <w:tcW w:w="4160" w:type="dxa"/>
            <w:vAlign w:val="bottom"/>
          </w:tcPr>
          <w:p>
            <w:pPr>
              <w:ind w:left="120"/>
              <w:spacing w:after="0"/>
              <w:rPr>
                <w:sz w:val="20"/>
                <w:szCs w:val="20"/>
                <w:color w:val="auto"/>
              </w:rPr>
            </w:pPr>
            <w:r>
              <w:rPr>
                <w:rFonts w:ascii="Arial" w:cs="Arial" w:eastAsia="Arial" w:hAnsi="Arial"/>
                <w:sz w:val="16"/>
                <w:szCs w:val="16"/>
                <w:color w:val="auto"/>
              </w:rPr>
              <w:t>Less: amount representing interest</w:t>
            </w:r>
          </w:p>
        </w:tc>
        <w:tc>
          <w:tcPr>
            <w:tcW w:w="18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w:t>
            </w:r>
          </w:p>
        </w:tc>
      </w:tr>
      <w:tr>
        <w:trPr>
          <w:trHeight w:val="32"/>
        </w:trPr>
        <w:tc>
          <w:tcPr>
            <w:tcW w:w="41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5"/>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1800" w:type="dxa"/>
            <w:vAlign w:val="bottom"/>
            <w:shd w:val="clear" w:color="auto" w:fill="CCEEFF"/>
          </w:tcPr>
          <w:p>
            <w:pPr>
              <w:jc w:val="right"/>
              <w:ind w:right="16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Factors Affecting Forward-Looking Statements</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0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are a leading global medical device company focused on providing solutions to improve the health and well-being of people living with diabetes. Over the close to 100 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injection devices, which are complemented by our proprietary digital application designed to assist people with managing their diabetes.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sliding safety shield that can be activated with one-hand after the injection to help prevent needlestick exposure and injury during injection and disposal.</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BD</w:t>
      </w:r>
    </w:p>
    <w:p>
      <w:pPr>
        <w:spacing w:after="0" w:line="1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Pursuant to the Separation and Distribution Agreement, the Separation from BD was completed on April 1, 2022. On March 22, 2022, the record date for the distribution, 57,012,925 issued and outstanding shares of Embecta common stock were distributed pro-rata to BD stockholders as of the close of business, determined by applying a ratio of one share of Embecta common stock for every five shares of BD common stock. "Regular-way" trading of Embecta common stock began on April 1, 2022, under the ticker symbol "EMBC".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Prior to Separation</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the Separation, the Company was referred to as the Diabetes Care Business. For periods prior to April 1, 2022, the Condensed Consolidated Financial Statements included certain assets and liabilities that were historically held at the BD corporate level but are specifically identifiable or otherwise allocable to the Diabetes Care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Post Separation</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periods subsequent to April 1, 2022, as a standalone publicly traded company, Embecta presents its financial statements on a consolidated basis. The Condensed Consolidated Financial Statements have been prepared in accordance with accounting principles generally accepted in the United States of America.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Our Results of Operations</w:t>
      </w:r>
    </w:p>
    <w:p>
      <w:pPr>
        <w:spacing w:after="0" w:line="1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Pricing Pressures. The increased scrutiny by regulators on healthcare spending, which has accelerated in light of the COVID-19 pandemic, along with a shift towards volume-based procurement and group purchasing organizations, which generally values lower cost over product features, benefits and quality, have placed significant pressure on Embecta to</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lower pricing. These trends may reduce our operating margins, which are only partially offset by our ability to differentiate our products and sell at higher prices.</w:t>
      </w:r>
    </w:p>
    <w:p>
      <w:pPr>
        <w:spacing w:after="0" w:line="8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Changes in Clinical Practice. Introduction of new drugs and increased penetration of oral anti-diabetic drugs (e.g., SGLT-2s) and GLP-1s and GLP-1 combination products have delayed initiation of insulin therapy and contributed to less demand for our products.</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Continuing Impact From COVID-19 on Delivery and Allocation of Healthcare. The COVID-19 pandemic has accelerated the adoption of, and reimbursement by governments and private payers for, the delivery of healthcare using digital technologies, including telehealth technologies and other at-home self-care solutions and various media for virtual engagement with healthcare providers. Our ability to adapt the delivery of our products and sales and marketing efforts to these trends, including with the development of our diabetes care app, may materially affect our results of operations. The pandemic has also caused hospitals and other healthcare providers to reassess their prioritization and allocation of their healthcare resources. In many cases, providers were forced to balance between diverting resources toward COVID-19 needs and maintaining routine care, including for people living with long term conditions. If this trend persists, particularly in regions where COVID-19 continues to spread, it could have an adverse impact on the delivery of care for people with diabetes and our sales and marketing efforts.</w:t>
      </w:r>
    </w:p>
    <w:p>
      <w:pPr>
        <w:spacing w:after="0" w:line="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Impacts and Response and Global Economic Conditions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Various governmental measures to slow and control the spread of COVID-19 have led to a shift in healthcare priorities, supply chain constraints and the disruption of economic activities worldwide. As further discussed below, our future operating performance may be subject to further volatility due to the significant uncertainty with respect to the duration and overall impact of the COVID-19 pandemic. The impacts of the COVID-19 pandemic on our business, results of operations, financial condition and cash flows are dependent on certain factors including:</w:t>
      </w:r>
    </w:p>
    <w:p>
      <w:pPr>
        <w:spacing w:after="0" w:line="102" w:lineRule="exact"/>
        <w:rPr>
          <w:sz w:val="20"/>
          <w:szCs w:val="20"/>
          <w:color w:val="auto"/>
        </w:rPr>
      </w:pPr>
    </w:p>
    <w:p>
      <w:pPr>
        <w:ind w:left="980" w:hanging="329"/>
        <w:spacing w:after="0" w:line="25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resurgences in COVID-19 infections or new strains of the virus, result in the imposition of new governmental lockdowns, quarantine requirements or other restrictions that may disrupt our operations;</w:t>
      </w:r>
    </w:p>
    <w:p>
      <w:pPr>
        <w:spacing w:after="0" w:line="108" w:lineRule="exact"/>
        <w:rPr>
          <w:rFonts w:ascii="Arial" w:cs="Arial" w:eastAsia="Arial" w:hAnsi="Arial"/>
          <w:sz w:val="18"/>
          <w:szCs w:val="18"/>
          <w:color w:val="auto"/>
        </w:rPr>
      </w:pPr>
    </w:p>
    <w:p>
      <w:pPr>
        <w:ind w:left="980" w:hanging="329"/>
        <w:spacing w:after="0" w:line="25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momentum of the global economy’s recovery from the pandemic and the degree of pressure that a weakened macroeconomic environment would put on the global demand for our products; and</w:t>
      </w:r>
    </w:p>
    <w:p>
      <w:pPr>
        <w:spacing w:after="0" w:line="108"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vaccines and vaccination efforts.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military conflict in Russia and Ukraine and the sanctions imposed by the United States government and other nations in response to this conflict have caused significant volatility and disruptions to the global markets. For all periods presented, our net sales in Russia and Ukraine were not material to our consolidated net revenues. Although operations in both Russia and Ukraine do not constitute a material portion of our business, there is uncertainty around the military conflict and the impact it will have on the global economy, supply chains and energy prices generally, and therefore our business. Refer to the "Risk Factors" set forth in the 2022 Form 10-K for further details.</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our revenues and results of operations may and have been affected by various fluctuations in macroeconomic conditions and regulatory and policy changes, both on a global level and in particular markets, which include inflation and slowing economic growth and contractions, a rising interest rate environment, supply chain interruptions, tariff policy changes, volatility in capital markets and the availability of credit, tax rates and the rate of exchange between the U.S. dollar and foreign currencies. The nature and extent of the impact of these factors among others varies by region and remains uncertain and unpredictable and may affect our business.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Our unaudited Condensed Consolidated Statements of Income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ind w:left="160"/>
              <w:spacing w:after="0"/>
              <w:rPr>
                <w:sz w:val="20"/>
                <w:szCs w:val="20"/>
                <w:color w:val="auto"/>
              </w:rPr>
            </w:pPr>
            <w:r>
              <w:rPr>
                <w:rFonts w:ascii="Arial" w:cs="Arial" w:eastAsia="Arial" w:hAnsi="Arial"/>
                <w:sz w:val="16"/>
                <w:szCs w:val="16"/>
                <w:b w:val="1"/>
                <w:bCs w:val="1"/>
                <w:color w:val="auto"/>
                <w:w w:val="94"/>
              </w:rPr>
              <w:t>Three months ended March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780"/>
              <w:spacing w:after="0"/>
              <w:rPr>
                <w:sz w:val="20"/>
                <w:szCs w:val="20"/>
                <w:color w:val="auto"/>
              </w:rPr>
            </w:pPr>
            <w:r>
              <w:rPr>
                <w:rFonts w:ascii="Arial" w:cs="Arial" w:eastAsia="Arial" w:hAnsi="Arial"/>
                <w:sz w:val="16"/>
                <w:szCs w:val="16"/>
                <w:b w:val="1"/>
                <w:bCs w:val="1"/>
                <w:color w:val="auto"/>
                <w:w w:val="95"/>
              </w:rPr>
              <w:t>Six months ended March 31,</w:t>
            </w:r>
          </w:p>
        </w:tc>
        <w:tc>
          <w:tcPr>
            <w:tcW w:w="920" w:type="dxa"/>
            <w:vAlign w:val="bottom"/>
            <w:tcBorders>
              <w:bottom w:val="single" w:sz="8" w:color="auto"/>
            </w:tcBorders>
          </w:tcPr>
          <w:p>
            <w:pPr>
              <w:spacing w:after="0"/>
              <w:rPr>
                <w:sz w:val="18"/>
                <w:szCs w:val="18"/>
                <w:color w:val="auto"/>
              </w:rPr>
            </w:pPr>
          </w:p>
        </w:tc>
      </w:tr>
      <w:tr>
        <w:trPr>
          <w:trHeight w:val="231"/>
        </w:trPr>
        <w:tc>
          <w:tcPr>
            <w:tcW w:w="29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4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60"/>
              <w:spacing w:after="0"/>
              <w:rPr>
                <w:sz w:val="20"/>
                <w:szCs w:val="20"/>
                <w:color w:val="auto"/>
              </w:rPr>
            </w:pPr>
            <w:r>
              <w:rPr>
                <w:rFonts w:ascii="Arial" w:cs="Arial" w:eastAsia="Arial" w:hAnsi="Arial"/>
                <w:sz w:val="16"/>
                <w:szCs w:val="16"/>
                <w:b w:val="1"/>
                <w:bCs w:val="1"/>
                <w:color w:val="auto"/>
              </w:rPr>
              <w:t>%</w:t>
            </w:r>
          </w:p>
        </w:tc>
      </w:tr>
      <w:tr>
        <w:trPr>
          <w:trHeight w:val="22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277.1</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3.3</w:t>
            </w:r>
          </w:p>
        </w:tc>
      </w:tr>
      <w:tr>
        <w:trPr>
          <w:trHeight w:val="32"/>
        </w:trPr>
        <w:tc>
          <w:tcPr>
            <w:tcW w:w="29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1"/>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(4.2)</w:t>
            </w: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
        </w:trPr>
        <w:tc>
          <w:tcPr>
            <w:tcW w:w="2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8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22.4</w:t>
            </w:r>
          </w:p>
        </w:tc>
      </w:tr>
      <w:tr>
        <w:trPr>
          <w:trHeight w:val="218"/>
        </w:trPr>
        <w:tc>
          <w:tcPr>
            <w:tcW w:w="292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12.4</w:t>
            </w:r>
          </w:p>
        </w:tc>
      </w:tr>
      <w:tr>
        <w:trPr>
          <w:trHeight w:val="25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132.5</w:t>
            </w:r>
          </w:p>
        </w:tc>
      </w:tr>
      <w:tr>
        <w:trPr>
          <w:trHeight w:val="202"/>
        </w:trPr>
        <w:tc>
          <w:tcPr>
            <w:tcW w:w="292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134.2</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30.4</w:t>
            </w:r>
          </w:p>
        </w:tc>
      </w:tr>
      <w:tr>
        <w:trPr>
          <w:trHeight w:val="32"/>
        </w:trPr>
        <w:tc>
          <w:tcPr>
            <w:tcW w:w="29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1"/>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(33.0)</w:t>
            </w: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(26.8)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center"/>
              <w:ind w:right="420"/>
              <w:spacing w:after="0"/>
              <w:rPr>
                <w:sz w:val="20"/>
                <w:szCs w:val="20"/>
                <w:color w:val="auto"/>
              </w:rPr>
            </w:pPr>
            <w:r>
              <w:rPr>
                <w:rFonts w:ascii="Arial" w:cs="Arial" w:eastAsia="Arial" w:hAnsi="Arial"/>
                <w:sz w:val="16"/>
                <w:szCs w:val="16"/>
                <w:color w:val="auto"/>
                <w:w w:val="89"/>
              </w:rPr>
              <w:t>nm</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center"/>
              <w:ind w:right="360"/>
              <w:spacing w:after="0"/>
              <w:rPr>
                <w:sz w:val="20"/>
                <w:szCs w:val="20"/>
                <w:color w:val="auto"/>
              </w:rPr>
            </w:pPr>
            <w:r>
              <w:rPr>
                <w:rFonts w:ascii="Arial" w:cs="Arial" w:eastAsia="Arial" w:hAnsi="Arial"/>
                <w:sz w:val="16"/>
                <w:szCs w:val="16"/>
                <w:color w:val="auto"/>
                <w:w w:val="89"/>
              </w:rPr>
              <w:t>nm</w:t>
            </w:r>
          </w:p>
        </w:tc>
      </w:tr>
      <w:tr>
        <w:trPr>
          <w:trHeight w:val="32"/>
        </w:trPr>
        <w:tc>
          <w:tcPr>
            <w:tcW w:w="2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ind w:right="420"/>
              <w:spacing w:after="0"/>
              <w:rPr>
                <w:sz w:val="20"/>
                <w:szCs w:val="20"/>
                <w:color w:val="auto"/>
              </w:rPr>
            </w:pPr>
            <w:r>
              <w:rPr>
                <w:rFonts w:ascii="Arial" w:cs="Arial" w:eastAsia="Arial" w:hAnsi="Arial"/>
                <w:sz w:val="16"/>
                <w:szCs w:val="16"/>
                <w:color w:val="auto"/>
                <w:w w:val="89"/>
              </w:rPr>
              <w:t>nm</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right="360"/>
              <w:spacing w:after="0"/>
              <w:rPr>
                <w:sz w:val="20"/>
                <w:szCs w:val="20"/>
                <w:color w:val="auto"/>
              </w:rPr>
            </w:pPr>
            <w:r>
              <w:rPr>
                <w:rFonts w:ascii="Arial" w:cs="Arial" w:eastAsia="Arial" w:hAnsi="Arial"/>
                <w:sz w:val="16"/>
                <w:szCs w:val="16"/>
                <w:color w:val="auto"/>
                <w:w w:val="89"/>
              </w:rPr>
              <w:t>nm</w:t>
            </w: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(61.7)</w:t>
            </w:r>
          </w:p>
        </w:tc>
      </w:tr>
      <w:tr>
        <w:trPr>
          <w:trHeight w:val="25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r>
      <w:tr>
        <w:trPr>
          <w:trHeight w:val="202"/>
        </w:trPr>
        <w:tc>
          <w:tcPr>
            <w:tcW w:w="29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178.4</w:t>
            </w: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w:t>
            </w:r>
          </w:p>
        </w:tc>
      </w:tr>
      <w:tr>
        <w:trPr>
          <w:trHeight w:val="32"/>
        </w:trPr>
        <w:tc>
          <w:tcPr>
            <w:tcW w:w="29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5"/>
        </w:trPr>
        <w:tc>
          <w:tcPr>
            <w:tcW w:w="29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8"/>
        </w:trPr>
        <w:tc>
          <w:tcPr>
            <w:tcW w:w="292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1"/>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800" w:type="dxa"/>
            <w:vAlign w:val="bottom"/>
            <w:shd w:val="clear" w:color="auto" w:fill="CCEEFF"/>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right="420"/>
              <w:spacing w:after="0"/>
              <w:rPr>
                <w:sz w:val="20"/>
                <w:szCs w:val="20"/>
                <w:color w:val="auto"/>
              </w:rPr>
            </w:pPr>
            <w:r>
              <w:rPr>
                <w:rFonts w:ascii="Arial" w:cs="Arial" w:eastAsia="Arial" w:hAnsi="Arial"/>
                <w:sz w:val="16"/>
                <w:szCs w:val="16"/>
                <w:color w:val="auto"/>
                <w:w w:val="89"/>
              </w:rPr>
              <w:t>nm</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360"/>
              <w:spacing w:after="0"/>
              <w:rPr>
                <w:sz w:val="20"/>
                <w:szCs w:val="20"/>
                <w:color w:val="auto"/>
              </w:rPr>
            </w:pPr>
            <w:r>
              <w:rPr>
                <w:rFonts w:ascii="Arial" w:cs="Arial" w:eastAsia="Arial" w:hAnsi="Arial"/>
                <w:sz w:val="16"/>
                <w:szCs w:val="16"/>
                <w:color w:val="auto"/>
                <w:w w:val="89"/>
              </w:rPr>
              <w:t>nm</w:t>
            </w:r>
          </w:p>
        </w:tc>
      </w:tr>
      <w:tr>
        <w:trPr>
          <w:trHeight w:val="236"/>
        </w:trPr>
        <w:tc>
          <w:tcPr>
            <w:tcW w:w="2920" w:type="dxa"/>
            <w:vAlign w:val="bottom"/>
          </w:tcPr>
          <w:p>
            <w:pPr>
              <w:ind w:left="140"/>
              <w:spacing w:after="0"/>
              <w:rPr>
                <w:sz w:val="20"/>
                <w:szCs w:val="20"/>
                <w:color w:val="auto"/>
              </w:rPr>
            </w:pPr>
            <w:r>
              <w:rPr>
                <w:rFonts w:ascii="Arial" w:cs="Arial" w:eastAsia="Arial" w:hAnsi="Arial"/>
                <w:sz w:val="16"/>
                <w:szCs w:val="16"/>
                <w:color w:val="auto"/>
              </w:rPr>
              <w:t>Diluted</w:t>
            </w:r>
          </w:p>
        </w:tc>
        <w:tc>
          <w:tcPr>
            <w:tcW w:w="800" w:type="dxa"/>
            <w:vAlign w:val="bottom"/>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0.24</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center"/>
              <w:ind w:right="420"/>
              <w:spacing w:after="0"/>
              <w:rPr>
                <w:sz w:val="20"/>
                <w:szCs w:val="20"/>
                <w:color w:val="auto"/>
              </w:rPr>
            </w:pPr>
            <w:r>
              <w:rPr>
                <w:rFonts w:ascii="Arial" w:cs="Arial" w:eastAsia="Arial" w:hAnsi="Arial"/>
                <w:sz w:val="16"/>
                <w:szCs w:val="16"/>
                <w:color w:val="auto"/>
                <w:w w:val="89"/>
              </w:rPr>
              <w:t>nm</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0.85</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center"/>
              <w:ind w:right="360"/>
              <w:spacing w:after="0"/>
              <w:rPr>
                <w:sz w:val="20"/>
                <w:szCs w:val="20"/>
                <w:color w:val="auto"/>
              </w:rPr>
            </w:pPr>
            <w:r>
              <w:rPr>
                <w:rFonts w:ascii="Arial" w:cs="Arial" w:eastAsia="Arial" w:hAnsi="Arial"/>
                <w:sz w:val="16"/>
                <w:szCs w:val="16"/>
                <w:color w:val="auto"/>
                <w:w w:val="89"/>
              </w:rPr>
              <w:t>nm</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2023 Summary (on a comparative basis)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financial results for the three months ended March 31, 2023 were as follows:</w:t>
      </w:r>
    </w:p>
    <w:p>
      <w:pPr>
        <w:spacing w:after="0" w:line="142" w:lineRule="exact"/>
        <w:rPr>
          <w:sz w:val="20"/>
          <w:szCs w:val="20"/>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increased by $2.6 million to $277.1 million from $274.5 million;</w:t>
      </w:r>
    </w:p>
    <w:p>
      <w:pPr>
        <w:spacing w:after="0" w:line="141" w:lineRule="exact"/>
        <w:rPr>
          <w:rFonts w:ascii="Arial" w:cs="Arial" w:eastAsia="Arial" w:hAnsi="Arial"/>
          <w:sz w:val="18"/>
          <w:szCs w:val="18"/>
          <w:color w:val="auto"/>
        </w:rPr>
      </w:pPr>
    </w:p>
    <w:p>
      <w:pPr>
        <w:ind w:left="980" w:hanging="329"/>
        <w:spacing w:after="0" w:line="25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decreased by $1.4 million to $189.8 million from $191.2 million. Gross profit as a percent of revenue was 68.5%, as compared to 69.7% in the prior year comparative period;</w:t>
      </w:r>
    </w:p>
    <w:p>
      <w:pPr>
        <w:spacing w:after="0" w:line="108"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decreased by $43.3 million to $55.6 million from $98.9 million; and</w:t>
      </w:r>
    </w:p>
    <w:p>
      <w:pPr>
        <w:spacing w:after="0" w:line="141"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decreased by $65.6 million to $14.0 million from $79.6 million.</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2023 Summary (on a comparative basis)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Key financial results for the six months ended March 31, 2023 were as follows:</w:t>
      </w:r>
    </w:p>
    <w:p>
      <w:pPr>
        <w:spacing w:after="0" w:line="142" w:lineRule="exact"/>
        <w:rPr>
          <w:sz w:val="20"/>
          <w:szCs w:val="20"/>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decreased by $11.0 million to $552.8 million from $563.8 million;</w:t>
      </w:r>
    </w:p>
    <w:p>
      <w:pPr>
        <w:spacing w:after="0" w:line="141" w:lineRule="exact"/>
        <w:rPr>
          <w:rFonts w:ascii="Arial" w:cs="Arial" w:eastAsia="Arial" w:hAnsi="Arial"/>
          <w:sz w:val="18"/>
          <w:szCs w:val="18"/>
          <w:color w:val="auto"/>
        </w:rPr>
      </w:pPr>
    </w:p>
    <w:p>
      <w:pPr>
        <w:ind w:left="980" w:hanging="329"/>
        <w:spacing w:after="0" w:line="27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decreased by $16.5 million to $378.6 million, compared to $395.1 million. Gross profit as a percent of revenue was 68.5%, as compared to 70.1% in the prior year comparative period;</w:t>
      </w:r>
    </w:p>
    <w:p>
      <w:pPr>
        <w:spacing w:after="0" w:line="93"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decreased by $71.1 million to $144.4 million from $215.5 million; and</w:t>
      </w:r>
    </w:p>
    <w:p>
      <w:pPr>
        <w:spacing w:after="0" w:line="141"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decreased by $129.2 million to $49.2 million from $178.4 million.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revenues increased by $2.6 million, or 0.9%, to $277.1 million for the three months ended March 31, 2023 as compared to revenues of $274.5 million for the three months ended March 31, 2022. Changes in our revenues are driven by the volume of goods that we sell, the prices we negotiate with customers and changes in foreign exchange rates. The increase in revenues was driven by favorable impacts of $11.0 million related to increase in price and volume period over period in our international regions and the U.S. Contract manufacturing revenue in the current period also contributed to the increase period over period. This was partially offset by an unfavorable $8.4 million related to the impact of foreign currency translation primarily due to the strengthening of the U.S. dollar.</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revenues decreased by $11.0 million, or 2.0%, to $552.8 million for the six months ended March 31, 2023 as compared to revenues of $563.8 million for the six months ended March 31, 2022. The decrease in revenues was primarily driven by an unfavorable $24.0 million related to the impact of foreign currency translation primarily attributed to the strengthening of the US dollar. This was partially offset by favorable impacts of $13.0 million related to increase in price and volume period over period in our international regions and the U.S. Contract manufacturing revenue in the current period also contributed to the increase period over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geographic region are as follows: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Three months ended March 31,</w:t>
            </w: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w w:val="91"/>
              </w:rPr>
              <w:t>Six months ended March 31,</w:t>
            </w:r>
          </w:p>
        </w:tc>
      </w:tr>
      <w:tr>
        <w:trPr>
          <w:trHeight w:val="206"/>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8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9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00"/>
              <w:spacing w:after="0"/>
              <w:rPr>
                <w:sz w:val="20"/>
                <w:szCs w:val="20"/>
                <w:color w:val="auto"/>
              </w:rPr>
            </w:pPr>
            <w:r>
              <w:rPr>
                <w:rFonts w:ascii="Arial" w:cs="Arial" w:eastAsia="Arial" w:hAnsi="Arial"/>
                <w:sz w:val="16"/>
                <w:szCs w:val="16"/>
                <w:b w:val="1"/>
                <w:bCs w:val="1"/>
                <w:color w:val="auto"/>
              </w:rPr>
              <w:t>2022</w:t>
            </w:r>
          </w:p>
        </w:tc>
      </w:tr>
      <w:tr>
        <w:trPr>
          <w:trHeight w:val="32"/>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292.2</w:t>
            </w:r>
          </w:p>
        </w:tc>
      </w:tr>
      <w:tr>
        <w:trPr>
          <w:trHeight w:val="221"/>
        </w:trPr>
        <w:tc>
          <w:tcPr>
            <w:tcW w:w="65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w:t>
            </w:r>
          </w:p>
        </w:tc>
      </w:tr>
      <w:tr>
        <w:trPr>
          <w:trHeight w:val="26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Cost of products sold increased by $4.0 million, or 4.8%, to $87.3 million for the three months ended March 31, 2023 as compared to $83.3 million for the three months ended March 31, 2022. Cost of products sold as a percentage of revenues was 31.5% for the three months ended March 31, 2023 as compared to 30.3% for the three months ended March 31, 2022. Cost of products sold increased by $5.5 million, or 3.3%, to $174.2 million for the six months ended March 31, 2023 as compared to $168.7 million for the six months ended March 31, 2022. Cost of products sold as a percentage of revenues were 31.5% for the six months ended March 31, 2023 as compared to 29.9% in the six months ended March 31, 2022. The increases in cost of products sold for the three and six month comparative periods were primarily driven by the impact of inflation on costs of certain raw materials (including freight), direct labor, and overhead. We intend to continue to work to improve productivity to help partially offset these increased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Selling and administrative expenses increased by $18.3 million, or 27.4%, to $85.2 million for the three months ended March 31, 2023 as compared to $66.9 million for the three months ended March 31, 2022. Selling and administrative expenses increased by $28.9 million, or 22.4%, to $158.0 million for the six months ended March 31, 2023 as compared to $129.1 million for the six months ended March 31, 2022. The increases for the three and six month comparative periods were primarily driven by an increase in compensation and benefit costs due to increased headcount attributed to the Separation and Embecta becoming a stand-alone publicly-traded company.</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Research and development expenses increased by $4.1 million, or 22.8%, to $22.1 million for the three months ended March 31, 2023 as compared to $18.0 million for the three months ended March 31, 2022. Research and development expenses increased by $4.3 million, or 12.4%, to $39.0 million for the six months ended March 31, 2023 as compared to $34.7 million for the six months ended March 31, 2022. The increases for the three and six month comparative periods were primarily driven by amounts paid in connection with a collaboration arrangement and the timing of research and development projects. For details on the collaboration arrangement refer to Note 4 within the </w:t>
      </w:r>
      <w:r>
        <w:rPr>
          <w:rFonts w:ascii="Arial" w:cs="Arial" w:eastAsia="Arial" w:hAnsi="Arial"/>
          <w:sz w:val="18"/>
          <w:szCs w:val="18"/>
          <w:i w:val="1"/>
          <w:iCs w:val="1"/>
          <w:color w:val="auto"/>
        </w:rPr>
        <w:t>Notes to Condensed Consolidated Financial Statements</w:t>
      </w:r>
      <w:r>
        <w:rPr>
          <w:rFonts w:ascii="Arial" w:cs="Arial" w:eastAsia="Arial" w:hAnsi="Arial"/>
          <w:sz w:val="18"/>
          <w:szCs w:val="18"/>
          <w:color w:val="auto"/>
        </w:rPr>
        <w:t xml:space="preserve"> within this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incurred other operating expenses of $26.9 million and $7.4 million for the three months ended March 31, 2023 and 2022, respectively, and $37.2 million and $15.8 million for the six months ended March 31, 2023 and 2022, respectively, driven by costs related to the Separation. The costs incurred primarily relate to accounting, auditing, and legal services, including costs to establish certain stand-alone corporate functions and other transaction costs attributed to being a stand-alone publicly traded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Interest expense, net increased to $26.8 million and $52.4 million for the three and six months ended March 31, 2023, primarily as a result of debt outstanding for a longer period of time for fiscal year 2023 as compared to fiscal year 2022 and higher interest rates on our variable rate debt that was issued on March 31, 2022.</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the United States Federal Reserve continues to raise the benchmark interest rate, then we would expect the interest expense on our variable rate debt to increase during the remainder of fiscal 2023. See "Liquidity and Capital Resources" below and Note 11 to the Condensed Consolidated Financial Statements included elsewhere in this report for a further description of our long-term debt.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Other income (expense), net, was $(4.3) million and $(11.4) million for the three and six months ended March 31, 2023, respectively. The costs incurred primarily relate to amounts due to BD for income taxes payable incurred in deferred jurisdictions where BD is considered the primary obligor.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for the three and six months ended March 31, 2022 were not material.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effective tax rates were 42.9% and 15.2% for the three months ended March 31, 2023 and 2022, respectively, and 39.0% and 15.2% for the six months ended March 31, 2023 and 2022, respectively. The increase in the Company’s effective tax rates from both prior comparative periods are primarily due to the establishment of a valuation allowance against the utilization of interest expense carryforwards generated during the current periods resulting from U.S. interest deduction limitation rules, higher tax expense on undistributed earnings of foreign subsidiaries and higher U.S. taxes on the earnings of foreign subsidiaries. This was partially offset by tax benefits from non-taxable permanent differences.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share repurchases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February 2022, and in connection with the Separation, Embecta issued $500.0 million aggregate principal amount of 5.00% senior secured notes due February 15, 2030. </w:t>
      </w:r>
      <w:r>
        <w:rPr>
          <w:rFonts w:ascii="Arial" w:cs="Arial" w:eastAsia="Arial" w:hAnsi="Arial"/>
          <w:sz w:val="18"/>
          <w:szCs w:val="18"/>
          <w:color w:val="2B2A29"/>
        </w:rPr>
        <w:t>Interest payments on the</w:t>
      </w:r>
      <w:r>
        <w:rPr>
          <w:rFonts w:ascii="Arial" w:cs="Arial" w:eastAsia="Arial" w:hAnsi="Arial"/>
          <w:sz w:val="18"/>
          <w:szCs w:val="18"/>
          <w:color w:val="auto"/>
        </w:rPr>
        <w:t xml:space="preserve"> 5.00% </w:t>
      </w:r>
      <w:r>
        <w:rPr>
          <w:rFonts w:ascii="Arial" w:cs="Arial" w:eastAsia="Arial" w:hAnsi="Arial"/>
          <w:sz w:val="18"/>
          <w:szCs w:val="18"/>
          <w:color w:val="2B2A29"/>
        </w:rPr>
        <w:t>Notes are due semi-annually in February and August until maturity, with the first interest payment</w:t>
      </w:r>
      <w:r>
        <w:rPr>
          <w:rFonts w:ascii="Arial" w:cs="Arial" w:eastAsia="Arial" w:hAnsi="Arial"/>
          <w:sz w:val="18"/>
          <w:szCs w:val="18"/>
          <w:color w:val="auto"/>
        </w:rPr>
        <w:t xml:space="preserve"> </w:t>
      </w:r>
      <w:r>
        <w:rPr>
          <w:rFonts w:ascii="Arial" w:cs="Arial" w:eastAsia="Arial" w:hAnsi="Arial"/>
          <w:sz w:val="18"/>
          <w:szCs w:val="18"/>
          <w:color w:val="2B2A29"/>
        </w:rPr>
        <w:t>beginning in August 2022</w:t>
      </w:r>
      <w:r>
        <w:rPr>
          <w:rFonts w:ascii="Arial" w:cs="Arial" w:eastAsia="Arial" w:hAnsi="Arial"/>
          <w:sz w:val="18"/>
          <w:szCs w:val="18"/>
          <w:color w:val="000000"/>
        </w:rPr>
        <w:t>.</w:t>
      </w:r>
    </w:p>
    <w:p>
      <w:pPr>
        <w:spacing w:after="0" w:line="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March 2022, we entered into a credit agreement, providing for the Term Loan in the amount of $950.0 million, with a </w:t>
      </w:r>
      <w:r>
        <w:rPr>
          <w:rFonts w:ascii="Arial" w:cs="Arial" w:eastAsia="Arial" w:hAnsi="Arial"/>
          <w:sz w:val="18"/>
          <w:szCs w:val="18"/>
          <w:color w:val="2B2A29"/>
        </w:rPr>
        <w:t>seven</w:t>
      </w:r>
      <w:r>
        <w:rPr>
          <w:rFonts w:ascii="Arial" w:cs="Arial" w:eastAsia="Arial" w:hAnsi="Arial"/>
          <w:sz w:val="18"/>
          <w:szCs w:val="18"/>
          <w:color w:val="auto"/>
        </w:rPr>
        <w:t xml:space="preserve">-year </w:t>
      </w:r>
      <w:r>
        <w:rPr>
          <w:rFonts w:ascii="Arial" w:cs="Arial" w:eastAsia="Arial" w:hAnsi="Arial"/>
          <w:sz w:val="18"/>
          <w:szCs w:val="18"/>
          <w:color w:val="2B2A29"/>
        </w:rPr>
        <w:t>term that matures in</w:t>
      </w:r>
      <w:r>
        <w:rPr>
          <w:rFonts w:ascii="Arial" w:cs="Arial" w:eastAsia="Arial" w:hAnsi="Arial"/>
          <w:sz w:val="18"/>
          <w:szCs w:val="18"/>
          <w:color w:val="auto"/>
        </w:rPr>
        <w:t xml:space="preserve"> </w:t>
      </w:r>
      <w:r>
        <w:rPr>
          <w:rFonts w:ascii="Arial" w:cs="Arial" w:eastAsia="Arial" w:hAnsi="Arial"/>
          <w:sz w:val="18"/>
          <w:szCs w:val="18"/>
          <w:color w:val="2B2A29"/>
        </w:rPr>
        <w:t xml:space="preserve">March 2029 and </w:t>
      </w:r>
      <w:r>
        <w:rPr>
          <w:rFonts w:ascii="Arial" w:cs="Arial" w:eastAsia="Arial" w:hAnsi="Arial"/>
          <w:sz w:val="18"/>
          <w:szCs w:val="18"/>
          <w:color w:val="000000"/>
        </w:rPr>
        <w:t>a Revolving Credit Facility in an aggregate principal amount of up to $500.0 million, with a</w:t>
      </w:r>
      <w:r>
        <w:rPr>
          <w:rFonts w:ascii="Arial" w:cs="Arial" w:eastAsia="Arial" w:hAnsi="Arial"/>
          <w:sz w:val="18"/>
          <w:szCs w:val="18"/>
          <w:color w:val="2B2A29"/>
        </w:rPr>
        <w:t xml:space="preserve"> five</w:t>
      </w:r>
      <w:r>
        <w:rPr>
          <w:rFonts w:ascii="Arial" w:cs="Arial" w:eastAsia="Arial" w:hAnsi="Arial"/>
          <w:sz w:val="18"/>
          <w:szCs w:val="18"/>
          <w:color w:val="000000"/>
        </w:rPr>
        <w:t>-year term that matures in 2027.</w:t>
      </w:r>
      <w:r>
        <w:rPr>
          <w:rFonts w:ascii="Arial" w:cs="Arial" w:eastAsia="Arial" w:hAnsi="Arial"/>
          <w:sz w:val="18"/>
          <w:szCs w:val="18"/>
          <w:color w:val="2B2A29"/>
        </w:rPr>
        <w:t xml:space="preserve"> The interest rate on the Term Loan is 300 basis points over SOFR, with a 0.50% SOFR floor. Principal and interest payments on the Term Loan began on June 30, 2022. Such</w:t>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2B2A29"/>
        </w:rPr>
        <w:t>quarterly principal payments are calculated as 0.25% of the initial principal amount, with the remaining balance payable upon maturity. Principal amounts repaid under the Term Loan may not be reborrowed by us. Borrowings under the Revolving Credit Facility bear interest, at Embecta’s option, initially at an annual rate equal to (a) in 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w:t>
      </w:r>
      <w:r>
        <w:rPr>
          <w:rFonts w:ascii="Arial" w:cs="Arial" w:eastAsia="Arial" w:hAnsi="Arial"/>
          <w:sz w:val="16"/>
          <w:szCs w:val="16"/>
          <w:color w:val="000000"/>
        </w:rPr>
        <w:t>. As of March 31, 2023, no amount has been drawn on the Revolving Credit Facility.</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Additionally we have outstanding the 6.75% Notes, which carry an interest rate of 6.75% and are due February 2030. </w:t>
      </w:r>
      <w:r>
        <w:rPr>
          <w:rFonts w:ascii="Arial" w:cs="Arial" w:eastAsia="Arial" w:hAnsi="Arial"/>
          <w:sz w:val="18"/>
          <w:szCs w:val="18"/>
          <w:color w:val="2B2A29"/>
        </w:rPr>
        <w:t>Interest payments on the 6.75% Notes</w:t>
      </w:r>
      <w:r>
        <w:rPr>
          <w:rFonts w:ascii="Arial" w:cs="Arial" w:eastAsia="Arial" w:hAnsi="Arial"/>
          <w:sz w:val="18"/>
          <w:szCs w:val="18"/>
          <w:color w:val="auto"/>
        </w:rPr>
        <w:t xml:space="preserve"> </w:t>
      </w:r>
      <w:r>
        <w:rPr>
          <w:rFonts w:ascii="Arial" w:cs="Arial" w:eastAsia="Arial" w:hAnsi="Arial"/>
          <w:sz w:val="18"/>
          <w:szCs w:val="18"/>
          <w:color w:val="2B2A29"/>
        </w:rPr>
        <w:t>are due semi-annually in February and August until maturity, with the first interest payment beginning in August 2022.</w:t>
      </w:r>
    </w:p>
    <w:p>
      <w:pPr>
        <w:spacing w:after="0" w:line="6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March 31, 2023, we were in compliance with all of such covenants.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Embecta's total debt outstanding as of March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940.5</w:t>
            </w:r>
          </w:p>
        </w:tc>
      </w:tr>
      <w:tr>
        <w:trPr>
          <w:trHeight w:val="209"/>
        </w:trPr>
        <w:tc>
          <w:tcPr>
            <w:tcW w:w="9640" w:type="dxa"/>
            <w:vAlign w:val="bottom"/>
          </w:tcPr>
          <w:p>
            <w:pPr>
              <w:ind w:left="20"/>
              <w:spacing w:after="0"/>
              <w:rPr>
                <w:sz w:val="20"/>
                <w:szCs w:val="20"/>
                <w:color w:val="auto"/>
              </w:rPr>
            </w:pPr>
            <w:r>
              <w:rPr>
                <w:rFonts w:ascii="Arial" w:cs="Arial" w:eastAsia="Arial" w:hAnsi="Arial"/>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500.0</w:t>
            </w:r>
          </w:p>
        </w:tc>
      </w:tr>
      <w:tr>
        <w:trPr>
          <w:trHeight w:val="32"/>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9"/>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6.75% Notes</w:t>
            </w: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r>
      <w:tr>
        <w:trPr>
          <w:trHeight w:val="209"/>
        </w:trPr>
        <w:tc>
          <w:tcPr>
            <w:tcW w:w="9640" w:type="dxa"/>
            <w:vAlign w:val="bottom"/>
          </w:tcPr>
          <w:p>
            <w:pPr>
              <w:ind w:left="20"/>
              <w:spacing w:after="0"/>
              <w:rPr>
                <w:sz w:val="20"/>
                <w:szCs w:val="20"/>
                <w:color w:val="auto"/>
              </w:rPr>
            </w:pPr>
            <w:r>
              <w:rPr>
                <w:rFonts w:ascii="Arial" w:cs="Arial" w:eastAsia="Arial" w:hAnsi="Arial"/>
                <w:sz w:val="16"/>
                <w:szCs w:val="16"/>
                <w:color w:val="auto"/>
              </w:rPr>
              <w:t>Total principal debt issued</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1,640.5</w:t>
            </w:r>
          </w:p>
        </w:tc>
      </w:tr>
      <w:tr>
        <w:trPr>
          <w:trHeight w:val="32"/>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debt obligations</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r>
      <w:tr>
        <w:trPr>
          <w:trHeight w:val="209"/>
        </w:trPr>
        <w:tc>
          <w:tcPr>
            <w:tcW w:w="9640" w:type="dxa"/>
            <w:vAlign w:val="bottom"/>
          </w:tcPr>
          <w:p>
            <w:pPr>
              <w:ind w:left="20"/>
              <w:spacing w:after="0"/>
              <w:rPr>
                <w:sz w:val="20"/>
                <w:szCs w:val="20"/>
                <w:color w:val="auto"/>
              </w:rPr>
            </w:pPr>
            <w:r>
              <w:rPr>
                <w:rFonts w:ascii="Arial" w:cs="Arial" w:eastAsia="Arial" w:hAnsi="Arial"/>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(35.0)</w:t>
            </w:r>
          </w:p>
        </w:tc>
      </w:tr>
      <w:tr>
        <w:trPr>
          <w:trHeight w:val="32"/>
        </w:trPr>
        <w:tc>
          <w:tcPr>
            <w:tcW w:w="96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540" w:type="dxa"/>
            <w:vAlign w:val="bottom"/>
            <w:tcBorders>
              <w:bottom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1,596.0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schedule of principal payments required on long-term debt for the next five years and thereafter is as follows:</w:t>
      </w:r>
    </w:p>
    <w:p>
      <w:pPr>
        <w:spacing w:after="0" w:line="156"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4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2"/>
        </w:trPr>
        <w:tc>
          <w:tcPr>
            <w:tcW w:w="4640" w:type="dxa"/>
            <w:vAlign w:val="bottom"/>
          </w:tcPr>
          <w:p>
            <w:pPr>
              <w:spacing w:after="0"/>
              <w:rPr>
                <w:sz w:val="20"/>
                <w:szCs w:val="20"/>
                <w:color w:val="auto"/>
              </w:rPr>
            </w:pPr>
            <w:r>
              <w:rPr>
                <w:rFonts w:ascii="Arial" w:cs="Arial" w:eastAsia="Arial" w:hAnsi="Arial"/>
                <w:sz w:val="16"/>
                <w:szCs w:val="16"/>
                <w:color w:val="auto"/>
              </w:rPr>
              <w:t>2024</w:t>
            </w:r>
          </w:p>
        </w:tc>
        <w:tc>
          <w:tcPr>
            <w:tcW w:w="44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4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2"/>
        </w:trPr>
        <w:tc>
          <w:tcPr>
            <w:tcW w:w="4640" w:type="dxa"/>
            <w:vAlign w:val="bottom"/>
          </w:tcPr>
          <w:p>
            <w:pPr>
              <w:spacing w:after="0"/>
              <w:rPr>
                <w:sz w:val="20"/>
                <w:szCs w:val="20"/>
                <w:color w:val="auto"/>
              </w:rPr>
            </w:pPr>
            <w:r>
              <w:rPr>
                <w:rFonts w:ascii="Arial" w:cs="Arial" w:eastAsia="Arial" w:hAnsi="Arial"/>
                <w:sz w:val="16"/>
                <w:szCs w:val="16"/>
                <w:color w:val="auto"/>
              </w:rPr>
              <w:t>2026</w:t>
            </w:r>
          </w:p>
        </w:tc>
        <w:tc>
          <w:tcPr>
            <w:tcW w:w="44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44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9"/>
        </w:trPr>
        <w:tc>
          <w:tcPr>
            <w:tcW w:w="4640" w:type="dxa"/>
            <w:vAlign w:val="bottom"/>
          </w:tcPr>
          <w:p>
            <w:pPr>
              <w:spacing w:after="0"/>
              <w:rPr>
                <w:sz w:val="20"/>
                <w:szCs w:val="20"/>
                <w:color w:val="auto"/>
              </w:rPr>
            </w:pPr>
            <w:r>
              <w:rPr>
                <w:rFonts w:ascii="Arial" w:cs="Arial" w:eastAsia="Arial" w:hAnsi="Arial"/>
                <w:sz w:val="16"/>
                <w:szCs w:val="16"/>
                <w:color w:val="auto"/>
              </w:rPr>
              <w:t>Thereafter</w:t>
            </w:r>
          </w:p>
        </w:tc>
        <w:tc>
          <w:tcPr>
            <w:tcW w:w="44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1,597.7</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Certain measures relating to our total debt outstanding as of March 31, 2023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3820" w:type="dxa"/>
            <w:vAlign w:val="bottom"/>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1,605.5</w:t>
            </w:r>
          </w:p>
        </w:tc>
      </w:tr>
      <w:tr>
        <w:trPr>
          <w:trHeight w:val="147"/>
        </w:trPr>
        <w:tc>
          <w:tcPr>
            <w:tcW w:w="5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41"/>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debt as a percentage of total debt</w:t>
            </w:r>
          </w:p>
        </w:tc>
        <w:tc>
          <w:tcPr>
            <w:tcW w:w="38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22"/>
        </w:trPr>
        <w:tc>
          <w:tcPr>
            <w:tcW w:w="5940" w:type="dxa"/>
            <w:vAlign w:val="bottom"/>
          </w:tcPr>
          <w:p>
            <w:pPr>
              <w:ind w:left="140"/>
              <w:spacing w:after="0"/>
              <w:rPr>
                <w:sz w:val="20"/>
                <w:szCs w:val="20"/>
                <w:color w:val="auto"/>
              </w:rPr>
            </w:pPr>
            <w:r>
              <w:rPr>
                <w:rFonts w:ascii="Arial" w:cs="Arial" w:eastAsia="Arial" w:hAnsi="Arial"/>
                <w:sz w:val="16"/>
                <w:szCs w:val="16"/>
                <w:color w:val="auto"/>
              </w:rPr>
              <w:t>Weighted average cost of total debt</w:t>
            </w:r>
          </w:p>
        </w:tc>
        <w:tc>
          <w:tcPr>
            <w:tcW w:w="38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6.7 %</w:t>
            </w:r>
          </w:p>
        </w:tc>
      </w:tr>
    </w:tbl>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For additional information related to the Company's debt related activities, refer to Note 11 within the </w:t>
      </w:r>
      <w:r>
        <w:rPr>
          <w:rFonts w:ascii="Arial" w:cs="Arial" w:eastAsia="Arial" w:hAnsi="Arial"/>
          <w:sz w:val="18"/>
          <w:szCs w:val="18"/>
          <w:i w:val="1"/>
          <w:iCs w:val="1"/>
          <w:color w:val="auto"/>
        </w:rPr>
        <w:t>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this Form 10-Q.</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conjunction with the Separation, we entered into a lease agreement with BD pursuant to which the Company would lease approximately 278,000 square feet of manufacturing space and equipment at BD's manufacturing facility in Holdrege, Nebraska for an initial term of ten years. The lease is classified as a finance lease. The Company has an option to extend the lease term for an additional period of up to five years.</w:t>
      </w:r>
    </w:p>
    <w:p>
      <w:pPr>
        <w:spacing w:after="0" w:line="4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April 1, 2022, we entered into a real estate lease for a new Corporate Headquarters located in Parsippany, New Jersey, United States. The lease commenced during the second quarter of fiscal year 2023 and has an initial term of ten years. The lease is classified as an operating lease. The Company has an option to extend the lease for additional periods of six years and four years,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finance lease and operating lease liabilities as of March 31, 2023 by fiscal year are as follows: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1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Finance Lease</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Operating Leases</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60"/>
              <w:spacing w:after="0"/>
              <w:rPr>
                <w:sz w:val="20"/>
                <w:szCs w:val="20"/>
                <w:color w:val="auto"/>
              </w:rPr>
            </w:pPr>
            <w:r>
              <w:rPr>
                <w:rFonts w:ascii="Arial" w:cs="Arial" w:eastAsia="Arial" w:hAnsi="Arial"/>
                <w:sz w:val="16"/>
                <w:szCs w:val="16"/>
                <w:b w:val="1"/>
                <w:bCs w:val="1"/>
                <w:color w:val="auto"/>
              </w:rPr>
              <w:t>Total</w:t>
            </w:r>
          </w:p>
        </w:tc>
      </w:tr>
      <w:tr>
        <w:trPr>
          <w:trHeight w:val="224"/>
        </w:trPr>
        <w:tc>
          <w:tcPr>
            <w:tcW w:w="4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2023</w:t>
            </w:r>
          </w:p>
        </w:tc>
        <w:tc>
          <w:tcPr>
            <w:tcW w:w="1760" w:type="dxa"/>
            <w:vAlign w:val="bottom"/>
            <w:shd w:val="clear" w:color="auto" w:fill="CCEEFF"/>
          </w:tcPr>
          <w:p>
            <w:pPr>
              <w:jc w:val="right"/>
              <w:ind w:right="158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4180" w:type="dxa"/>
            <w:vAlign w:val="bottom"/>
          </w:tcPr>
          <w:p>
            <w:pPr>
              <w:ind w:left="120"/>
              <w:spacing w:after="0"/>
              <w:rPr>
                <w:sz w:val="20"/>
                <w:szCs w:val="20"/>
                <w:color w:val="auto"/>
              </w:rPr>
            </w:pPr>
            <w:r>
              <w:rPr>
                <w:rFonts w:ascii="Arial" w:cs="Arial" w:eastAsia="Arial" w:hAnsi="Arial"/>
                <w:sz w:val="16"/>
                <w:szCs w:val="16"/>
                <w:color w:val="auto"/>
              </w:rPr>
              <w:t>2024</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2"/>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1"/>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2025</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8"/>
        </w:trPr>
        <w:tc>
          <w:tcPr>
            <w:tcW w:w="4180" w:type="dxa"/>
            <w:vAlign w:val="bottom"/>
          </w:tcPr>
          <w:p>
            <w:pPr>
              <w:ind w:left="120"/>
              <w:spacing w:after="0"/>
              <w:rPr>
                <w:sz w:val="20"/>
                <w:szCs w:val="20"/>
                <w:color w:val="auto"/>
              </w:rPr>
            </w:pPr>
            <w:r>
              <w:rPr>
                <w:rFonts w:ascii="Arial" w:cs="Arial" w:eastAsia="Arial" w:hAnsi="Arial"/>
                <w:sz w:val="16"/>
                <w:szCs w:val="16"/>
                <w:color w:val="auto"/>
              </w:rPr>
              <w:t>2026</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1"/>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2027</w:t>
            </w:r>
          </w:p>
        </w:tc>
        <w:tc>
          <w:tcPr>
            <w:tcW w:w="17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9"/>
        </w:trPr>
        <w:tc>
          <w:tcPr>
            <w:tcW w:w="4180" w:type="dxa"/>
            <w:vAlign w:val="bottom"/>
          </w:tcPr>
          <w:p>
            <w:pPr>
              <w:ind w:left="120"/>
              <w:spacing w:after="0"/>
              <w:rPr>
                <w:sz w:val="20"/>
                <w:szCs w:val="20"/>
                <w:color w:val="auto"/>
              </w:rPr>
            </w:pPr>
            <w:r>
              <w:rPr>
                <w:rFonts w:ascii="Arial" w:cs="Arial" w:eastAsia="Arial" w:hAnsi="Arial"/>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32"/>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5"/>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760" w:type="dxa"/>
            <w:vAlign w:val="bottom"/>
            <w:tcBorders>
              <w:bottom w:val="single" w:sz="8" w:color="auto"/>
            </w:tcBorders>
            <w:shd w:val="clear" w:color="auto" w:fill="CCEEFF"/>
          </w:tcPr>
          <w:p>
            <w:pPr>
              <w:jc w:val="right"/>
              <w:ind w:right="158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r>
    </w:tbl>
    <w:p>
      <w:pPr>
        <w:spacing w:after="0" w:line="160" w:lineRule="exact"/>
        <w:rPr>
          <w:sz w:val="20"/>
          <w:szCs w:val="20"/>
          <w:color w:val="auto"/>
        </w:rPr>
      </w:pPr>
    </w:p>
    <w:p>
      <w:pPr>
        <w:ind w:right="460"/>
        <w:spacing w:after="0" w:line="404" w:lineRule="auto"/>
        <w:rPr>
          <w:sz w:val="20"/>
          <w:szCs w:val="20"/>
          <w:color w:val="auto"/>
        </w:rPr>
      </w:pPr>
      <w:r>
        <w:rPr>
          <w:rFonts w:ascii="Arial" w:cs="Arial" w:eastAsia="Arial" w:hAnsi="Arial"/>
          <w:sz w:val="18"/>
          <w:szCs w:val="18"/>
          <w:color w:val="auto"/>
        </w:rPr>
        <w:t xml:space="preserve">For additional information related to our leases, refer to Note 16 within the </w:t>
      </w:r>
      <w:r>
        <w:rPr>
          <w:rFonts w:ascii="Arial" w:cs="Arial" w:eastAsia="Arial" w:hAnsi="Arial"/>
          <w:sz w:val="18"/>
          <w:szCs w:val="18"/>
          <w:i w:val="1"/>
          <w:iCs w:val="1"/>
          <w:color w:val="auto"/>
        </w:rPr>
        <w:t>Notes to Condensed Consolidated Financial Statements</w:t>
      </w:r>
      <w:r>
        <w:rPr>
          <w:rFonts w:ascii="Arial" w:cs="Arial" w:eastAsia="Arial" w:hAnsi="Arial"/>
          <w:sz w:val="18"/>
          <w:szCs w:val="18"/>
          <w:color w:val="auto"/>
        </w:rPr>
        <w:t xml:space="preserve"> of this Form 10-Q. </w:t>
      </w:r>
      <w:r>
        <w:rPr>
          <w:rFonts w:ascii="Arial" w:cs="Arial" w:eastAsia="Arial" w:hAnsi="Arial"/>
          <w:sz w:val="18"/>
          <w:szCs w:val="18"/>
          <w:b w:val="1"/>
          <w:bCs w:val="1"/>
          <w:i w:val="1"/>
          <w:iCs w:val="1"/>
          <w:color w:val="auto"/>
        </w:rPr>
        <w:t>Factoring Agreements</w:t>
      </w:r>
    </w:p>
    <w:p>
      <w:pPr>
        <w:jc w:val="both"/>
        <w:spacing w:after="0" w:line="285" w:lineRule="auto"/>
        <w:rPr>
          <w:sz w:val="20"/>
          <w:szCs w:val="20"/>
          <w:color w:val="auto"/>
        </w:rPr>
      </w:pPr>
      <w:r>
        <w:rPr>
          <w:rFonts w:ascii="Arial" w:cs="Arial" w:eastAsia="Arial" w:hAnsi="Arial"/>
          <w:sz w:val="17"/>
          <w:szCs w:val="17"/>
          <w:color w:val="auto"/>
        </w:rPr>
        <w:t>In conjunction with the Separation, we entered into the Factoring Agreements with BD. Embecta owes BD a service fee calculated as 0.1% of annual revenues related to countries subject to the agreement, in exchange for the services provided by BD pursuant to the Factoring Agreements.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Capital and Credit Ratings</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2023 and February 2023, Moody’s Investor Services and Standard &amp; Poor’s Ratings Services published updates to our credit ratings of Ba3 and B+, respectively. These ratings remain unchanged from the initial published ratings from January 2022.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Condensed Consolidated Statements of Cash Flows:</w:t>
      </w:r>
    </w:p>
    <w:p>
      <w:pPr>
        <w:spacing w:after="0" w:line="244"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Six Months Ended</w:t>
      </w:r>
    </w:p>
    <w:p>
      <w:pPr>
        <w:jc w:val="center"/>
        <w:ind w:left="79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8255</wp:posOffset>
            </wp:positionV>
            <wp:extent cx="2094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942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2022</w:t>
            </w:r>
          </w:p>
        </w:tc>
      </w:tr>
      <w:tr>
        <w:trPr>
          <w:trHeight w:val="194"/>
        </w:trPr>
        <w:tc>
          <w:tcPr>
            <w:tcW w:w="7940" w:type="dxa"/>
            <w:vAlign w:val="bottom"/>
          </w:tcPr>
          <w:p>
            <w:pPr>
              <w:ind w:left="20"/>
              <w:spacing w:after="0"/>
              <w:rPr>
                <w:sz w:val="20"/>
                <w:szCs w:val="20"/>
                <w:color w:val="auto"/>
              </w:rPr>
            </w:pPr>
            <w:r>
              <w:rPr>
                <w:rFonts w:ascii="Arial" w:cs="Arial" w:eastAsia="Arial" w:hAnsi="Arial"/>
                <w:sz w:val="16"/>
                <w:szCs w:val="16"/>
                <w:color w:val="auto"/>
              </w:rPr>
              <w:t>Net cash provided by (used for)</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8"/>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700"/>
              <w:spacing w:after="0"/>
              <w:rPr>
                <w:sz w:val="20"/>
                <w:szCs w:val="20"/>
                <w:color w:val="auto"/>
              </w:rPr>
            </w:pPr>
            <w:r>
              <w:rPr>
                <w:rFonts w:ascii="Arial" w:cs="Arial" w:eastAsia="Arial" w:hAnsi="Arial"/>
                <w:sz w:val="16"/>
                <w:szCs w:val="16"/>
                <w:color w:val="auto"/>
                <w:w w:val="89"/>
              </w:rPr>
              <w:t>47.4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9"/>
              </w:rPr>
              <w:t>321.4</w:t>
            </w: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680"/>
              <w:spacing w:after="0"/>
              <w:rPr>
                <w:sz w:val="20"/>
                <w:szCs w:val="20"/>
                <w:color w:val="auto"/>
              </w:rPr>
            </w:pPr>
            <w:r>
              <w:rPr>
                <w:rFonts w:ascii="Arial" w:cs="Arial" w:eastAsia="Arial" w:hAnsi="Arial"/>
                <w:sz w:val="16"/>
                <w:szCs w:val="16"/>
                <w:color w:val="auto"/>
                <w:w w:val="90"/>
              </w:rPr>
              <w:t>(10.5)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ind w:left="800"/>
              <w:spacing w:after="0"/>
              <w:rPr>
                <w:sz w:val="20"/>
                <w:szCs w:val="20"/>
                <w:color w:val="auto"/>
              </w:rPr>
            </w:pPr>
            <w:r>
              <w:rPr>
                <w:rFonts w:ascii="Arial" w:cs="Arial" w:eastAsia="Arial" w:hAnsi="Arial"/>
                <w:sz w:val="16"/>
                <w:szCs w:val="16"/>
                <w:color w:val="auto"/>
                <w:w w:val="95"/>
              </w:rPr>
              <w:t>(10.1)</w:t>
            </w:r>
          </w:p>
        </w:tc>
      </w:tr>
      <w:tr>
        <w:trPr>
          <w:trHeight w:val="32"/>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680"/>
              <w:spacing w:after="0"/>
              <w:rPr>
                <w:sz w:val="20"/>
                <w:szCs w:val="20"/>
                <w:color w:val="auto"/>
              </w:rPr>
            </w:pPr>
            <w:r>
              <w:rPr>
                <w:rFonts w:ascii="Arial" w:cs="Arial" w:eastAsia="Arial" w:hAnsi="Arial"/>
                <w:sz w:val="16"/>
                <w:szCs w:val="16"/>
                <w:color w:val="auto"/>
                <w:w w:val="90"/>
              </w:rPr>
              <w:t>(26.8)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5"/>
              </w:rPr>
              <w:t>(44.2)</w:t>
            </w:r>
          </w:p>
        </w:tc>
      </w:tr>
      <w:tr>
        <w:trPr>
          <w:trHeight w:val="32"/>
        </w:trPr>
        <w:tc>
          <w:tcPr>
            <w:tcW w:w="7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8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Net cash provided by operating activities during the six months ended March 31, 2023 was attributable to net income of $49.2 million and net adjustments of $1.8 million, which includes $33.5 million of non-cash adjustments that primarily relate to depreciation and amortization, stock-based compensation, deferred income taxes and pension expense, and a use of cash of $35.3 million related to changes in our assets and liabilities. This was driven by a $30.7 million increase in inventories which is primarily driven by a concerted effort to build inventory to meet expected demand as we execute our separation and stand-up projects; an increase of $16.0 million in prepaid expenses and other as a result of increased subscription contracts and increases in net assets for deferred closing entities; an increase in amounts due from BD of $14.9 million, which is primarily related to factored receivables for which payment has not yet been collected from BD as of March 31, 2023; and an $8.1 million increase in other assets and liabilities, net, is primarily due to costs capitalized related to the implementation of the Company's new ERP. This was partially offset by an increase of $19.5 million in accounts payable, accrued expenses and other current liabilities, due to increases in net liabilities for deferred closing entities, which was offset by our annual incentive bonus payment in January 2023; and an increase of $10.6 million in income and other net taxes payable that is primarily due to the timing of required tax payments. All other movements related to working capital were due to timing of payments and receipts of cash in the ordinary course of business.</w:t>
      </w:r>
    </w:p>
    <w:p>
      <w:pPr>
        <w:spacing w:after="0" w:line="6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Net cash provided by operating activities during the six months ended March 31, 2022 was attributable to net income of $178.4 million and net adjustments of $143.0 million, which includes $27.3 million of non-cash adjustments related to depreciation and amortization, stock-based compensation, and pension expense, and $115.7 million of cash provided relating to changes our assets and liabilities. Cash provided relating to changes in our assets and liabilities was driven by a decrease in trade receivables of $133.3 million, an increase of $9.7 million in income and other net taxes payable, and a decrease of $0.4 million in other assets and liabilities, net, partially offset by an increase in inventories of $10.0 million, a decrease of $15.3 million in accounts payable, accrued expenses and other current liabilities, and an increase in prepaid expenses and other of $2.4 million. The decrease in trade receivables can be attributed to the timing of payments made in the normal course of business and a decrease in certain rebate and cash discount reserves. The increase in income and other net taxes payable that is primarily due to the timing of required tax payments. The increase in inventories is primarily driven by a concerted effort in the first six months of fiscal year 2022 to build inventory in preparation for the spin-off. The decrease in accounts payable, accrued expense and other current liabilities is mainly driven by the timing of payments made in the normal course of business for managed care rebates payments and a decrease in accrued professional services in connection with various market research and consulting projects.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Net cash used for investing activities was primarily comprised of capital expenditures of $10.5 million and $9.7 million during the six months ended March 31, 2023 and 2022, respectively, to support further expansion of our business and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used for financing activities for the six months ended March 31, 2023, was attributable to $17.2 million of dividend payments, $4.8 million of required payments on long-term debt, $3.0 million of payments related to tax withholding for stock-based compensation, and $1.8 million in payments on our finance lease.</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Net cash used for financing activities for the six months ended March 31, 2022, was attributable to $1,266.0 million of net consideration paid to BD in connection with the Separation, $189.3 million related to net transfers to BD, $33.3 million of payments for long-term debt issuance costs, and $5.6 million of payments for debt fees associated with the Revolving Credit Facility. This was offset by proceeds from the issuance of long-term debt of $1,450.0 million.</w:t>
      </w:r>
    </w:p>
    <w:p>
      <w:pPr>
        <w:spacing w:after="0" w:line="3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May 12, 2023, the Company’s Board of Directors declared a quarterly dividend of $0.15 for each issued and outstanding share of the Company’s common stock. The dividend is payable on June 13, 2023 to stockholders of record at the close of business on May 29, 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contractual obligations as of March 31, 2023,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significant costs associated with information technology infrastructure as we transition to our own systems. Lease obligations include lease agreements for which a contract has been signed even if the lease has not yet commenced. Refer to "Management's Discussion and Analysis of Financial Condition and Results of Operations" in our 2022 Form 10-K for further details. As of March 31, 2023, there have been no material changes to our contractual obligations outside the ordinary course of business.</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Our significant accounting policies, which include management’s best estimates and judgments, are included in Note 3 to the Consolidated Financial Statements included in our 2022 Form 10-K. See Note 2 within the </w:t>
      </w:r>
      <w:r>
        <w:rPr>
          <w:rFonts w:ascii="Arial" w:cs="Arial" w:eastAsia="Arial" w:hAnsi="Arial"/>
          <w:sz w:val="17"/>
          <w:szCs w:val="17"/>
          <w:i w:val="1"/>
          <w:iCs w:val="1"/>
          <w:color w:val="auto"/>
        </w:rPr>
        <w:t>Notes to Condensed Consolidated Financial Statements</w:t>
      </w:r>
      <w:r>
        <w:rPr>
          <w:rFonts w:ascii="Arial" w:cs="Arial" w:eastAsia="Arial" w:hAnsi="Arial"/>
          <w:sz w:val="17"/>
          <w:szCs w:val="17"/>
          <w:color w:val="auto"/>
        </w:rPr>
        <w:t xml:space="preserve"> of this Form 10-Q for information on the adoption of new accounting standards during the current fiscal year.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Embecta's 2022 Form 10-K. There have been no changes to our critical accounting policies as of March 31, 2023.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regulatory clearances and approvals,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97" w:lineRule="exact"/>
        <w:rPr>
          <w:sz w:val="20"/>
          <w:szCs w:val="20"/>
          <w:color w:val="auto"/>
        </w:rPr>
      </w:pPr>
    </w:p>
    <w:p>
      <w:pPr>
        <w:jc w:val="both"/>
        <w:ind w:left="660" w:hanging="331"/>
        <w:spacing w:after="0" w:line="25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factors that could adversely affect Embecta’s operations, including new product introductions by Embecta’s competitors, the development of new technologies, lower cost producers that create pricing pressure and consolidation resulting in companies with greater scale and market presence than Embecta.</w:t>
      </w:r>
    </w:p>
    <w:p>
      <w:pPr>
        <w:spacing w:after="0" w:line="112" w:lineRule="exact"/>
        <w:rPr>
          <w:rFonts w:ascii="Arial" w:cs="Arial" w:eastAsia="Arial" w:hAnsi="Arial"/>
          <w:sz w:val="18"/>
          <w:szCs w:val="18"/>
          <w:color w:val="auto"/>
        </w:rPr>
      </w:pPr>
    </w:p>
    <w:p>
      <w:pPr>
        <w:ind w:left="660" w:hanging="331"/>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events that adversely affect the sale or profitability of one of Embecta’s key products or the revenue delivered from sales to its key customers.</w:t>
      </w:r>
    </w:p>
    <w:p>
      <w:pPr>
        <w:spacing w:after="0" w:line="164" w:lineRule="exact"/>
        <w:rPr>
          <w:rFonts w:ascii="Arial" w:cs="Arial" w:eastAsia="Arial" w:hAnsi="Arial"/>
          <w:sz w:val="16"/>
          <w:szCs w:val="16"/>
          <w:color w:val="auto"/>
        </w:rPr>
      </w:pPr>
    </w:p>
    <w:p>
      <w:pPr>
        <w:ind w:left="660" w:hanging="331"/>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by BD to perform its obligations under the various separation agreements entered into in connection with the Separation and Distribution, including the cannula supply agreement.</w:t>
      </w:r>
    </w:p>
    <w:p>
      <w:pPr>
        <w:spacing w:after="0" w:line="108" w:lineRule="exact"/>
        <w:rPr>
          <w:rFonts w:ascii="Arial" w:cs="Arial" w:eastAsia="Arial" w:hAnsi="Arial"/>
          <w:sz w:val="18"/>
          <w:szCs w:val="18"/>
          <w:color w:val="auto"/>
        </w:rPr>
      </w:pPr>
    </w:p>
    <w:p>
      <w:pPr>
        <w:jc w:val="both"/>
        <w:ind w:left="660" w:hanging="331"/>
        <w:spacing w:after="0" w:line="24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119" w:lineRule="exact"/>
        <w:rPr>
          <w:rFonts w:ascii="Arial" w:cs="Arial" w:eastAsia="Arial" w:hAnsi="Arial"/>
          <w:sz w:val="18"/>
          <w:szCs w:val="18"/>
          <w:color w:val="auto"/>
        </w:rPr>
      </w:pPr>
    </w:p>
    <w:p>
      <w:pPr>
        <w:ind w:left="660" w:hanging="331"/>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reimbursement practices of governments or private payers or other cost containment measures.</w:t>
      </w:r>
    </w:p>
    <w:p>
      <w:pPr>
        <w:spacing w:after="0" w:line="141" w:lineRule="exact"/>
        <w:rPr>
          <w:rFonts w:ascii="Arial" w:cs="Arial" w:eastAsia="Arial" w:hAnsi="Arial"/>
          <w:sz w:val="18"/>
          <w:szCs w:val="18"/>
          <w:color w:val="auto"/>
        </w:rPr>
      </w:pPr>
    </w:p>
    <w:p>
      <w:pPr>
        <w:ind w:left="660" w:hanging="331"/>
        <w:spacing w:after="0" w:line="33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47" w:lineRule="exact"/>
        <w:rPr>
          <w:rFonts w:ascii="Arial" w:cs="Arial" w:eastAsia="Arial" w:hAnsi="Arial"/>
          <w:sz w:val="16"/>
          <w:szCs w:val="16"/>
          <w:color w:val="auto"/>
        </w:rPr>
      </w:pPr>
    </w:p>
    <w:p>
      <w:pPr>
        <w:jc w:val="both"/>
        <w:ind w:left="660" w:hanging="331"/>
        <w:spacing w:after="0" w:line="26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impact of changes in United States,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100" w:lineRule="exact"/>
        <w:rPr>
          <w:rFonts w:ascii="Arial" w:cs="Arial" w:eastAsia="Arial" w:hAnsi="Arial"/>
          <w:sz w:val="17"/>
          <w:szCs w:val="17"/>
          <w:color w:val="auto"/>
        </w:rPr>
      </w:pPr>
    </w:p>
    <w:p>
      <w:pPr>
        <w:ind w:left="660" w:hanging="331"/>
        <w:spacing w:after="0" w:line="27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continuing impact of the COVID-19 pandemic or geopolitical instability on Embecta’s business, including disruptions in its operations and supply chains.</w:t>
      </w:r>
    </w:p>
    <w:p>
      <w:pPr>
        <w:spacing w:after="0" w:line="93" w:lineRule="exact"/>
        <w:rPr>
          <w:rFonts w:ascii="Arial" w:cs="Arial" w:eastAsia="Arial" w:hAnsi="Arial"/>
          <w:sz w:val="18"/>
          <w:szCs w:val="18"/>
          <w:color w:val="auto"/>
        </w:rPr>
      </w:pPr>
    </w:p>
    <w:p>
      <w:pPr>
        <w:jc w:val="both"/>
        <w:ind w:left="660" w:hanging="331"/>
        <w:spacing w:after="0" w:line="24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19" w:lineRule="exact"/>
        <w:rPr>
          <w:rFonts w:ascii="Arial" w:cs="Arial" w:eastAsia="Arial" w:hAnsi="Arial"/>
          <w:sz w:val="18"/>
          <w:szCs w:val="18"/>
          <w:color w:val="auto"/>
        </w:rPr>
      </w:pPr>
    </w:p>
    <w:p>
      <w:pPr>
        <w:ind w:left="660" w:hanging="331"/>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expected benefits of the Separation from BD.</w:t>
      </w:r>
    </w:p>
    <w:p>
      <w:pPr>
        <w:spacing w:after="0" w:line="141" w:lineRule="exact"/>
        <w:rPr>
          <w:rFonts w:ascii="Arial" w:cs="Arial" w:eastAsia="Arial" w:hAnsi="Arial"/>
          <w:sz w:val="18"/>
          <w:szCs w:val="18"/>
          <w:color w:val="auto"/>
        </w:rPr>
      </w:pPr>
    </w:p>
    <w:p>
      <w:pPr>
        <w:ind w:left="660" w:hanging="331"/>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indebtedness and our use of indebtedness available to us.</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31"/>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Embecta's estimates.</w:t>
      </w:r>
    </w:p>
    <w:p>
      <w:pPr>
        <w:spacing w:after="0" w:line="108" w:lineRule="exact"/>
        <w:rPr>
          <w:rFonts w:ascii="Arial" w:cs="Arial" w:eastAsia="Arial" w:hAnsi="Arial"/>
          <w:sz w:val="18"/>
          <w:szCs w:val="18"/>
          <w:color w:val="auto"/>
        </w:rPr>
      </w:pPr>
    </w:p>
    <w:p>
      <w:pPr>
        <w:jc w:val="both"/>
        <w:ind w:left="660" w:hanging="331"/>
        <w:spacing w:after="0" w:line="274"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of the Separation on Embecta's businesses and the risk that the Separation may be more difficult, time-consuming or costly than expected, including the impact on its resources, systems, including enterprise resource planning, procedures and controls, diversion of management’s attention and the impact on relationships with customers, suppliers, employees and other business counterparties.</w:t>
      </w:r>
    </w:p>
    <w:p>
      <w:pPr>
        <w:spacing w:after="0" w:line="94" w:lineRule="exact"/>
        <w:rPr>
          <w:rFonts w:ascii="Arial" w:cs="Arial" w:eastAsia="Arial" w:hAnsi="Arial"/>
          <w:sz w:val="17"/>
          <w:szCs w:val="17"/>
          <w:color w:val="auto"/>
        </w:rPr>
      </w:pPr>
    </w:p>
    <w:p>
      <w:pPr>
        <w:ind w:left="660" w:hanging="331"/>
        <w:spacing w:after="0" w:line="28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the 2022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information reported since the filing of the Company's 2022 Form 10-K except as follows: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operate on a global basis and are exposed to the risk that changes in foreign currency exchange rates could adversely affect our financial condition, results of operations and cash flows.</w:t>
      </w:r>
    </w:p>
    <w:p>
      <w:pPr>
        <w:jc w:val="both"/>
        <w:spacing w:after="0" w:line="265" w:lineRule="auto"/>
        <w:rPr>
          <w:sz w:val="20"/>
          <w:szCs w:val="20"/>
          <w:color w:val="auto"/>
        </w:rPr>
      </w:pPr>
      <w:r>
        <w:rPr>
          <w:rFonts w:ascii="Arial" w:cs="Arial" w:eastAsia="Arial" w:hAnsi="Arial"/>
          <w:sz w:val="17"/>
          <w:szCs w:val="17"/>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14, </w:t>
      </w:r>
      <w:r>
        <w:rPr>
          <w:rFonts w:ascii="Arial" w:cs="Arial" w:eastAsia="Arial" w:hAnsi="Arial"/>
          <w:sz w:val="17"/>
          <w:szCs w:val="17"/>
          <w:i w:val="1"/>
          <w:iCs w:val="1"/>
          <w:color w:val="auto"/>
        </w:rPr>
        <w:t xml:space="preserve">Financial Instruments and Fair Value Measurements </w:t>
      </w:r>
      <w:r>
        <w:rPr>
          <w:rFonts w:ascii="Arial" w:cs="Arial" w:eastAsia="Arial" w:hAnsi="Arial"/>
          <w:sz w:val="17"/>
          <w:szCs w:val="17"/>
          <w:color w:val="auto"/>
        </w:rPr>
        <w:t>of the Notes to Condensed Consolidated Financial Statements for further information.</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 Our interest rate risk relates primarily to our Term Loan. The interest rate is set at 300 basis points over SOFR, with a 0.50% SOFR floor.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our outstanding borrowings at March 31, 2023, a 100 basis points change in interest rates would have impacted interest expense on the Term Loan by $9.4 million on an annualized basis. To the extent we borrow on our revolving credit facility, we will be subject to risks related to changes in SOFR.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March 31, 2023. Based upon that evaluation, the Chief Executive Officer and Chief Financial Officer concluded that the design and operation of these disclosure controls and procedures were, as of the end of the period covered by this report, effective and designed to ensure that material information relating to Embecta and its consolidated subsidiaries would be made known to them by others within these entities.</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TSA period, we will continue to rely on certain material processes and internal control over financial reporting performed by BD. There were no changes in our internal control over financial reporting during the fiscal quarter ended March 31, 2023 that have materially affected, or are reasonably likely to materially affect, Embecta’s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Embecta’s risk factors from those described in “Risk Factors” included within the 2022 Form 10-K.</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9"/>
        </w:trPr>
        <w:tc>
          <w:tcPr>
            <w:tcW w:w="13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6640" w:type="dxa"/>
            <w:vAlign w:val="bottom"/>
            <w:gridSpan w:val="6"/>
          </w:tcPr>
          <w:p>
            <w:pPr>
              <w:ind w:left="1140"/>
              <w:spacing w:after="0"/>
              <w:rPr>
                <w:sz w:val="20"/>
                <w:szCs w:val="20"/>
                <w:color w:val="auto"/>
              </w:rPr>
            </w:pPr>
            <w:r>
              <w:rPr>
                <w:rFonts w:ascii="Arial" w:cs="Arial" w:eastAsia="Arial" w:hAnsi="Arial"/>
                <w:sz w:val="14"/>
                <w:szCs w:val="14"/>
                <w:b w:val="1"/>
                <w:bCs w:val="1"/>
                <w:color w:val="auto"/>
              </w:rPr>
              <w:t>Exhibit Description</w:t>
            </w:r>
          </w:p>
        </w:tc>
      </w:tr>
      <w:tr>
        <w:trPr>
          <w:trHeight w:val="25"/>
        </w:trPr>
        <w:tc>
          <w:tcPr>
            <w:tcW w:w="1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449"/>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Arial" w:cs="Arial" w:eastAsia="Arial" w:hAnsi="Arial"/>
                <w:sz w:val="18"/>
                <w:szCs w:val="18"/>
                <w:color w:val="0000FF"/>
                <w:w w:val="92"/>
              </w:rPr>
              <w:t>Form of Employee and Director PSU and RSU Awards under the 2022 Employee and Director Equity Based Compensation Plan and</w:t>
            </w:r>
          </w:p>
        </w:tc>
      </w:tr>
      <w:tr>
        <w:trPr>
          <w:trHeight w:val="181"/>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FF"/>
              <w:bottom w:val="single" w:sz="8" w:color="0000FF"/>
            </w:tcBorders>
          </w:tcPr>
          <w:p>
            <w:pPr>
              <w:spacing w:after="0" w:line="181" w:lineRule="exact"/>
              <w:rPr>
                <w:sz w:val="20"/>
                <w:szCs w:val="20"/>
                <w:color w:val="auto"/>
              </w:rPr>
            </w:pPr>
            <w:r>
              <w:rPr>
                <w:rFonts w:ascii="Arial" w:cs="Arial" w:eastAsia="Arial" w:hAnsi="Arial"/>
                <w:sz w:val="18"/>
                <w:szCs w:val="18"/>
                <w:color w:val="0000FF"/>
                <w:w w:val="90"/>
              </w:rPr>
              <w:t>Conditions of Awards (November 26, 2022)</w:t>
            </w:r>
          </w:p>
        </w:tc>
        <w:tc>
          <w:tcPr>
            <w:tcW w:w="6360" w:type="dxa"/>
            <w:vAlign w:val="bottom"/>
            <w:tcBorders>
              <w:top w:val="single" w:sz="8" w:color="0000FF"/>
            </w:tcBorders>
            <w:gridSpan w:val="5"/>
          </w:tcPr>
          <w:p>
            <w:pPr>
              <w:spacing w:after="0"/>
              <w:rPr>
                <w:sz w:val="15"/>
                <w:szCs w:val="15"/>
                <w:color w:val="auto"/>
              </w:rPr>
            </w:pPr>
          </w:p>
        </w:tc>
        <w:tc>
          <w:tcPr>
            <w:tcW w:w="280" w:type="dxa"/>
            <w:vAlign w:val="bottom"/>
          </w:tcPr>
          <w:p>
            <w:pPr>
              <w:spacing w:after="0"/>
              <w:rPr>
                <w:sz w:val="15"/>
                <w:szCs w:val="15"/>
                <w:color w:val="auto"/>
              </w:rPr>
            </w:pPr>
          </w:p>
        </w:tc>
      </w:tr>
      <w:tr>
        <w:trPr>
          <w:trHeight w:val="516"/>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52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Chief Executive Officer, pursuant to SEC Rule 13a–14(a)</w:t>
            </w:r>
          </w:p>
        </w:tc>
        <w:tc>
          <w:tcPr>
            <w:tcW w:w="4520" w:type="dxa"/>
            <w:vAlign w:val="bottom"/>
            <w:gridSpan w:val="4"/>
          </w:tcPr>
          <w:p>
            <w:pPr>
              <w:spacing w:after="0"/>
              <w:rPr>
                <w:sz w:val="24"/>
                <w:szCs w:val="24"/>
                <w:color w:val="auto"/>
              </w:rPr>
            </w:pPr>
          </w:p>
        </w:tc>
      </w:tr>
      <w:tr>
        <w:trPr>
          <w:trHeight w:val="503"/>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Arial" w:cs="Arial" w:eastAsia="Arial" w:hAnsi="Arial"/>
                <w:sz w:val="18"/>
                <w:szCs w:val="18"/>
                <w:color w:val="0000FF"/>
              </w:rPr>
              <w:t>Certification of Chief Financial Officer, pursuant to SEC Rule 13a–14(a)</w:t>
            </w:r>
          </w:p>
        </w:tc>
      </w:tr>
      <w:tr>
        <w:trPr>
          <w:trHeight w:val="20"/>
        </w:trPr>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gridSpan w:val="2"/>
            <w:shd w:val="clear" w:color="auto" w:fill="0000FF"/>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503"/>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92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Certification of Chief Executive Officer, pursuant to Rule 13a–14(b) and Section 1350 of Chapter 63 of Title 18 of the U.S. Code</w:t>
            </w:r>
          </w:p>
        </w:tc>
        <w:tc>
          <w:tcPr>
            <w:tcW w:w="540" w:type="dxa"/>
            <w:vAlign w:val="bottom"/>
            <w:gridSpan w:val="2"/>
          </w:tcPr>
          <w:p>
            <w:pPr>
              <w:spacing w:after="0"/>
              <w:rPr>
                <w:sz w:val="24"/>
                <w:szCs w:val="24"/>
                <w:color w:val="auto"/>
              </w:rPr>
            </w:pPr>
          </w:p>
        </w:tc>
      </w:tr>
      <w:tr>
        <w:trPr>
          <w:trHeight w:val="516"/>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Arial" w:cs="Arial" w:eastAsia="Arial" w:hAnsi="Arial"/>
                <w:sz w:val="18"/>
                <w:szCs w:val="18"/>
                <w:color w:val="0000FF"/>
                <w:w w:val="96"/>
              </w:rPr>
              <w:t>Certification of Chief Financial Officer, pursuant to Rule 13a–14(b) and Section 1350 of Chapter 63 of Title 18 of the U.S. Code</w:t>
            </w:r>
          </w:p>
        </w:tc>
      </w:tr>
      <w:tr>
        <w:trPr>
          <w:trHeight w:val="20"/>
        </w:trPr>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180" w:type="dxa"/>
            <w:vAlign w:val="bottom"/>
            <w:gridSpan w:val="4"/>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515"/>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Arial" w:cs="Arial" w:eastAsia="Arial" w:hAnsi="Arial"/>
                <w:sz w:val="18"/>
                <w:szCs w:val="18"/>
                <w:color w:val="auto"/>
                <w:w w:val="95"/>
              </w:rPr>
              <w:t>The following materials from this report, formatted in iXBRL (Inline eXtensible Business Reporting Language): (i) the Condensed</w:t>
            </w:r>
          </w:p>
        </w:tc>
      </w:tr>
      <w:tr>
        <w:trPr>
          <w:trHeight w:val="214"/>
        </w:trPr>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7"/>
          </w:tcPr>
          <w:p>
            <w:pPr>
              <w:spacing w:after="0"/>
              <w:rPr>
                <w:sz w:val="20"/>
                <w:szCs w:val="20"/>
                <w:color w:val="auto"/>
              </w:rPr>
            </w:pPr>
            <w:r>
              <w:rPr>
                <w:rFonts w:ascii="Arial" w:cs="Arial" w:eastAsia="Arial" w:hAnsi="Arial"/>
                <w:sz w:val="18"/>
                <w:szCs w:val="18"/>
                <w:color w:val="auto"/>
                <w:w w:val="95"/>
              </w:rPr>
              <w:t>Consolidated Statements of Income, (ii) the Condensed Consolidated Statements of Comprehensive Income, (iii) the Condensed</w:t>
            </w:r>
          </w:p>
        </w:tc>
      </w:tr>
      <w:tr>
        <w:trPr>
          <w:trHeight w:val="201"/>
        </w:trPr>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7"/>
          </w:tcPr>
          <w:p>
            <w:pPr>
              <w:spacing w:after="0" w:line="201" w:lineRule="exact"/>
              <w:rPr>
                <w:sz w:val="20"/>
                <w:szCs w:val="20"/>
                <w:color w:val="auto"/>
              </w:rPr>
            </w:pPr>
            <w:r>
              <w:rPr>
                <w:rFonts w:ascii="Arial" w:cs="Arial" w:eastAsia="Arial" w:hAnsi="Arial"/>
                <w:sz w:val="18"/>
                <w:szCs w:val="18"/>
                <w:color w:val="auto"/>
                <w:w w:val="91"/>
              </w:rPr>
              <w:t>Consolidated Balance Sheets, (iv) the Condensed Consolidated Statements of Equity, (v) the Condensed Consolidated Statements of</w:t>
            </w:r>
          </w:p>
        </w:tc>
      </w:tr>
      <w:tr>
        <w:trPr>
          <w:trHeight w:val="227"/>
        </w:trPr>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7"/>
          </w:tcPr>
          <w:p>
            <w:pPr>
              <w:spacing w:after="0"/>
              <w:rPr>
                <w:sz w:val="20"/>
                <w:szCs w:val="20"/>
                <w:color w:val="auto"/>
              </w:rPr>
            </w:pPr>
            <w:r>
              <w:rPr>
                <w:rFonts w:ascii="Arial" w:cs="Arial" w:eastAsia="Arial" w:hAnsi="Arial"/>
                <w:sz w:val="18"/>
                <w:szCs w:val="18"/>
                <w:color w:val="auto"/>
              </w:rPr>
              <w:t>Cash Flows, and (vi) Notes to Condensed Consolidated Financial Statements.</w:t>
            </w:r>
          </w:p>
        </w:tc>
      </w:tr>
      <w:tr>
        <w:trPr>
          <w:trHeight w:val="523"/>
        </w:trPr>
        <w:tc>
          <w:tcPr>
            <w:tcW w:w="1380" w:type="dxa"/>
            <w:vAlign w:val="bottom"/>
          </w:tcPr>
          <w:p>
            <w:pPr>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55" w:lineRule="exact"/>
        <w:rPr>
          <w:sz w:val="20"/>
          <w:szCs w:val="20"/>
          <w:color w:val="auto"/>
        </w:rPr>
      </w:pPr>
    </w:p>
    <w:p>
      <w:pPr>
        <w:ind w:left="560" w:hanging="535"/>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6" w:lineRule="exact"/>
        <w:rPr>
          <w:sz w:val="20"/>
          <w:szCs w:val="20"/>
          <w:color w:val="auto"/>
        </w:rPr>
      </w:pPr>
    </w:p>
    <w:p>
      <w:pPr>
        <w:ind w:left="580" w:hanging="55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EMBECTA CORP.</w:t>
      </w:r>
    </w:p>
    <w:p>
      <w:pPr>
        <w:spacing w:after="0" w:line="316" w:lineRule="exact"/>
        <w:rPr>
          <w:sz w:val="20"/>
          <w:szCs w:val="20"/>
          <w:color w:val="auto"/>
        </w:rPr>
      </w:pPr>
    </w:p>
    <w:tbl>
      <w:tblPr>
        <w:tblLayout w:type="fixed"/>
        <w:tblInd w:w="4960" w:type="dxa"/>
        <w:tblCellMar>
          <w:top w:w="0" w:type="dxa"/>
          <w:left w:w="0" w:type="dxa"/>
          <w:bottom w:w="0" w:type="dxa"/>
          <w:right w:w="0" w:type="dxa"/>
        </w:tblCellMar>
      </w:tblPr>
      <w:tr>
        <w:trPr>
          <w:trHeight w:val="236"/>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Devdatt Kurdikar</w:t>
            </w:r>
          </w:p>
        </w:tc>
      </w:tr>
      <w:tr>
        <w:trPr>
          <w:trHeight w:val="240"/>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Devdatt Kurdikar</w:t>
            </w:r>
          </w:p>
        </w:tc>
      </w:tr>
      <w:tr>
        <w:trPr>
          <w:trHeight w:val="268"/>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55"/>
        </w:trPr>
        <w:tc>
          <w:tcPr>
            <w:tcW w:w="92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2023</w:t>
      </w:r>
    </w:p>
    <w:p>
      <w:pPr>
        <w:spacing w:after="0" w:line="200" w:lineRule="exact"/>
        <w:rPr>
          <w:sz w:val="20"/>
          <w:szCs w:val="20"/>
          <w:color w:val="auto"/>
        </w:rPr>
      </w:pPr>
    </w:p>
    <w:p>
      <w:pPr>
        <w:spacing w:after="0" w:line="330" w:lineRule="exact"/>
        <w:rPr>
          <w:sz w:val="20"/>
          <w:szCs w:val="20"/>
          <w:color w:val="auto"/>
        </w:rPr>
      </w:pPr>
    </w:p>
    <w:tbl>
      <w:tblPr>
        <w:tblLayout w:type="fixed"/>
        <w:tblInd w:w="4960" w:type="dxa"/>
        <w:tblCellMar>
          <w:top w:w="0" w:type="dxa"/>
          <w:left w:w="0" w:type="dxa"/>
          <w:bottom w:w="0" w:type="dxa"/>
          <w:right w:w="0" w:type="dxa"/>
        </w:tblCellMar>
      </w:tblPr>
      <w:tr>
        <w:trPr>
          <w:trHeight w:val="236"/>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Jacob Elguicze</w:t>
            </w:r>
          </w:p>
        </w:tc>
      </w:tr>
      <w:tr>
        <w:trPr>
          <w:trHeight w:val="240"/>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Jacob Elguicze</w:t>
            </w:r>
          </w:p>
        </w:tc>
      </w:tr>
      <w:tr>
        <w:trPr>
          <w:trHeight w:val="255"/>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r>
        <w:trPr>
          <w:trHeight w:val="255"/>
        </w:trPr>
        <w:tc>
          <w:tcPr>
            <w:tcW w:w="92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2023</w:t>
      </w:r>
    </w:p>
    <w:p>
      <w:pPr>
        <w:spacing w:after="0" w:line="200" w:lineRule="exact"/>
        <w:rPr>
          <w:sz w:val="20"/>
          <w:szCs w:val="20"/>
          <w:color w:val="auto"/>
        </w:rPr>
      </w:pPr>
    </w:p>
    <w:p>
      <w:pPr>
        <w:spacing w:after="0" w:line="344" w:lineRule="exact"/>
        <w:rPr>
          <w:sz w:val="20"/>
          <w:szCs w:val="20"/>
          <w:color w:val="auto"/>
        </w:rPr>
      </w:pPr>
    </w:p>
    <w:tbl>
      <w:tblPr>
        <w:tblLayout w:type="fixed"/>
        <w:tblInd w:w="4960" w:type="dxa"/>
        <w:tblCellMar>
          <w:top w:w="0" w:type="dxa"/>
          <w:left w:w="0" w:type="dxa"/>
          <w:bottom w:w="0" w:type="dxa"/>
          <w:right w:w="0" w:type="dxa"/>
        </w:tblCellMar>
      </w:tblPr>
      <w:tr>
        <w:trPr>
          <w:trHeight w:val="236"/>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Capone</w:t>
            </w:r>
          </w:p>
        </w:tc>
      </w:tr>
      <w:tr>
        <w:trPr>
          <w:trHeight w:val="240"/>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Brian Capone</w:t>
            </w:r>
          </w:p>
        </w:tc>
      </w:tr>
      <w:tr>
        <w:trPr>
          <w:trHeight w:val="255"/>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Controller and Chief Accounting Officer</w:t>
            </w:r>
          </w:p>
        </w:tc>
      </w:tr>
      <w:tr>
        <w:trPr>
          <w:trHeight w:val="255"/>
        </w:trPr>
        <w:tc>
          <w:tcPr>
            <w:tcW w:w="92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22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Embecta Corp. 2022 Employee and Director Equity-Based Compensation Plan Terms and Conditions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November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685800</wp:posOffset>
            </wp:positionV>
            <wp:extent cx="71335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line="250" w:lineRule="auto"/>
        <w:rPr>
          <w:sz w:val="20"/>
          <w:szCs w:val="20"/>
          <w:color w:val="auto"/>
        </w:rPr>
      </w:pPr>
      <w:r>
        <w:rPr>
          <w:rFonts w:ascii="Arial" w:cs="Arial" w:eastAsia="Arial" w:hAnsi="Arial"/>
          <w:sz w:val="21"/>
          <w:szCs w:val="21"/>
          <w:b w:val="1"/>
          <w:bCs w:val="1"/>
          <w:color w:val="auto"/>
        </w:rPr>
        <w:t>THIS DOCUMENT CONSTITUTES PART OF A PROSPECTUS COVERING SECURITIES THAT ARE REGISTERED UNDER THE SECURITIES ACT OF 1933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Embecta Corp.</w:t>
      </w:r>
    </w:p>
    <w:p>
      <w:pPr>
        <w:sectPr>
          <w:pgSz w:w="11900" w:h="16838" w:orient="portrait"/>
          <w:cols w:equalWidth="0" w:num="1">
            <w:col w:w="11240"/>
          </w:cols>
          <w:pgMar w:left="320" w:top="100" w:right="339" w:bottom="1440" w:gutter="0" w:footer="0" w:header="0"/>
        </w:sectPr>
      </w:pPr>
    </w:p>
    <w:bookmarkStart w:id="34" w:name="page35"/>
    <w:bookmarkEnd w:id="34"/>
    <w:p>
      <w:pPr>
        <w:jc w:val="center"/>
        <w:ind w:right="-259"/>
        <w:spacing w:after="0"/>
        <w:rPr>
          <w:sz w:val="20"/>
          <w:szCs w:val="20"/>
          <w:color w:val="auto"/>
        </w:rPr>
      </w:pPr>
      <w:r>
        <w:rPr>
          <w:rFonts w:ascii="Arial" w:cs="Arial" w:eastAsia="Arial" w:hAnsi="Arial"/>
          <w:sz w:val="21"/>
          <w:szCs w:val="21"/>
          <w:b w:val="1"/>
          <w:bCs w:val="1"/>
          <w:color w:val="auto"/>
        </w:rPr>
        <w:t>Introduction</w:t>
      </w:r>
    </w:p>
    <w:p>
      <w:pPr>
        <w:spacing w:after="0" w:line="193"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The following describes the terms and conditions of the awards granted under the Embecta Corp. Long-Term Incentive Program. All awards are subject to the terms of the Embecta Corp. 2022 Employee and Director Equity-Based Compensation Plan (referred to herein as the Plan), the terms of which are hereby incorporated by reference.</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These terms and conditions should be read together with the Plan and the related Prospectus that accompany this document. The Prospectus includes important information, including the U.S. federal tax consequences of the awards. In the event of any inconsistency between these terms and conditions and the terms of the Plan, the terms of the Plan will control. Any capitalized term used in these terms and conditions that is not defined will have the same meaning as in the Plan.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Units</w:t>
      </w:r>
    </w:p>
    <w:p>
      <w:pPr>
        <w:spacing w:after="0" w:line="193" w:lineRule="exact"/>
        <w:rPr>
          <w:sz w:val="20"/>
          <w:szCs w:val="20"/>
          <w:color w:val="auto"/>
        </w:rPr>
      </w:pPr>
    </w:p>
    <w:p>
      <w:pPr>
        <w:jc w:val="both"/>
        <w:ind w:left="660" w:hanging="653"/>
        <w:spacing w:after="0" w:line="239"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Awards</w:t>
      </w:r>
      <w:r>
        <w:rPr>
          <w:rFonts w:ascii="Arial" w:cs="Arial" w:eastAsia="Arial" w:hAnsi="Arial"/>
          <w:sz w:val="20"/>
          <w:szCs w:val="20"/>
          <w:color w:val="auto"/>
        </w:rPr>
        <w:t>. A Performance Unit award represents the right to receive shares of Embecta common stock upon vesting. A Performance Unit award is denominated in terms of a target number of shares. The actual number of shares of Embecta common stock, if any, issuable under the award will be based on how Embecta performs against the performance targets described below during the Performance Period, as determined by the Committee.</w:t>
      </w:r>
    </w:p>
    <w:p>
      <w:pPr>
        <w:spacing w:after="0" w:line="156" w:lineRule="exact"/>
        <w:rPr>
          <w:rFonts w:ascii="Arial" w:cs="Arial" w:eastAsia="Arial" w:hAnsi="Arial"/>
          <w:sz w:val="20"/>
          <w:szCs w:val="20"/>
          <w:color w:val="auto"/>
        </w:rPr>
      </w:pPr>
    </w:p>
    <w:p>
      <w:pPr>
        <w:ind w:left="660" w:hanging="653"/>
        <w:spacing w:after="0"/>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Vesting Period</w:t>
      </w:r>
      <w:r>
        <w:rPr>
          <w:rFonts w:ascii="Arial" w:cs="Arial" w:eastAsia="Arial" w:hAnsi="Arial"/>
          <w:sz w:val="21"/>
          <w:szCs w:val="21"/>
          <w:color w:val="auto"/>
        </w:rPr>
        <w:t>. Except as provided below, Performance Units vest on the third anniversary of the grant date.</w:t>
      </w:r>
    </w:p>
    <w:p>
      <w:pPr>
        <w:spacing w:after="0" w:line="187" w:lineRule="exact"/>
        <w:rPr>
          <w:rFonts w:ascii="Arial" w:cs="Arial" w:eastAsia="Arial" w:hAnsi="Arial"/>
          <w:sz w:val="21"/>
          <w:szCs w:val="21"/>
          <w:color w:val="auto"/>
        </w:rPr>
      </w:pPr>
    </w:p>
    <w:p>
      <w:pPr>
        <w:ind w:left="660" w:hanging="653"/>
        <w:spacing w:after="0" w:line="244"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Performance Period</w:t>
      </w:r>
      <w:r>
        <w:rPr>
          <w:rFonts w:ascii="Arial" w:cs="Arial" w:eastAsia="Arial" w:hAnsi="Arial"/>
          <w:sz w:val="21"/>
          <w:szCs w:val="21"/>
          <w:color w:val="auto"/>
        </w:rPr>
        <w:t>. The performance period applicable to the Performance Units is the period beginning on October 1, 2022 and ending on September 30, 2025 (referred to as the Performance Period).</w:t>
      </w:r>
    </w:p>
    <w:p>
      <w:pPr>
        <w:spacing w:after="0" w:line="152" w:lineRule="exact"/>
        <w:rPr>
          <w:rFonts w:ascii="Arial" w:cs="Arial" w:eastAsia="Arial" w:hAnsi="Arial"/>
          <w:sz w:val="21"/>
          <w:szCs w:val="21"/>
          <w:color w:val="auto"/>
        </w:rPr>
      </w:pPr>
    </w:p>
    <w:p>
      <w:pPr>
        <w:ind w:left="660" w:hanging="653"/>
        <w:spacing w:after="0"/>
        <w:tabs>
          <w:tab w:leader="none" w:pos="66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Performance Measures</w:t>
      </w:r>
      <w:r>
        <w:rPr>
          <w:rFonts w:ascii="Arial" w:cs="Arial" w:eastAsia="Arial" w:hAnsi="Arial"/>
          <w:sz w:val="19"/>
          <w:szCs w:val="19"/>
          <w:color w:val="auto"/>
        </w:rPr>
        <w:t>. The performance measures for the Performance Units are set forth on Exhibit A attached hereto.</w:t>
      </w:r>
    </w:p>
    <w:p>
      <w:pPr>
        <w:spacing w:after="0" w:line="210" w:lineRule="exact"/>
        <w:rPr>
          <w:rFonts w:ascii="Arial" w:cs="Arial" w:eastAsia="Arial" w:hAnsi="Arial"/>
          <w:sz w:val="19"/>
          <w:szCs w:val="19"/>
          <w:color w:val="auto"/>
        </w:rPr>
      </w:pPr>
    </w:p>
    <w:p>
      <w:pPr>
        <w:jc w:val="both"/>
        <w:ind w:left="660" w:hanging="653"/>
        <w:spacing w:after="0" w:line="232"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Calculation of Shares Issuable</w:t>
      </w:r>
      <w:r>
        <w:rPr>
          <w:rFonts w:ascii="Arial" w:cs="Arial" w:eastAsia="Arial" w:hAnsi="Arial"/>
          <w:sz w:val="21"/>
          <w:szCs w:val="21"/>
          <w:color w:val="auto"/>
        </w:rPr>
        <w:t>. To determine the number of shares issuable under an award of Performance Units, a Preliminary Payout Factor will be calculated, based on the satisfaction of the performance measures and formula set forth on Exhibit A attached hereto.</w:t>
      </w:r>
    </w:p>
    <w:p>
      <w:pPr>
        <w:spacing w:after="0" w:line="157" w:lineRule="exact"/>
        <w:rPr>
          <w:rFonts w:ascii="Arial" w:cs="Arial" w:eastAsia="Arial" w:hAnsi="Arial"/>
          <w:sz w:val="21"/>
          <w:szCs w:val="21"/>
          <w:color w:val="auto"/>
        </w:rPr>
      </w:pPr>
    </w:p>
    <w:p>
      <w:pPr>
        <w:ind w:left="660" w:hanging="653"/>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No Dividend Equivalent Rights</w:t>
      </w:r>
      <w:r>
        <w:rPr>
          <w:rFonts w:ascii="Arial" w:cs="Arial" w:eastAsia="Arial" w:hAnsi="Arial"/>
          <w:sz w:val="20"/>
          <w:szCs w:val="20"/>
          <w:color w:val="auto"/>
        </w:rPr>
        <w:t>. No dividend equivalent rights will be granted with respect to a Performance Unit award.</w:t>
      </w:r>
    </w:p>
    <w:p>
      <w:pPr>
        <w:spacing w:after="0" w:line="198" w:lineRule="exact"/>
        <w:rPr>
          <w:rFonts w:ascii="Arial" w:cs="Arial" w:eastAsia="Arial" w:hAnsi="Arial"/>
          <w:sz w:val="20"/>
          <w:szCs w:val="20"/>
          <w:color w:val="auto"/>
        </w:rPr>
      </w:pPr>
    </w:p>
    <w:p>
      <w:pPr>
        <w:ind w:left="660" w:hanging="653"/>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The following provisions will apply in the event your employment with Embecta terminates.</w:t>
      </w:r>
    </w:p>
    <w:p>
      <w:pPr>
        <w:spacing w:after="0" w:line="198" w:lineRule="exact"/>
        <w:rPr>
          <w:rFonts w:ascii="Arial" w:cs="Arial" w:eastAsia="Arial" w:hAnsi="Arial"/>
          <w:sz w:val="20"/>
          <w:szCs w:val="20"/>
          <w:color w:val="auto"/>
        </w:rPr>
      </w:pPr>
    </w:p>
    <w:p>
      <w:pPr>
        <w:jc w:val="both"/>
        <w:ind w:left="1300" w:hanging="649"/>
        <w:spacing w:after="0" w:line="232"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i w:val="1"/>
          <w:iCs w:val="1"/>
          <w:color w:val="auto"/>
        </w:rPr>
        <w:t>Voluntary Termination or Termination for Cause</w:t>
      </w:r>
      <w:r>
        <w:rPr>
          <w:rFonts w:ascii="Arial" w:cs="Arial" w:eastAsia="Arial" w:hAnsi="Arial"/>
          <w:sz w:val="21"/>
          <w:szCs w:val="21"/>
          <w:color w:val="auto"/>
        </w:rPr>
        <w:t>. In the event you voluntarily terminate employment with Embecta</w:t>
      </w:r>
      <w:r>
        <w:rPr>
          <w:rFonts w:ascii="Arial" w:cs="Arial" w:eastAsia="Arial" w:hAnsi="Arial"/>
          <w:sz w:val="21"/>
          <w:szCs w:val="21"/>
          <w:i w:val="1"/>
          <w:iCs w:val="1"/>
          <w:color w:val="auto"/>
        </w:rPr>
        <w:t xml:space="preserve"> </w:t>
      </w:r>
      <w:r>
        <w:rPr>
          <w:rFonts w:ascii="Arial" w:cs="Arial" w:eastAsia="Arial" w:hAnsi="Arial"/>
          <w:sz w:val="21"/>
          <w:szCs w:val="21"/>
          <w:color w:val="auto"/>
        </w:rPr>
        <w:t>(other than Retirement) or your employment with Embecta is terminated for Cause prior to completion of the three-year vesting period, you will forfeit the Performance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743585</wp:posOffset>
            </wp:positionV>
            <wp:extent cx="71335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50" w:lineRule="auto"/>
        <w:rPr>
          <w:sz w:val="20"/>
          <w:szCs w:val="20"/>
          <w:color w:val="auto"/>
        </w:rPr>
      </w:pPr>
      <w:r>
        <w:rPr>
          <w:rFonts w:ascii="Arial" w:cs="Arial" w:eastAsia="Arial" w:hAnsi="Arial"/>
          <w:sz w:val="21"/>
          <w:szCs w:val="21"/>
          <w:b w:val="1"/>
          <w:bCs w:val="1"/>
          <w:color w:val="auto"/>
        </w:rPr>
        <w:t>THIS DOCUMENT CONSTITUTES PART OF A PROSPECTUS COVERING SECURITIES THAT ARE REGISTERED UNDER THE SECURITIES ACT OF 1933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Embecta Corp.</w:t>
      </w:r>
    </w:p>
    <w:p>
      <w:pPr>
        <w:ind w:left="2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86" w:right="339" w:bottom="1440" w:gutter="0" w:footer="0" w:header="0"/>
        </w:sectPr>
      </w:pPr>
    </w:p>
    <w:bookmarkStart w:id="35" w:name="page36"/>
    <w:bookmarkEnd w:id="35"/>
    <w:p>
      <w:pPr>
        <w:jc w:val="both"/>
        <w:ind w:left="1300" w:hanging="649"/>
        <w:spacing w:after="0" w:line="250" w:lineRule="auto"/>
        <w:tabs>
          <w:tab w:leader="none" w:pos="1300"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Retirement or Involuntary Termination Without Cause</w:t>
      </w:r>
      <w:r>
        <w:rPr>
          <w:rFonts w:ascii="Arial" w:cs="Arial" w:eastAsia="Arial" w:hAnsi="Arial"/>
          <w:sz w:val="19"/>
          <w:szCs w:val="19"/>
          <w:color w:val="auto"/>
        </w:rPr>
        <w:t>. In the event of your Retirement or involuntary 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without Cause prior to the completion of the three-year vesting period, you will vest in a pro rata amount of the shares that would otherwise become distributable under the award, based on the portion of the vesting period that you were employed by Embecta. In such event, the shares will not be distributed to you until after the Performance Period is completed and the satisfaction of the performance measures has been determined by the Committee.</w:t>
      </w:r>
    </w:p>
    <w:p>
      <w:pPr>
        <w:spacing w:after="0" w:line="148" w:lineRule="exact"/>
        <w:rPr>
          <w:rFonts w:ascii="Arial" w:cs="Arial" w:eastAsia="Arial" w:hAnsi="Arial"/>
          <w:sz w:val="19"/>
          <w:szCs w:val="19"/>
          <w:color w:val="auto"/>
        </w:rPr>
      </w:pPr>
    </w:p>
    <w:p>
      <w:pPr>
        <w:jc w:val="both"/>
        <w:ind w:left="1300" w:hanging="649"/>
        <w:spacing w:after="0" w:line="239" w:lineRule="auto"/>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Death or Disability</w:t>
      </w:r>
      <w:r>
        <w:rPr>
          <w:rFonts w:ascii="Arial" w:cs="Arial" w:eastAsia="Arial" w:hAnsi="Arial"/>
          <w:sz w:val="20"/>
          <w:szCs w:val="20"/>
          <w:color w:val="auto"/>
        </w:rPr>
        <w:t>. Upon your death or termination of employment due to Disability prior to the completion of the</w:t>
      </w:r>
      <w:r>
        <w:rPr>
          <w:rFonts w:ascii="Arial" w:cs="Arial" w:eastAsia="Arial" w:hAnsi="Arial"/>
          <w:sz w:val="20"/>
          <w:szCs w:val="20"/>
          <w:i w:val="1"/>
          <w:iCs w:val="1"/>
          <w:color w:val="auto"/>
        </w:rPr>
        <w:t xml:space="preserve"> </w:t>
      </w:r>
      <w:r>
        <w:rPr>
          <w:rFonts w:ascii="Arial" w:cs="Arial" w:eastAsia="Arial" w:hAnsi="Arial"/>
          <w:sz w:val="20"/>
          <w:szCs w:val="20"/>
          <w:color w:val="auto"/>
        </w:rPr>
        <w:t>three-year vesting period, the award will become vested with respect to a pro rata amount of the award’s share target based on the portion of the vesting period that you were employed by Embecta. In certain cases of Disability, however, the distribution of the shares will be deferred until the completion of the vesting period.</w:t>
      </w:r>
    </w:p>
    <w:p>
      <w:pPr>
        <w:spacing w:after="0" w:line="156" w:lineRule="exact"/>
        <w:rPr>
          <w:sz w:val="20"/>
          <w:szCs w:val="20"/>
          <w:color w:val="auto"/>
        </w:rPr>
      </w:pPr>
    </w:p>
    <w:p>
      <w:pPr>
        <w:jc w:val="both"/>
        <w:ind w:left="660" w:hanging="653"/>
        <w:spacing w:after="0" w:line="232" w:lineRule="auto"/>
        <w:tabs>
          <w:tab w:leader="none" w:pos="66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Distribution of Shares</w:t>
      </w:r>
      <w:r>
        <w:rPr>
          <w:rFonts w:ascii="Arial" w:cs="Arial" w:eastAsia="Arial" w:hAnsi="Arial"/>
          <w:sz w:val="21"/>
          <w:szCs w:val="21"/>
          <w:color w:val="auto"/>
        </w:rPr>
        <w:t>. Any shares that are issuable under a Performance Unit award will be distributed as soon as practicable following vesting and, if applicable, the Committee’s determination of the satisfaction of the performance measures.</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Time-Vested Restricted Stock Units</w:t>
      </w:r>
    </w:p>
    <w:p>
      <w:pPr>
        <w:spacing w:after="0" w:line="193" w:lineRule="exact"/>
        <w:rPr>
          <w:sz w:val="20"/>
          <w:szCs w:val="20"/>
          <w:color w:val="auto"/>
        </w:rPr>
      </w:pPr>
    </w:p>
    <w:p>
      <w:pPr>
        <w:ind w:left="660" w:hanging="653"/>
        <w:spacing w:after="0" w:line="244" w:lineRule="auto"/>
        <w:tabs>
          <w:tab w:leader="none" w:pos="660" w:val="left"/>
        </w:tabs>
        <w:numPr>
          <w:ilvl w:val="0"/>
          <w:numId w:val="18"/>
        </w:numPr>
        <w:rPr>
          <w:rFonts w:ascii="Arial" w:cs="Arial" w:eastAsia="Arial" w:hAnsi="Arial"/>
          <w:sz w:val="21"/>
          <w:szCs w:val="21"/>
          <w:color w:val="010000"/>
        </w:rPr>
      </w:pPr>
      <w:r>
        <w:rPr>
          <w:rFonts w:ascii="Arial" w:cs="Arial" w:eastAsia="Arial" w:hAnsi="Arial"/>
          <w:sz w:val="21"/>
          <w:szCs w:val="21"/>
          <w:u w:val="single" w:color="auto"/>
          <w:color w:val="auto"/>
        </w:rPr>
        <w:t>Rights of Holder.</w:t>
      </w:r>
      <w:r>
        <w:rPr>
          <w:rFonts w:ascii="Arial" w:cs="Arial" w:eastAsia="Arial" w:hAnsi="Arial"/>
          <w:sz w:val="21"/>
          <w:szCs w:val="21"/>
          <w:color w:val="auto"/>
        </w:rPr>
        <w:t xml:space="preserve"> Each Time-Vested Restricted Stock Unit (TVU) entitles you to receive one share of Embecta common stock upon the vesting of the TVU.</w:t>
      </w:r>
    </w:p>
    <w:p>
      <w:pPr>
        <w:spacing w:after="0" w:line="152" w:lineRule="exact"/>
        <w:rPr>
          <w:rFonts w:ascii="Arial" w:cs="Arial" w:eastAsia="Arial" w:hAnsi="Arial"/>
          <w:sz w:val="21"/>
          <w:szCs w:val="21"/>
          <w:color w:val="010000"/>
        </w:rPr>
      </w:pPr>
    </w:p>
    <w:p>
      <w:pPr>
        <w:ind w:left="660" w:hanging="653"/>
        <w:spacing w:after="0" w:line="244" w:lineRule="auto"/>
        <w:tabs>
          <w:tab w:leader="none" w:pos="660" w:val="left"/>
        </w:tabs>
        <w:numPr>
          <w:ilvl w:val="0"/>
          <w:numId w:val="18"/>
        </w:numPr>
        <w:rPr>
          <w:rFonts w:ascii="Arial" w:cs="Arial" w:eastAsia="Arial" w:hAnsi="Arial"/>
          <w:sz w:val="21"/>
          <w:szCs w:val="21"/>
          <w:color w:val="010000"/>
        </w:rPr>
      </w:pPr>
      <w:r>
        <w:rPr>
          <w:rFonts w:ascii="Arial" w:cs="Arial" w:eastAsia="Arial" w:hAnsi="Arial"/>
          <w:sz w:val="21"/>
          <w:szCs w:val="21"/>
          <w:u w:val="single" w:color="auto"/>
          <w:color w:val="auto"/>
        </w:rPr>
        <w:t>Vesting Period.</w:t>
      </w:r>
      <w:r>
        <w:rPr>
          <w:rFonts w:ascii="Arial" w:cs="Arial" w:eastAsia="Arial" w:hAnsi="Arial"/>
          <w:sz w:val="21"/>
          <w:szCs w:val="21"/>
          <w:color w:val="auto"/>
        </w:rPr>
        <w:t xml:space="preserve"> Except as provided below, a TVU award will vest in three annual installments, beginning on the first anniversary of the grant date.</w:t>
      </w:r>
    </w:p>
    <w:p>
      <w:pPr>
        <w:spacing w:after="0" w:line="152" w:lineRule="exact"/>
        <w:rPr>
          <w:rFonts w:ascii="Arial" w:cs="Arial" w:eastAsia="Arial" w:hAnsi="Arial"/>
          <w:sz w:val="21"/>
          <w:szCs w:val="21"/>
          <w:color w:val="010000"/>
        </w:rPr>
      </w:pPr>
    </w:p>
    <w:p>
      <w:pPr>
        <w:ind w:left="660" w:hanging="653"/>
        <w:spacing w:after="0"/>
        <w:tabs>
          <w:tab w:leader="none" w:pos="660" w:val="left"/>
        </w:tabs>
        <w:numPr>
          <w:ilvl w:val="0"/>
          <w:numId w:val="18"/>
        </w:numPr>
        <w:rPr>
          <w:rFonts w:ascii="Arial" w:cs="Arial" w:eastAsia="Arial" w:hAnsi="Arial"/>
          <w:sz w:val="21"/>
          <w:szCs w:val="21"/>
          <w:color w:val="010000"/>
        </w:rPr>
      </w:pPr>
      <w:r>
        <w:rPr>
          <w:rFonts w:ascii="Arial" w:cs="Arial" w:eastAsia="Arial" w:hAnsi="Arial"/>
          <w:sz w:val="21"/>
          <w:szCs w:val="21"/>
          <w:u w:val="single" w:color="auto"/>
          <w:color w:val="auto"/>
        </w:rPr>
        <w:t>No Dividend Equivalent Rights.</w:t>
      </w:r>
      <w:r>
        <w:rPr>
          <w:rFonts w:ascii="Arial" w:cs="Arial" w:eastAsia="Arial" w:hAnsi="Arial"/>
          <w:sz w:val="21"/>
          <w:szCs w:val="21"/>
          <w:color w:val="auto"/>
        </w:rPr>
        <w:t xml:space="preserve"> No dividend equivalent rights will be granted with respect to a TVU award.</w:t>
      </w:r>
    </w:p>
    <w:p>
      <w:pPr>
        <w:spacing w:after="0" w:line="187" w:lineRule="exact"/>
        <w:rPr>
          <w:rFonts w:ascii="Arial" w:cs="Arial" w:eastAsia="Arial" w:hAnsi="Arial"/>
          <w:sz w:val="21"/>
          <w:szCs w:val="21"/>
          <w:color w:val="010000"/>
        </w:rPr>
      </w:pPr>
    </w:p>
    <w:p>
      <w:pPr>
        <w:ind w:left="660" w:hanging="653"/>
        <w:spacing w:after="0"/>
        <w:tabs>
          <w:tab w:leader="none" w:pos="660" w:val="left"/>
        </w:tabs>
        <w:numPr>
          <w:ilvl w:val="0"/>
          <w:numId w:val="18"/>
        </w:numPr>
        <w:rPr>
          <w:rFonts w:ascii="Arial" w:cs="Arial" w:eastAsia="Arial" w:hAnsi="Arial"/>
          <w:sz w:val="20"/>
          <w:szCs w:val="20"/>
          <w:color w:val="010000"/>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xml:space="preserve"> The following provisions will apply in the event your employment with Embecta terminates.</w:t>
      </w:r>
    </w:p>
    <w:p>
      <w:pPr>
        <w:spacing w:after="0" w:line="198" w:lineRule="exact"/>
        <w:rPr>
          <w:rFonts w:ascii="Arial" w:cs="Arial" w:eastAsia="Arial" w:hAnsi="Arial"/>
          <w:sz w:val="20"/>
          <w:szCs w:val="20"/>
          <w:color w:val="010000"/>
        </w:rPr>
      </w:pPr>
    </w:p>
    <w:p>
      <w:pPr>
        <w:jc w:val="both"/>
        <w:ind w:left="1300" w:hanging="649"/>
        <w:spacing w:after="0" w:line="232" w:lineRule="auto"/>
        <w:tabs>
          <w:tab w:leader="none" w:pos="1300" w:val="left"/>
        </w:tabs>
        <w:numPr>
          <w:ilvl w:val="1"/>
          <w:numId w:val="18"/>
        </w:numPr>
        <w:rPr>
          <w:rFonts w:ascii="Arial" w:cs="Arial" w:eastAsia="Arial" w:hAnsi="Arial"/>
          <w:sz w:val="21"/>
          <w:szCs w:val="21"/>
          <w:color w:val="010000"/>
        </w:rPr>
      </w:pPr>
      <w:r>
        <w:rPr>
          <w:rFonts w:ascii="Arial" w:cs="Arial" w:eastAsia="Arial" w:hAnsi="Arial"/>
          <w:sz w:val="21"/>
          <w:szCs w:val="21"/>
          <w:i w:val="1"/>
          <w:iCs w:val="1"/>
          <w:color w:val="auto"/>
        </w:rPr>
        <w:t>Involuntary Termination Without Cause, Voluntary Termination or Termination for Cause</w:t>
      </w:r>
      <w:r>
        <w:rPr>
          <w:rFonts w:ascii="Arial" w:cs="Arial" w:eastAsia="Arial" w:hAnsi="Arial"/>
          <w:sz w:val="21"/>
          <w:szCs w:val="21"/>
          <w:color w:val="auto"/>
        </w:rPr>
        <w:t>. In the event of your</w:t>
      </w:r>
      <w:r>
        <w:rPr>
          <w:rFonts w:ascii="Arial" w:cs="Arial" w:eastAsia="Arial" w:hAnsi="Arial"/>
          <w:sz w:val="21"/>
          <w:szCs w:val="21"/>
          <w:i w:val="1"/>
          <w:iCs w:val="1"/>
          <w:color w:val="auto"/>
        </w:rPr>
        <w:t xml:space="preserve"> </w:t>
      </w:r>
      <w:r>
        <w:rPr>
          <w:rFonts w:ascii="Arial" w:cs="Arial" w:eastAsia="Arial" w:hAnsi="Arial"/>
          <w:sz w:val="21"/>
          <w:szCs w:val="21"/>
          <w:color w:val="auto"/>
        </w:rPr>
        <w:t>involuntary termination without cause, voluntarily termination of employment with Embecta (other than Retirement) or termination of employment for Cause, you will forfeit any unvested TVUs.</w:t>
      </w:r>
    </w:p>
    <w:p>
      <w:pPr>
        <w:spacing w:after="0" w:line="157" w:lineRule="exact"/>
        <w:rPr>
          <w:rFonts w:ascii="Arial" w:cs="Arial" w:eastAsia="Arial" w:hAnsi="Arial"/>
          <w:sz w:val="21"/>
          <w:szCs w:val="21"/>
          <w:color w:val="010000"/>
        </w:rPr>
      </w:pPr>
    </w:p>
    <w:p>
      <w:pPr>
        <w:ind w:left="1300" w:hanging="649"/>
        <w:spacing w:after="0" w:line="244" w:lineRule="auto"/>
        <w:tabs>
          <w:tab w:leader="none" w:pos="1300" w:val="left"/>
        </w:tabs>
        <w:numPr>
          <w:ilvl w:val="1"/>
          <w:numId w:val="18"/>
        </w:numPr>
        <w:rPr>
          <w:rFonts w:ascii="Arial" w:cs="Arial" w:eastAsia="Arial" w:hAnsi="Arial"/>
          <w:sz w:val="21"/>
          <w:szCs w:val="21"/>
          <w:color w:val="010000"/>
        </w:rPr>
      </w:pPr>
      <w:r>
        <w:rPr>
          <w:rFonts w:ascii="Arial" w:cs="Arial" w:eastAsia="Arial" w:hAnsi="Arial"/>
          <w:sz w:val="21"/>
          <w:szCs w:val="21"/>
          <w:i w:val="1"/>
          <w:iCs w:val="1"/>
          <w:color w:val="auto"/>
        </w:rPr>
        <w:t>Retirement, Death or Disability</w:t>
      </w:r>
      <w:r>
        <w:rPr>
          <w:rFonts w:ascii="Arial" w:cs="Arial" w:eastAsia="Arial" w:hAnsi="Arial"/>
          <w:sz w:val="21"/>
          <w:szCs w:val="21"/>
          <w:color w:val="auto"/>
        </w:rPr>
        <w:t>. In the event your employment terminates due to your Retirement, death or</w:t>
      </w:r>
      <w:r>
        <w:rPr>
          <w:rFonts w:ascii="Arial" w:cs="Arial" w:eastAsia="Arial" w:hAnsi="Arial"/>
          <w:sz w:val="21"/>
          <w:szCs w:val="21"/>
          <w:i w:val="1"/>
          <w:iCs w:val="1"/>
          <w:color w:val="auto"/>
        </w:rPr>
        <w:t xml:space="preserve"> </w:t>
      </w:r>
      <w:r>
        <w:rPr>
          <w:rFonts w:ascii="Arial" w:cs="Arial" w:eastAsia="Arial" w:hAnsi="Arial"/>
          <w:sz w:val="21"/>
          <w:szCs w:val="21"/>
          <w:color w:val="auto"/>
        </w:rPr>
        <w:t>Disability, any unvested TVUs will become fully vested.</w:t>
      </w:r>
    </w:p>
    <w:p>
      <w:pPr>
        <w:spacing w:after="0" w:line="152" w:lineRule="exact"/>
        <w:rPr>
          <w:rFonts w:ascii="Arial" w:cs="Arial" w:eastAsia="Arial" w:hAnsi="Arial"/>
          <w:sz w:val="21"/>
          <w:szCs w:val="21"/>
          <w:color w:val="010000"/>
        </w:rPr>
      </w:pPr>
    </w:p>
    <w:p>
      <w:pPr>
        <w:jc w:val="both"/>
        <w:ind w:left="660" w:hanging="653"/>
        <w:spacing w:after="0" w:line="232" w:lineRule="auto"/>
        <w:tabs>
          <w:tab w:leader="none" w:pos="660" w:val="left"/>
        </w:tabs>
        <w:numPr>
          <w:ilvl w:val="0"/>
          <w:numId w:val="18"/>
        </w:numPr>
        <w:rPr>
          <w:rFonts w:ascii="Arial" w:cs="Arial" w:eastAsia="Arial" w:hAnsi="Arial"/>
          <w:sz w:val="21"/>
          <w:szCs w:val="21"/>
          <w:color w:val="010000"/>
        </w:rPr>
      </w:pPr>
      <w:r>
        <w:rPr>
          <w:rFonts w:ascii="Arial" w:cs="Arial" w:eastAsia="Arial" w:hAnsi="Arial"/>
          <w:sz w:val="21"/>
          <w:szCs w:val="21"/>
          <w:u w:val="single" w:color="auto"/>
          <w:color w:val="auto"/>
        </w:rPr>
        <w:t>Distribution of Shares.</w:t>
      </w:r>
      <w:r>
        <w:rPr>
          <w:rFonts w:ascii="Arial" w:cs="Arial" w:eastAsia="Arial" w:hAnsi="Arial"/>
          <w:sz w:val="21"/>
          <w:szCs w:val="21"/>
          <w:color w:val="auto"/>
        </w:rPr>
        <w:t xml:space="preserve"> Any shares that are issuable under a TVU award will be distributed as soon as practicable following vesting. However, if your employment terminates prior to a scheduled vesting date due to Retirement or Disability and you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743585</wp:posOffset>
            </wp:positionV>
            <wp:extent cx="7133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50" w:lineRule="auto"/>
        <w:rPr>
          <w:sz w:val="20"/>
          <w:szCs w:val="20"/>
          <w:color w:val="auto"/>
        </w:rPr>
      </w:pPr>
      <w:r>
        <w:rPr>
          <w:rFonts w:ascii="Arial" w:cs="Arial" w:eastAsia="Arial" w:hAnsi="Arial"/>
          <w:sz w:val="21"/>
          <w:szCs w:val="21"/>
          <w:b w:val="1"/>
          <w:bCs w:val="1"/>
          <w:color w:val="auto"/>
        </w:rPr>
        <w:t>THIS DOCUMENT CONSTITUTES PART OF A PROSPECTUS COVERING SECURITIES THAT ARE REGISTERED UNDER THE SECURITIES ACT OF 1933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Embecta Corp.</w:t>
      </w:r>
    </w:p>
    <w:p>
      <w:pPr>
        <w:ind w:left="2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92" w:right="339" w:bottom="1440" w:gutter="0" w:footer="0" w:header="0"/>
        </w:sectPr>
      </w:pPr>
    </w:p>
    <w:bookmarkStart w:id="36" w:name="page37"/>
    <w:bookmarkEnd w:id="36"/>
    <w:p>
      <w:pPr>
        <w:ind w:left="660"/>
        <w:spacing w:after="0" w:line="244" w:lineRule="auto"/>
        <w:rPr>
          <w:sz w:val="20"/>
          <w:szCs w:val="20"/>
          <w:color w:val="auto"/>
        </w:rPr>
      </w:pPr>
      <w:r>
        <w:rPr>
          <w:rFonts w:ascii="Arial" w:cs="Arial" w:eastAsia="Arial" w:hAnsi="Arial"/>
          <w:sz w:val="21"/>
          <w:szCs w:val="21"/>
          <w:color w:val="auto"/>
        </w:rPr>
        <w:t>a specified employee at the end of the prior calendar year, the distribution of the award may be delayed for a period of six months following your separation from service.</w:t>
      </w:r>
    </w:p>
    <w:p>
      <w:pPr>
        <w:spacing w:after="0" w:line="146"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Withholding Taxes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As authorized by the Plan, Embecta may withhold from any distribution of shares under any award a sufficient number of whole shares to provide for the payment of any taxes required to be withheld with respect to such distribution.</w:t>
      </w:r>
    </w:p>
    <w:p>
      <w:pPr>
        <w:spacing w:after="0" w:line="146"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Administration of the Plan</w:t>
      </w:r>
    </w:p>
    <w:p>
      <w:pPr>
        <w:spacing w:after="0" w:line="19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Any shares that become distributable to you under an award will be deposited in an account maintained for you with Morgan Stanley. While Embecta will endeavor to cause such shares to be distributed to you as soon as practicable after they become issuable, Embecta will not be responsible for any delay in such distribution. </w:t>
      </w:r>
      <w:r>
        <w:rPr>
          <w:rFonts w:ascii="Arial" w:cs="Arial" w:eastAsia="Arial" w:hAnsi="Arial"/>
          <w:sz w:val="20"/>
          <w:szCs w:val="20"/>
          <w:u w:val="single" w:color="auto"/>
          <w:color w:val="auto"/>
        </w:rPr>
        <w:t>Subject to certain exceptions, you will automatically</w:t>
      </w:r>
      <w:r>
        <w:rPr>
          <w:rFonts w:ascii="Arial" w:cs="Arial" w:eastAsia="Arial" w:hAnsi="Arial"/>
          <w:sz w:val="20"/>
          <w:szCs w:val="20"/>
          <w:color w:val="auto"/>
        </w:rPr>
        <w:t xml:space="preserve"> </w:t>
      </w:r>
      <w:r>
        <w:rPr>
          <w:rFonts w:ascii="Arial" w:cs="Arial" w:eastAsia="Arial" w:hAnsi="Arial"/>
          <w:sz w:val="20"/>
          <w:szCs w:val="20"/>
          <w:u w:val="single" w:color="auto"/>
          <w:color w:val="auto"/>
        </w:rPr>
        <w:t>be enrolled in dividend reinvestment with respect to these shares unless and until you notify Morgan Stanley that you wish to receive your dividends in cash</w:t>
      </w:r>
      <w:r>
        <w:rPr>
          <w:rFonts w:ascii="Arial" w:cs="Arial" w:eastAsia="Arial" w:hAnsi="Arial"/>
          <w:sz w:val="20"/>
          <w:szCs w:val="20"/>
          <w:color w:val="auto"/>
        </w:rPr>
        <w:t xml:space="preserve">. For more information regarding your account, including information regarding Morgan Stanley’s fees and selling commissions, please consult the Morgan Stanley website at </w:t>
      </w:r>
      <w:r>
        <w:rPr>
          <w:rFonts w:ascii="Arial" w:cs="Arial" w:eastAsia="Arial" w:hAnsi="Arial"/>
          <w:sz w:val="20"/>
          <w:szCs w:val="20"/>
          <w:u w:val="single" w:color="auto"/>
          <w:color w:val="0000FF"/>
        </w:rPr>
        <w:t>https://www.stockplanconnect.com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895985</wp:posOffset>
            </wp:positionV>
            <wp:extent cx="7133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line="250" w:lineRule="auto"/>
        <w:rPr>
          <w:sz w:val="20"/>
          <w:szCs w:val="20"/>
          <w:color w:val="auto"/>
        </w:rPr>
      </w:pPr>
      <w:r>
        <w:rPr>
          <w:rFonts w:ascii="Arial" w:cs="Arial" w:eastAsia="Arial" w:hAnsi="Arial"/>
          <w:sz w:val="21"/>
          <w:szCs w:val="21"/>
          <w:b w:val="1"/>
          <w:bCs w:val="1"/>
          <w:color w:val="auto"/>
        </w:rPr>
        <w:t>THIS DOCUMENT CONSTITUTES PART OF A PROSPECTUS COVERING SECURITIES THAT ARE REGISTERED UNDER THE SECURITIES ACT OF 1933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Embecta Corp.</w:t>
      </w:r>
    </w:p>
    <w:p>
      <w:pPr>
        <w:ind w:left="2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92" w:right="339" w:bottom="1440" w:gutter="0" w:footer="0" w:header="0"/>
        </w:sectPr>
      </w:pPr>
    </w:p>
    <w:bookmarkStart w:id="37" w:name="page38"/>
    <w:bookmarkEnd w:id="37"/>
    <w:p>
      <w:pPr>
        <w:jc w:val="center"/>
        <w:ind w:right="-259"/>
        <w:spacing w:after="0"/>
        <w:rPr>
          <w:sz w:val="20"/>
          <w:szCs w:val="20"/>
          <w:color w:val="auto"/>
        </w:rPr>
      </w:pPr>
      <w:r>
        <w:rPr>
          <w:rFonts w:ascii="Arial" w:cs="Arial" w:eastAsia="Arial" w:hAnsi="Arial"/>
          <w:sz w:val="21"/>
          <w:szCs w:val="21"/>
          <w:b w:val="1"/>
          <w:bCs w:val="1"/>
          <w:color w:val="auto"/>
        </w:rPr>
        <w:t>Additional Terms</w:t>
      </w:r>
    </w:p>
    <w:p>
      <w:pPr>
        <w:spacing w:after="0" w:line="193" w:lineRule="exact"/>
        <w:rPr>
          <w:sz w:val="20"/>
          <w:szCs w:val="20"/>
          <w:color w:val="auto"/>
        </w:rPr>
      </w:pPr>
    </w:p>
    <w:p>
      <w:pPr>
        <w:jc w:val="both"/>
        <w:ind w:left="660" w:hanging="653"/>
        <w:spacing w:after="0" w:line="250" w:lineRule="auto"/>
        <w:tabs>
          <w:tab w:leader="none" w:pos="660" w:val="left"/>
        </w:tabs>
        <w:numPr>
          <w:ilvl w:val="0"/>
          <w:numId w:val="19"/>
        </w:numPr>
        <w:rPr>
          <w:rFonts w:ascii="Arial" w:cs="Arial" w:eastAsia="Arial" w:hAnsi="Arial"/>
          <w:sz w:val="19"/>
          <w:szCs w:val="19"/>
          <w:color w:val="010000"/>
        </w:rPr>
      </w:pPr>
      <w:r>
        <w:rPr>
          <w:rFonts w:ascii="Arial" w:cs="Arial" w:eastAsia="Arial" w:hAnsi="Arial"/>
          <w:sz w:val="19"/>
          <w:szCs w:val="19"/>
          <w:color w:val="auto"/>
        </w:rPr>
        <w:t>Neither the Plan nor any award granted to you under the Plan gives you any right to continued employment with Embecta or any Embecta affiliate, or shall interfere in any way with any right of Embecta or any Embecta affiliate to terminate your employment. Both the existence of the Plan, and the awards granted under the Plan, are entirely discretionary by Embecta, and you should not consider any award as any indication of future action by Embecta. Embecta retains the right to terminate the Plan or to preclude your future participation in the Plan at any time, in its sole discretion.</w:t>
      </w:r>
    </w:p>
    <w:p>
      <w:pPr>
        <w:spacing w:after="0" w:line="148" w:lineRule="exact"/>
        <w:rPr>
          <w:rFonts w:ascii="Arial" w:cs="Arial" w:eastAsia="Arial" w:hAnsi="Arial"/>
          <w:sz w:val="19"/>
          <w:szCs w:val="19"/>
          <w:color w:val="010000"/>
        </w:rPr>
      </w:pPr>
    </w:p>
    <w:p>
      <w:pPr>
        <w:ind w:left="660" w:hanging="653"/>
        <w:spacing w:after="0" w:line="244" w:lineRule="auto"/>
        <w:tabs>
          <w:tab w:leader="none" w:pos="660" w:val="left"/>
        </w:tabs>
        <w:numPr>
          <w:ilvl w:val="0"/>
          <w:numId w:val="19"/>
        </w:numPr>
        <w:rPr>
          <w:rFonts w:ascii="Arial" w:cs="Arial" w:eastAsia="Arial" w:hAnsi="Arial"/>
          <w:sz w:val="21"/>
          <w:szCs w:val="21"/>
          <w:color w:val="010000"/>
        </w:rPr>
      </w:pPr>
      <w:r>
        <w:rPr>
          <w:rFonts w:ascii="Arial" w:cs="Arial" w:eastAsia="Arial" w:hAnsi="Arial"/>
          <w:sz w:val="21"/>
          <w:szCs w:val="21"/>
          <w:color w:val="auto"/>
        </w:rPr>
        <w:t>Any award issued under this Policy is subject to any applicable Embecta policy regarding the recovery of compensation, as may be adopted by the Board or Committee.</w:t>
      </w:r>
    </w:p>
    <w:p>
      <w:pPr>
        <w:spacing w:after="0" w:line="152" w:lineRule="exact"/>
        <w:rPr>
          <w:rFonts w:ascii="Arial" w:cs="Arial" w:eastAsia="Arial" w:hAnsi="Arial"/>
          <w:sz w:val="21"/>
          <w:szCs w:val="21"/>
          <w:color w:val="010000"/>
        </w:rPr>
      </w:pPr>
    </w:p>
    <w:p>
      <w:pPr>
        <w:jc w:val="both"/>
        <w:ind w:left="660" w:hanging="653"/>
        <w:spacing w:after="0" w:line="232" w:lineRule="auto"/>
        <w:tabs>
          <w:tab w:leader="none" w:pos="660" w:val="left"/>
        </w:tabs>
        <w:numPr>
          <w:ilvl w:val="0"/>
          <w:numId w:val="19"/>
        </w:numPr>
        <w:rPr>
          <w:rFonts w:ascii="Arial" w:cs="Arial" w:eastAsia="Arial" w:hAnsi="Arial"/>
          <w:sz w:val="21"/>
          <w:szCs w:val="21"/>
          <w:color w:val="010000"/>
        </w:rPr>
      </w:pPr>
      <w:r>
        <w:rPr>
          <w:rFonts w:ascii="Arial" w:cs="Arial" w:eastAsia="Arial" w:hAnsi="Arial"/>
          <w:sz w:val="21"/>
          <w:szCs w:val="21"/>
          <w:color w:val="auto"/>
        </w:rPr>
        <w:t>By accepting any Award issued under the Plan, you agree, understand, and acknowledge that you shall be bound by, and shall abide by the Restrictive Covenants, if any, set forth in any agreement with Embecta that applies to your Award under the Plan.</w:t>
      </w:r>
    </w:p>
    <w:p>
      <w:pPr>
        <w:spacing w:after="0" w:line="157" w:lineRule="exact"/>
        <w:rPr>
          <w:rFonts w:ascii="Arial" w:cs="Arial" w:eastAsia="Arial" w:hAnsi="Arial"/>
          <w:sz w:val="21"/>
          <w:szCs w:val="21"/>
          <w:color w:val="010000"/>
        </w:rPr>
      </w:pPr>
    </w:p>
    <w:p>
      <w:pPr>
        <w:jc w:val="both"/>
        <w:ind w:left="660" w:hanging="653"/>
        <w:spacing w:after="0" w:line="221" w:lineRule="auto"/>
        <w:tabs>
          <w:tab w:leader="none" w:pos="660" w:val="left"/>
        </w:tabs>
        <w:numPr>
          <w:ilvl w:val="0"/>
          <w:numId w:val="19"/>
        </w:numPr>
        <w:rPr>
          <w:rFonts w:ascii="Arial" w:cs="Arial" w:eastAsia="Arial" w:hAnsi="Arial"/>
          <w:sz w:val="21"/>
          <w:szCs w:val="21"/>
          <w:color w:val="010000"/>
        </w:rPr>
      </w:pPr>
      <w:r>
        <w:rPr>
          <w:rFonts w:ascii="Arial" w:cs="Arial" w:eastAsia="Arial" w:hAnsi="Arial"/>
          <w:sz w:val="21"/>
          <w:szCs w:val="21"/>
          <w:color w:val="auto"/>
        </w:rPr>
        <w:t>“Change in Control” shall have the meaning set forth in the Plan. If upon a Change in Control of Embecta, your employment is terminated involuntarily without cause (or you voluntarily terminate your employment for Good Reason) within two years of such Change in Control, all awards will become fully vested and exercisable, and any restrictions applicable to any award will automatically lapse. In such event, Performance Units will vest at the greater of target and actual performance (as determined by the Committee as soon as practicable following such termination). In certain cases, the distribution of shares to associates eligible for the Embecta Corp. Executive Severance and Change in Control Plan are subject to terms specified in that plan.</w:t>
      </w:r>
    </w:p>
    <w:p>
      <w:pPr>
        <w:spacing w:after="0" w:line="159" w:lineRule="exact"/>
        <w:rPr>
          <w:rFonts w:ascii="Arial" w:cs="Arial" w:eastAsia="Arial" w:hAnsi="Arial"/>
          <w:sz w:val="21"/>
          <w:szCs w:val="21"/>
          <w:color w:val="010000"/>
        </w:rPr>
      </w:pPr>
    </w:p>
    <w:p>
      <w:pPr>
        <w:jc w:val="both"/>
        <w:ind w:left="660" w:hanging="653"/>
        <w:spacing w:after="0" w:line="232" w:lineRule="auto"/>
        <w:tabs>
          <w:tab w:leader="none" w:pos="769" w:val="left"/>
        </w:tabs>
        <w:numPr>
          <w:ilvl w:val="0"/>
          <w:numId w:val="19"/>
        </w:numPr>
        <w:rPr>
          <w:rFonts w:ascii="Arial" w:cs="Arial" w:eastAsia="Arial" w:hAnsi="Arial"/>
          <w:sz w:val="21"/>
          <w:szCs w:val="21"/>
          <w:color w:val="010000"/>
        </w:rPr>
      </w:pPr>
      <w:r>
        <w:rPr>
          <w:rFonts w:ascii="Arial" w:cs="Arial" w:eastAsia="Arial" w:hAnsi="Arial"/>
          <w:sz w:val="21"/>
          <w:szCs w:val="21"/>
          <w:color w:val="auto"/>
        </w:rPr>
        <w:t>“Retirement” means a Separation of Service on or after attainment of your “Early Retirement Date” or “Normal Retirement Date”, as such terms are defined in the Embecta Corp 2022 Employee and Director Equity-Based Compensation Plan.</w:t>
      </w:r>
    </w:p>
    <w:p>
      <w:pPr>
        <w:spacing w:after="0" w:line="157" w:lineRule="exact"/>
        <w:rPr>
          <w:rFonts w:ascii="Arial" w:cs="Arial" w:eastAsia="Arial" w:hAnsi="Arial"/>
          <w:sz w:val="21"/>
          <w:szCs w:val="21"/>
          <w:color w:val="010000"/>
        </w:rPr>
      </w:pPr>
    </w:p>
    <w:p>
      <w:pPr>
        <w:ind w:left="660" w:hanging="653"/>
        <w:spacing w:after="0" w:line="244" w:lineRule="auto"/>
        <w:tabs>
          <w:tab w:leader="none" w:pos="660" w:val="left"/>
        </w:tabs>
        <w:numPr>
          <w:ilvl w:val="0"/>
          <w:numId w:val="19"/>
        </w:numPr>
        <w:rPr>
          <w:rFonts w:ascii="Arial" w:cs="Arial" w:eastAsia="Arial" w:hAnsi="Arial"/>
          <w:sz w:val="21"/>
          <w:szCs w:val="21"/>
          <w:color w:val="010000"/>
        </w:rPr>
      </w:pPr>
      <w:r>
        <w:rPr>
          <w:rFonts w:ascii="Arial" w:cs="Arial" w:eastAsia="Arial" w:hAnsi="Arial"/>
          <w:sz w:val="21"/>
          <w:szCs w:val="21"/>
          <w:color w:val="auto"/>
        </w:rPr>
        <w:t>No fractional shares will be issued in connection with any award. Any fractional shares otherwise issuable under an award will be rounded up to the nearest whole share.</w:t>
      </w:r>
    </w:p>
    <w:p>
      <w:pPr>
        <w:spacing w:after="0" w:line="152" w:lineRule="exact"/>
        <w:rPr>
          <w:rFonts w:ascii="Arial" w:cs="Arial" w:eastAsia="Arial" w:hAnsi="Arial"/>
          <w:sz w:val="21"/>
          <w:szCs w:val="21"/>
          <w:color w:val="010000"/>
        </w:rPr>
      </w:pPr>
    </w:p>
    <w:p>
      <w:pPr>
        <w:ind w:left="660" w:hanging="653"/>
        <w:spacing w:after="0" w:line="268" w:lineRule="auto"/>
        <w:tabs>
          <w:tab w:leader="none" w:pos="660"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All awards issued under the Plan are nontransferable, other than by will or the laws of descent and distribution. Any shares issued pursuant to an award will only be transferable in accordance with applicable law and Embecta policies.</w:t>
      </w:r>
    </w:p>
    <w:p>
      <w:pPr>
        <w:spacing w:after="0" w:line="129" w:lineRule="exact"/>
        <w:rPr>
          <w:rFonts w:ascii="Arial" w:cs="Arial" w:eastAsia="Arial" w:hAnsi="Arial"/>
          <w:sz w:val="20"/>
          <w:szCs w:val="20"/>
          <w:color w:val="010000"/>
        </w:rPr>
      </w:pPr>
    </w:p>
    <w:p>
      <w:pPr>
        <w:ind w:left="660" w:hanging="653"/>
        <w:spacing w:after="0" w:line="244" w:lineRule="auto"/>
        <w:tabs>
          <w:tab w:leader="none" w:pos="660" w:val="left"/>
        </w:tabs>
        <w:numPr>
          <w:ilvl w:val="0"/>
          <w:numId w:val="19"/>
        </w:numPr>
        <w:rPr>
          <w:rFonts w:ascii="Arial" w:cs="Arial" w:eastAsia="Arial" w:hAnsi="Arial"/>
          <w:sz w:val="21"/>
          <w:szCs w:val="21"/>
          <w:color w:val="010000"/>
        </w:rPr>
      </w:pPr>
      <w:r>
        <w:rPr>
          <w:rFonts w:ascii="Arial" w:cs="Arial" w:eastAsia="Arial" w:hAnsi="Arial"/>
          <w:sz w:val="21"/>
          <w:szCs w:val="21"/>
          <w:color w:val="auto"/>
        </w:rPr>
        <w:t>An award does not represent an equity interest in Embecta. You will not have any rights of a shareholder of Embecta with respect to any award until shares have been delivered to you pursuant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740410</wp:posOffset>
            </wp:positionV>
            <wp:extent cx="71335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50" w:lineRule="auto"/>
        <w:rPr>
          <w:sz w:val="20"/>
          <w:szCs w:val="20"/>
          <w:color w:val="auto"/>
        </w:rPr>
      </w:pPr>
      <w:r>
        <w:rPr>
          <w:rFonts w:ascii="Arial" w:cs="Arial" w:eastAsia="Arial" w:hAnsi="Arial"/>
          <w:sz w:val="21"/>
          <w:szCs w:val="21"/>
          <w:b w:val="1"/>
          <w:bCs w:val="1"/>
          <w:color w:val="auto"/>
        </w:rPr>
        <w:t>THIS DOCUMENT CONSTITUTES PART OF A PROSPECTUS COVERING SECURITIES THAT ARE REGISTERED UNDER THE SECURITIES ACT OF 1933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Embecta Corp.</w:t>
      </w:r>
    </w:p>
    <w:p>
      <w:pPr>
        <w:ind w:left="2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6"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Exhibit A</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November 26, 2022 Performance Share Unit Grant</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and Payout Ranges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5430520" cy="2127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30520" cy="212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the purposes of measuring performance vs target, actual results to be calculated using same FX rates used to develop targets.</w:t>
      </w:r>
    </w:p>
    <w:p>
      <w:pPr>
        <w:spacing w:after="0" w:line="21" w:lineRule="exact"/>
        <w:rPr>
          <w:rFonts w:ascii="Arial" w:cs="Arial" w:eastAsia="Arial" w:hAnsi="Arial"/>
          <w:sz w:val="17"/>
          <w:szCs w:val="17"/>
          <w:color w:val="auto"/>
        </w:rPr>
      </w:pPr>
    </w:p>
    <w:p>
      <w:pPr>
        <w:ind w:left="320" w:hanging="313"/>
        <w:spacing w:after="0" w:line="195" w:lineRule="auto"/>
        <w:tabs>
          <w:tab w:leader="none" w:pos="3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Financial metrics are Adj Revenue Growth % and Adj Operating Profit $ (on a constant currency basis).</w:t>
      </w:r>
    </w:p>
    <w:p>
      <w:pPr>
        <w:ind w:left="320" w:hanging="313"/>
        <w:spacing w:after="0" w:line="209" w:lineRule="auto"/>
        <w:tabs>
          <w:tab w:leader="none" w:pos="3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Payouts between threshold and target and target and max would be interpolated on a straight-line basis.</w:t>
      </w:r>
    </w:p>
    <w:p>
      <w:pPr>
        <w:ind w:left="320" w:hanging="313"/>
        <w:spacing w:after="0" w:line="216" w:lineRule="auto"/>
        <w:tabs>
          <w:tab w:leader="none" w:pos="3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If Adjusted EBITDA Margin % does not exceed 20% cumulative for the first two years of the performance period, none of the PSU awards subject to the Adjusted Revenue Growth % (FXN) and Adjusted Operating Profit $ metrics will vest regardless of the Adjusted Revenue Growth % (FXN) and Adjusted Operating Profit $ performance achieved.</w:t>
      </w:r>
    </w:p>
    <w:p>
      <w:pPr>
        <w:sectPr>
          <w:pgSz w:w="11900" w:h="16838" w:orient="portrait"/>
          <w:cols w:equalWidth="0" w:num="1">
            <w:col w:w="10900"/>
          </w:cols>
          <w:pgMar w:left="320" w:top="1417" w:right="679" w:bottom="1440" w:gutter="0" w:footer="0" w:header="0"/>
        </w:sectPr>
      </w:pPr>
    </w:p>
    <w:bookmarkStart w:id="39" w:name="page40"/>
    <w:bookmarkEnd w:id="39"/>
    <w:p>
      <w:pPr>
        <w:spacing w:after="0"/>
        <w:rPr>
          <w:sz w:val="20"/>
          <w:szCs w:val="20"/>
          <w:color w:val="auto"/>
        </w:rPr>
      </w:pPr>
      <w:r>
        <w:rPr>
          <w:rFonts w:ascii="Arial" w:cs="Arial" w:eastAsia="Arial" w:hAnsi="Arial"/>
          <w:sz w:val="20"/>
          <w:szCs w:val="20"/>
          <w:u w:val="single" w:color="auto"/>
          <w:color w:val="auto"/>
        </w:rPr>
        <w:t>Strategic Objective Targets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four strategic objectives are 3-year goals with an equivalent transformational impact on embecta with equal weighting for each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5396865" cy="2970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96865" cy="297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Notes</w:t>
      </w:r>
    </w:p>
    <w:p>
      <w:pPr>
        <w:ind w:left="320" w:hanging="313"/>
        <w:spacing w:after="0"/>
        <w:tabs>
          <w:tab w:leader="none" w:pos="3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*TSAs: Including facilities and Logistics Services Agreements, but not Contract Manufacturing Arrangements</w:t>
      </w:r>
    </w:p>
    <w:p>
      <w:pPr>
        <w:sectPr>
          <w:pgSz w:w="11900" w:h="16838" w:orient="portrait"/>
          <w:cols w:equalWidth="0" w:num="1">
            <w:col w:w="11140"/>
          </w:cols>
          <w:pgMar w:left="320" w:top="1423"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Devdatt Kurdikar, certify that:</w:t>
      </w:r>
    </w:p>
    <w:p>
      <w:pPr>
        <w:spacing w:after="0" w:line="142"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Embecta Corp.;</w:t>
      </w:r>
    </w:p>
    <w:p>
      <w:pPr>
        <w:spacing w:after="0" w:line="141" w:lineRule="exact"/>
        <w:rPr>
          <w:rFonts w:ascii="Arial" w:cs="Arial" w:eastAsia="Arial" w:hAnsi="Arial"/>
          <w:sz w:val="18"/>
          <w:szCs w:val="18"/>
          <w:color w:val="auto"/>
        </w:rPr>
      </w:pPr>
    </w:p>
    <w:p>
      <w:pPr>
        <w:ind w:left="320" w:right="20" w:hanging="313"/>
        <w:spacing w:after="0" w:line="318"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6"/>
          <w:szCs w:val="16"/>
          <w:color w:val="auto"/>
        </w:rPr>
      </w:pPr>
    </w:p>
    <w:p>
      <w:pPr>
        <w:ind w:left="320" w:right="480" w:hanging="313"/>
        <w:spacing w:after="0" w:line="285"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7"/>
          <w:szCs w:val="17"/>
          <w:color w:val="auto"/>
        </w:rPr>
      </w:pPr>
    </w:p>
    <w:p>
      <w:pPr>
        <w:ind w:left="320" w:right="520" w:hanging="313"/>
        <w:spacing w:after="0" w:line="318"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75" w:lineRule="exact"/>
        <w:rPr>
          <w:rFonts w:ascii="Arial" w:cs="Arial" w:eastAsia="Arial" w:hAnsi="Arial"/>
          <w:sz w:val="16"/>
          <w:szCs w:val="16"/>
          <w:color w:val="auto"/>
        </w:rPr>
      </w:pPr>
    </w:p>
    <w:p>
      <w:pPr>
        <w:ind w:left="660" w:right="460" w:hanging="331"/>
        <w:spacing w:after="0" w:line="24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5" w:lineRule="exact"/>
        <w:rPr>
          <w:rFonts w:ascii="Arial" w:cs="Arial" w:eastAsia="Arial" w:hAnsi="Arial"/>
          <w:sz w:val="18"/>
          <w:szCs w:val="18"/>
          <w:color w:val="auto"/>
        </w:rPr>
      </w:pPr>
    </w:p>
    <w:p>
      <w:pPr>
        <w:ind w:left="660" w:hanging="331"/>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54" w:lineRule="exact"/>
        <w:rPr>
          <w:rFonts w:ascii="Arial" w:cs="Arial" w:eastAsia="Arial" w:hAnsi="Arial"/>
          <w:sz w:val="18"/>
          <w:szCs w:val="18"/>
          <w:color w:val="auto"/>
        </w:rPr>
      </w:pPr>
    </w:p>
    <w:p>
      <w:pPr>
        <w:jc w:val="both"/>
        <w:ind w:left="660" w:right="940" w:hanging="331"/>
        <w:spacing w:after="0" w:line="355" w:lineRule="auto"/>
        <w:tabs>
          <w:tab w:leader="none" w:pos="66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5"/>
          <w:szCs w:val="15"/>
          <w:color w:val="auto"/>
        </w:rPr>
      </w:pPr>
    </w:p>
    <w:p>
      <w:pPr>
        <w:ind w:left="660" w:right="20" w:hanging="331"/>
        <w:spacing w:after="0" w:line="252"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Arial" w:cs="Arial" w:eastAsia="Arial" w:hAnsi="Arial"/>
          <w:sz w:val="18"/>
          <w:szCs w:val="18"/>
          <w:color w:val="auto"/>
        </w:rPr>
      </w:pPr>
    </w:p>
    <w:p>
      <w:pPr>
        <w:ind w:left="320" w:right="220" w:hanging="313"/>
        <w:spacing w:after="0" w:line="285"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7"/>
          <w:szCs w:val="17"/>
          <w:color w:val="auto"/>
        </w:rPr>
      </w:pPr>
    </w:p>
    <w:p>
      <w:pPr>
        <w:ind w:left="660" w:right="360" w:hanging="331"/>
        <w:spacing w:after="0" w:line="302"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7"/>
          <w:szCs w:val="17"/>
          <w:color w:val="auto"/>
        </w:rPr>
      </w:pPr>
    </w:p>
    <w:p>
      <w:pPr>
        <w:ind w:left="660" w:right="320" w:hanging="331"/>
        <w:spacing w:after="0" w:line="256"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2023</w:t>
      </w:r>
    </w:p>
    <w:p>
      <w:pPr>
        <w:spacing w:after="0" w:line="6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22225</wp:posOffset>
            </wp:positionV>
            <wp:extent cx="2860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Devdatt Kurdikar</w:t>
      </w:r>
    </w:p>
    <w:p>
      <w:pPr>
        <w:spacing w:after="0" w:line="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Jacob Elguicze, certify that:</w:t>
      </w:r>
    </w:p>
    <w:p>
      <w:pPr>
        <w:spacing w:after="0" w:line="142"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Embecta Corp.;</w:t>
      </w:r>
    </w:p>
    <w:p>
      <w:pPr>
        <w:spacing w:after="0" w:line="141" w:lineRule="exact"/>
        <w:rPr>
          <w:rFonts w:ascii="Arial" w:cs="Arial" w:eastAsia="Arial" w:hAnsi="Arial"/>
          <w:sz w:val="18"/>
          <w:szCs w:val="18"/>
          <w:color w:val="auto"/>
        </w:rPr>
      </w:pPr>
    </w:p>
    <w:p>
      <w:pPr>
        <w:ind w:left="320" w:right="20" w:hanging="313"/>
        <w:spacing w:after="0" w:line="318"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6"/>
          <w:szCs w:val="16"/>
          <w:color w:val="auto"/>
        </w:rPr>
      </w:pPr>
    </w:p>
    <w:p>
      <w:pPr>
        <w:ind w:left="320" w:right="480" w:hanging="313"/>
        <w:spacing w:after="0" w:line="285"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7"/>
          <w:szCs w:val="17"/>
          <w:color w:val="auto"/>
        </w:rPr>
      </w:pPr>
    </w:p>
    <w:p>
      <w:pPr>
        <w:ind w:left="320" w:right="520" w:hanging="313"/>
        <w:spacing w:after="0" w:line="318"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75" w:lineRule="exact"/>
        <w:rPr>
          <w:rFonts w:ascii="Arial" w:cs="Arial" w:eastAsia="Arial" w:hAnsi="Arial"/>
          <w:sz w:val="16"/>
          <w:szCs w:val="16"/>
          <w:color w:val="auto"/>
        </w:rPr>
      </w:pPr>
    </w:p>
    <w:p>
      <w:pPr>
        <w:ind w:left="660" w:right="460" w:hanging="331"/>
        <w:spacing w:after="0" w:line="24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660" w:hanging="331"/>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41" w:lineRule="exact"/>
        <w:rPr>
          <w:rFonts w:ascii="Arial" w:cs="Arial" w:eastAsia="Arial" w:hAnsi="Arial"/>
          <w:sz w:val="18"/>
          <w:szCs w:val="18"/>
          <w:color w:val="auto"/>
        </w:rPr>
      </w:pPr>
    </w:p>
    <w:p>
      <w:pPr>
        <w:jc w:val="both"/>
        <w:ind w:left="660" w:right="940" w:hanging="331"/>
        <w:spacing w:after="0" w:line="374" w:lineRule="auto"/>
        <w:tabs>
          <w:tab w:leader="none" w:pos="66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Arial" w:cs="Arial" w:eastAsia="Arial" w:hAnsi="Arial"/>
          <w:sz w:val="15"/>
          <w:szCs w:val="15"/>
          <w:color w:val="auto"/>
        </w:rPr>
      </w:pPr>
    </w:p>
    <w:p>
      <w:pPr>
        <w:ind w:left="660" w:right="20" w:hanging="331"/>
        <w:spacing w:after="0" w:line="24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320" w:right="220" w:hanging="313"/>
        <w:spacing w:after="0" w:line="302"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7"/>
          <w:szCs w:val="17"/>
          <w:color w:val="auto"/>
        </w:rPr>
      </w:pPr>
    </w:p>
    <w:p>
      <w:pPr>
        <w:ind w:left="660" w:right="360" w:hanging="331"/>
        <w:spacing w:after="0" w:line="285"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7"/>
          <w:szCs w:val="17"/>
          <w:color w:val="auto"/>
        </w:rPr>
      </w:pPr>
    </w:p>
    <w:p>
      <w:pPr>
        <w:ind w:left="660" w:right="320" w:hanging="331"/>
        <w:spacing w:after="0" w:line="25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2023</w:t>
      </w:r>
    </w:p>
    <w:p>
      <w:pPr>
        <w:spacing w:after="0" w:line="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22225</wp:posOffset>
            </wp:positionV>
            <wp:extent cx="2860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Jacob Elguicze</w:t>
      </w:r>
    </w:p>
    <w:p>
      <w:pPr>
        <w:spacing w:after="0" w:line="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05" w:lineRule="exact"/>
        <w:rPr>
          <w:sz w:val="20"/>
          <w:szCs w:val="20"/>
          <w:color w:val="auto"/>
        </w:rPr>
      </w:pPr>
    </w:p>
    <w:p>
      <w:pPr>
        <w:ind w:right="20" w:firstLine="437"/>
        <w:spacing w:after="0" w:line="256" w:lineRule="auto"/>
        <w:rPr>
          <w:sz w:val="20"/>
          <w:szCs w:val="20"/>
          <w:color w:val="auto"/>
        </w:rPr>
      </w:pPr>
      <w:r>
        <w:rPr>
          <w:rFonts w:ascii="Arial" w:cs="Arial" w:eastAsia="Arial" w:hAnsi="Arial"/>
          <w:sz w:val="18"/>
          <w:szCs w:val="18"/>
          <w:color w:val="auto"/>
        </w:rPr>
        <w:t>Pursuant to 18 U.S.C. Section 1350, in connection with the Quarterly Report on Form 10-Q of Embecta Corp. for the quarter ended March 31, 2023 as filed with the Securities and Exchange Commission (the “Report”).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Devdatt Kurdikar, the Chief Executive Officer of Embecta Corp., certify that, to the best of my knowledge:</w:t>
      </w:r>
    </w:p>
    <w:p>
      <w:pPr>
        <w:spacing w:after="0" w:line="128" w:lineRule="exact"/>
        <w:rPr>
          <w:sz w:val="20"/>
          <w:szCs w:val="20"/>
          <w:color w:val="auto"/>
        </w:rPr>
      </w:pPr>
    </w:p>
    <w:p>
      <w:pPr>
        <w:ind w:left="400" w:hanging="393"/>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Report fully complies with the requirements of Section 13(a) or 15(d) of the Securities Exchange Act of 1934; and</w:t>
      </w:r>
    </w:p>
    <w:p>
      <w:pPr>
        <w:spacing w:after="0" w:line="101" w:lineRule="exact"/>
        <w:rPr>
          <w:rFonts w:ascii="Arial" w:cs="Arial" w:eastAsia="Arial" w:hAnsi="Arial"/>
          <w:sz w:val="18"/>
          <w:szCs w:val="18"/>
          <w:color w:val="auto"/>
        </w:rPr>
      </w:pPr>
    </w:p>
    <w:p>
      <w:pPr>
        <w:ind w:left="400" w:hanging="393"/>
        <w:spacing w:after="0"/>
        <w:tabs>
          <w:tab w:leader="none" w:pos="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Embecta Corp.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2023</w:t>
      </w:r>
    </w:p>
    <w:p>
      <w:pPr>
        <w:spacing w:after="0" w:line="24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13970</wp:posOffset>
            </wp:positionV>
            <wp:extent cx="2860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Devdatt Kurdikar</w:t>
      </w:r>
    </w:p>
    <w:p>
      <w:pPr>
        <w:spacing w:after="0" w:line="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05" w:lineRule="exact"/>
        <w:rPr>
          <w:sz w:val="20"/>
          <w:szCs w:val="20"/>
          <w:color w:val="auto"/>
        </w:rPr>
      </w:pPr>
    </w:p>
    <w:p>
      <w:pPr>
        <w:ind w:right="20" w:firstLine="437"/>
        <w:spacing w:after="0" w:line="256" w:lineRule="auto"/>
        <w:rPr>
          <w:sz w:val="20"/>
          <w:szCs w:val="20"/>
          <w:color w:val="auto"/>
        </w:rPr>
      </w:pPr>
      <w:r>
        <w:rPr>
          <w:rFonts w:ascii="Arial" w:cs="Arial" w:eastAsia="Arial" w:hAnsi="Arial"/>
          <w:sz w:val="18"/>
          <w:szCs w:val="18"/>
          <w:color w:val="auto"/>
        </w:rPr>
        <w:t>Pursuant to 18 U.S.C. Section 1350, in connection with the Quarterly Report on Form 10-Q of Embecta Corp. for the quarter ended March 31, 2023 as filed with the Securities and Exchange Commission (the “Report”).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Jacob Elguicze, the Chief Financial Officer of Embecta Corp., certify that, to the best of my knowledge:</w:t>
      </w:r>
    </w:p>
    <w:p>
      <w:pPr>
        <w:spacing w:after="0" w:line="128" w:lineRule="exact"/>
        <w:rPr>
          <w:sz w:val="20"/>
          <w:szCs w:val="20"/>
          <w:color w:val="auto"/>
        </w:rPr>
      </w:pPr>
    </w:p>
    <w:p>
      <w:pPr>
        <w:ind w:left="400" w:hanging="393"/>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Report fully complies with the requirements of Section 13(a) or 15(d) of the Securities Exchange Act of 1934; and</w:t>
      </w:r>
    </w:p>
    <w:p>
      <w:pPr>
        <w:spacing w:after="0" w:line="101" w:lineRule="exact"/>
        <w:rPr>
          <w:rFonts w:ascii="Arial" w:cs="Arial" w:eastAsia="Arial" w:hAnsi="Arial"/>
          <w:sz w:val="18"/>
          <w:szCs w:val="18"/>
          <w:color w:val="auto"/>
        </w:rPr>
      </w:pPr>
    </w:p>
    <w:p>
      <w:pPr>
        <w:ind w:left="400" w:hanging="393"/>
        <w:spacing w:after="0"/>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Embecta Corp.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2023</w:t>
      </w:r>
    </w:p>
    <w:p>
      <w:pPr>
        <w:spacing w:after="0" w:line="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22225</wp:posOffset>
            </wp:positionV>
            <wp:extent cx="2860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Jacob Elguicze</w:t>
      </w:r>
    </w:p>
    <w:p>
      <w:pPr>
        <w:spacing w:after="0" w:line="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9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lvl w:ilvl="1">
      <w:lvlJc w:val="left"/>
      <w:lvlText w:val="(%2)"/>
      <w:numFmt w:val="lowerLetter"/>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decimal"/>
      <w:start w:val="8"/>
    </w:lvl>
  </w:abstractNum>
  <w:abstractNum w:abstractNumId="17">
    <w:nsid w:val="333AB105"/>
    <w:multiLevelType w:val="hybridMultilevel"/>
    <w:lvl w:ilvl="0">
      <w:lvlJc w:val="left"/>
      <w:lvlText w:val="%1."/>
      <w:numFmt w:val="decimal"/>
      <w:start w:val="1"/>
    </w:lvl>
    <w:lvl w:ilvl="1">
      <w:lvlJc w:val="left"/>
      <w:lvlText w:val="(%2)"/>
      <w:numFmt w:val="lowerLetter"/>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2023-05-12T11:43:36Z</dcterms:created>
  <dcterms:modified xsi:type="dcterms:W3CDTF">2023-05-12T11:43:36Z</dcterms:modified>
</cp:coreProperties>
</file>