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Albritton David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13,068.8229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now includes 65.822912 shares received by the reporting person as stock dividends.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March 25,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0123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2023-02-10T15:30:46Z</dcterms:created>
  <dcterms:modified xsi:type="dcterms:W3CDTF">2023-02-10T15:30:46Z</dcterms:modified>
</cp:coreProperties>
</file>