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210185</wp:posOffset>
            </wp:positionV>
            <wp:extent cx="14827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241935</wp:posOffset>
            </wp:positionV>
            <wp:extent cx="1482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82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EMBECTA CORP.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210185</wp:posOffset>
            </wp:positionV>
            <wp:extent cx="1482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82"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8"/>
                <w:szCs w:val="18"/>
                <w:b w:val="1"/>
                <w:bCs w:val="1"/>
                <w:color w:val="auto"/>
                <w:w w:val="99"/>
              </w:rPr>
              <w:t>001-41186</w:t>
            </w:r>
          </w:p>
        </w:tc>
        <w:tc>
          <w:tcPr>
            <w:tcW w:w="2620" w:type="dxa"/>
            <w:vAlign w:val="bottom"/>
          </w:tcPr>
          <w:p>
            <w:pPr>
              <w:jc w:val="center"/>
              <w:ind w:left="1441"/>
              <w:spacing w:after="0"/>
              <w:rPr>
                <w:sz w:val="20"/>
                <w:szCs w:val="20"/>
                <w:color w:val="auto"/>
              </w:rPr>
            </w:pPr>
            <w:r>
              <w:rPr>
                <w:rFonts w:ascii="Times New Roman" w:cs="Times New Roman" w:eastAsia="Times New Roman" w:hAnsi="Times New Roman"/>
                <w:sz w:val="18"/>
                <w:szCs w:val="18"/>
                <w:b w:val="1"/>
                <w:bCs w:val="1"/>
                <w:color w:val="auto"/>
                <w:w w:val="98"/>
              </w:rPr>
              <w:t>87-1583942</w:t>
            </w:r>
          </w:p>
        </w:tc>
      </w:tr>
      <w:tr>
        <w:trPr>
          <w:trHeight w:val="191"/>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62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620" w:type="dxa"/>
            <w:vAlign w:val="bottom"/>
          </w:tcPr>
          <w:p>
            <w:pPr>
              <w:jc w:val="center"/>
              <w:ind w:left="14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631"/>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8"/>
                <w:szCs w:val="18"/>
                <w:b w:val="1"/>
                <w:bCs w:val="1"/>
                <w:color w:val="auto"/>
                <w:w w:val="99"/>
              </w:rPr>
              <w:t>300 Kimball Drive, Suite 300, Parsippany, New Jersey</w:t>
            </w:r>
          </w:p>
        </w:tc>
        <w:tc>
          <w:tcPr>
            <w:tcW w:w="2620" w:type="dxa"/>
            <w:vAlign w:val="bottom"/>
          </w:tcPr>
          <w:p>
            <w:pPr>
              <w:jc w:val="center"/>
              <w:ind w:left="1441"/>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206"/>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2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(862) 401-0000</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827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08" w:lineRule="exact"/>
        <w:rPr>
          <w:sz w:val="24"/>
          <w:szCs w:val="24"/>
          <w:color w:val="auto"/>
        </w:rPr>
      </w:pPr>
    </w:p>
    <w:tbl>
      <w:tblPr>
        <w:tblLayout w:type="fixed"/>
        <w:tblInd w:w="4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4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01"/>
        </w:trPr>
        <w:tc>
          <w:tcPr>
            <w:tcW w:w="4720" w:type="dxa"/>
            <w:vAlign w:val="bottom"/>
            <w:gridSpan w:val="2"/>
          </w:tcPr>
          <w:p>
            <w:pPr>
              <w:jc w:val="center"/>
              <w:ind w:right="1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100" w:type="dxa"/>
            <w:vAlign w:val="bottom"/>
            <w:gridSpan w:val="2"/>
          </w:tcPr>
          <w:p>
            <w:pPr>
              <w:jc w:val="center"/>
              <w:ind w:right="1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EMBC</w:t>
            </w:r>
          </w:p>
        </w:tc>
        <w:tc>
          <w:tcPr>
            <w:tcW w:w="43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The Nasdaq Stock Market LLC (Nasdaq Global Select</w:t>
            </w:r>
          </w:p>
        </w:tc>
      </w:tr>
      <w:tr>
        <w:trPr>
          <w:trHeight w:val="238"/>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w:t>
            </w:r>
          </w:p>
        </w:tc>
      </w:tr>
    </w:tbl>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9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ectPr>
          <w:pgSz w:w="11900" w:h="16838" w:orient="portrait"/>
          <w:cols w:equalWidth="0" w:num="1">
            <w:col w:w="11240"/>
          </w:cols>
          <w:pgMar w:left="320" w:top="1440" w:right="339" w:bottom="0" w:gutter="0" w:footer="0" w:header="0"/>
          <w:type w:val="continuous"/>
        </w:sectPr>
      </w:pPr>
    </w:p>
    <w:bookmarkStart w:id="1" w:name="page2"/>
    <w:bookmarkEnd w:id="1"/>
    <w:p>
      <w:pPr>
        <w:spacing w:after="0" w:line="266" w:lineRule="auto"/>
        <w:rPr>
          <w:sz w:val="20"/>
          <w:szCs w:val="20"/>
          <w:color w:val="auto"/>
        </w:rPr>
      </w:pPr>
      <w:r>
        <w:rPr>
          <w:rFonts w:ascii="Times New Roman" w:cs="Times New Roman" w:eastAsia="Times New Roman" w:hAnsi="Times New Roman"/>
          <w:sz w:val="18"/>
          <w:szCs w:val="18"/>
          <w:color w:val="auto"/>
        </w:rPr>
        <w:t>On August 8, 2025, Embecta Corp. issued a press release (the “Press Release”) regarding its results for the quarter ended June 30, 2025. The Press Release is furnished as Exhibit 99.1 to this report.</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08"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furnished as an exhibit to this report:</w:t>
      </w:r>
    </w:p>
    <w:p>
      <w:pPr>
        <w:spacing w:after="0" w:line="306"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color w:val="auto"/>
        </w:rPr>
        <w:t>Press Release, dated August 8, 2025.</w:t>
      </w:r>
    </w:p>
    <w:p>
      <w:pPr>
        <w:spacing w:after="0" w:line="320"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EMBECTA CORP.</w:t>
      </w:r>
    </w:p>
    <w:p>
      <w:pPr>
        <w:spacing w:after="0" w:line="320" w:lineRule="exact"/>
        <w:rPr>
          <w:sz w:val="20"/>
          <w:szCs w:val="20"/>
          <w:color w:val="auto"/>
        </w:rPr>
      </w:pPr>
    </w:p>
    <w:p>
      <w:pPr>
        <w:ind w:left="20"/>
        <w:spacing w:after="0"/>
        <w:tabs>
          <w:tab w:leader="none" w:pos="5320" w:val="left"/>
          <w:tab w:leader="none" w:pos="5900" w:val="left"/>
        </w:tabs>
        <w:rPr>
          <w:sz w:val="20"/>
          <w:szCs w:val="20"/>
          <w:color w:val="auto"/>
        </w:rPr>
      </w:pPr>
      <w:r>
        <w:rPr>
          <w:rFonts w:ascii="Times New Roman" w:cs="Times New Roman" w:eastAsia="Times New Roman" w:hAnsi="Times New Roman"/>
          <w:sz w:val="18"/>
          <w:szCs w:val="18"/>
          <w:color w:val="auto"/>
        </w:rPr>
        <w:t>Dated: August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26035</wp:posOffset>
            </wp:positionV>
            <wp:extent cx="33947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4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Jacob Elguicze</w:t>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927"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1148715" cy="51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148715" cy="51435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Embecta Corp. Reports Third Quarter Fiscal 2025 Financial Results</w:t>
      </w:r>
    </w:p>
    <w:p>
      <w:pPr>
        <w:spacing w:after="0" w:line="29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 xml:space="preserve">PARSIPPANY, N.J., </w:t>
      </w:r>
      <w:r>
        <w:rPr>
          <w:rFonts w:ascii="Arial" w:cs="Arial" w:eastAsia="Arial" w:hAnsi="Arial"/>
          <w:sz w:val="17"/>
          <w:szCs w:val="17"/>
          <w:color w:val="auto"/>
        </w:rPr>
        <w:t>Aug 8, 2025 (GLOBE NEWSWIRE) – Embecta Corp. (“embecta” or the "Company") (Nasdaq: EMBC), a global diabetes care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today reported financial results for the three and nine month periods ended June 30, 2025.</w:t>
      </w:r>
    </w:p>
    <w:p>
      <w:pPr>
        <w:spacing w:after="0" w:line="10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"Q3 was a strong quarter for embecta, reflecting solid commercial execution, aided in part by the timing of customer orders. Despite an increasingly complex and dynamic geopolitical environment, given the year-to-date performance and our outlook for the remainder of the year, we are tightening and raising our fiscal 2025 outlook for key financial metrics," said Devdatt (Dev) Kurdikar, President and Chief Executive Officer of embecta.</w:t>
      </w:r>
    </w:p>
    <w:p>
      <w:pPr>
        <w:spacing w:after="0" w:line="112"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Mr. Kurdikar added, "This quarter, we implemented our ERP system and operationalized our own distribution centers and shared services in India, marking the successful conclusion of a multi-year, complex separation program. We remain focused on executing on the value creation drivers we highlighted at our recent Analyst and Investor Day, including our long-term goal of transforming embecta into a diversified medical supplies company."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7"/>
          <w:szCs w:val="17"/>
          <w:b w:val="1"/>
          <w:bCs w:val="1"/>
          <w:u w:val="single" w:color="auto"/>
          <w:color w:val="auto"/>
        </w:rPr>
        <w:t>Third Quarter Fiscal Year 2025 Financial Highlights</w:t>
      </w:r>
      <w:r>
        <w:rPr>
          <w:rFonts w:ascii="Arial" w:cs="Arial" w:eastAsia="Arial" w:hAnsi="Arial"/>
          <w:sz w:val="17"/>
          <w:szCs w:val="17"/>
          <w:b w:val="1"/>
          <w:bCs w:val="1"/>
          <w:color w:val="auto"/>
        </w:rPr>
        <w:t>:</w:t>
      </w:r>
    </w:p>
    <w:p>
      <w:pPr>
        <w:spacing w:after="0" w:line="156"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Revenues of $295.5 million, up 8.4% on a reported basis; up 8.0% on an adjusted constant currency basis</w:t>
      </w:r>
    </w:p>
    <w:p>
      <w:pPr>
        <w:spacing w:after="0" w:line="169" w:lineRule="exact"/>
        <w:rPr>
          <w:rFonts w:ascii="Arial" w:cs="Arial" w:eastAsia="Arial" w:hAnsi="Arial"/>
          <w:sz w:val="17"/>
          <w:szCs w:val="17"/>
          <w:color w:val="auto"/>
        </w:rPr>
      </w:pPr>
    </w:p>
    <w:p>
      <w:pPr>
        <w:ind w:left="1300" w:hanging="320"/>
        <w:spacing w:after="0"/>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color w:val="auto"/>
        </w:rPr>
        <w:t>U.S. revenues increased 11.6% on both a reported and adjusted constant currency basis</w:t>
      </w:r>
    </w:p>
    <w:p>
      <w:pPr>
        <w:spacing w:after="0" w:line="169" w:lineRule="exact"/>
        <w:rPr>
          <w:rFonts w:ascii="Arial" w:cs="Arial" w:eastAsia="Arial" w:hAnsi="Arial"/>
          <w:sz w:val="17"/>
          <w:szCs w:val="17"/>
          <w:color w:val="auto"/>
        </w:rPr>
      </w:pPr>
    </w:p>
    <w:p>
      <w:pPr>
        <w:ind w:left="1300" w:hanging="320"/>
        <w:spacing w:after="0"/>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color w:val="auto"/>
        </w:rPr>
        <w:t>International revenues increased 5.0% on a reported basis, and 4.2% on an adjusted constant currency basis</w:t>
      </w:r>
    </w:p>
    <w:p>
      <w:pPr>
        <w:spacing w:after="0" w:line="169"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Gross profit and margin of $197.1 million and 66.7%, compared to $190.1 million and 69.8% in the prior year period</w:t>
      </w:r>
    </w:p>
    <w:p>
      <w:pPr>
        <w:spacing w:after="0" w:line="169"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gross profit and margin of $198.6 million and 67.2%, compared to $190.3 million and 69.8%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Operating income and margin of $94.0 million and 31.8%, compared to $55.9 million and 20.5%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operating income and margin of $109.1 million and 36.9%, compared to $83.3 million and 30.6%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income and earnings per diluted share of $45.5 million and $0.78, compared to $14.7 million and $0.25 in the prior year period</w:t>
      </w:r>
    </w:p>
    <w:p>
      <w:pPr>
        <w:spacing w:after="0" w:line="155" w:lineRule="exact"/>
        <w:rPr>
          <w:rFonts w:ascii="Arial" w:cs="Arial" w:eastAsia="Arial" w:hAnsi="Arial"/>
          <w:sz w:val="17"/>
          <w:szCs w:val="17"/>
          <w:color w:val="auto"/>
        </w:rPr>
      </w:pPr>
    </w:p>
    <w:p>
      <w:pPr>
        <w:ind w:left="660" w:hanging="328"/>
        <w:spacing w:after="0" w:line="267" w:lineRule="auto"/>
        <w:tabs>
          <w:tab w:leader="none" w:pos="652"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net income and adjusted earnings per diluted share of $65.5 million and $1.12, compared to $43.0 million and $0.74 in the prior year period</w:t>
      </w:r>
    </w:p>
    <w:p>
      <w:pPr>
        <w:spacing w:after="0" w:line="118"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EBITDA and margin of $131.0 million and 44.3%, compared to $99.2 million and 36.4%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Announced a dividend of $0.15 per share</w:t>
      </w:r>
    </w:p>
    <w:p>
      <w:pPr>
        <w:sectPr>
          <w:pgSz w:w="11900" w:h="16838" w:orient="portrait"/>
          <w:cols w:equalWidth="0" w:num="1">
            <w:col w:w="11240"/>
          </w:cols>
          <w:pgMar w:left="320" w:top="1305"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auto"/>
        </w:rPr>
        <w:t>Nine Months Ended June 30 2025 Financial Highlights</w:t>
      </w:r>
      <w:r>
        <w:rPr>
          <w:rFonts w:ascii="Arial" w:cs="Arial" w:eastAsia="Arial" w:hAnsi="Arial"/>
          <w:sz w:val="17"/>
          <w:szCs w:val="17"/>
          <w:b w:val="1"/>
          <w:bCs w:val="1"/>
          <w:color w:val="auto"/>
        </w:rPr>
        <w:t>:</w:t>
      </w:r>
    </w:p>
    <w:p>
      <w:pPr>
        <w:spacing w:after="0" w:line="169"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Revenues of $816.4 million, down 2.5% on a reported basis; down 1.7% on an adjusted constant currency basis</w:t>
      </w:r>
    </w:p>
    <w:p>
      <w:pPr>
        <w:spacing w:after="0" w:line="169" w:lineRule="exact"/>
        <w:rPr>
          <w:rFonts w:ascii="Arial" w:cs="Arial" w:eastAsia="Arial" w:hAnsi="Arial"/>
          <w:sz w:val="17"/>
          <w:szCs w:val="17"/>
          <w:color w:val="auto"/>
        </w:rPr>
      </w:pPr>
    </w:p>
    <w:p>
      <w:pPr>
        <w:ind w:left="1300" w:hanging="320"/>
        <w:spacing w:after="0"/>
        <w:tabs>
          <w:tab w:leader="none" w:pos="1300" w:val="left"/>
        </w:tabs>
        <w:numPr>
          <w:ilvl w:val="1"/>
          <w:numId w:val="4"/>
        </w:numPr>
        <w:rPr>
          <w:rFonts w:ascii="Arial" w:cs="Arial" w:eastAsia="Arial" w:hAnsi="Arial"/>
          <w:sz w:val="17"/>
          <w:szCs w:val="17"/>
          <w:color w:val="auto"/>
        </w:rPr>
      </w:pPr>
      <w:r>
        <w:rPr>
          <w:rFonts w:ascii="Arial" w:cs="Arial" w:eastAsia="Arial" w:hAnsi="Arial"/>
          <w:sz w:val="17"/>
          <w:szCs w:val="17"/>
          <w:color w:val="auto"/>
        </w:rPr>
        <w:t>U.S. revenues decreased 0.6% on both a reported and adjusted constant currency basis</w:t>
      </w:r>
    </w:p>
    <w:p>
      <w:pPr>
        <w:spacing w:after="0" w:line="209" w:lineRule="exact"/>
        <w:rPr>
          <w:rFonts w:ascii="Arial" w:cs="Arial" w:eastAsia="Arial" w:hAnsi="Arial"/>
          <w:sz w:val="17"/>
          <w:szCs w:val="17"/>
          <w:color w:val="auto"/>
        </w:rPr>
      </w:pPr>
    </w:p>
    <w:p>
      <w:pPr>
        <w:ind w:left="1300" w:hanging="320"/>
        <w:spacing w:after="0"/>
        <w:tabs>
          <w:tab w:leader="none" w:pos="1300" w:val="left"/>
        </w:tabs>
        <w:numPr>
          <w:ilvl w:val="1"/>
          <w:numId w:val="4"/>
        </w:numPr>
        <w:rPr>
          <w:rFonts w:ascii="Arial" w:cs="Arial" w:eastAsia="Arial" w:hAnsi="Arial"/>
          <w:sz w:val="17"/>
          <w:szCs w:val="17"/>
          <w:color w:val="auto"/>
        </w:rPr>
      </w:pPr>
      <w:r>
        <w:rPr>
          <w:rFonts w:ascii="Arial" w:cs="Arial" w:eastAsia="Arial" w:hAnsi="Arial"/>
          <w:sz w:val="17"/>
          <w:szCs w:val="17"/>
          <w:color w:val="auto"/>
        </w:rPr>
        <w:t>International revenues decreased 4.5% on a reported basis, and 2.7% on an adjusted constant currency basis</w:t>
      </w:r>
    </w:p>
    <w:p>
      <w:pPr>
        <w:spacing w:after="0" w:line="169"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Gross profit and margin of $518.3 million and 63.5%, compared to $561.4 million and 67.1%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Adjusted gross profit and margin of $527.8 million and 64.6%, compared to $562.4 million and 67.2% in the prior year period</w:t>
      </w:r>
    </w:p>
    <w:p>
      <w:pPr>
        <w:spacing w:after="0" w:line="169"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Operating income and margin of $185.6 million and 22.7%, compared to $140.6 million and 16.8%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Adjusted operating income and margin of $271.0 million and 33.2%, compared to $235.7 million and 28.2%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Net income and earnings per diluted share of $69.0 million and $1.18, compared to $63.7 million and $1.10 in the prior year period</w:t>
      </w:r>
    </w:p>
    <w:p>
      <w:pPr>
        <w:spacing w:after="0" w:line="169" w:lineRule="exact"/>
        <w:rPr>
          <w:rFonts w:ascii="Arial" w:cs="Arial" w:eastAsia="Arial" w:hAnsi="Arial"/>
          <w:sz w:val="17"/>
          <w:szCs w:val="17"/>
          <w:color w:val="auto"/>
        </w:rPr>
      </w:pPr>
    </w:p>
    <w:p>
      <w:pPr>
        <w:ind w:left="660" w:hanging="328"/>
        <w:spacing w:after="0" w:line="267" w:lineRule="auto"/>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auto"/>
        </w:rPr>
        <w:t>Adjusted net income and adjusted earnings per diluted share of $144.5 million and $2.46, compared to $117.2 million and $2.02 in the prior year period</w:t>
      </w:r>
    </w:p>
    <w:p>
      <w:pPr>
        <w:spacing w:after="0" w:line="118"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Adjusted EBITDA and margin of $325.4 million and 39.9%, compared to $280.4 million and 33.5% in the prior year period</w:t>
      </w:r>
    </w:p>
    <w:p>
      <w:pPr>
        <w:sectPr>
          <w:pgSz w:w="11900" w:h="16838" w:orient="portrait"/>
          <w:cols w:equalWidth="0" w:num="1">
            <w:col w:w="11240"/>
          </w:cols>
          <w:pgMar w:left="320" w:top="1076"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auto"/>
        </w:rPr>
        <w:t>Strategic Highlights</w:t>
      </w:r>
      <w:r>
        <w:rPr>
          <w:rFonts w:ascii="Arial" w:cs="Arial" w:eastAsia="Arial" w:hAnsi="Arial"/>
          <w:sz w:val="17"/>
          <w:szCs w:val="17"/>
          <w:b w:val="1"/>
          <w:bCs w:val="1"/>
          <w:color w:val="auto"/>
        </w:rPr>
        <w:t>:</w:t>
      </w:r>
    </w:p>
    <w:p>
      <w:pPr>
        <w:spacing w:after="0" w:line="19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7"/>
          <w:szCs w:val="17"/>
          <w:i w:val="1"/>
          <w:iCs w:val="1"/>
          <w:color w:val="auto"/>
        </w:rPr>
        <w:t>Strengthen core business</w:t>
      </w:r>
    </w:p>
    <w:p>
      <w:pPr>
        <w:spacing w:after="0" w:line="153" w:lineRule="exact"/>
        <w:rPr>
          <w:rFonts w:ascii="Arial" w:cs="Arial" w:eastAsia="Arial" w:hAnsi="Arial"/>
          <w:sz w:val="22"/>
          <w:szCs w:val="22"/>
          <w:color w:val="auto"/>
        </w:rPr>
      </w:pPr>
    </w:p>
    <w:p>
      <w:pPr>
        <w:ind w:left="1300" w:right="20" w:hanging="320"/>
        <w:spacing w:after="0" w:line="267" w:lineRule="auto"/>
        <w:tabs>
          <w:tab w:leader="none" w:pos="1307" w:val="left"/>
        </w:tabs>
        <w:numPr>
          <w:ilvl w:val="1"/>
          <w:numId w:val="5"/>
        </w:numPr>
        <w:rPr>
          <w:rFonts w:ascii="Arial" w:cs="Arial" w:eastAsia="Arial" w:hAnsi="Arial"/>
          <w:sz w:val="17"/>
          <w:szCs w:val="17"/>
          <w:color w:val="auto"/>
        </w:rPr>
      </w:pPr>
      <w:r>
        <w:rPr>
          <w:rFonts w:ascii="Arial" w:cs="Arial" w:eastAsia="Arial" w:hAnsi="Arial"/>
          <w:sz w:val="17"/>
          <w:szCs w:val="17"/>
          <w:color w:val="auto"/>
        </w:rPr>
        <w:t>Completed the global transition to our ERP system, shared service capabilities, and distribution infrastructure in India, which had been the only remaining market operating on Becton, Dickinson and Company (“BD”) systems</w:t>
      </w:r>
    </w:p>
    <w:p>
      <w:pPr>
        <w:spacing w:after="0" w:line="105" w:lineRule="exact"/>
        <w:rPr>
          <w:rFonts w:ascii="Arial" w:cs="Arial" w:eastAsia="Arial" w:hAnsi="Arial"/>
          <w:sz w:val="17"/>
          <w:szCs w:val="17"/>
          <w:color w:val="auto"/>
        </w:rPr>
      </w:pPr>
    </w:p>
    <w:p>
      <w:pPr>
        <w:ind w:left="1300" w:hanging="320"/>
        <w:spacing w:after="0" w:line="267" w:lineRule="auto"/>
        <w:tabs>
          <w:tab w:leader="none" w:pos="1293" w:val="left"/>
        </w:tabs>
        <w:numPr>
          <w:ilvl w:val="1"/>
          <w:numId w:val="5"/>
        </w:numPr>
        <w:rPr>
          <w:rFonts w:ascii="Arial" w:cs="Arial" w:eastAsia="Arial" w:hAnsi="Arial"/>
          <w:sz w:val="17"/>
          <w:szCs w:val="17"/>
          <w:color w:val="auto"/>
        </w:rPr>
      </w:pPr>
      <w:r>
        <w:rPr>
          <w:rFonts w:ascii="Arial" w:cs="Arial" w:eastAsia="Arial" w:hAnsi="Arial"/>
          <w:sz w:val="17"/>
          <w:szCs w:val="17"/>
          <w:color w:val="auto"/>
        </w:rPr>
        <w:t>Significantly advanced the brand transition program in the U.S. and Canada, which is expected to be substantially complete by the end of fiscal year 2025</w:t>
      </w:r>
    </w:p>
    <w:p>
      <w:pPr>
        <w:spacing w:after="0" w:line="107" w:lineRule="exact"/>
        <w:rPr>
          <w:rFonts w:ascii="Arial" w:cs="Arial" w:eastAsia="Arial" w:hAnsi="Arial"/>
          <w:sz w:val="17"/>
          <w:szCs w:val="17"/>
          <w:color w:val="auto"/>
        </w:rPr>
      </w:pPr>
    </w:p>
    <w:p>
      <w:pPr>
        <w:ind w:left="640" w:hanging="308"/>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Expand product portfolio</w:t>
      </w:r>
    </w:p>
    <w:p>
      <w:pPr>
        <w:spacing w:after="0" w:line="167" w:lineRule="exact"/>
        <w:rPr>
          <w:rFonts w:ascii="Arial" w:cs="Arial" w:eastAsia="Arial" w:hAnsi="Arial"/>
          <w:sz w:val="17"/>
          <w:szCs w:val="17"/>
          <w:color w:val="auto"/>
        </w:rPr>
      </w:pPr>
    </w:p>
    <w:p>
      <w:pPr>
        <w:ind w:left="1300" w:hanging="320"/>
        <w:spacing w:after="0" w:line="284" w:lineRule="auto"/>
        <w:tabs>
          <w:tab w:leader="none" w:pos="1320" w:val="left"/>
        </w:tabs>
        <w:numPr>
          <w:ilvl w:val="1"/>
          <w:numId w:val="5"/>
        </w:numPr>
        <w:rPr>
          <w:rFonts w:ascii="Arial" w:cs="Arial" w:eastAsia="Arial" w:hAnsi="Arial"/>
          <w:sz w:val="17"/>
          <w:szCs w:val="17"/>
          <w:color w:val="auto"/>
        </w:rPr>
      </w:pPr>
      <w:r>
        <w:rPr>
          <w:rFonts w:ascii="Arial" w:cs="Arial" w:eastAsia="Arial" w:hAnsi="Arial"/>
          <w:sz w:val="17"/>
          <w:szCs w:val="17"/>
          <w:color w:val="auto"/>
        </w:rPr>
        <w:t>Signed multiple contracts and received several purchase orders from pharmaceutical companies to co-package embecta pen needles with potential generic GLP-1 drugs</w:t>
      </w:r>
    </w:p>
    <w:p>
      <w:pPr>
        <w:spacing w:after="0" w:line="90" w:lineRule="exact"/>
        <w:rPr>
          <w:rFonts w:ascii="Arial" w:cs="Arial" w:eastAsia="Arial" w:hAnsi="Arial"/>
          <w:sz w:val="17"/>
          <w:szCs w:val="17"/>
          <w:color w:val="auto"/>
        </w:rPr>
      </w:pPr>
    </w:p>
    <w:p>
      <w:pPr>
        <w:ind w:left="1300" w:hanging="320"/>
        <w:spacing w:after="0" w:line="267" w:lineRule="auto"/>
        <w:tabs>
          <w:tab w:leader="none" w:pos="1307" w:val="left"/>
        </w:tabs>
        <w:numPr>
          <w:ilvl w:val="1"/>
          <w:numId w:val="5"/>
        </w:numPr>
        <w:rPr>
          <w:rFonts w:ascii="Arial" w:cs="Arial" w:eastAsia="Arial" w:hAnsi="Arial"/>
          <w:sz w:val="17"/>
          <w:szCs w:val="17"/>
          <w:color w:val="auto"/>
        </w:rPr>
      </w:pPr>
      <w:r>
        <w:rPr>
          <w:rFonts w:ascii="Arial" w:cs="Arial" w:eastAsia="Arial" w:hAnsi="Arial"/>
          <w:sz w:val="17"/>
          <w:szCs w:val="17"/>
          <w:color w:val="auto"/>
        </w:rPr>
        <w:t>Continued to make progress on expanding availability of appropriately sized GLP-1 retail packaging for use with weekly injection therapies</w:t>
      </w:r>
    </w:p>
    <w:p>
      <w:pPr>
        <w:spacing w:after="0" w:line="107" w:lineRule="exact"/>
        <w:rPr>
          <w:rFonts w:ascii="Arial" w:cs="Arial" w:eastAsia="Arial" w:hAnsi="Arial"/>
          <w:sz w:val="17"/>
          <w:szCs w:val="17"/>
          <w:color w:val="auto"/>
        </w:rPr>
      </w:pPr>
    </w:p>
    <w:p>
      <w:pPr>
        <w:ind w:left="640" w:hanging="308"/>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Increase financial flexibility</w:t>
      </w:r>
    </w:p>
    <w:p>
      <w:pPr>
        <w:spacing w:after="0" w:line="167" w:lineRule="exact"/>
        <w:rPr>
          <w:rFonts w:ascii="Arial" w:cs="Arial" w:eastAsia="Arial" w:hAnsi="Arial"/>
          <w:sz w:val="17"/>
          <w:szCs w:val="17"/>
          <w:color w:val="auto"/>
        </w:rPr>
      </w:pPr>
    </w:p>
    <w:p>
      <w:pPr>
        <w:ind w:left="1300" w:hanging="320"/>
        <w:spacing w:after="0" w:line="267" w:lineRule="auto"/>
        <w:tabs>
          <w:tab w:leader="none" w:pos="1320" w:val="left"/>
        </w:tabs>
        <w:numPr>
          <w:ilvl w:val="1"/>
          <w:numId w:val="5"/>
        </w:numPr>
        <w:rPr>
          <w:rFonts w:ascii="Arial" w:cs="Arial" w:eastAsia="Arial" w:hAnsi="Arial"/>
          <w:sz w:val="17"/>
          <w:szCs w:val="17"/>
          <w:color w:val="auto"/>
        </w:rPr>
      </w:pPr>
      <w:r>
        <w:rPr>
          <w:rFonts w:ascii="Arial" w:cs="Arial" w:eastAsia="Arial" w:hAnsi="Arial"/>
          <w:sz w:val="17"/>
          <w:szCs w:val="17"/>
          <w:color w:val="auto"/>
        </w:rPr>
        <w:t>Substantially completed the restructuring plan announced last quarter to streamline the organization and optimize resources. Continue to expect to generate pre-tax cost savings of between $7 million and $8 million during the second half of fiscal year 2025</w:t>
      </w:r>
    </w:p>
    <w:p>
      <w:pPr>
        <w:spacing w:after="0" w:line="105" w:lineRule="exact"/>
        <w:rPr>
          <w:rFonts w:ascii="Arial" w:cs="Arial" w:eastAsia="Arial" w:hAnsi="Arial"/>
          <w:sz w:val="17"/>
          <w:szCs w:val="17"/>
          <w:color w:val="auto"/>
        </w:rPr>
      </w:pPr>
    </w:p>
    <w:p>
      <w:pPr>
        <w:jc w:val="both"/>
        <w:ind w:left="1300" w:hanging="320"/>
        <w:spacing w:after="0" w:line="230" w:lineRule="auto"/>
        <w:tabs>
          <w:tab w:leader="none" w:pos="1293" w:val="left"/>
        </w:tabs>
        <w:numPr>
          <w:ilvl w:val="1"/>
          <w:numId w:val="5"/>
        </w:numPr>
        <w:rPr>
          <w:rFonts w:ascii="Arial" w:cs="Arial" w:eastAsia="Arial" w:hAnsi="Arial"/>
          <w:sz w:val="17"/>
          <w:szCs w:val="17"/>
          <w:color w:val="auto"/>
        </w:rPr>
      </w:pPr>
      <w:r>
        <w:rPr>
          <w:rFonts w:ascii="Arial" w:cs="Arial" w:eastAsia="Arial" w:hAnsi="Arial"/>
          <w:sz w:val="17"/>
          <w:szCs w:val="17"/>
          <w:color w:val="auto"/>
        </w:rPr>
        <w:t>Reduced debt during the fiscal year 2025 third quarter by paying down approximately $52.4 million of outstanding principal under the term loan B facility that had an interest rate of 300 basis points over the secured overnight financing rate (“SOFR”), with a 0.50% SOFR floor, bringing total year-to-date debt reduction to approximately $112 million, thereby achieving the Company's fiscal year 2025 debt reduction target with one quarter remaining</w:t>
      </w:r>
    </w:p>
    <w:p>
      <w:pPr>
        <w:sectPr>
          <w:pgSz w:w="11900" w:h="16838" w:orient="portrait"/>
          <w:cols w:equalWidth="0" w:num="1">
            <w:col w:w="11240"/>
          </w:cols>
          <w:pgMar w:left="320" w:top="1076" w:right="339" w:bottom="1440" w:gutter="0" w:footer="0" w:header="0"/>
        </w:sectPr>
      </w:pPr>
    </w:p>
    <w:bookmarkStart w:id="7" w:name="page8"/>
    <w:bookmarkEnd w:id="7"/>
    <w:p>
      <w:pPr>
        <w:jc w:val="both"/>
        <w:spacing w:after="0"/>
        <w:rPr>
          <w:sz w:val="20"/>
          <w:szCs w:val="20"/>
          <w:color w:val="auto"/>
        </w:rPr>
      </w:pPr>
      <w:r>
        <w:rPr>
          <w:rFonts w:ascii="Arial" w:cs="Arial" w:eastAsia="Arial" w:hAnsi="Arial"/>
          <w:sz w:val="17"/>
          <w:szCs w:val="17"/>
          <w:color w:val="auto"/>
        </w:rPr>
        <w:t>Adjusted Constant Currency Revenue Growth is based upon Reported Revenues, adjusted to exclude, depending on the period presented, the items described in Adjusted Revenues and to eliminate the impact of translating the results of international subsidiaries at different currency exchange rates from period to period. The impact of changes in foreign currency may vary significantly from period to period, and such changes generally are outside of the control of our management. We believe that this measure facilitates a comparison of our operating performance exclusive of currency exchange rate fluctuations that do not reflect our underlying performance or business trends. These results should be considered in addition to, not as a substitute for, results reported in accordance with GAAP. Results on an Adjusted constant currency revenue basis, as we present them, may not be comparable to similarly titled measures used by other companies and are not measures of performance presented in accordance with GAAP.</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Third Quarter Fiscal Year 2025 Results: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Revenues by geographic region are as follows:</w:t>
      </w:r>
    </w:p>
    <w:p>
      <w:pPr>
        <w:spacing w:after="0" w:line="200" w:lineRule="exact"/>
        <w:rPr>
          <w:sz w:val="20"/>
          <w:szCs w:val="20"/>
          <w:color w:val="auto"/>
        </w:rPr>
      </w:pP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1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4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center"/>
              <w:ind w:left="8"/>
              <w:spacing w:after="0"/>
              <w:rPr>
                <w:sz w:val="20"/>
                <w:szCs w:val="20"/>
                <w:color w:val="auto"/>
              </w:rPr>
            </w:pPr>
            <w:r>
              <w:rPr>
                <w:rFonts w:ascii="Arial" w:cs="Arial" w:eastAsia="Arial" w:hAnsi="Arial"/>
                <w:sz w:val="14"/>
                <w:szCs w:val="14"/>
                <w:b w:val="1"/>
                <w:bCs w:val="1"/>
                <w:color w:val="auto"/>
              </w:rPr>
              <w:t>% Increase/(decrease)</w:t>
            </w: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Reported</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Constant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Currency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Revenue</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Currency</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Adjustment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Revenue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Growth</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Impact</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Impact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Growth</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480" w:type="dxa"/>
            <w:vAlign w:val="bottom"/>
          </w:tcPr>
          <w:p>
            <w:pPr>
              <w:spacing w:after="0"/>
              <w:rPr>
                <w:sz w:val="15"/>
                <w:szCs w:val="15"/>
                <w:color w:val="auto"/>
              </w:rPr>
            </w:pPr>
          </w:p>
        </w:tc>
        <w:tc>
          <w:tcPr>
            <w:tcW w:w="920" w:type="dxa"/>
            <w:vAlign w:val="bottom"/>
            <w:gridSpan w:val="3"/>
          </w:tcPr>
          <w:p>
            <w:pPr>
              <w:ind w:left="100"/>
              <w:spacing w:after="0"/>
              <w:rPr>
                <w:sz w:val="20"/>
                <w:szCs w:val="20"/>
                <w:color w:val="auto"/>
              </w:rPr>
            </w:pPr>
            <w:r>
              <w:rPr>
                <w:rFonts w:ascii="Arial" w:cs="Arial" w:eastAsia="Arial" w:hAnsi="Arial"/>
                <w:sz w:val="14"/>
                <w:szCs w:val="14"/>
                <w:b w:val="1"/>
                <w:bCs w:val="1"/>
                <w:color w:val="auto"/>
              </w:rPr>
              <w:t>Reported</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Reported</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Adjusted</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4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143.6</w:t>
            </w: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11.6 %</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International</w:t>
            </w: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135.3</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128.9</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5.0</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0.8</w:t>
            </w: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295.5</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295.5</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272.5</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272.5</w:t>
            </w:r>
          </w:p>
        </w:tc>
        <w:tc>
          <w:tcPr>
            <w:tcW w:w="100" w:type="dxa"/>
            <w:vAlign w:val="bottom"/>
            <w:tcBorders>
              <w:bottom w:val="single" w:sz="8" w:color="CCEEFF"/>
              <w:right w:val="single" w:sz="8" w:color="CCEEFF"/>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8.4 %</w:t>
            </w:r>
          </w:p>
        </w:tc>
        <w:tc>
          <w:tcPr>
            <w:tcW w:w="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0.4 %</w:t>
            </w:r>
          </w:p>
        </w:tc>
        <w:tc>
          <w:tcPr>
            <w:tcW w:w="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 %</w:t>
            </w: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Revenues by product family are as follows: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1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97"/>
        </w:trPr>
        <w:tc>
          <w:tcPr>
            <w:tcW w:w="1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 Increase/(decrease)</w:t>
            </w: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r>
      <w:tr>
        <w:trPr>
          <w:trHeight w:val="174"/>
        </w:trPr>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5"/>
                <w:szCs w:val="15"/>
                <w:color w:val="auto"/>
              </w:rPr>
            </w:pPr>
          </w:p>
        </w:tc>
      </w:tr>
      <w:tr>
        <w:trPr>
          <w:trHeight w:val="162"/>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Constant</w:t>
            </w:r>
          </w:p>
        </w:tc>
        <w:tc>
          <w:tcPr>
            <w:tcW w:w="20" w:type="dxa"/>
            <w:vAlign w:val="bottom"/>
          </w:tcPr>
          <w:p>
            <w:pPr>
              <w:spacing w:after="0"/>
              <w:rPr>
                <w:sz w:val="14"/>
                <w:szCs w:val="14"/>
                <w:color w:val="auto"/>
              </w:rPr>
            </w:pPr>
          </w:p>
        </w:tc>
      </w:tr>
      <w:tr>
        <w:trPr>
          <w:trHeight w:val="175"/>
        </w:trPr>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Reported</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Currency</w:t>
            </w:r>
          </w:p>
        </w:tc>
        <w:tc>
          <w:tcPr>
            <w:tcW w:w="20" w:type="dxa"/>
            <w:vAlign w:val="bottom"/>
          </w:tcPr>
          <w:p>
            <w:pPr>
              <w:spacing w:after="0"/>
              <w:rPr>
                <w:sz w:val="15"/>
                <w:szCs w:val="15"/>
                <w:color w:val="auto"/>
              </w:rPr>
            </w:pPr>
          </w:p>
        </w:tc>
      </w:tr>
      <w:tr>
        <w:trPr>
          <w:trHeight w:val="162"/>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Revenue</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Currency</w:t>
            </w: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Adjustment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Revenue</w:t>
            </w:r>
          </w:p>
        </w:tc>
        <w:tc>
          <w:tcPr>
            <w:tcW w:w="20" w:type="dxa"/>
            <w:vAlign w:val="bottom"/>
          </w:tcPr>
          <w:p>
            <w:pPr>
              <w:spacing w:after="0"/>
              <w:rPr>
                <w:sz w:val="14"/>
                <w:szCs w:val="14"/>
                <w:color w:val="auto"/>
              </w:rPr>
            </w:pPr>
          </w:p>
        </w:tc>
      </w:tr>
      <w:tr>
        <w:trPr>
          <w:trHeight w:val="197"/>
        </w:trPr>
        <w:tc>
          <w:tcPr>
            <w:tcW w:w="1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Growth</w:t>
            </w: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Impact</w:t>
            </w: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Impact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Growth</w:t>
            </w:r>
          </w:p>
        </w:tc>
        <w:tc>
          <w:tcPr>
            <w:tcW w:w="20" w:type="dxa"/>
            <w:vAlign w:val="bottom"/>
          </w:tcPr>
          <w:p>
            <w:pPr>
              <w:spacing w:after="0"/>
              <w:rPr>
                <w:sz w:val="17"/>
                <w:szCs w:val="17"/>
                <w:color w:val="auto"/>
              </w:rPr>
            </w:pPr>
          </w:p>
        </w:tc>
      </w:tr>
      <w:tr>
        <w:trPr>
          <w:trHeight w:val="174"/>
        </w:trPr>
        <w:tc>
          <w:tcPr>
            <w:tcW w:w="1580" w:type="dxa"/>
            <w:vAlign w:val="bottom"/>
          </w:tcPr>
          <w:p>
            <w:pPr>
              <w:spacing w:after="0"/>
              <w:rPr>
                <w:sz w:val="15"/>
                <w:szCs w:val="15"/>
                <w:color w:val="auto"/>
              </w:rPr>
            </w:pPr>
          </w:p>
        </w:tc>
        <w:tc>
          <w:tcPr>
            <w:tcW w:w="900" w:type="dxa"/>
            <w:vAlign w:val="bottom"/>
            <w:gridSpan w:val="3"/>
          </w:tcPr>
          <w:p>
            <w:pPr>
              <w:ind w:left="100"/>
              <w:spacing w:after="0"/>
              <w:rPr>
                <w:sz w:val="20"/>
                <w:szCs w:val="20"/>
                <w:color w:val="auto"/>
              </w:rPr>
            </w:pPr>
            <w:r>
              <w:rPr>
                <w:rFonts w:ascii="Arial" w:cs="Arial" w:eastAsia="Arial" w:hAnsi="Arial"/>
                <w:sz w:val="14"/>
                <w:szCs w:val="14"/>
                <w:b w:val="1"/>
                <w:bCs w:val="1"/>
                <w:color w:val="auto"/>
              </w:rPr>
              <w:t>Reported</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Adjusted</w:t>
            </w: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Reported</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Adjusted</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7"/>
        </w:trPr>
        <w:tc>
          <w:tcPr>
            <w:tcW w:w="15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Adjustment</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1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Pen Needles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216.9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201.3</w:t>
            </w: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7.7 %</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0.9 %</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6.8 %</w:t>
            </w:r>
          </w:p>
        </w:tc>
        <w:tc>
          <w:tcPr>
            <w:tcW w:w="20" w:type="dxa"/>
            <w:vAlign w:val="bottom"/>
          </w:tcPr>
          <w:p>
            <w:pPr>
              <w:spacing w:after="0"/>
              <w:rPr>
                <w:sz w:val="18"/>
                <w:szCs w:val="18"/>
                <w:color w:val="auto"/>
              </w:rPr>
            </w:pPr>
          </w:p>
        </w:tc>
      </w:tr>
      <w:tr>
        <w:trPr>
          <w:trHeight w:val="212"/>
        </w:trPr>
        <w:tc>
          <w:tcPr>
            <w:tcW w:w="1580" w:type="dxa"/>
            <w:vAlign w:val="bottom"/>
          </w:tcPr>
          <w:p>
            <w:pPr>
              <w:ind w:left="20"/>
              <w:spacing w:after="0"/>
              <w:rPr>
                <w:sz w:val="20"/>
                <w:szCs w:val="20"/>
                <w:color w:val="auto"/>
              </w:rPr>
            </w:pPr>
            <w:r>
              <w:rPr>
                <w:rFonts w:ascii="Arial" w:cs="Arial" w:eastAsia="Arial" w:hAnsi="Arial"/>
                <w:sz w:val="14"/>
                <w:szCs w:val="14"/>
                <w:color w:val="auto"/>
              </w:rPr>
              <w:t>Syringes</w:t>
            </w:r>
          </w:p>
        </w:tc>
        <w:tc>
          <w:tcPr>
            <w:tcW w:w="240" w:type="dxa"/>
            <w:vAlign w:val="bottom"/>
          </w:tcPr>
          <w:p>
            <w:pPr>
              <w:spacing w:after="0"/>
              <w:rPr>
                <w:sz w:val="18"/>
                <w:szCs w:val="18"/>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35.1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31.7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18"/>
                <w:szCs w:val="18"/>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10.7</w:t>
            </w:r>
          </w:p>
        </w:tc>
        <w:tc>
          <w:tcPr>
            <w:tcW w:w="8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8"/>
                <w:szCs w:val="18"/>
                <w:color w:val="auto"/>
              </w:rPr>
            </w:pPr>
          </w:p>
        </w:tc>
        <w:tc>
          <w:tcPr>
            <w:tcW w:w="10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14.5</w:t>
            </w:r>
          </w:p>
        </w:tc>
        <w:tc>
          <w:tcPr>
            <w:tcW w:w="20" w:type="dxa"/>
            <w:vAlign w:val="bottom"/>
          </w:tcPr>
          <w:p>
            <w:pPr>
              <w:spacing w:after="0"/>
              <w:rPr>
                <w:sz w:val="18"/>
                <w:szCs w:val="18"/>
                <w:color w:val="auto"/>
              </w:rPr>
            </w:pPr>
          </w:p>
        </w:tc>
      </w:tr>
      <w:tr>
        <w:trPr>
          <w:trHeight w:val="220"/>
        </w:trPr>
        <w:tc>
          <w:tcPr>
            <w:tcW w:w="1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Safety</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100" w:type="dxa"/>
            <w:vAlign w:val="bottom"/>
            <w:tcBorders>
              <w:right w:val="single" w:sz="8" w:color="CCEEFF"/>
            </w:tcBorders>
            <w:shd w:val="clear" w:color="auto" w:fill="CCEEFF"/>
          </w:tcPr>
          <w:p>
            <w:pPr>
              <w:spacing w:after="0"/>
              <w:rPr>
                <w:sz w:val="19"/>
                <w:szCs w:val="19"/>
                <w:color w:val="auto"/>
              </w:rPr>
            </w:pP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7.4</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0.9</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6.5</w:t>
            </w:r>
          </w:p>
        </w:tc>
        <w:tc>
          <w:tcPr>
            <w:tcW w:w="20" w:type="dxa"/>
            <w:vAlign w:val="bottom"/>
          </w:tcPr>
          <w:p>
            <w:pPr>
              <w:spacing w:after="0"/>
              <w:rPr>
                <w:sz w:val="19"/>
                <w:szCs w:val="19"/>
                <w:color w:val="auto"/>
              </w:rPr>
            </w:pPr>
          </w:p>
        </w:tc>
      </w:tr>
      <w:tr>
        <w:trPr>
          <w:trHeight w:val="243"/>
        </w:trPr>
        <w:tc>
          <w:tcPr>
            <w:tcW w:w="1580" w:type="dxa"/>
            <w:vAlign w:val="bottom"/>
          </w:tcPr>
          <w:p>
            <w:pPr>
              <w:ind w:left="20"/>
              <w:spacing w:after="0"/>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1</w:t>
            </w:r>
          </w:p>
        </w:tc>
        <w:tc>
          <w:tcPr>
            <w:tcW w:w="240" w:type="dxa"/>
            <w:vAlign w:val="bottom"/>
          </w:tcPr>
          <w:p>
            <w:pPr>
              <w:spacing w:after="0"/>
              <w:rPr>
                <w:sz w:val="21"/>
                <w:szCs w:val="21"/>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1"/>
                <w:szCs w:val="21"/>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21"/>
                <w:szCs w:val="21"/>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21"/>
                <w:szCs w:val="21"/>
                <w:color w:val="auto"/>
              </w:rPr>
            </w:pPr>
          </w:p>
        </w:tc>
        <w:tc>
          <w:tcPr>
            <w:tcW w:w="10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(5.7)</w:t>
            </w:r>
          </w:p>
        </w:tc>
        <w:tc>
          <w:tcPr>
            <w:tcW w:w="20" w:type="dxa"/>
            <w:vAlign w:val="bottom"/>
          </w:tcPr>
          <w:p>
            <w:pPr>
              <w:spacing w:after="0"/>
              <w:rPr>
                <w:sz w:val="21"/>
                <w:szCs w:val="21"/>
                <w:color w:val="auto"/>
              </w:rPr>
            </w:pPr>
          </w:p>
        </w:tc>
      </w:tr>
      <w:tr>
        <w:trPr>
          <w:trHeight w:val="216"/>
        </w:trPr>
        <w:tc>
          <w:tcPr>
            <w:tcW w:w="1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Manufacturing</w:t>
            </w: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52.8</w:t>
            </w: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5.6</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47.2</w:t>
            </w:r>
          </w:p>
        </w:tc>
        <w:tc>
          <w:tcPr>
            <w:tcW w:w="20" w:type="dxa"/>
            <w:vAlign w:val="bottom"/>
          </w:tcPr>
          <w:p>
            <w:pPr>
              <w:spacing w:after="0"/>
              <w:rPr>
                <w:sz w:val="18"/>
                <w:szCs w:val="18"/>
                <w:color w:val="auto"/>
              </w:rPr>
            </w:pPr>
          </w:p>
        </w:tc>
      </w:tr>
      <w:tr>
        <w:trPr>
          <w:trHeight w:val="209"/>
        </w:trPr>
        <w:tc>
          <w:tcPr>
            <w:tcW w:w="1580" w:type="dxa"/>
            <w:vAlign w:val="bottom"/>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295.5</w:t>
            </w:r>
          </w:p>
        </w:tc>
        <w:tc>
          <w:tcPr>
            <w:tcW w:w="8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295.5</w:t>
            </w:r>
          </w:p>
        </w:tc>
        <w:tc>
          <w:tcPr>
            <w:tcW w:w="8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272.5</w:t>
            </w: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272.5</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8.4 %</w:t>
            </w:r>
          </w:p>
        </w:tc>
        <w:tc>
          <w:tcPr>
            <w:tcW w:w="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4"/>
                <w:szCs w:val="14"/>
                <w:color w:val="auto"/>
              </w:rPr>
              <w:t>0.4 %</w:t>
            </w:r>
          </w:p>
        </w:tc>
        <w:tc>
          <w:tcPr>
            <w:tcW w:w="80" w:type="dxa"/>
            <w:vAlign w:val="bottom"/>
          </w:tcPr>
          <w:p>
            <w:pPr>
              <w:spacing w:after="0"/>
              <w:rPr>
                <w:sz w:val="18"/>
                <w:szCs w:val="18"/>
                <w:color w:val="auto"/>
              </w:rPr>
            </w:pPr>
          </w:p>
        </w:tc>
        <w:tc>
          <w:tcPr>
            <w:tcW w:w="1080" w:type="dxa"/>
            <w:vAlign w:val="bottom"/>
            <w:gridSpan w:val="2"/>
          </w:tcPr>
          <w:p>
            <w:pPr>
              <w:ind w:left="660"/>
              <w:spacing w:after="0"/>
              <w:rPr>
                <w:sz w:val="20"/>
                <w:szCs w:val="20"/>
                <w:color w:val="auto"/>
              </w:rPr>
            </w:pPr>
            <w:r>
              <w:rPr>
                <w:rFonts w:ascii="Arial" w:cs="Arial" w:eastAsia="Arial" w:hAnsi="Arial"/>
                <w:sz w:val="14"/>
                <w:szCs w:val="14"/>
                <w:color w:val="auto"/>
              </w:rPr>
              <w:t>— %</w:t>
            </w:r>
          </w:p>
        </w:tc>
        <w:tc>
          <w:tcPr>
            <w:tcW w:w="1080" w:type="dxa"/>
            <w:vAlign w:val="bottom"/>
          </w:tcPr>
          <w:p>
            <w:pPr>
              <w:jc w:val="right"/>
              <w:spacing w:after="0"/>
              <w:rPr>
                <w:sz w:val="20"/>
                <w:szCs w:val="20"/>
                <w:color w:val="auto"/>
              </w:rPr>
            </w:pPr>
            <w:r>
              <w:rPr>
                <w:rFonts w:ascii="Arial" w:cs="Arial" w:eastAsia="Arial" w:hAnsi="Arial"/>
                <w:sz w:val="14"/>
                <w:szCs w:val="14"/>
                <w:color w:val="auto"/>
              </w:rPr>
              <w:t>8.0 %</w:t>
            </w:r>
          </w:p>
        </w:tc>
        <w:tc>
          <w:tcPr>
            <w:tcW w:w="20" w:type="dxa"/>
            <w:vAlign w:val="bottom"/>
          </w:tcPr>
          <w:p>
            <w:pPr>
              <w:spacing w:after="0"/>
              <w:rPr>
                <w:sz w:val="18"/>
                <w:szCs w:val="18"/>
                <w:color w:val="auto"/>
              </w:rPr>
            </w:pPr>
          </w:p>
        </w:tc>
      </w:tr>
      <w:tr>
        <w:trPr>
          <w:trHeight w:val="20"/>
        </w:trPr>
        <w:tc>
          <w:tcPr>
            <w:tcW w:w="1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1714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140" w:hanging="132"/>
        <w:spacing w:after="0"/>
        <w:tabs>
          <w:tab w:leader="none" w:pos="140" w:val="left"/>
        </w:tabs>
        <w:numPr>
          <w:ilvl w:val="0"/>
          <w:numId w:val="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Other includes product sales for swabs and other accessories.</w:t>
      </w:r>
    </w:p>
    <w:p>
      <w:pPr>
        <w:sectPr>
          <w:pgSz w:w="11900" w:h="16838" w:orient="portrait"/>
          <w:cols w:equalWidth="0" w:num="1">
            <w:col w:w="11240"/>
          </w:cols>
          <w:pgMar w:left="320" w:top="819" w:right="339" w:bottom="1440" w:gutter="0" w:footer="0" w:header="0"/>
        </w:sectPr>
      </w:pPr>
    </w:p>
    <w:bookmarkStart w:id="8" w:name="page9"/>
    <w:bookmarkEnd w:id="8"/>
    <w:p>
      <w:pPr>
        <w:jc w:val="both"/>
        <w:spacing w:after="0" w:line="249" w:lineRule="auto"/>
        <w:rPr>
          <w:sz w:val="20"/>
          <w:szCs w:val="20"/>
          <w:color w:val="auto"/>
        </w:rPr>
      </w:pPr>
      <w:r>
        <w:rPr>
          <w:rFonts w:ascii="Arial" w:cs="Arial" w:eastAsia="Arial" w:hAnsi="Arial"/>
          <w:sz w:val="17"/>
          <w:szCs w:val="17"/>
          <w:color w:val="auto"/>
        </w:rPr>
        <w:t>The Company's revenues increased by $23.0 million, or 8.4%, to $295.5 million for the three months ended June 30, 2025 as compared to revenues of $272.5 million for the three months ended June 30, 2024. Changes in revenues are driven by the volume of goods that the Company sells, the prices it negotiates with customers, and changes in foreign exchange rates. The increase in revenues was driven by $13.5 million of favorable changes in volume, $6.8 million of favorable changes in price, a $1.7 million increase in contract manufacturing revenues related to sales of non-diabetes products to BD, and $1.0 million associated with the positive impact of foreign currency translation primarily due to the weakening of the U.S. dollar.</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Revenues by geographic regions are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Nine months ended June 30,</w:t>
            </w: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97"/>
        </w:trPr>
        <w:tc>
          <w:tcPr>
            <w:tcW w:w="15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tcPr>
          <w:p>
            <w:pPr>
              <w:jc w:val="center"/>
              <w:ind w:left="28"/>
              <w:spacing w:after="0"/>
              <w:rPr>
                <w:sz w:val="20"/>
                <w:szCs w:val="20"/>
                <w:color w:val="auto"/>
              </w:rPr>
            </w:pPr>
            <w:r>
              <w:rPr>
                <w:rFonts w:ascii="Arial" w:cs="Arial" w:eastAsia="Arial" w:hAnsi="Arial"/>
                <w:sz w:val="14"/>
                <w:szCs w:val="14"/>
                <w:b w:val="1"/>
                <w:bCs w:val="1"/>
                <w:color w:val="auto"/>
              </w:rPr>
              <w:t>% Increase/(decrease)</w:t>
            </w: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r>
      <w:tr>
        <w:trPr>
          <w:trHeight w:val="174"/>
        </w:trPr>
        <w:tc>
          <w:tcPr>
            <w:tcW w:w="1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5"/>
                <w:szCs w:val="15"/>
                <w:color w:val="auto"/>
              </w:rPr>
            </w:pPr>
          </w:p>
        </w:tc>
      </w:tr>
      <w:tr>
        <w:trPr>
          <w:trHeight w:val="162"/>
        </w:trPr>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Constant</w:t>
            </w:r>
          </w:p>
        </w:tc>
        <w:tc>
          <w:tcPr>
            <w:tcW w:w="20" w:type="dxa"/>
            <w:vAlign w:val="bottom"/>
          </w:tcPr>
          <w:p>
            <w:pPr>
              <w:spacing w:after="0"/>
              <w:rPr>
                <w:sz w:val="14"/>
                <w:szCs w:val="14"/>
                <w:color w:val="auto"/>
              </w:rPr>
            </w:pPr>
          </w:p>
        </w:tc>
      </w:tr>
      <w:tr>
        <w:trPr>
          <w:trHeight w:val="162"/>
        </w:trPr>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Reported</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Currency</w:t>
            </w:r>
          </w:p>
        </w:tc>
        <w:tc>
          <w:tcPr>
            <w:tcW w:w="20" w:type="dxa"/>
            <w:vAlign w:val="bottom"/>
          </w:tcPr>
          <w:p>
            <w:pPr>
              <w:spacing w:after="0"/>
              <w:rPr>
                <w:sz w:val="14"/>
                <w:szCs w:val="14"/>
                <w:color w:val="auto"/>
              </w:rPr>
            </w:pPr>
          </w:p>
        </w:tc>
      </w:tr>
      <w:tr>
        <w:trPr>
          <w:trHeight w:val="162"/>
        </w:trPr>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Revenue</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Currency</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Adjustment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Revenue</w:t>
            </w:r>
          </w:p>
        </w:tc>
        <w:tc>
          <w:tcPr>
            <w:tcW w:w="20" w:type="dxa"/>
            <w:vAlign w:val="bottom"/>
          </w:tcPr>
          <w:p>
            <w:pPr>
              <w:spacing w:after="0"/>
              <w:rPr>
                <w:sz w:val="14"/>
                <w:szCs w:val="14"/>
                <w:color w:val="auto"/>
              </w:rPr>
            </w:pPr>
          </w:p>
        </w:tc>
      </w:tr>
      <w:tr>
        <w:trPr>
          <w:trHeight w:val="211"/>
        </w:trPr>
        <w:tc>
          <w:tcPr>
            <w:tcW w:w="1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Growth</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Impact</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Impact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Growth</w:t>
            </w:r>
          </w:p>
        </w:tc>
        <w:tc>
          <w:tcPr>
            <w:tcW w:w="20" w:type="dxa"/>
            <w:vAlign w:val="bottom"/>
          </w:tcPr>
          <w:p>
            <w:pPr>
              <w:spacing w:after="0"/>
              <w:rPr>
                <w:sz w:val="18"/>
                <w:szCs w:val="18"/>
                <w:color w:val="auto"/>
              </w:rPr>
            </w:pPr>
          </w:p>
        </w:tc>
      </w:tr>
      <w:tr>
        <w:trPr>
          <w:trHeight w:val="174"/>
        </w:trPr>
        <w:tc>
          <w:tcPr>
            <w:tcW w:w="1500" w:type="dxa"/>
            <w:vAlign w:val="bottom"/>
          </w:tcPr>
          <w:p>
            <w:pPr>
              <w:spacing w:after="0"/>
              <w:rPr>
                <w:sz w:val="15"/>
                <w:szCs w:val="15"/>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Reported</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Reported</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Adjusted</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7"/>
        </w:trPr>
        <w:tc>
          <w:tcPr>
            <w:tcW w:w="15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w w:val="96"/>
              </w:rPr>
              <w:t>%</w:t>
            </w: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1"/>
        </w:trPr>
        <w:tc>
          <w:tcPr>
            <w:tcW w:w="1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439.8</w:t>
            </w: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 %</w:t>
            </w:r>
          </w:p>
        </w:tc>
        <w:tc>
          <w:tcPr>
            <w:tcW w:w="1080" w:type="dxa"/>
            <w:vAlign w:val="bottom"/>
            <w:shd w:val="clear" w:color="auto" w:fill="CCEEFF"/>
          </w:tcPr>
          <w:p>
            <w:pPr>
              <w:ind w:left="640"/>
              <w:spacing w:after="0"/>
              <w:rPr>
                <w:sz w:val="20"/>
                <w:szCs w:val="20"/>
                <w:color w:val="auto"/>
              </w:rPr>
            </w:pPr>
            <w:r>
              <w:rPr>
                <w:rFonts w:ascii="Arial" w:cs="Arial" w:eastAsia="Arial" w:hAnsi="Arial"/>
                <w:sz w:val="14"/>
                <w:szCs w:val="14"/>
                <w:color w:val="auto"/>
              </w:rPr>
              <w:t>(0.6)%</w:t>
            </w:r>
          </w:p>
        </w:tc>
        <w:tc>
          <w:tcPr>
            <w:tcW w:w="20" w:type="dxa"/>
            <w:vAlign w:val="bottom"/>
          </w:tcPr>
          <w:p>
            <w:pPr>
              <w:spacing w:after="0"/>
              <w:rPr>
                <w:sz w:val="18"/>
                <w:szCs w:val="18"/>
                <w:color w:val="auto"/>
              </w:rPr>
            </w:pPr>
          </w:p>
        </w:tc>
      </w:tr>
      <w:tr>
        <w:trPr>
          <w:trHeight w:val="212"/>
        </w:trPr>
        <w:tc>
          <w:tcPr>
            <w:tcW w:w="1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International</w:t>
            </w: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379.3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379.3</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397.2</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397.2</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(4.5)</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w:t>
            </w: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(2.7)</w:t>
            </w:r>
          </w:p>
        </w:tc>
        <w:tc>
          <w:tcPr>
            <w:tcW w:w="20" w:type="dxa"/>
            <w:vAlign w:val="bottom"/>
          </w:tcPr>
          <w:p>
            <w:pPr>
              <w:spacing w:after="0"/>
              <w:rPr>
                <w:sz w:val="18"/>
                <w:szCs w:val="18"/>
                <w:color w:val="auto"/>
              </w:rPr>
            </w:pPr>
          </w:p>
        </w:tc>
      </w:tr>
      <w:tr>
        <w:trPr>
          <w:trHeight w:val="273"/>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816.4</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816.4</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837.0</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837.0</w:t>
            </w:r>
          </w:p>
        </w:tc>
        <w:tc>
          <w:tcPr>
            <w:tcW w:w="100" w:type="dxa"/>
            <w:vAlign w:val="bottom"/>
            <w:tcBorders>
              <w:bottom w:val="single" w:sz="8" w:color="CCEEFF"/>
              <w:right w:val="single" w:sz="8" w:color="CCEEFF"/>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(2.5)%</w:t>
            </w:r>
          </w:p>
        </w:tc>
        <w:tc>
          <w:tcPr>
            <w:tcW w:w="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w w:val="98"/>
              </w:rPr>
              <w:t>— %</w:t>
            </w: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Revenues by product family are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Nine months ended June 30,</w:t>
            </w: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6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 Increase/(decrease)</w:t>
            </w: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Constant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Reported</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Currency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Revenue</w:t>
            </w: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Currency</w:t>
            </w: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Adjustment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Revenue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6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Growth</w:t>
            </w: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Impact</w:t>
            </w: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Impact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Growth</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620" w:type="dxa"/>
            <w:vAlign w:val="bottom"/>
          </w:tcPr>
          <w:p>
            <w:pPr>
              <w:spacing w:after="0"/>
              <w:rPr>
                <w:sz w:val="16"/>
                <w:szCs w:val="16"/>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Reported</w:t>
            </w: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Adjustment</w:t>
            </w:r>
          </w:p>
        </w:tc>
        <w:tc>
          <w:tcPr>
            <w:tcW w:w="8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6"/>
                <w:szCs w:val="16"/>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Reported</w:t>
            </w: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Adjustment</w:t>
            </w:r>
          </w:p>
        </w:tc>
        <w:tc>
          <w:tcPr>
            <w:tcW w:w="8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Adjusted</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6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Pen Needles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629.3</w:t>
            </w:r>
          </w:p>
        </w:tc>
        <w:tc>
          <w:tcPr>
            <w:tcW w:w="1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 %</w:t>
            </w:r>
          </w:p>
        </w:tc>
        <w:tc>
          <w:tcPr>
            <w:tcW w:w="1080" w:type="dxa"/>
            <w:vAlign w:val="bottom"/>
            <w:shd w:val="clear" w:color="auto" w:fill="CCEEFF"/>
          </w:tcPr>
          <w:p>
            <w:pPr>
              <w:ind w:left="640"/>
              <w:spacing w:after="0"/>
              <w:rPr>
                <w:sz w:val="20"/>
                <w:szCs w:val="20"/>
                <w:color w:val="auto"/>
              </w:rPr>
            </w:pPr>
            <w:r>
              <w:rPr>
                <w:rFonts w:ascii="Arial" w:cs="Arial" w:eastAsia="Arial" w:hAnsi="Arial"/>
                <w:sz w:val="14"/>
                <w:szCs w:val="14"/>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20" w:type="dxa"/>
            <w:vAlign w:val="bottom"/>
          </w:tcPr>
          <w:p>
            <w:pPr>
              <w:ind w:left="20"/>
              <w:spacing w:after="0"/>
              <w:rPr>
                <w:sz w:val="20"/>
                <w:szCs w:val="20"/>
                <w:color w:val="auto"/>
              </w:rPr>
            </w:pPr>
            <w:r>
              <w:rPr>
                <w:rFonts w:ascii="Arial" w:cs="Arial" w:eastAsia="Arial" w:hAnsi="Arial"/>
                <w:sz w:val="14"/>
                <w:szCs w:val="14"/>
                <w:color w:val="auto"/>
              </w:rPr>
              <w:t>Syringes</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92.5</w:t>
            </w:r>
          </w:p>
        </w:tc>
        <w:tc>
          <w:tcPr>
            <w:tcW w:w="100" w:type="dxa"/>
            <w:vAlign w:val="bottom"/>
          </w:tcPr>
          <w:p>
            <w:pPr>
              <w:spacing w:after="0"/>
              <w:rPr>
                <w:sz w:val="18"/>
                <w:szCs w:val="18"/>
                <w:color w:val="auto"/>
              </w:rPr>
            </w:pPr>
          </w:p>
        </w:tc>
        <w:tc>
          <w:tcPr>
            <w:tcW w:w="880" w:type="dxa"/>
            <w:vAlign w:val="bottom"/>
          </w:tcPr>
          <w:p>
            <w:pPr>
              <w:ind w:left="440"/>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8"/>
                <w:szCs w:val="18"/>
                <w:color w:val="auto"/>
              </w:rPr>
            </w:pPr>
          </w:p>
        </w:tc>
        <w:tc>
          <w:tcPr>
            <w:tcW w:w="920" w:type="dxa"/>
            <w:vAlign w:val="bottom"/>
          </w:tcPr>
          <w:p>
            <w:pPr>
              <w:ind w:left="460"/>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8"/>
                <w:szCs w:val="18"/>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Safety</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w:t>
            </w:r>
          </w:p>
        </w:tc>
        <w:tc>
          <w:tcPr>
            <w:tcW w:w="100" w:type="dxa"/>
            <w:vAlign w:val="bottom"/>
            <w:tcBorders>
              <w:right w:val="single" w:sz="8" w:color="CCEEFF"/>
            </w:tcBorders>
            <w:shd w:val="clear" w:color="auto" w:fill="CCEEFF"/>
          </w:tcPr>
          <w:p>
            <w:pPr>
              <w:spacing w:after="0"/>
              <w:rPr>
                <w:sz w:val="19"/>
                <w:szCs w:val="19"/>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6.9</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620" w:type="dxa"/>
            <w:vAlign w:val="bottom"/>
          </w:tcPr>
          <w:p>
            <w:pPr>
              <w:ind w:left="20"/>
              <w:spacing w:after="0"/>
              <w:rPr>
                <w:sz w:val="20"/>
                <w:szCs w:val="20"/>
                <w:color w:val="auto"/>
              </w:rPr>
            </w:pPr>
            <w:r>
              <w:rPr>
                <w:rFonts w:ascii="Arial" w:cs="Arial" w:eastAsia="Arial" w:hAnsi="Arial"/>
                <w:sz w:val="14"/>
                <w:szCs w:val="14"/>
                <w:color w:val="auto"/>
              </w:rPr>
              <w:t>Other</w:t>
            </w:r>
            <w:r>
              <w:rPr>
                <w:rFonts w:ascii="Arial" w:cs="Arial" w:eastAsia="Arial" w:hAnsi="Arial"/>
                <w:sz w:val="9"/>
                <w:szCs w:val="9"/>
                <w:color w:val="auto"/>
              </w:rPr>
              <w:t>2</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0"/>
                <w:szCs w:val="20"/>
                <w:color w:val="auto"/>
              </w:rPr>
            </w:pPr>
          </w:p>
        </w:tc>
        <w:tc>
          <w:tcPr>
            <w:tcW w:w="880" w:type="dxa"/>
            <w:vAlign w:val="bottom"/>
          </w:tcPr>
          <w:p>
            <w:pPr>
              <w:ind w:left="440"/>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20"/>
                <w:szCs w:val="20"/>
                <w:color w:val="auto"/>
              </w:rPr>
            </w:pPr>
          </w:p>
        </w:tc>
        <w:tc>
          <w:tcPr>
            <w:tcW w:w="920" w:type="dxa"/>
            <w:vAlign w:val="bottom"/>
          </w:tcPr>
          <w:p>
            <w:pPr>
              <w:ind w:left="460"/>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20"/>
                <w:szCs w:val="20"/>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80" w:type="dxa"/>
            <w:vAlign w:val="bottom"/>
          </w:tcPr>
          <w:p>
            <w:pPr>
              <w:ind w:left="640"/>
              <w:spacing w:after="0"/>
              <w:rPr>
                <w:sz w:val="20"/>
                <w:szCs w:val="20"/>
                <w:color w:val="auto"/>
              </w:rPr>
            </w:pPr>
            <w:r>
              <w:rPr>
                <w:rFonts w:ascii="Arial" w:cs="Arial" w:eastAsia="Arial" w:hAnsi="Arial"/>
                <w:sz w:val="14"/>
                <w:szCs w:val="14"/>
                <w:color w:val="auto"/>
              </w:rPr>
              <w:t>(3.8)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Manufacturing</w:t>
            </w:r>
          </w:p>
        </w:tc>
        <w:tc>
          <w:tcPr>
            <w:tcW w:w="2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tcBorders>
              <w:right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81.5</w:t>
            </w:r>
          </w:p>
        </w:tc>
        <w:tc>
          <w:tcPr>
            <w:tcW w:w="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620" w:type="dxa"/>
            <w:vAlign w:val="bottom"/>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816.4</w:t>
            </w:r>
          </w:p>
        </w:tc>
        <w:tc>
          <w:tcPr>
            <w:tcW w:w="8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816.4</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837.0</w:t>
            </w:r>
          </w:p>
        </w:tc>
        <w:tc>
          <w:tcPr>
            <w:tcW w:w="8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837.0</w:t>
            </w:r>
          </w:p>
        </w:tc>
        <w:tc>
          <w:tcPr>
            <w:tcW w:w="100" w:type="dxa"/>
            <w:vAlign w:val="bottom"/>
          </w:tcPr>
          <w:p>
            <w:pPr>
              <w:spacing w:after="0"/>
              <w:rPr>
                <w:sz w:val="18"/>
                <w:szCs w:val="18"/>
                <w:color w:val="auto"/>
              </w:rPr>
            </w:pPr>
          </w:p>
        </w:tc>
        <w:tc>
          <w:tcPr>
            <w:tcW w:w="880" w:type="dxa"/>
            <w:vAlign w:val="bottom"/>
          </w:tcPr>
          <w:p>
            <w:pPr>
              <w:ind w:left="440"/>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8"/>
                <w:szCs w:val="18"/>
                <w:color w:val="auto"/>
              </w:rPr>
            </w:pPr>
          </w:p>
        </w:tc>
        <w:tc>
          <w:tcPr>
            <w:tcW w:w="920" w:type="dxa"/>
            <w:vAlign w:val="bottom"/>
          </w:tcPr>
          <w:p>
            <w:pPr>
              <w:ind w:left="460"/>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8"/>
                <w:szCs w:val="18"/>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 %</w:t>
            </w:r>
          </w:p>
        </w:tc>
        <w:tc>
          <w:tcPr>
            <w:tcW w:w="1080" w:type="dxa"/>
            <w:vAlign w:val="bottom"/>
          </w:tcPr>
          <w:p>
            <w:pPr>
              <w:ind w:left="640"/>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Company's revenues decreased by $20.6 million, or 2.5%, to $816.4 million for the nine months ended June 30, 2025 as compared to revenues of $837.0 million for the nine months ended June 30, 2024. The decrease in revenues was driven by $31.0 million of unfavorable changes in volume and $7.0 million associated with the negative impact of foreign currency translation primarily due to the strengthening of the U.S. dollar. This was partially offset by $10.9 million of favorable changes in price and a $6.5 million increase in contract manufacturing revenues related to sales of non-diabetes products to BD.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1714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40" w:hanging="132"/>
        <w:spacing w:after="0"/>
        <w:tabs>
          <w:tab w:leader="none" w:pos="140" w:val="left"/>
        </w:tabs>
        <w:numPr>
          <w:ilvl w:val="0"/>
          <w:numId w:val="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Other includes product sales for swabs and other accessories.</w:t>
      </w:r>
    </w:p>
    <w:p>
      <w:pPr>
        <w:sectPr>
          <w:pgSz w:w="11900" w:h="16838" w:orient="portrait"/>
          <w:cols w:equalWidth="0" w:num="1">
            <w:col w:w="11240"/>
          </w:cols>
          <w:pgMar w:left="320" w:top="819"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u w:val="single" w:color="auto"/>
          <w:color w:val="auto"/>
        </w:rPr>
        <w:t>Fiscal Year 2025 Updated Financial Guidance: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For fiscal year 2025, the Company now expects: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080" w:type="dxa"/>
            <w:vAlign w:val="bottom"/>
            <w:gridSpan w:val="2"/>
          </w:tcPr>
          <w:p>
            <w:pPr>
              <w:ind w:left="20"/>
              <w:spacing w:after="0"/>
              <w:rPr>
                <w:sz w:val="20"/>
                <w:szCs w:val="20"/>
                <w:color w:val="auto"/>
              </w:rPr>
            </w:pPr>
            <w:r>
              <w:rPr>
                <w:rFonts w:ascii="Arial" w:cs="Arial" w:eastAsia="Arial" w:hAnsi="Arial"/>
                <w:sz w:val="16"/>
                <w:szCs w:val="16"/>
                <w:b w:val="1"/>
                <w:bCs w:val="1"/>
                <w:color w:val="auto"/>
              </w:rPr>
              <w:t>Dollars in millions, except percentages and per share data</w:t>
            </w:r>
          </w:p>
        </w:tc>
        <w:tc>
          <w:tcPr>
            <w:tcW w:w="2160" w:type="dxa"/>
            <w:vAlign w:val="bottom"/>
            <w:gridSpan w:val="3"/>
          </w:tcPr>
          <w:p>
            <w:pPr>
              <w:ind w:left="700"/>
              <w:spacing w:after="0"/>
              <w:rPr>
                <w:sz w:val="20"/>
                <w:szCs w:val="20"/>
                <w:color w:val="auto"/>
              </w:rPr>
            </w:pPr>
            <w:r>
              <w:rPr>
                <w:rFonts w:ascii="Arial" w:cs="Arial" w:eastAsia="Arial" w:hAnsi="Arial"/>
                <w:sz w:val="16"/>
                <w:szCs w:val="16"/>
                <w:b w:val="1"/>
                <w:bCs w:val="1"/>
                <w:color w:val="auto"/>
              </w:rPr>
              <w:t>Current</w:t>
            </w:r>
          </w:p>
        </w:tc>
        <w:tc>
          <w:tcPr>
            <w:tcW w:w="200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rPr>
              <w:t xml:space="preserve">Previous </w:t>
            </w:r>
            <w:r>
              <w:rPr>
                <w:rFonts w:ascii="Arial" w:cs="Arial" w:eastAsia="Arial" w:hAnsi="Arial"/>
                <w:sz w:val="21"/>
                <w:szCs w:val="21"/>
                <w:b w:val="1"/>
                <w:bCs w:val="1"/>
                <w:color w:val="auto"/>
                <w:vertAlign w:val="superscript"/>
              </w:rPr>
              <w:t>(1)</w:t>
            </w:r>
          </w:p>
        </w:tc>
      </w:tr>
      <w:tr>
        <w:trPr>
          <w:trHeight w:val="216"/>
        </w:trPr>
        <w:tc>
          <w:tcPr>
            <w:tcW w:w="6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Reported Revenues</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$1,078</w:t>
            </w:r>
          </w:p>
        </w:tc>
        <w:tc>
          <w:tcPr>
            <w:tcW w:w="1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$1,085</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$1,073</w:t>
            </w:r>
          </w:p>
        </w:tc>
        <w:tc>
          <w:tcPr>
            <w:tcW w:w="1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$1,090</w:t>
            </w:r>
          </w:p>
        </w:tc>
      </w:tr>
      <w:tr>
        <w:trPr>
          <w:trHeight w:val="215"/>
        </w:trPr>
        <w:tc>
          <w:tcPr>
            <w:tcW w:w="7080" w:type="dxa"/>
            <w:vAlign w:val="bottom"/>
            <w:gridSpan w:val="2"/>
          </w:tcPr>
          <w:p>
            <w:pPr>
              <w:ind w:left="20"/>
              <w:spacing w:after="0"/>
              <w:rPr>
                <w:sz w:val="20"/>
                <w:szCs w:val="20"/>
                <w:color w:val="auto"/>
              </w:rPr>
            </w:pPr>
            <w:r>
              <w:rPr>
                <w:rFonts w:ascii="Arial" w:cs="Arial" w:eastAsia="Arial" w:hAnsi="Arial"/>
                <w:sz w:val="16"/>
                <w:szCs w:val="16"/>
                <w:color w:val="auto"/>
              </w:rPr>
              <w:t>Reported Revenue Growth (%)</w:t>
            </w:r>
          </w:p>
        </w:tc>
        <w:tc>
          <w:tcPr>
            <w:tcW w:w="960" w:type="dxa"/>
            <w:vAlign w:val="bottom"/>
          </w:tcPr>
          <w:p>
            <w:pPr>
              <w:jc w:val="right"/>
              <w:spacing w:after="0"/>
              <w:rPr>
                <w:sz w:val="20"/>
                <w:szCs w:val="20"/>
                <w:color w:val="auto"/>
              </w:rPr>
            </w:pPr>
            <w:r>
              <w:rPr>
                <w:rFonts w:ascii="Arial" w:cs="Arial" w:eastAsia="Arial" w:hAnsi="Arial"/>
                <w:sz w:val="16"/>
                <w:szCs w:val="16"/>
                <w:color w:val="auto"/>
              </w:rPr>
              <w:t>(4.0)%</w:t>
            </w:r>
          </w:p>
        </w:tc>
        <w:tc>
          <w:tcPr>
            <w:tcW w:w="1040" w:type="dxa"/>
            <w:vAlign w:val="bottom"/>
          </w:tcPr>
          <w:p>
            <w:pPr>
              <w:ind w:left="20"/>
              <w:spacing w:after="0"/>
              <w:rPr>
                <w:sz w:val="20"/>
                <w:szCs w:val="20"/>
                <w:color w:val="auto"/>
              </w:rPr>
            </w:pPr>
            <w:r>
              <w:rPr>
                <w:rFonts w:ascii="Arial" w:cs="Arial" w:eastAsia="Arial" w:hAnsi="Arial"/>
                <w:sz w:val="16"/>
                <w:szCs w:val="16"/>
                <w:color w:val="auto"/>
              </w:rPr>
              <w:t>- (3.4)%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w:t>
            </w:r>
          </w:p>
        </w:tc>
        <w:tc>
          <w:tcPr>
            <w:tcW w:w="1040" w:type="dxa"/>
            <w:vAlign w:val="bottom"/>
          </w:tcPr>
          <w:p>
            <w:pPr>
              <w:ind w:left="20"/>
              <w:spacing w:after="0"/>
              <w:rPr>
                <w:sz w:val="20"/>
                <w:szCs w:val="20"/>
                <w:color w:val="auto"/>
              </w:rPr>
            </w:pPr>
            <w:r>
              <w:rPr>
                <w:rFonts w:ascii="Arial" w:cs="Arial" w:eastAsia="Arial" w:hAnsi="Arial"/>
                <w:sz w:val="16"/>
                <w:szCs w:val="16"/>
                <w:color w:val="auto"/>
              </w:rPr>
              <w:t>- (2.9)%</w:t>
            </w:r>
          </w:p>
        </w:tc>
      </w:tr>
      <w:tr>
        <w:trPr>
          <w:trHeight w:val="217"/>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Impact of F/X (%)</w:t>
            </w:r>
          </w:p>
        </w:tc>
        <w:tc>
          <w:tcPr>
            <w:tcW w:w="2000" w:type="dxa"/>
            <w:vAlign w:val="bottom"/>
            <w:gridSpan w:val="2"/>
            <w:shd w:val="clear" w:color="auto" w:fill="CCEEFF"/>
          </w:tcPr>
          <w:p>
            <w:pPr>
              <w:jc w:val="right"/>
              <w:ind w:right="679"/>
              <w:spacing w:after="0"/>
              <w:rPr>
                <w:sz w:val="20"/>
                <w:szCs w:val="20"/>
                <w:color w:val="auto"/>
              </w:rPr>
            </w:pPr>
            <w:r>
              <w:rPr>
                <w:rFonts w:ascii="Arial" w:cs="Arial" w:eastAsia="Arial" w:hAnsi="Arial"/>
                <w:sz w:val="16"/>
                <w:szCs w:val="16"/>
                <w:i w:val="1"/>
                <w:iCs w:val="1"/>
                <w:color w:val="auto"/>
              </w:rPr>
              <w:t>(0.8)%</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679"/>
              <w:spacing w:after="0"/>
              <w:rPr>
                <w:sz w:val="20"/>
                <w:szCs w:val="20"/>
                <w:color w:val="auto"/>
              </w:rPr>
            </w:pPr>
            <w:r>
              <w:rPr>
                <w:rFonts w:ascii="Arial" w:cs="Arial" w:eastAsia="Arial" w:hAnsi="Arial"/>
                <w:sz w:val="16"/>
                <w:szCs w:val="16"/>
                <w:i w:val="1"/>
                <w:iCs w:val="1"/>
                <w:color w:val="auto"/>
              </w:rPr>
              <w:t>(0.8)%</w:t>
            </w:r>
          </w:p>
        </w:tc>
      </w:tr>
      <w:tr>
        <w:trPr>
          <w:trHeight w:val="216"/>
        </w:trPr>
        <w:tc>
          <w:tcPr>
            <w:tcW w:w="7080" w:type="dxa"/>
            <w:vAlign w:val="bottom"/>
            <w:gridSpan w:val="2"/>
          </w:tcPr>
          <w:p>
            <w:pPr>
              <w:ind w:left="140"/>
              <w:spacing w:after="0" w:line="216" w:lineRule="exact"/>
              <w:rPr>
                <w:sz w:val="20"/>
                <w:szCs w:val="20"/>
                <w:color w:val="auto"/>
              </w:rPr>
            </w:pPr>
            <w:r>
              <w:rPr>
                <w:rFonts w:ascii="Arial" w:cs="Arial" w:eastAsia="Arial" w:hAnsi="Arial"/>
                <w:sz w:val="16"/>
                <w:szCs w:val="16"/>
                <w:i w:val="1"/>
                <w:iCs w:val="1"/>
                <w:color w:val="auto"/>
              </w:rPr>
              <w:t xml:space="preserve">Impact of Italian Payback Measure </w:t>
            </w:r>
            <w:r>
              <w:rPr>
                <w:rFonts w:ascii="Arial" w:cs="Arial" w:eastAsia="Arial" w:hAnsi="Arial"/>
                <w:sz w:val="21"/>
                <w:szCs w:val="21"/>
                <w:i w:val="1"/>
                <w:iCs w:val="1"/>
                <w:color w:val="auto"/>
                <w:vertAlign w:val="superscript"/>
              </w:rPr>
              <w:t>(2)</w:t>
            </w:r>
            <w:r>
              <w:rPr>
                <w:rFonts w:ascii="Arial" w:cs="Arial" w:eastAsia="Arial" w:hAnsi="Arial"/>
                <w:sz w:val="16"/>
                <w:szCs w:val="16"/>
                <w:i w:val="1"/>
                <w:iCs w:val="1"/>
                <w:color w:val="auto"/>
              </w:rPr>
              <w:t xml:space="preserve"> (%)</w:t>
            </w:r>
          </w:p>
        </w:tc>
        <w:tc>
          <w:tcPr>
            <w:tcW w:w="2000" w:type="dxa"/>
            <w:vAlign w:val="bottom"/>
            <w:gridSpan w:val="2"/>
          </w:tcPr>
          <w:p>
            <w:pPr>
              <w:jc w:val="right"/>
              <w:ind w:right="739"/>
              <w:spacing w:after="0"/>
              <w:rPr>
                <w:sz w:val="20"/>
                <w:szCs w:val="20"/>
                <w:color w:val="auto"/>
              </w:rPr>
            </w:pPr>
            <w:r>
              <w:rPr>
                <w:rFonts w:ascii="Arial" w:cs="Arial" w:eastAsia="Arial" w:hAnsi="Arial"/>
                <w:sz w:val="16"/>
                <w:szCs w:val="16"/>
                <w:i w:val="1"/>
                <w:iCs w:val="1"/>
                <w:color w:val="auto"/>
              </w:rPr>
              <w:t>0.4%</w:t>
            </w:r>
          </w:p>
        </w:tc>
        <w:tc>
          <w:tcPr>
            <w:tcW w:w="160" w:type="dxa"/>
            <w:vAlign w:val="bottom"/>
          </w:tcPr>
          <w:p>
            <w:pPr>
              <w:spacing w:after="0"/>
              <w:rPr>
                <w:sz w:val="18"/>
                <w:szCs w:val="18"/>
                <w:color w:val="auto"/>
              </w:rPr>
            </w:pPr>
          </w:p>
        </w:tc>
        <w:tc>
          <w:tcPr>
            <w:tcW w:w="2000" w:type="dxa"/>
            <w:vAlign w:val="bottom"/>
            <w:gridSpan w:val="2"/>
          </w:tcPr>
          <w:p>
            <w:pPr>
              <w:jc w:val="right"/>
              <w:ind w:right="739"/>
              <w:spacing w:after="0"/>
              <w:rPr>
                <w:sz w:val="20"/>
                <w:szCs w:val="20"/>
                <w:color w:val="auto"/>
              </w:rPr>
            </w:pPr>
            <w:r>
              <w:rPr>
                <w:rFonts w:ascii="Arial" w:cs="Arial" w:eastAsia="Arial" w:hAnsi="Arial"/>
                <w:sz w:val="16"/>
                <w:szCs w:val="16"/>
                <w:i w:val="1"/>
                <w:iCs w:val="1"/>
                <w:color w:val="auto"/>
              </w:rPr>
              <w:t>0.4%</w:t>
            </w:r>
          </w:p>
        </w:tc>
      </w:tr>
      <w:tr>
        <w:trPr>
          <w:trHeight w:val="216"/>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Adjusted Constant Currency Revenue Growth (%)</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(3.0)%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(2.5)%</w:t>
            </w:r>
          </w:p>
        </w:tc>
      </w:tr>
      <w:tr>
        <w:trPr>
          <w:trHeight w:val="215"/>
        </w:trPr>
        <w:tc>
          <w:tcPr>
            <w:tcW w:w="7080" w:type="dxa"/>
            <w:vAlign w:val="bottom"/>
            <w:gridSpan w:val="2"/>
          </w:tcPr>
          <w:p>
            <w:pPr>
              <w:ind w:left="20"/>
              <w:spacing w:after="0"/>
              <w:rPr>
                <w:sz w:val="20"/>
                <w:szCs w:val="20"/>
                <w:color w:val="auto"/>
              </w:rPr>
            </w:pPr>
            <w:r>
              <w:rPr>
                <w:rFonts w:ascii="Arial" w:cs="Arial" w:eastAsia="Arial" w:hAnsi="Arial"/>
                <w:sz w:val="16"/>
                <w:szCs w:val="16"/>
                <w:color w:val="auto"/>
              </w:rPr>
              <w:t>Adjusted Gross Margin (%)</w:t>
            </w:r>
          </w:p>
        </w:tc>
        <w:tc>
          <w:tcPr>
            <w:tcW w:w="960" w:type="dxa"/>
            <w:vAlign w:val="bottom"/>
          </w:tcPr>
          <w:p>
            <w:pPr>
              <w:jc w:val="right"/>
              <w:spacing w:after="0"/>
              <w:rPr>
                <w:sz w:val="20"/>
                <w:szCs w:val="20"/>
                <w:color w:val="auto"/>
              </w:rPr>
            </w:pPr>
            <w:r>
              <w:rPr>
                <w:rFonts w:ascii="Arial" w:cs="Arial" w:eastAsia="Arial" w:hAnsi="Arial"/>
                <w:sz w:val="16"/>
                <w:szCs w:val="16"/>
                <w:color w:val="auto"/>
              </w:rPr>
              <w:t>63.25%</w:t>
            </w:r>
          </w:p>
        </w:tc>
        <w:tc>
          <w:tcPr>
            <w:tcW w:w="1040" w:type="dxa"/>
            <w:vAlign w:val="bottom"/>
          </w:tcPr>
          <w:p>
            <w:pPr>
              <w:ind w:left="20"/>
              <w:spacing w:after="0"/>
              <w:rPr>
                <w:sz w:val="20"/>
                <w:szCs w:val="20"/>
                <w:color w:val="auto"/>
              </w:rPr>
            </w:pPr>
            <w:r>
              <w:rPr>
                <w:rFonts w:ascii="Arial" w:cs="Arial" w:eastAsia="Arial" w:hAnsi="Arial"/>
                <w:sz w:val="16"/>
                <w:szCs w:val="16"/>
                <w:color w:val="auto"/>
              </w:rPr>
              <w:t>- 63.50%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62.75%</w:t>
            </w:r>
          </w:p>
        </w:tc>
        <w:tc>
          <w:tcPr>
            <w:tcW w:w="1040" w:type="dxa"/>
            <w:vAlign w:val="bottom"/>
          </w:tcPr>
          <w:p>
            <w:pPr>
              <w:ind w:left="20"/>
              <w:spacing w:after="0"/>
              <w:rPr>
                <w:sz w:val="20"/>
                <w:szCs w:val="20"/>
                <w:color w:val="auto"/>
              </w:rPr>
            </w:pPr>
            <w:r>
              <w:rPr>
                <w:rFonts w:ascii="Arial" w:cs="Arial" w:eastAsia="Arial" w:hAnsi="Arial"/>
                <w:sz w:val="16"/>
                <w:szCs w:val="16"/>
                <w:color w:val="auto"/>
              </w:rPr>
              <w:t>- 63.75%</w:t>
            </w:r>
          </w:p>
        </w:tc>
      </w:tr>
      <w:tr>
        <w:trPr>
          <w:trHeight w:val="217"/>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Adjusted Operating Margin (%)</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30.75%</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- 31.00%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29.75%</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- 30.75%</w:t>
            </w:r>
          </w:p>
        </w:tc>
      </w:tr>
      <w:tr>
        <w:trPr>
          <w:trHeight w:val="215"/>
        </w:trPr>
        <w:tc>
          <w:tcPr>
            <w:tcW w:w="7080" w:type="dxa"/>
            <w:vAlign w:val="bottom"/>
            <w:gridSpan w:val="2"/>
          </w:tcPr>
          <w:p>
            <w:pPr>
              <w:ind w:left="20"/>
              <w:spacing w:after="0"/>
              <w:rPr>
                <w:sz w:val="20"/>
                <w:szCs w:val="20"/>
                <w:color w:val="auto"/>
              </w:rPr>
            </w:pPr>
            <w:r>
              <w:rPr>
                <w:rFonts w:ascii="Arial" w:cs="Arial" w:eastAsia="Arial" w:hAnsi="Arial"/>
                <w:sz w:val="16"/>
                <w:szCs w:val="16"/>
                <w:color w:val="auto"/>
              </w:rPr>
              <w:t>Adjusted Earnings per Diluted Share</w:t>
            </w:r>
          </w:p>
        </w:tc>
        <w:tc>
          <w:tcPr>
            <w:tcW w:w="960" w:type="dxa"/>
            <w:vAlign w:val="bottom"/>
          </w:tcPr>
          <w:p>
            <w:pPr>
              <w:jc w:val="right"/>
              <w:spacing w:after="0"/>
              <w:rPr>
                <w:sz w:val="20"/>
                <w:szCs w:val="20"/>
                <w:color w:val="auto"/>
              </w:rPr>
            </w:pPr>
            <w:r>
              <w:rPr>
                <w:rFonts w:ascii="Arial" w:cs="Arial" w:eastAsia="Arial" w:hAnsi="Arial"/>
                <w:sz w:val="16"/>
                <w:szCs w:val="16"/>
                <w:color w:val="auto"/>
              </w:rPr>
              <w:t>$2.90</w:t>
            </w:r>
          </w:p>
        </w:tc>
        <w:tc>
          <w:tcPr>
            <w:tcW w:w="1040" w:type="dxa"/>
            <w:vAlign w:val="bottom"/>
          </w:tcPr>
          <w:p>
            <w:pPr>
              <w:ind w:left="20"/>
              <w:spacing w:after="0"/>
              <w:rPr>
                <w:sz w:val="20"/>
                <w:szCs w:val="20"/>
                <w:color w:val="auto"/>
              </w:rPr>
            </w:pPr>
            <w:r>
              <w:rPr>
                <w:rFonts w:ascii="Arial" w:cs="Arial" w:eastAsia="Arial" w:hAnsi="Arial"/>
                <w:sz w:val="16"/>
                <w:szCs w:val="16"/>
                <w:color w:val="auto"/>
              </w:rPr>
              <w:t>- $2.95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$2.70</w:t>
            </w:r>
          </w:p>
        </w:tc>
        <w:tc>
          <w:tcPr>
            <w:tcW w:w="1040" w:type="dxa"/>
            <w:vAlign w:val="bottom"/>
          </w:tcPr>
          <w:p>
            <w:pPr>
              <w:ind w:left="20"/>
              <w:spacing w:after="0"/>
              <w:rPr>
                <w:sz w:val="20"/>
                <w:szCs w:val="20"/>
                <w:color w:val="auto"/>
              </w:rPr>
            </w:pPr>
            <w:r>
              <w:rPr>
                <w:rFonts w:ascii="Arial" w:cs="Arial" w:eastAsia="Arial" w:hAnsi="Arial"/>
                <w:sz w:val="16"/>
                <w:szCs w:val="16"/>
                <w:color w:val="auto"/>
              </w:rPr>
              <w:t>- $2.90</w:t>
            </w:r>
          </w:p>
        </w:tc>
      </w:tr>
      <w:tr>
        <w:trPr>
          <w:trHeight w:val="217"/>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Adjusted EBITDA Margin (%)</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37.25%</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- 37.50%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36.25%</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- 37.25%</w:t>
            </w:r>
          </w:p>
        </w:tc>
      </w:tr>
    </w:tbl>
    <w:p>
      <w:pPr>
        <w:spacing w:after="0" w:line="369"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Previous guidance was issued on May 9, 2025 and reaffirmed on May 22, 2025.</w:t>
      </w:r>
    </w:p>
    <w:p>
      <w:pPr>
        <w:spacing w:after="0" w:line="163" w:lineRule="exact"/>
        <w:rPr>
          <w:rFonts w:ascii="Arial" w:cs="Arial" w:eastAsia="Arial" w:hAnsi="Arial"/>
          <w:sz w:val="14"/>
          <w:szCs w:val="14"/>
          <w:color w:val="auto"/>
        </w:rPr>
      </w:pPr>
    </w:p>
    <w:p>
      <w:pPr>
        <w:ind w:firstLine="8"/>
        <w:spacing w:after="0" w:line="305" w:lineRule="auto"/>
        <w:tabs>
          <w:tab w:leader="none" w:pos="221" w:val="left"/>
        </w:tabs>
        <w:numPr>
          <w:ilvl w:val="0"/>
          <w:numId w:val="8"/>
        </w:numPr>
        <w:rPr>
          <w:rFonts w:ascii="Arial" w:cs="Arial" w:eastAsia="Arial" w:hAnsi="Arial"/>
          <w:sz w:val="14"/>
          <w:szCs w:val="14"/>
          <w:color w:val="auto"/>
        </w:rPr>
      </w:pPr>
      <w:r>
        <w:rPr>
          <w:rFonts w:ascii="Arial" w:cs="Arial" w:eastAsia="Arial" w:hAnsi="Arial"/>
          <w:sz w:val="14"/>
          <w:szCs w:val="14"/>
          <w:color w:val="auto"/>
        </w:rPr>
        <w:t>Reflects the recognition of incremental Italian payback accruals resulting from the two July 22, 2024 rulings by the Constitutional Court of Italy relating to certain prior years since 2015 recorded in Revenues.</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are unable to present a quantitative reconciliation of our expected adjusted gross margin, expected adjusted operating margin, expected adjusted earnings per diluted share, expected adjusted EBITDA and our expected adjusted EBITDA margin as we are unable to predict with reasonable certainty, and without unreasonable effort the impact and timing of any one-time items. The financial impact of these one-time items is uncertain and is dependent on various factors, including timing, and could be material to our Condensed Consolidated Statements of Income.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Balance Sheet, Liquidity and Other Updates</w:t>
      </w:r>
    </w:p>
    <w:p>
      <w:pPr>
        <w:spacing w:after="0" w:line="169"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As of June 30, 2025, the Company had approximately $233.6 million in cash and equivalents and restricted cash and $1.489 billion of debt principal outstanding, and no amount drawn on its $500 million Revolving Credit Facility.</w:t>
      </w:r>
    </w:p>
    <w:p>
      <w:pPr>
        <w:spacing w:after="0" w:line="9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Company’s Board of Directors declared a quarterly cash dividend of $0.15 for each issued and outstanding share of the Company’s common stock. The dividend is payable on September 15, 2025 to stockholders of record at the close of business on August 29, 2025.</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Third Quarter Fiscal Year 2025 Earnings Conference Call:</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Management will host a conference call at 8:00 a.m. Eastern Time (ET) on August 8, 2025 to discuss the results of the quarter, provide an update on</w:t>
      </w:r>
    </w:p>
    <w:p>
      <w:pPr>
        <w:spacing w:after="0" w:line="10"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 xml:space="preserve">its business, and host a question and answer session. Those who would like to participate may access the live webcast </w:t>
      </w:r>
      <w:r>
        <w:rPr>
          <w:rFonts w:ascii="Arial" w:cs="Arial" w:eastAsia="Arial" w:hAnsi="Arial"/>
          <w:sz w:val="17"/>
          <w:szCs w:val="17"/>
          <w:color w:val="0000FF"/>
        </w:rPr>
        <w:t>here</w:t>
      </w:r>
      <w:r>
        <w:rPr>
          <w:rFonts w:ascii="Arial" w:cs="Arial" w:eastAsia="Arial" w:hAnsi="Arial"/>
          <w:sz w:val="17"/>
          <w:szCs w:val="17"/>
          <w:color w:val="auto"/>
        </w:rPr>
        <w:t xml:space="preserve">, or access the teleconference </w:t>
      </w:r>
      <w:r>
        <w:rPr>
          <w:rFonts w:ascii="Arial" w:cs="Arial" w:eastAsia="Arial" w:hAnsi="Arial"/>
          <w:sz w:val="17"/>
          <w:szCs w:val="17"/>
          <w:color w:val="0000FF"/>
        </w:rPr>
        <w:t>here</w:t>
      </w:r>
      <w:r>
        <w:rPr>
          <w:rFonts w:ascii="Arial" w:cs="Arial" w:eastAsia="Arial" w:hAnsi="Arial"/>
          <w:sz w:val="17"/>
          <w:szCs w:val="17"/>
          <w:color w:val="auto"/>
        </w:rPr>
        <w:t xml:space="preserve">. The live webcast can also be accessed via the company’s website at </w:t>
      </w:r>
      <w:r>
        <w:rPr>
          <w:rFonts w:ascii="Arial" w:cs="Arial" w:eastAsia="Arial" w:hAnsi="Arial"/>
          <w:sz w:val="17"/>
          <w:szCs w:val="17"/>
          <w:color w:val="0000FF"/>
        </w:rPr>
        <w:t>investors.embecta.com</w:t>
      </w:r>
      <w:r>
        <w:rPr>
          <w:rFonts w:ascii="Arial" w:cs="Arial" w:eastAsia="Arial" w:hAnsi="Arial"/>
          <w:sz w:val="17"/>
          <w:szCs w:val="17"/>
          <w:color w:val="auto"/>
        </w:rPr>
        <w:t>.</w:t>
      </w:r>
    </w:p>
    <w:p>
      <w:pPr>
        <w:spacing w:after="0" w:line="14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 webcast replay of the call will be available beginning at 11:00 a.m. ET on August 8, 2025, via the embecta investor relations website and archived on the website for one year.</w:t>
      </w:r>
    </w:p>
    <w:p>
      <w:pPr>
        <w:sectPr>
          <w:pgSz w:w="11900" w:h="16838" w:orient="portrait"/>
          <w:cols w:equalWidth="0" w:num="1">
            <w:col w:w="11240"/>
          </w:cols>
          <w:pgMar w:left="320" w:top="1238" w:right="339" w:bottom="1440" w:gutter="0" w:footer="0" w:header="0"/>
        </w:sectPr>
      </w:pPr>
    </w:p>
    <w:bookmarkStart w:id="10" w:name="page11"/>
    <w:bookmarkEnd w:id="10"/>
    <w:p>
      <w:pPr>
        <w:ind w:left="3300"/>
        <w:spacing w:after="0"/>
        <w:rPr>
          <w:sz w:val="20"/>
          <w:szCs w:val="20"/>
          <w:color w:val="auto"/>
        </w:rPr>
      </w:pPr>
      <w:r>
        <w:rPr>
          <w:rFonts w:ascii="Arial" w:cs="Arial" w:eastAsia="Arial" w:hAnsi="Arial"/>
          <w:sz w:val="18"/>
          <w:szCs w:val="18"/>
          <w:b w:val="1"/>
          <w:bCs w:val="1"/>
          <w:color w:val="auto"/>
        </w:rPr>
        <w:t>Condensed Consolidated Statements of Income</w:t>
      </w:r>
    </w:p>
    <w:p>
      <w:pPr>
        <w:ind w:left="4700"/>
        <w:spacing w:after="0" w:line="234" w:lineRule="auto"/>
        <w:rPr>
          <w:sz w:val="20"/>
          <w:szCs w:val="20"/>
          <w:color w:val="auto"/>
        </w:rPr>
      </w:pPr>
      <w:r>
        <w:rPr>
          <w:rFonts w:ascii="Arial" w:cs="Arial" w:eastAsia="Arial" w:hAnsi="Arial"/>
          <w:sz w:val="18"/>
          <w:szCs w:val="18"/>
          <w:b w:val="1"/>
          <w:bCs w:val="1"/>
          <w:color w:val="auto"/>
        </w:rPr>
        <w:t>Embecta Corp.</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millions, except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248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45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June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2024</w:t>
            </w:r>
          </w:p>
        </w:tc>
      </w:tr>
      <w:tr>
        <w:trPr>
          <w:trHeight w:val="20"/>
        </w:trPr>
        <w:tc>
          <w:tcPr>
            <w:tcW w:w="4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4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295.5</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816.4</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837.0</w:t>
            </w:r>
          </w:p>
        </w:tc>
      </w:tr>
      <w:tr>
        <w:trPr>
          <w:trHeight w:val="215"/>
        </w:trPr>
        <w:tc>
          <w:tcPr>
            <w:tcW w:w="4580" w:type="dxa"/>
            <w:vAlign w:val="bottom"/>
          </w:tcPr>
          <w:p>
            <w:pPr>
              <w:spacing w:after="0"/>
              <w:rPr>
                <w:sz w:val="20"/>
                <w:szCs w:val="20"/>
                <w:color w:val="auto"/>
              </w:rPr>
            </w:pPr>
            <w:r>
              <w:rPr>
                <w:rFonts w:ascii="Arial" w:cs="Arial" w:eastAsia="Arial" w:hAnsi="Arial"/>
                <w:sz w:val="16"/>
                <w:szCs w:val="16"/>
                <w:color w:val="auto"/>
              </w:rPr>
              <w:t>Cost of products sold</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98.4</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298.1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275.6</w:t>
            </w:r>
          </w:p>
        </w:tc>
      </w:tr>
      <w:tr>
        <w:trPr>
          <w:trHeight w:val="28"/>
        </w:trPr>
        <w:tc>
          <w:tcPr>
            <w:tcW w:w="45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Gross Profit</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197.1</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518.3</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561.4</w:t>
            </w:r>
          </w:p>
        </w:tc>
      </w:tr>
      <w:tr>
        <w:trPr>
          <w:trHeight w:val="215"/>
        </w:trPr>
        <w:tc>
          <w:tcPr>
            <w:tcW w:w="4580" w:type="dxa"/>
            <w:vAlign w:val="bottom"/>
          </w:tcPr>
          <w:p>
            <w:pPr>
              <w:spacing w:after="0"/>
              <w:rPr>
                <w:sz w:val="20"/>
                <w:szCs w:val="20"/>
                <w:color w:val="auto"/>
              </w:rPr>
            </w:pPr>
            <w:r>
              <w:rPr>
                <w:rFonts w:ascii="Arial" w:cs="Arial" w:eastAsia="Arial" w:hAnsi="Arial"/>
                <w:sz w:val="16"/>
                <w:szCs w:val="16"/>
                <w:color w:val="auto"/>
              </w:rPr>
              <w:t>Operating expenses:</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8"/>
        </w:trPr>
        <w:tc>
          <w:tcPr>
            <w:tcW w:w="4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Selling and administrative expense</w:t>
            </w:r>
          </w:p>
        </w:tc>
        <w:tc>
          <w:tcPr>
            <w:tcW w:w="9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84.4</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245.1</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268.3</w:t>
            </w:r>
          </w:p>
        </w:tc>
      </w:tr>
      <w:tr>
        <w:trPr>
          <w:trHeight w:val="215"/>
        </w:trPr>
        <w:tc>
          <w:tcPr>
            <w:tcW w:w="4580" w:type="dxa"/>
            <w:vAlign w:val="bottom"/>
          </w:tcPr>
          <w:p>
            <w:pPr>
              <w:spacing w:after="0"/>
              <w:rPr>
                <w:sz w:val="20"/>
                <w:szCs w:val="20"/>
                <w:color w:val="auto"/>
              </w:rPr>
            </w:pPr>
            <w:r>
              <w:rPr>
                <w:rFonts w:ascii="Arial" w:cs="Arial" w:eastAsia="Arial" w:hAnsi="Arial"/>
                <w:sz w:val="16"/>
                <w:szCs w:val="16"/>
                <w:color w:val="auto"/>
              </w:rPr>
              <w:t>Research and development expense</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59.0</w:t>
            </w:r>
          </w:p>
        </w:tc>
      </w:tr>
      <w:tr>
        <w:trPr>
          <w:trHeight w:val="28"/>
        </w:trPr>
        <w:tc>
          <w:tcPr>
            <w:tcW w:w="4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operating expenses</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93.5</w:t>
            </w:r>
          </w:p>
        </w:tc>
      </w:tr>
      <w:tr>
        <w:trPr>
          <w:trHeight w:val="208"/>
        </w:trPr>
        <w:tc>
          <w:tcPr>
            <w:tcW w:w="4580" w:type="dxa"/>
            <w:vAlign w:val="bottom"/>
          </w:tcPr>
          <w:p>
            <w:pPr>
              <w:ind w:left="320"/>
              <w:spacing w:after="0"/>
              <w:rPr>
                <w:sz w:val="20"/>
                <w:szCs w:val="20"/>
                <w:color w:val="auto"/>
              </w:rPr>
            </w:pPr>
            <w:r>
              <w:rPr>
                <w:rFonts w:ascii="Arial" w:cs="Arial" w:eastAsia="Arial" w:hAnsi="Arial"/>
                <w:sz w:val="16"/>
                <w:szCs w:val="16"/>
                <w:color w:val="auto"/>
              </w:rPr>
              <w:t>Total Operating Expenses</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103.1</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134.2</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332.7</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420.8</w:t>
            </w:r>
          </w:p>
        </w:tc>
      </w:tr>
      <w:tr>
        <w:trPr>
          <w:trHeight w:val="28"/>
        </w:trPr>
        <w:tc>
          <w:tcPr>
            <w:tcW w:w="45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Operating Income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94.0</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185.6</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140.6</w:t>
            </w:r>
          </w:p>
        </w:tc>
      </w:tr>
      <w:tr>
        <w:trPr>
          <w:trHeight w:val="215"/>
        </w:trPr>
        <w:tc>
          <w:tcPr>
            <w:tcW w:w="4580" w:type="dxa"/>
            <w:vAlign w:val="bottom"/>
          </w:tcPr>
          <w:p>
            <w:pPr>
              <w:spacing w:after="0"/>
              <w:rPr>
                <w:sz w:val="20"/>
                <w:szCs w:val="20"/>
                <w:color w:val="auto"/>
              </w:rPr>
            </w:pPr>
            <w:r>
              <w:rPr>
                <w:rFonts w:ascii="Arial" w:cs="Arial" w:eastAsia="Arial" w:hAnsi="Arial"/>
                <w:sz w:val="16"/>
                <w:szCs w:val="16"/>
                <w:color w:val="auto"/>
              </w:rPr>
              <w:t>Interest expense, net</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(83.3)</w:t>
            </w:r>
          </w:p>
        </w:tc>
      </w:tr>
      <w:tr>
        <w:trPr>
          <w:trHeight w:val="28"/>
        </w:trPr>
        <w:tc>
          <w:tcPr>
            <w:tcW w:w="4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income (expense), net</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08"/>
        </w:trPr>
        <w:tc>
          <w:tcPr>
            <w:tcW w:w="458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107.3</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51.2</w:t>
            </w:r>
          </w:p>
        </w:tc>
      </w:tr>
      <w:tr>
        <w:trPr>
          <w:trHeight w:val="28"/>
        </w:trPr>
        <w:tc>
          <w:tcPr>
            <w:tcW w:w="4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tax provision (benefit)</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08"/>
        </w:trPr>
        <w:tc>
          <w:tcPr>
            <w:tcW w:w="4580" w:type="dxa"/>
            <w:vAlign w:val="bottom"/>
          </w:tcPr>
          <w:p>
            <w:pPr>
              <w:ind w:left="1040"/>
              <w:spacing w:after="0"/>
              <w:rPr>
                <w:sz w:val="20"/>
                <w:szCs w:val="20"/>
                <w:color w:val="auto"/>
              </w:rPr>
            </w:pPr>
            <w:r>
              <w:rPr>
                <w:rFonts w:ascii="Arial" w:cs="Arial" w:eastAsia="Arial" w:hAnsi="Arial"/>
                <w:sz w:val="16"/>
                <w:szCs w:val="16"/>
                <w:color w:val="auto"/>
              </w:rPr>
              <w:t>Net Income</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45.5</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63.7</w:t>
            </w:r>
          </w:p>
        </w:tc>
      </w:tr>
      <w:tr>
        <w:trPr>
          <w:trHeight w:val="28"/>
        </w:trPr>
        <w:tc>
          <w:tcPr>
            <w:tcW w:w="45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6"/>
        </w:trPr>
        <w:tc>
          <w:tcPr>
            <w:tcW w:w="45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5"/>
        </w:trPr>
        <w:tc>
          <w:tcPr>
            <w:tcW w:w="4580" w:type="dxa"/>
            <w:vAlign w:val="bottom"/>
          </w:tcPr>
          <w:p>
            <w:pPr>
              <w:spacing w:after="0"/>
              <w:rPr>
                <w:sz w:val="20"/>
                <w:szCs w:val="20"/>
                <w:color w:val="auto"/>
              </w:rPr>
            </w:pPr>
            <w:r>
              <w:rPr>
                <w:rFonts w:ascii="Arial" w:cs="Arial" w:eastAsia="Arial" w:hAnsi="Arial"/>
                <w:sz w:val="16"/>
                <w:szCs w:val="16"/>
                <w:color w:val="auto"/>
              </w:rPr>
              <w:t>Net Income per common share:</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8"/>
        </w:trPr>
        <w:tc>
          <w:tcPr>
            <w:tcW w:w="4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4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15"/>
        </w:trPr>
        <w:tc>
          <w:tcPr>
            <w:tcW w:w="4580" w:type="dxa"/>
            <w:vAlign w:val="bottom"/>
          </w:tcPr>
          <w:p>
            <w:pPr>
              <w:ind w:left="120"/>
              <w:spacing w:after="0"/>
              <w:rPr>
                <w:sz w:val="20"/>
                <w:szCs w:val="20"/>
                <w:color w:val="auto"/>
              </w:rPr>
            </w:pPr>
            <w:r>
              <w:rPr>
                <w:rFonts w:ascii="Arial" w:cs="Arial" w:eastAsia="Arial" w:hAnsi="Arial"/>
                <w:sz w:val="16"/>
                <w:szCs w:val="16"/>
                <w:color w:val="auto"/>
              </w:rPr>
              <w:t>Diluted</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0.78</w:t>
            </w:r>
          </w:p>
        </w:tc>
        <w:tc>
          <w:tcPr>
            <w:tcW w:w="100" w:type="dxa"/>
            <w:vAlign w:val="bottom"/>
          </w:tcPr>
          <w:p>
            <w:pPr>
              <w:spacing w:after="0"/>
              <w:rPr>
                <w:sz w:val="18"/>
                <w:szCs w:val="18"/>
                <w:color w:val="auto"/>
              </w:rPr>
            </w:pP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1.10</w:t>
            </w:r>
          </w:p>
        </w:tc>
      </w:tr>
    </w:tbl>
    <w:p>
      <w:pPr>
        <w:sectPr>
          <w:pgSz w:w="11900" w:h="16838" w:orient="portrait"/>
          <w:cols w:equalWidth="0" w:num="1">
            <w:col w:w="10700"/>
          </w:cols>
          <w:pgMar w:left="600" w:top="1255" w:right="599" w:bottom="1440" w:gutter="0" w:footer="0" w:header="0"/>
        </w:sectPr>
      </w:pPr>
    </w:p>
    <w:bookmarkStart w:id="11" w:name="page12"/>
    <w:bookmarkEnd w:id="11"/>
    <w:p>
      <w:pPr>
        <w:ind w:left="3840"/>
        <w:spacing w:after="0"/>
        <w:rPr>
          <w:sz w:val="20"/>
          <w:szCs w:val="20"/>
          <w:color w:val="auto"/>
        </w:rPr>
      </w:pPr>
      <w:r>
        <w:rPr>
          <w:rFonts w:ascii="Arial" w:cs="Arial" w:eastAsia="Arial" w:hAnsi="Arial"/>
          <w:sz w:val="18"/>
          <w:szCs w:val="18"/>
          <w:b w:val="1"/>
          <w:bCs w:val="1"/>
          <w:color w:val="auto"/>
        </w:rPr>
        <w:t>Condensed Consolidated Balance Sheets</w:t>
      </w:r>
    </w:p>
    <w:p>
      <w:pPr>
        <w:ind w:left="4980"/>
        <w:spacing w:after="0" w:line="203" w:lineRule="auto"/>
        <w:rPr>
          <w:sz w:val="20"/>
          <w:szCs w:val="20"/>
          <w:color w:val="auto"/>
        </w:rPr>
      </w:pPr>
      <w:r>
        <w:rPr>
          <w:rFonts w:ascii="Arial" w:cs="Arial" w:eastAsia="Arial" w:hAnsi="Arial"/>
          <w:sz w:val="18"/>
          <w:szCs w:val="18"/>
          <w:b w:val="1"/>
          <w:bCs w:val="1"/>
          <w:color w:val="auto"/>
        </w:rPr>
        <w:t>Embecta Corp.</w:t>
      </w: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2025</w:t>
            </w:r>
          </w:p>
        </w:tc>
        <w:tc>
          <w:tcPr>
            <w:tcW w:w="140" w:type="dxa"/>
            <w:vAlign w:val="bottom"/>
          </w:tcPr>
          <w:p>
            <w:pPr>
              <w:spacing w:after="0"/>
              <w:rPr>
                <w:sz w:val="18"/>
                <w:szCs w:val="18"/>
                <w:color w:val="auto"/>
              </w:rPr>
            </w:pPr>
          </w:p>
        </w:tc>
        <w:tc>
          <w:tcPr>
            <w:tcW w:w="1740" w:type="dxa"/>
            <w:vAlign w:val="bottom"/>
          </w:tcPr>
          <w:p>
            <w:pPr>
              <w:jc w:val="right"/>
              <w:ind w:right="99"/>
              <w:spacing w:after="0"/>
              <w:rPr>
                <w:sz w:val="20"/>
                <w:szCs w:val="20"/>
                <w:color w:val="auto"/>
              </w:rPr>
            </w:pPr>
            <w:r>
              <w:rPr>
                <w:rFonts w:ascii="Arial" w:cs="Arial" w:eastAsia="Arial" w:hAnsi="Arial"/>
                <w:sz w:val="16"/>
                <w:szCs w:val="16"/>
                <w:b w:val="1"/>
                <w:bCs w:val="1"/>
                <w:color w:val="auto"/>
              </w:rPr>
              <w:t>September 30, 2024</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34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Cash and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267.5</w:t>
            </w:r>
          </w:p>
        </w:tc>
        <w:tc>
          <w:tcPr>
            <w:tcW w:w="0" w:type="dxa"/>
            <w:vAlign w:val="bottom"/>
          </w:tcPr>
          <w:p>
            <w:pPr>
              <w:spacing w:after="0"/>
              <w:rPr>
                <w:sz w:val="1"/>
                <w:szCs w:val="1"/>
                <w:color w:val="auto"/>
              </w:rPr>
            </w:pPr>
          </w:p>
        </w:tc>
      </w:tr>
      <w:tr>
        <w:trPr>
          <w:trHeight w:val="215"/>
        </w:trPr>
        <w:tc>
          <w:tcPr>
            <w:tcW w:w="7380" w:type="dxa"/>
            <w:vAlign w:val="bottom"/>
          </w:tcPr>
          <w:p>
            <w:pPr>
              <w:ind w:left="680"/>
              <w:spacing w:after="0"/>
              <w:rPr>
                <w:sz w:val="20"/>
                <w:szCs w:val="20"/>
                <w:color w:val="auto"/>
              </w:rPr>
            </w:pPr>
            <w:r>
              <w:rPr>
                <w:rFonts w:ascii="Arial" w:cs="Arial" w:eastAsia="Arial" w:hAnsi="Arial"/>
                <w:sz w:val="16"/>
                <w:szCs w:val="16"/>
                <w:color w:val="auto"/>
              </w:rPr>
              <w:t>Restricted cash</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73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Trade receivables, net (net of allowance for doubtful accounts of $2.0 million and $2.8 million</w:t>
            </w:r>
          </w:p>
        </w:tc>
        <w:tc>
          <w:tcPr>
            <w:tcW w:w="260" w:type="dxa"/>
            <w:vAlign w:val="bottom"/>
            <w:shd w:val="clear" w:color="auto" w:fill="CCEEFF"/>
          </w:tcPr>
          <w:p>
            <w:pPr>
              <w:spacing w:after="0"/>
              <w:rPr>
                <w:sz w:val="16"/>
                <w:szCs w:val="16"/>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182.8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193.0</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840"/>
              <w:spacing w:after="0"/>
              <w:rPr>
                <w:sz w:val="20"/>
                <w:szCs w:val="20"/>
                <w:color w:val="auto"/>
              </w:rPr>
            </w:pPr>
            <w:r>
              <w:rPr>
                <w:rFonts w:ascii="Arial" w:cs="Arial" w:eastAsia="Arial" w:hAnsi="Arial"/>
                <w:sz w:val="16"/>
                <w:szCs w:val="16"/>
                <w:color w:val="auto"/>
              </w:rPr>
              <w:t>as of June 30, 2025 and September 30, 2024, respectively)</w:t>
            </w:r>
          </w:p>
        </w:tc>
        <w:tc>
          <w:tcPr>
            <w:tcW w:w="260" w:type="dxa"/>
            <w:vAlign w:val="bottom"/>
            <w:shd w:val="clear" w:color="auto" w:fill="CCEEFF"/>
          </w:tcPr>
          <w:p>
            <w:pPr>
              <w:spacing w:after="0"/>
              <w:rPr>
                <w:sz w:val="20"/>
                <w:szCs w:val="20"/>
                <w:color w:val="auto"/>
              </w:rPr>
            </w:pPr>
          </w:p>
        </w:tc>
        <w:tc>
          <w:tcPr>
            <w:tcW w:w="16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Materials</w:t>
            </w:r>
          </w:p>
        </w:tc>
        <w:tc>
          <w:tcPr>
            <w:tcW w:w="2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15"/>
        </w:trPr>
        <w:tc>
          <w:tcPr>
            <w:tcW w:w="7380" w:type="dxa"/>
            <w:vAlign w:val="bottom"/>
          </w:tcPr>
          <w:p>
            <w:pPr>
              <w:ind w:left="1060"/>
              <w:spacing w:after="0"/>
              <w:rPr>
                <w:sz w:val="20"/>
                <w:szCs w:val="20"/>
                <w:color w:val="auto"/>
              </w:rPr>
            </w:pPr>
            <w:r>
              <w:rPr>
                <w:rFonts w:ascii="Arial" w:cs="Arial" w:eastAsia="Arial" w:hAnsi="Arial"/>
                <w:sz w:val="16"/>
                <w:szCs w:val="16"/>
                <w:color w:val="auto"/>
              </w:rPr>
              <w:t>Work in process</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Finished products</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126.3</w:t>
            </w:r>
          </w:p>
        </w:tc>
        <w:tc>
          <w:tcPr>
            <w:tcW w:w="0" w:type="dxa"/>
            <w:vAlign w:val="bottom"/>
          </w:tcPr>
          <w:p>
            <w:pPr>
              <w:spacing w:after="0"/>
              <w:rPr>
                <w:sz w:val="1"/>
                <w:szCs w:val="1"/>
                <w:color w:val="auto"/>
              </w:rPr>
            </w:pPr>
          </w:p>
        </w:tc>
      </w:tr>
      <w:tr>
        <w:trPr>
          <w:trHeight w:val="208"/>
        </w:trPr>
        <w:tc>
          <w:tcPr>
            <w:tcW w:w="7380" w:type="dxa"/>
            <w:vAlign w:val="bottom"/>
          </w:tcPr>
          <w:p>
            <w:pPr>
              <w:ind w:left="1060"/>
              <w:spacing w:after="0"/>
              <w:rPr>
                <w:sz w:val="20"/>
                <w:szCs w:val="20"/>
                <w:color w:val="auto"/>
              </w:rPr>
            </w:pPr>
            <w:r>
              <w:rPr>
                <w:rFonts w:ascii="Arial" w:cs="Arial" w:eastAsia="Arial" w:hAnsi="Arial"/>
                <w:sz w:val="16"/>
                <w:szCs w:val="16"/>
                <w:color w:val="auto"/>
              </w:rPr>
              <w:t>Total Inventories</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189.9</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171.5</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Amounts due from Becton, Dickinson and Company</w:t>
            </w:r>
          </w:p>
        </w:tc>
        <w:tc>
          <w:tcPr>
            <w:tcW w:w="2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Prepaid expenses and other</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68.5</w:t>
            </w:r>
          </w:p>
        </w:tc>
        <w:tc>
          <w:tcPr>
            <w:tcW w:w="0" w:type="dxa"/>
            <w:vAlign w:val="bottom"/>
          </w:tcPr>
          <w:p>
            <w:pPr>
              <w:spacing w:after="0"/>
              <w:rPr>
                <w:sz w:val="1"/>
                <w:szCs w:val="1"/>
                <w:color w:val="auto"/>
              </w:rPr>
            </w:pPr>
          </w:p>
        </w:tc>
      </w:tr>
      <w:tr>
        <w:trPr>
          <w:trHeight w:val="28"/>
        </w:trPr>
        <w:tc>
          <w:tcPr>
            <w:tcW w:w="7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681.5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761.0</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262.7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290.4</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and Intangible Assets</w:t>
            </w:r>
          </w:p>
        </w:tc>
        <w:tc>
          <w:tcPr>
            <w:tcW w:w="2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Deferred Income Taxes and Other Assets</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190.4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210.2</w:t>
            </w:r>
          </w:p>
        </w:tc>
        <w:tc>
          <w:tcPr>
            <w:tcW w:w="0" w:type="dxa"/>
            <w:vAlign w:val="bottom"/>
          </w:tcPr>
          <w:p>
            <w:pPr>
              <w:spacing w:after="0"/>
              <w:rPr>
                <w:sz w:val="1"/>
                <w:szCs w:val="1"/>
                <w:color w:val="auto"/>
              </w:rPr>
            </w:pPr>
          </w:p>
        </w:tc>
      </w:tr>
      <w:tr>
        <w:trPr>
          <w:trHeight w:val="28"/>
        </w:trPr>
        <w:tc>
          <w:tcPr>
            <w:tcW w:w="7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1,285.3</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3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Current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91.0</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Accrued expenses</w:t>
            </w:r>
          </w:p>
        </w:tc>
        <w:tc>
          <w:tcPr>
            <w:tcW w:w="2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Amounts due to Becton, Dickinson and Company</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Salaries, wages and related items</w:t>
            </w:r>
          </w:p>
        </w:tc>
        <w:tc>
          <w:tcPr>
            <w:tcW w:w="2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Current debt obligations</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Current finance lease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Income taxes</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8"/>
        </w:trPr>
        <w:tc>
          <w:tcPr>
            <w:tcW w:w="7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374.0</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Deferred Income Taxes and Other Liabilities</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1,458.8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1,565.3</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Non Current Finance Lease Liabilities</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Contingencies</w:t>
            </w:r>
          </w:p>
        </w:tc>
        <w:tc>
          <w:tcPr>
            <w:tcW w:w="2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tcPr>
          <w:p>
            <w:pPr>
              <w:ind w:left="20"/>
              <w:spacing w:after="0"/>
              <w:rPr>
                <w:sz w:val="20"/>
                <w:szCs w:val="20"/>
                <w:color w:val="auto"/>
              </w:rPr>
            </w:pPr>
            <w:r>
              <w:rPr>
                <w:rFonts w:ascii="Arial" w:cs="Arial" w:eastAsia="Arial" w:hAnsi="Arial"/>
                <w:sz w:val="16"/>
                <w:szCs w:val="16"/>
                <w:b w:val="1"/>
                <w:bCs w:val="1"/>
                <w:color w:val="auto"/>
              </w:rPr>
              <w:t>Embecta Corp. Equity</w:t>
            </w: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3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Common stock, $0.01 par value</w:t>
            </w:r>
          </w:p>
        </w:tc>
        <w:tc>
          <w:tcPr>
            <w:tcW w:w="2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Authorized - 250,000,000</w:t>
            </w:r>
          </w:p>
        </w:tc>
        <w:tc>
          <w:tcPr>
            <w:tcW w:w="2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380" w:type="dxa"/>
            <w:vAlign w:val="bottom"/>
            <w:shd w:val="clear" w:color="auto" w:fill="CCEEFF"/>
          </w:tcPr>
          <w:p>
            <w:pPr>
              <w:ind w:left="700"/>
              <w:spacing w:after="0" w:line="175" w:lineRule="exact"/>
              <w:rPr>
                <w:sz w:val="20"/>
                <w:szCs w:val="20"/>
                <w:color w:val="auto"/>
              </w:rPr>
            </w:pPr>
            <w:r>
              <w:rPr>
                <w:rFonts w:ascii="Arial" w:cs="Arial" w:eastAsia="Arial" w:hAnsi="Arial"/>
                <w:sz w:val="16"/>
                <w:szCs w:val="16"/>
                <w:color w:val="auto"/>
              </w:rPr>
              <w:t>Issued and outstanding - 58,473,127 as of June 30, 2025 and 57,707,285 as of</w:t>
            </w:r>
          </w:p>
        </w:tc>
        <w:tc>
          <w:tcPr>
            <w:tcW w:w="2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3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September 30, 2024</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Accumulated deficit</w:t>
            </w:r>
          </w:p>
        </w:tc>
        <w:tc>
          <w:tcPr>
            <w:tcW w:w="2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(457.1)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(498.6)</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(283.3)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(292.8)</w:t>
            </w:r>
          </w:p>
        </w:tc>
        <w:tc>
          <w:tcPr>
            <w:tcW w:w="0" w:type="dxa"/>
            <w:vAlign w:val="bottom"/>
          </w:tcPr>
          <w:p>
            <w:pPr>
              <w:spacing w:after="0"/>
              <w:rPr>
                <w:sz w:val="1"/>
                <w:szCs w:val="1"/>
                <w:color w:val="auto"/>
              </w:rPr>
            </w:pPr>
          </w:p>
        </w:tc>
      </w:tr>
      <w:tr>
        <w:trPr>
          <w:trHeight w:val="28"/>
        </w:trPr>
        <w:tc>
          <w:tcPr>
            <w:tcW w:w="7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Total Equity</w:t>
            </w:r>
          </w:p>
        </w:tc>
        <w:tc>
          <w:tcPr>
            <w:tcW w:w="2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(669.6)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(738.3)</w:t>
            </w:r>
          </w:p>
        </w:tc>
        <w:tc>
          <w:tcPr>
            <w:tcW w:w="0" w:type="dxa"/>
            <w:vAlign w:val="bottom"/>
          </w:tcPr>
          <w:p>
            <w:pPr>
              <w:spacing w:after="0"/>
              <w:rPr>
                <w:sz w:val="1"/>
                <w:szCs w:val="1"/>
                <w:color w:val="auto"/>
              </w:rPr>
            </w:pPr>
          </w:p>
        </w:tc>
      </w:tr>
      <w:tr>
        <w:trPr>
          <w:trHeight w:val="208"/>
        </w:trPr>
        <w:tc>
          <w:tcPr>
            <w:tcW w:w="7380" w:type="dxa"/>
            <w:vAlign w:val="bottom"/>
          </w:tcPr>
          <w:p>
            <w:pPr>
              <w:ind w:left="20"/>
              <w:spacing w:after="0"/>
              <w:rPr>
                <w:sz w:val="20"/>
                <w:szCs w:val="20"/>
                <w:color w:val="auto"/>
              </w:rPr>
            </w:pPr>
            <w:r>
              <w:rPr>
                <w:rFonts w:ascii="Arial" w:cs="Arial" w:eastAsia="Arial" w:hAnsi="Arial"/>
                <w:sz w:val="16"/>
                <w:szCs w:val="16"/>
                <w:color w:val="auto"/>
              </w:rPr>
              <w:t>Total Liabilities and Equity</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1,157.3</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1,285.3</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2" w:right="339" w:bottom="1440" w:gutter="0" w:footer="0" w:header="0"/>
        </w:sectPr>
      </w:pPr>
    </w:p>
    <w:bookmarkStart w:id="12" w:name="page13"/>
    <w:bookmarkEnd w:id="12"/>
    <w:p>
      <w:pPr>
        <w:ind w:left="3380"/>
        <w:spacing w:after="0"/>
        <w:rPr>
          <w:sz w:val="20"/>
          <w:szCs w:val="20"/>
          <w:color w:val="auto"/>
        </w:rPr>
      </w:pPr>
      <w:r>
        <w:rPr>
          <w:rFonts w:ascii="Arial" w:cs="Arial" w:eastAsia="Arial" w:hAnsi="Arial"/>
          <w:sz w:val="18"/>
          <w:szCs w:val="18"/>
          <w:b w:val="1"/>
          <w:bCs w:val="1"/>
          <w:color w:val="auto"/>
        </w:rPr>
        <w:t>Condensed Consolidated Statements of Cash Flows</w:t>
      </w:r>
    </w:p>
    <w:p>
      <w:pPr>
        <w:ind w:left="4960"/>
        <w:spacing w:after="0" w:line="203" w:lineRule="auto"/>
        <w:rPr>
          <w:sz w:val="20"/>
          <w:szCs w:val="20"/>
          <w:color w:val="auto"/>
        </w:rPr>
      </w:pPr>
      <w:r>
        <w:rPr>
          <w:rFonts w:ascii="Arial" w:cs="Arial" w:eastAsia="Arial" w:hAnsi="Arial"/>
          <w:sz w:val="18"/>
          <w:szCs w:val="18"/>
          <w:b w:val="1"/>
          <w:bCs w:val="1"/>
          <w:color w:val="auto"/>
        </w:rPr>
        <w:t>Embecta Corp.</w:t>
      </w: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3" w:lineRule="exact"/>
        <w:rPr>
          <w:sz w:val="20"/>
          <w:szCs w:val="20"/>
          <w:color w:val="auto"/>
        </w:rPr>
      </w:pPr>
    </w:p>
    <w:p>
      <w:pPr>
        <w:jc w:val="center"/>
        <w:ind w:left="8140"/>
        <w:spacing w:after="0"/>
        <w:rPr>
          <w:sz w:val="20"/>
          <w:szCs w:val="20"/>
          <w:color w:val="auto"/>
        </w:rPr>
      </w:pPr>
      <w:r>
        <w:rPr>
          <w:rFonts w:ascii="Arial" w:cs="Arial" w:eastAsia="Arial" w:hAnsi="Arial"/>
          <w:sz w:val="16"/>
          <w:szCs w:val="16"/>
          <w:b w:val="1"/>
          <w:bCs w:val="1"/>
          <w:color w:val="auto"/>
        </w:rPr>
        <w:t>Nine Months Ended</w:t>
      </w:r>
    </w:p>
    <w:p>
      <w:pPr>
        <w:jc w:val="center"/>
        <w:ind w:left="814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5178425</wp:posOffset>
            </wp:positionH>
            <wp:positionV relativeFrom="paragraph">
              <wp:posOffset>10795</wp:posOffset>
            </wp:positionV>
            <wp:extent cx="19373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2"/>
        </w:trPr>
        <w:tc>
          <w:tcPr>
            <w:tcW w:w="816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r>
        <w:trPr>
          <w:trHeight w:val="215"/>
        </w:trPr>
        <w:tc>
          <w:tcPr>
            <w:tcW w:w="8160" w:type="dxa"/>
            <w:vAlign w:val="bottom"/>
          </w:tcPr>
          <w:p>
            <w:pPr>
              <w:ind w:left="340"/>
              <w:spacing w:after="0"/>
              <w:rPr>
                <w:sz w:val="20"/>
                <w:szCs w:val="20"/>
                <w:color w:val="auto"/>
              </w:rPr>
            </w:pPr>
            <w:r>
              <w:rPr>
                <w:rFonts w:ascii="Arial" w:cs="Arial" w:eastAsia="Arial" w:hAnsi="Arial"/>
                <w:sz w:val="16"/>
                <w:szCs w:val="16"/>
                <w:color w:val="auto"/>
              </w:rPr>
              <w:t>Adjustments to net income to derive net cash provided by operating activities:</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Depreciation and amortization</w:t>
            </w:r>
          </w:p>
        </w:tc>
        <w:tc>
          <w:tcPr>
            <w:tcW w:w="9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15"/>
        </w:trPr>
        <w:tc>
          <w:tcPr>
            <w:tcW w:w="8160" w:type="dxa"/>
            <w:vAlign w:val="bottom"/>
          </w:tcPr>
          <w:p>
            <w:pPr>
              <w:ind w:left="700"/>
              <w:spacing w:after="0"/>
              <w:rPr>
                <w:sz w:val="20"/>
                <w:szCs w:val="20"/>
                <w:color w:val="auto"/>
              </w:rPr>
            </w:pPr>
            <w:r>
              <w:rPr>
                <w:rFonts w:ascii="Arial" w:cs="Arial" w:eastAsia="Arial" w:hAnsi="Arial"/>
                <w:sz w:val="16"/>
                <w:szCs w:val="16"/>
                <w:color w:val="auto"/>
              </w:rPr>
              <w:t>Amortization of debt issuance costs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Impairment of property, plant and equipment</w:t>
            </w:r>
          </w:p>
        </w:tc>
        <w:tc>
          <w:tcPr>
            <w:tcW w:w="9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160" w:type="dxa"/>
            <w:vAlign w:val="bottom"/>
          </w:tcPr>
          <w:p>
            <w:pPr>
              <w:ind w:left="700"/>
              <w:spacing w:after="0"/>
              <w:rPr>
                <w:sz w:val="20"/>
                <w:szCs w:val="20"/>
                <w:color w:val="auto"/>
              </w:rPr>
            </w:pPr>
            <w:r>
              <w:rPr>
                <w:rFonts w:ascii="Arial" w:cs="Arial" w:eastAsia="Arial" w:hAnsi="Arial"/>
                <w:sz w:val="16"/>
                <w:szCs w:val="16"/>
                <w:color w:val="auto"/>
              </w:rPr>
              <w:t>Amortization of cloud computing arrangements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Stock-based compensation</w:t>
            </w:r>
          </w:p>
        </w:tc>
        <w:tc>
          <w:tcPr>
            <w:tcW w:w="9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15"/>
        </w:trPr>
        <w:tc>
          <w:tcPr>
            <w:tcW w:w="8160" w:type="dxa"/>
            <w:vAlign w:val="bottom"/>
          </w:tcPr>
          <w:p>
            <w:pPr>
              <w:ind w:left="700"/>
              <w:spacing w:after="0"/>
              <w:rPr>
                <w:sz w:val="20"/>
                <w:szCs w:val="20"/>
                <w:color w:val="auto"/>
              </w:rPr>
            </w:pPr>
            <w:r>
              <w:rPr>
                <w:rFonts w:ascii="Arial" w:cs="Arial" w:eastAsia="Arial" w:hAnsi="Arial"/>
                <w:sz w:val="16"/>
                <w:szCs w:val="16"/>
                <w:color w:val="auto"/>
              </w:rPr>
              <w:t>Deferred income taxes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Change in operating assets and liabilities:</w:t>
            </w:r>
          </w:p>
        </w:tc>
        <w:tc>
          <w:tcPr>
            <w:tcW w:w="9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160" w:type="dxa"/>
            <w:vAlign w:val="bottom"/>
          </w:tcPr>
          <w:p>
            <w:pPr>
              <w:ind w:left="1060"/>
              <w:spacing w:after="0"/>
              <w:rPr>
                <w:sz w:val="20"/>
                <w:szCs w:val="20"/>
                <w:color w:val="auto"/>
              </w:rPr>
            </w:pPr>
            <w:r>
              <w:rPr>
                <w:rFonts w:ascii="Arial" w:cs="Arial" w:eastAsia="Arial" w:hAnsi="Arial"/>
                <w:sz w:val="16"/>
                <w:szCs w:val="16"/>
                <w:color w:val="auto"/>
              </w:rPr>
              <w:t>Trade receivables, net</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(156.2)</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Inventories</w:t>
            </w:r>
          </w:p>
        </w:tc>
        <w:tc>
          <w:tcPr>
            <w:tcW w:w="9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15"/>
        </w:trPr>
        <w:tc>
          <w:tcPr>
            <w:tcW w:w="8160" w:type="dxa"/>
            <w:vAlign w:val="bottom"/>
          </w:tcPr>
          <w:p>
            <w:pPr>
              <w:ind w:left="1060"/>
              <w:spacing w:after="0"/>
              <w:rPr>
                <w:sz w:val="20"/>
                <w:szCs w:val="20"/>
                <w:color w:val="auto"/>
              </w:rPr>
            </w:pPr>
            <w:r>
              <w:rPr>
                <w:rFonts w:ascii="Arial" w:cs="Arial" w:eastAsia="Arial" w:hAnsi="Arial"/>
                <w:sz w:val="16"/>
                <w:szCs w:val="16"/>
                <w:color w:val="auto"/>
              </w:rPr>
              <w:t>Due from/due to Becton, Dickinson and Company</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Prepaid expenses and other</w:t>
            </w:r>
          </w:p>
        </w:tc>
        <w:tc>
          <w:tcPr>
            <w:tcW w:w="9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215"/>
        </w:trPr>
        <w:tc>
          <w:tcPr>
            <w:tcW w:w="8160" w:type="dxa"/>
            <w:vAlign w:val="bottom"/>
          </w:tcPr>
          <w:p>
            <w:pPr>
              <w:ind w:left="1060"/>
              <w:spacing w:after="0"/>
              <w:rPr>
                <w:sz w:val="20"/>
                <w:szCs w:val="20"/>
                <w:color w:val="auto"/>
              </w:rPr>
            </w:pPr>
            <w:r>
              <w:rPr>
                <w:rFonts w:ascii="Arial" w:cs="Arial" w:eastAsia="Arial" w:hAnsi="Arial"/>
                <w:sz w:val="16"/>
                <w:szCs w:val="16"/>
                <w:color w:val="auto"/>
              </w:rPr>
              <w:t>Accounts payable, accrued expenses and other current liabilities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(57.2)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Income and other net taxes payable</w:t>
            </w:r>
          </w:p>
        </w:tc>
        <w:tc>
          <w:tcPr>
            <w:tcW w:w="9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5"/>
        </w:trPr>
        <w:tc>
          <w:tcPr>
            <w:tcW w:w="8160" w:type="dxa"/>
            <w:vAlign w:val="bottom"/>
          </w:tcPr>
          <w:p>
            <w:pPr>
              <w:ind w:left="940"/>
              <w:spacing w:after="0"/>
              <w:rPr>
                <w:sz w:val="20"/>
                <w:szCs w:val="20"/>
                <w:color w:val="auto"/>
              </w:rPr>
            </w:pPr>
            <w:r>
              <w:rPr>
                <w:rFonts w:ascii="Arial" w:cs="Arial" w:eastAsia="Arial" w:hAnsi="Arial"/>
                <w:sz w:val="16"/>
                <w:szCs w:val="16"/>
                <w:color w:val="auto"/>
              </w:rPr>
              <w:t>Other assets and liabilities, net</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8"/>
        </w:trPr>
        <w:tc>
          <w:tcPr>
            <w:tcW w:w="8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3"/>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9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Capital expenditures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08"/>
        </w:trPr>
        <w:tc>
          <w:tcPr>
            <w:tcW w:w="8160" w:type="dxa"/>
            <w:vAlign w:val="bottom"/>
          </w:tcPr>
          <w:p>
            <w:pPr>
              <w:ind w:left="340"/>
              <w:spacing w:after="0"/>
              <w:rPr>
                <w:sz w:val="20"/>
                <w:szCs w:val="20"/>
                <w:color w:val="auto"/>
              </w:rPr>
            </w:pPr>
            <w:r>
              <w:rPr>
                <w:rFonts w:ascii="Arial" w:cs="Arial" w:eastAsia="Arial" w:hAnsi="Arial"/>
                <w:sz w:val="16"/>
                <w:szCs w:val="16"/>
                <w:color w:val="auto"/>
              </w:rPr>
              <w:t>Net cash used for investing activities</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8"/>
        </w:trPr>
        <w:tc>
          <w:tcPr>
            <w:tcW w:w="8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9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160" w:type="dxa"/>
            <w:vAlign w:val="bottom"/>
          </w:tcPr>
          <w:p>
            <w:pPr>
              <w:ind w:left="700"/>
              <w:spacing w:after="0"/>
              <w:rPr>
                <w:sz w:val="20"/>
                <w:szCs w:val="20"/>
                <w:color w:val="auto"/>
              </w:rPr>
            </w:pPr>
            <w:r>
              <w:rPr>
                <w:rFonts w:ascii="Arial" w:cs="Arial" w:eastAsia="Arial" w:hAnsi="Arial"/>
                <w:sz w:val="16"/>
                <w:szCs w:val="16"/>
                <w:color w:val="auto"/>
              </w:rPr>
              <w:t>Payments on long-term debt</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8"/>
              </w:rPr>
              <w:t>(112.2)</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Payments related to tax withholding for stock-based compensation</w:t>
            </w:r>
          </w:p>
        </w:tc>
        <w:tc>
          <w:tcPr>
            <w:tcW w:w="9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5"/>
        </w:trPr>
        <w:tc>
          <w:tcPr>
            <w:tcW w:w="8160" w:type="dxa"/>
            <w:vAlign w:val="bottom"/>
          </w:tcPr>
          <w:p>
            <w:pPr>
              <w:ind w:left="700"/>
              <w:spacing w:after="0"/>
              <w:rPr>
                <w:sz w:val="20"/>
                <w:szCs w:val="20"/>
                <w:color w:val="auto"/>
              </w:rPr>
            </w:pPr>
            <w:r>
              <w:rPr>
                <w:rFonts w:ascii="Arial" w:cs="Arial" w:eastAsia="Arial" w:hAnsi="Arial"/>
                <w:sz w:val="16"/>
                <w:szCs w:val="16"/>
                <w:color w:val="auto"/>
              </w:rPr>
              <w:t>Payments on finance lease</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Dividend payments</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08"/>
        </w:trPr>
        <w:tc>
          <w:tcPr>
            <w:tcW w:w="8160" w:type="dxa"/>
            <w:vAlign w:val="bottom"/>
          </w:tcPr>
          <w:p>
            <w:pPr>
              <w:ind w:left="340"/>
              <w:spacing w:after="0"/>
              <w:rPr>
                <w:sz w:val="20"/>
                <w:szCs w:val="20"/>
                <w:color w:val="auto"/>
              </w:rPr>
            </w:pPr>
            <w:r>
              <w:rPr>
                <w:rFonts w:ascii="Arial" w:cs="Arial" w:eastAsia="Arial" w:hAnsi="Arial"/>
                <w:sz w:val="16"/>
                <w:szCs w:val="16"/>
                <w:color w:val="auto"/>
              </w:rPr>
              <w:t>Net cash used for financing activities</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(145.1)</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8"/>
        </w:trPr>
        <w:tc>
          <w:tcPr>
            <w:tcW w:w="8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Effect of exchange rate changes on cash and equivalents and restricted cash</w:t>
            </w:r>
          </w:p>
        </w:tc>
        <w:tc>
          <w:tcPr>
            <w:tcW w:w="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8"/>
        </w:trPr>
        <w:tc>
          <w:tcPr>
            <w:tcW w:w="8160" w:type="dxa"/>
            <w:vAlign w:val="bottom"/>
          </w:tcPr>
          <w:p>
            <w:pPr>
              <w:ind w:left="340"/>
              <w:spacing w:after="0"/>
              <w:rPr>
                <w:sz w:val="20"/>
                <w:szCs w:val="20"/>
                <w:color w:val="auto"/>
              </w:rPr>
            </w:pPr>
            <w:r>
              <w:rPr>
                <w:rFonts w:ascii="Arial" w:cs="Arial" w:eastAsia="Arial" w:hAnsi="Arial"/>
                <w:sz w:val="16"/>
                <w:szCs w:val="16"/>
                <w:color w:val="auto"/>
              </w:rPr>
              <w:t>Net Change in Cash and equivalents and restricted cash</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(40.6)</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Opening Cash and equivalents and restricted cash</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326.5</w:t>
            </w:r>
          </w:p>
        </w:tc>
        <w:tc>
          <w:tcPr>
            <w:tcW w:w="0" w:type="dxa"/>
            <w:vAlign w:val="bottom"/>
          </w:tcPr>
          <w:p>
            <w:pPr>
              <w:spacing w:after="0"/>
              <w:rPr>
                <w:sz w:val="1"/>
                <w:szCs w:val="1"/>
                <w:color w:val="auto"/>
              </w:rPr>
            </w:pPr>
          </w:p>
        </w:tc>
      </w:tr>
      <w:tr>
        <w:trPr>
          <w:trHeight w:val="208"/>
        </w:trPr>
        <w:tc>
          <w:tcPr>
            <w:tcW w:w="8160" w:type="dxa"/>
            <w:vAlign w:val="bottom"/>
          </w:tcPr>
          <w:p>
            <w:pPr>
              <w:ind w:left="340"/>
              <w:spacing w:after="0"/>
              <w:rPr>
                <w:sz w:val="20"/>
                <w:szCs w:val="20"/>
                <w:color w:val="auto"/>
              </w:rPr>
            </w:pPr>
            <w:r>
              <w:rPr>
                <w:rFonts w:ascii="Arial" w:cs="Arial" w:eastAsia="Arial" w:hAnsi="Arial"/>
                <w:sz w:val="16"/>
                <w:szCs w:val="16"/>
                <w:color w:val="auto"/>
              </w:rPr>
              <w:t>Closing Cash and equivalents and restricted cash</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233.6</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281.8</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40" w:top="1012" w:right="359" w:bottom="144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b w:val="1"/>
          <w:bCs w:val="1"/>
          <w:u w:val="single" w:color="auto"/>
          <w:color w:val="auto"/>
        </w:rPr>
        <w:t>About Non-GAAP financial measures</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In evaluating our operating performance, we supplement the reporting of our financial information determined under GAAP with certain non-GAAP financial measures including (i) Adjusted Revenues, (ii) earnings before interest, taxes, depreciation, and amortization (“EBITDA”), (iii) Adjusted EBITDA and Adjusted EBITDA Margin, (iv) Adjusted Gross Profit and Adjusted Gross Profit Margin, (v) Adjusted Constant Currency Revenue Growth, (vi) Adjusted Operating Income and Adjusted Operating Income Margin, and (vii) Adjusted Net Income and Adjusted Earnings Per Diluted Share. These non-GAAP financial measures are indicators of our performance that are not required by, or presented in accordance with, GAAP. They are presented with the intent of providing greater transparency to financial information used by us in our financial analysis and operational decision-making. We believe that these non-GAAP measures provide meaningful information to assist investors, stockholders and other readers of our consolidated financial statements in making comparisons to our historical operating results and analyzing the underlying performance of our results of operations. However, the presentation of these measures has limitations as an analytical tool and should not be considered in isolation, or as a substitute for the company’s results as reported under GAAP. Because not all companies use identical calculations, the presentations of these non-GAAP measures may not be comparable to other similarly titled measures of other companies. The Company uses non-GAAP financial measures in its operational and financial decision making, and believes that it is useful to exclude certain items in order to focus on what it regards to be a meaningful alternative representation of the underlying operating performance of the business.</w:t>
      </w:r>
    </w:p>
    <w:p>
      <w:pPr>
        <w:sectPr>
          <w:pgSz w:w="11900" w:h="16838" w:orient="portrait"/>
          <w:cols w:equalWidth="0" w:num="1">
            <w:col w:w="11240"/>
          </w:cols>
          <w:pgMar w:left="320" w:top="1184" w:right="339" w:bottom="1440" w:gutter="0" w:footer="0" w:header="0"/>
        </w:sectPr>
      </w:pPr>
    </w:p>
    <w:bookmarkStart w:id="14" w:name="page15"/>
    <w:bookmarkEnd w:id="14"/>
    <w:p>
      <w:pPr>
        <w:spacing w:after="0" w:line="251" w:lineRule="auto"/>
        <w:rPr>
          <w:sz w:val="20"/>
          <w:szCs w:val="20"/>
          <w:color w:val="auto"/>
        </w:rPr>
      </w:pPr>
      <w:r>
        <w:rPr>
          <w:rFonts w:ascii="Arial" w:cs="Arial" w:eastAsia="Arial" w:hAnsi="Arial"/>
          <w:sz w:val="17"/>
          <w:szCs w:val="17"/>
          <w:color w:val="auto"/>
        </w:rPr>
        <w:t>For the three and nine month periods ended June 30, 2025 and 2024, the reconciliation of (1) GAAP Revenues ("Reported Revenues") to Adjusted Revenues, and (2) GAAP Net income to EBITDA and Adjusted EBITDA was as follows (unaudited,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80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
        </w:trPr>
        <w:tc>
          <w:tcPr>
            <w:tcW w:w="48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Reported Revenues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295.5</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272.5</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816.4</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837.0</w:t>
            </w:r>
          </w:p>
        </w:tc>
        <w:tc>
          <w:tcPr>
            <w:tcW w:w="0" w:type="dxa"/>
            <w:vAlign w:val="bottom"/>
          </w:tcPr>
          <w:p>
            <w:pPr>
              <w:spacing w:after="0"/>
              <w:rPr>
                <w:sz w:val="1"/>
                <w:szCs w:val="1"/>
                <w:color w:val="auto"/>
              </w:rPr>
            </w:pPr>
          </w:p>
        </w:tc>
      </w:tr>
      <w:tr>
        <w:trPr>
          <w:trHeight w:val="223"/>
        </w:trPr>
        <w:tc>
          <w:tcPr>
            <w:tcW w:w="4880" w:type="dxa"/>
            <w:vAlign w:val="bottom"/>
          </w:tcPr>
          <w:p>
            <w:pPr>
              <w:ind w:left="20"/>
              <w:spacing w:after="0"/>
              <w:rPr>
                <w:sz w:val="20"/>
                <w:szCs w:val="20"/>
                <w:color w:val="auto"/>
              </w:rPr>
            </w:pPr>
            <w:r>
              <w:rPr>
                <w:rFonts w:ascii="Arial" w:cs="Arial" w:eastAsia="Arial" w:hAnsi="Arial"/>
                <w:sz w:val="16"/>
                <w:szCs w:val="16"/>
                <w:color w:val="auto"/>
              </w:rPr>
              <w:t>Italian payback measure</w:t>
            </w:r>
          </w:p>
        </w:tc>
        <w:tc>
          <w:tcPr>
            <w:tcW w:w="34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9"/>
                <w:szCs w:val="19"/>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Revenues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295.5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272.5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816.4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837.0</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GAAP Net Income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45.5</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14.7</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69.0</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63.7</w:t>
            </w:r>
          </w:p>
        </w:tc>
        <w:tc>
          <w:tcPr>
            <w:tcW w:w="0" w:type="dxa"/>
            <w:vAlign w:val="bottom"/>
          </w:tcPr>
          <w:p>
            <w:pPr>
              <w:spacing w:after="0"/>
              <w:rPr>
                <w:sz w:val="1"/>
                <w:szCs w:val="1"/>
                <w:color w:val="auto"/>
              </w:rPr>
            </w:pPr>
          </w:p>
        </w:tc>
      </w:tr>
      <w:tr>
        <w:trPr>
          <w:trHeight w:val="215"/>
        </w:trPr>
        <w:tc>
          <w:tcPr>
            <w:tcW w:w="48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83.3</w:t>
            </w:r>
          </w:p>
        </w:tc>
        <w:tc>
          <w:tcPr>
            <w:tcW w:w="0" w:type="dxa"/>
            <w:vAlign w:val="bottom"/>
          </w:tcPr>
          <w:p>
            <w:pPr>
              <w:spacing w:after="0"/>
              <w:rPr>
                <w:sz w:val="1"/>
                <w:szCs w:val="1"/>
                <w:color w:val="auto"/>
              </w:rPr>
            </w:pPr>
          </w:p>
        </w:tc>
      </w:tr>
      <w:tr>
        <w:trPr>
          <w:trHeight w:val="28"/>
        </w:trPr>
        <w:tc>
          <w:tcPr>
            <w:tcW w:w="4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5"/>
        </w:trPr>
        <w:tc>
          <w:tcPr>
            <w:tcW w:w="488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8"/>
        </w:trPr>
        <w:tc>
          <w:tcPr>
            <w:tcW w:w="4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EBITDA</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108.0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63.7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216.1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161.2</w:t>
            </w:r>
          </w:p>
        </w:tc>
        <w:tc>
          <w:tcPr>
            <w:tcW w:w="0" w:type="dxa"/>
            <w:vAlign w:val="bottom"/>
          </w:tcPr>
          <w:p>
            <w:pPr>
              <w:spacing w:after="0"/>
              <w:rPr>
                <w:sz w:val="1"/>
                <w:szCs w:val="1"/>
                <w:color w:val="auto"/>
              </w:rPr>
            </w:pPr>
          </w:p>
        </w:tc>
      </w:tr>
      <w:tr>
        <w:trPr>
          <w:trHeight w:val="237"/>
        </w:trPr>
        <w:tc>
          <w:tcPr>
            <w:tcW w:w="4880" w:type="dxa"/>
            <w:vAlign w:val="bottom"/>
          </w:tcPr>
          <w:p>
            <w:pPr>
              <w:ind w:left="20"/>
              <w:spacing w:after="0" w:line="237" w:lineRule="exact"/>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(1)</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1"/>
                <w:szCs w:val="21"/>
                <w:color w:val="auto"/>
                <w:vertAlign w:val="superscript"/>
              </w:rPr>
              <w:t>(2)</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Arial" w:cs="Arial" w:eastAsia="Arial" w:hAnsi="Arial"/>
                <w:sz w:val="16"/>
                <w:szCs w:val="16"/>
                <w:color w:val="auto"/>
              </w:rPr>
              <w:t xml:space="preserve">European regulatory initiative-related costs ("EU MDR") </w:t>
            </w:r>
            <w:r>
              <w:rPr>
                <w:rFonts w:ascii="Arial" w:cs="Arial" w:eastAsia="Arial" w:hAnsi="Arial"/>
                <w:sz w:val="21"/>
                <w:szCs w:val="21"/>
                <w:color w:val="auto"/>
                <w:vertAlign w:val="superscript"/>
              </w:rPr>
              <w:t>(3)</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Business optimization and severance related costs </w:t>
            </w:r>
            <w:r>
              <w:rPr>
                <w:rFonts w:ascii="Arial" w:cs="Arial" w:eastAsia="Arial" w:hAnsi="Arial"/>
                <w:sz w:val="21"/>
                <w:szCs w:val="21"/>
                <w:color w:val="auto"/>
                <w:vertAlign w:val="superscript"/>
              </w:rPr>
              <w:t>(4)</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75"/>
        </w:trPr>
        <w:tc>
          <w:tcPr>
            <w:tcW w:w="4880" w:type="dxa"/>
            <w:vAlign w:val="bottom"/>
          </w:tcPr>
          <w:p>
            <w:pPr>
              <w:ind w:left="20"/>
              <w:spacing w:after="0" w:line="175" w:lineRule="exact"/>
              <w:rPr>
                <w:sz w:val="20"/>
                <w:szCs w:val="20"/>
                <w:color w:val="auto"/>
              </w:rPr>
            </w:pPr>
            <w:r>
              <w:rPr>
                <w:rFonts w:ascii="Arial" w:cs="Arial" w:eastAsia="Arial" w:hAnsi="Arial"/>
                <w:sz w:val="16"/>
                <w:szCs w:val="16"/>
                <w:color w:val="auto"/>
              </w:rPr>
              <w:t>Deferred jurisdiction adjustments in Other income (expense), net</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880" w:type="dxa"/>
            <w:vAlign w:val="bottom"/>
          </w:tcPr>
          <w:p>
            <w:pPr>
              <w:ind w:left="200"/>
              <w:spacing w:after="0"/>
              <w:rPr>
                <w:sz w:val="20"/>
                <w:szCs w:val="20"/>
                <w:color w:val="auto"/>
              </w:rPr>
            </w:pPr>
            <w:r>
              <w:rPr>
                <w:rFonts w:ascii="Arial" w:cs="Arial" w:eastAsia="Arial" w:hAnsi="Arial"/>
                <w:sz w:val="16"/>
                <w:szCs w:val="16"/>
                <w:color w:val="auto"/>
              </w:rPr>
              <w:t xml:space="preserve">for taxes </w:t>
            </w:r>
            <w:r>
              <w:rPr>
                <w:rFonts w:ascii="Arial" w:cs="Arial" w:eastAsia="Arial" w:hAnsi="Arial"/>
                <w:sz w:val="21"/>
                <w:szCs w:val="21"/>
                <w:color w:val="auto"/>
                <w:vertAlign w:val="superscript"/>
              </w:rPr>
              <w:t>(5)</w:t>
            </w:r>
          </w:p>
        </w:tc>
        <w:tc>
          <w:tcPr>
            <w:tcW w:w="340" w:type="dxa"/>
            <w:vAlign w:val="bottom"/>
          </w:tcPr>
          <w:p>
            <w:pPr>
              <w:spacing w:after="0"/>
              <w:rPr>
                <w:sz w:val="22"/>
                <w:szCs w:val="2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Amortization of cloud computing arrangements </w:t>
            </w:r>
            <w:r>
              <w:rPr>
                <w:rFonts w:ascii="Arial" w:cs="Arial" w:eastAsia="Arial" w:hAnsi="Arial"/>
                <w:sz w:val="21"/>
                <w:szCs w:val="21"/>
                <w:color w:val="auto"/>
                <w:vertAlign w:val="superscript"/>
              </w:rPr>
              <w:t>(6)</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Arial" w:cs="Arial" w:eastAsia="Arial" w:hAnsi="Arial"/>
                <w:sz w:val="16"/>
                <w:szCs w:val="16"/>
                <w:color w:val="auto"/>
              </w:rPr>
              <w:t xml:space="preserve">Costs associated with the discontinued patch pump program </w:t>
            </w:r>
            <w:r>
              <w:rPr>
                <w:rFonts w:ascii="Arial" w:cs="Arial" w:eastAsia="Arial" w:hAnsi="Arial"/>
                <w:sz w:val="21"/>
                <w:szCs w:val="21"/>
                <w:color w:val="auto"/>
                <w:vertAlign w:val="superscript"/>
              </w:rPr>
              <w:t>(7)</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2"/>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w:t>
            </w:r>
          </w:p>
        </w:tc>
        <w:tc>
          <w:tcPr>
            <w:tcW w:w="34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131.0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99.2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325.4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280.4</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i w:val="1"/>
                <w:iCs w:val="1"/>
                <w:color w:val="auto"/>
              </w:rPr>
              <w:t>Adjusted EBITDA Margin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44.3 %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36.4 %</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39.9 %</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33.5 %</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left="500" w:hanging="388"/>
        <w:spacing w:after="0" w:line="224" w:lineRule="auto"/>
        <w:tabs>
          <w:tab w:leader="none" w:pos="497"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stock-based compensation expense incurred during the three and nine months ended June 30, 2025 and 2024, respectively. For the three months ended June 30, 2025, $5.1 million is recorded in Selling and administrative expense, $0.7 million is recorded in Cost of products sold, and $0.1 million is recorded in Research and development expense. For the three months ended June 30, 2024, $5.3 million is recorded in Selling and administrative expense, $0.6 million is recorded in Cost of products sold, and $0.6 million is recorded in Research and development expense. For the nine months ended June 30, 2025, $17.2 million is recorded in Selling and administrative expense, $2.8 million is recorded in Other operating expenses, $1.9 million is recorded in Cost of products sold, and $0.3 million is recorded in Research and development expense. For the nine months ended June 30, 2024, $16.1 million is recorded in Selling and administrative expense, $2.6 million is recorded in Cost of products sold, and $1.7 million is recorded in Research and development expense.</w:t>
      </w:r>
    </w:p>
    <w:p>
      <w:pPr>
        <w:spacing w:after="0" w:line="14" w:lineRule="exact"/>
        <w:rPr>
          <w:rFonts w:ascii="Arial" w:cs="Arial" w:eastAsia="Arial" w:hAnsi="Arial"/>
          <w:sz w:val="14"/>
          <w:szCs w:val="14"/>
          <w:color w:val="auto"/>
        </w:rPr>
      </w:pPr>
    </w:p>
    <w:p>
      <w:pPr>
        <w:jc w:val="both"/>
        <w:ind w:left="500" w:hanging="388"/>
        <w:spacing w:after="0" w:line="221" w:lineRule="auto"/>
        <w:tabs>
          <w:tab w:leader="none" w:pos="497" w:val="left"/>
        </w:tabs>
        <w:numPr>
          <w:ilvl w:val="0"/>
          <w:numId w:val="9"/>
        </w:numPr>
        <w:rPr>
          <w:rFonts w:ascii="Arial" w:cs="Arial" w:eastAsia="Arial" w:hAnsi="Arial"/>
          <w:sz w:val="14"/>
          <w:szCs w:val="14"/>
          <w:color w:val="auto"/>
        </w:rPr>
      </w:pPr>
      <w:r>
        <w:rPr>
          <w:rFonts w:ascii="Arial" w:cs="Arial" w:eastAsia="Arial" w:hAnsi="Arial"/>
          <w:sz w:val="14"/>
          <w:szCs w:val="14"/>
          <w:color w:val="auto"/>
        </w:rPr>
        <w:t>One-time stand-up costs incurred primarily include: (i) product registration, labeling, and brand transition costs; (ii) warehousing and distribution set-up costs; (iii) legal costs associated with patents and trademark work; (iv) temporary headcount resources within accounting, tax, finance, human resources, regulatory and IT; and (v) one-time business integration and IT related costs primarily associated with our global ERP implementation. For the three months ended June 30, 2025, approximately $9.7 million is recorded in Other operating expenses, $0.9 is recorded in Cost of products sold, and $0.4 million is recorded in Research and development expense. For the three months ended June 30, 2024, approximately $23.0 million is recorded in Other operating expenses and $0.1 million is recorded in Selling and administrative expense. For the nine months ended June 30, 2025, approximately $26.3 million is recorded in Other operating expenses, $1.5 million is recorded in Cost of products sold, and $1.2 million is recorded in Research and development expense. For the nine months ended June 30, 2024, approximately $83.9 million is recorded in Other operating expenses and $1.1 million is recorded in Selling and administrative expense.</w:t>
      </w:r>
    </w:p>
    <w:p>
      <w:pPr>
        <w:spacing w:after="0" w:line="15" w:lineRule="exact"/>
        <w:rPr>
          <w:rFonts w:ascii="Arial" w:cs="Arial" w:eastAsia="Arial" w:hAnsi="Arial"/>
          <w:sz w:val="14"/>
          <w:szCs w:val="14"/>
          <w:color w:val="auto"/>
        </w:rPr>
      </w:pPr>
    </w:p>
    <w:p>
      <w:pPr>
        <w:jc w:val="both"/>
        <w:ind w:left="500" w:hanging="388"/>
        <w:spacing w:after="0" w:line="225" w:lineRule="auto"/>
        <w:tabs>
          <w:tab w:leader="none" w:pos="497"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costs required to develop processes and systems to comply with regulations such as the EU MDR and General Data Protection Regulation ("GDPR") which represent a significant, unusual change to the existing regulatory framework. We consider these costs to be duplicative of previously incurred costs and/or one-off costs, which are limited to a specific period of time. For the three months ended June 30, 2025, $0.2 million is recorded in Research and development expense and $0.1 million is recorded in Cost of products sold. For the three months ended June 30, 2024, $0.1 million is recorded in Research and development expense. For the nine months ended June 30, 2025, $0.5 million is recorded in Research and development expense and $0.2 million is recorded in Cost of products sold. For the nine months ended June 30, 2024, $0.3 million is recorded in is Research and development expense.</w:t>
      </w:r>
    </w:p>
    <w:p>
      <w:pPr>
        <w:spacing w:after="0" w:line="12" w:lineRule="exact"/>
        <w:rPr>
          <w:rFonts w:ascii="Arial" w:cs="Arial" w:eastAsia="Arial" w:hAnsi="Arial"/>
          <w:sz w:val="14"/>
          <w:szCs w:val="14"/>
          <w:color w:val="auto"/>
        </w:rPr>
      </w:pPr>
    </w:p>
    <w:p>
      <w:pPr>
        <w:ind w:left="500" w:right="20" w:hanging="388"/>
        <w:spacing w:after="0" w:line="252" w:lineRule="auto"/>
        <w:tabs>
          <w:tab w:leader="none" w:pos="497"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restructuring, business optimization, and severance related costs associated with standing up and optimizing the organization recorded in Other operating expenses excluding costs classified above within Stock-based compensation expense.</w:t>
      </w:r>
    </w:p>
    <w:p>
      <w:pPr>
        <w:ind w:left="500" w:hanging="388"/>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amounts due to BD for tax liabilities incurred in deferred closing jurisdictions where BD is considered the primary obligor.</w:t>
      </w:r>
    </w:p>
    <w:p>
      <w:pPr>
        <w:spacing w:after="0" w:line="40" w:lineRule="exact"/>
        <w:rPr>
          <w:rFonts w:ascii="Arial" w:cs="Arial" w:eastAsia="Arial" w:hAnsi="Arial"/>
          <w:sz w:val="14"/>
          <w:szCs w:val="14"/>
          <w:color w:val="auto"/>
        </w:rPr>
      </w:pPr>
    </w:p>
    <w:p>
      <w:pPr>
        <w:ind w:left="500" w:hanging="388"/>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amortization of implementation costs associated with cloud computing arrangements recognized in Other operating expenses.</w:t>
      </w:r>
    </w:p>
    <w:p>
      <w:pPr>
        <w:spacing w:after="0" w:line="41" w:lineRule="exact"/>
        <w:rPr>
          <w:rFonts w:ascii="Arial" w:cs="Arial" w:eastAsia="Arial" w:hAnsi="Arial"/>
          <w:sz w:val="14"/>
          <w:szCs w:val="14"/>
          <w:color w:val="auto"/>
        </w:rPr>
      </w:pPr>
    </w:p>
    <w:p>
      <w:pPr>
        <w:jc w:val="both"/>
        <w:ind w:left="500" w:hanging="388"/>
        <w:spacing w:after="0" w:line="224" w:lineRule="auto"/>
        <w:tabs>
          <w:tab w:leader="none" w:pos="497"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costs incurred during the three and nine months ended June 30, 2025 associated with the discontinued patch pump program, excluding those program costs classified above within Depreciation and amortization and Stock-based compensation expense. The discontinued patch pump program costs are primarily one-time in nature and represent expenses that we do not view as normal operating expenses necessary to operate our core business. The costs primarily consist of severance-related costs, asset impairments, contract termination costs, and other operating costs. For the three months ended June 30, 2025, $1.1 million is recorded in Research and development expense, $0.9 million is recorded in Other operating expenses, and $0.3 million is recorded in Cost of products sold. For the nine months ended June 30, 2025, $23.9 million is recorded in Research and development expense, $13.8 million is recorded in Other operating expenses, $6.9 million is recorded in Cost of products sold, and $0.8 million is recorded in Selling and administrative expense.</w:t>
      </w:r>
    </w:p>
    <w:p>
      <w:pPr>
        <w:sectPr>
          <w:pgSz w:w="11900" w:h="16838" w:orient="portrait"/>
          <w:cols w:equalWidth="0" w:num="1">
            <w:col w:w="11240"/>
          </w:cols>
          <w:pgMar w:left="320" w:top="1170" w:right="339" w:bottom="1440" w:gutter="0" w:footer="0" w:header="0"/>
        </w:sectPr>
      </w:pPr>
    </w:p>
    <w:bookmarkStart w:id="15" w:name="page16"/>
    <w:bookmarkEnd w:id="15"/>
    <w:p>
      <w:pPr>
        <w:jc w:val="both"/>
        <w:spacing w:after="0" w:line="255" w:lineRule="auto"/>
        <w:rPr>
          <w:sz w:val="20"/>
          <w:szCs w:val="20"/>
          <w:color w:val="auto"/>
        </w:rPr>
      </w:pPr>
      <w:r>
        <w:rPr>
          <w:rFonts w:ascii="Arial" w:cs="Arial" w:eastAsia="Arial" w:hAnsi="Arial"/>
          <w:sz w:val="17"/>
          <w:szCs w:val="17"/>
          <w:color w:val="auto"/>
        </w:rPr>
        <w:t>For the three and nine month periods ended June 30, 2025 and 2024, the reconciliations of (1) GAAP Revenues ("Reported Revenues") to Adjusted Revenues (2) GAAP Gross Profit and Gross Margin to Adjusted Gross Profit and Adjusted Gross Margin, (3) GAAP Operating Income and Operating Margin to Adjusted Operating Income and Adjusted Operating Income Margin and (4) GAAP Net Income Per Diluted Share to Adjusted Net Income Per Diluted Share are as follows (unaudited in millions, except per share amounts):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3460" w:type="dxa"/>
            <w:vAlign w:val="bottom"/>
            <w:gridSpan w:val="6"/>
          </w:tcPr>
          <w:p>
            <w:pPr>
              <w:ind w:left="88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296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June 30,</w:t>
            </w: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June 30,</w:t>
            </w: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4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ind w:right="599"/>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
        </w:trPr>
        <w:tc>
          <w:tcPr>
            <w:tcW w:w="44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Reported Revenues</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295.5</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272.5</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816.4</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837.0</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6"/>
                <w:szCs w:val="16"/>
                <w:color w:val="auto"/>
              </w:rPr>
              <w:t>Italian payback measure</w:t>
            </w:r>
          </w:p>
        </w:tc>
        <w:tc>
          <w:tcPr>
            <w:tcW w:w="1080" w:type="dxa"/>
            <w:vAlign w:val="bottom"/>
          </w:tcPr>
          <w:p>
            <w:pPr>
              <w:spacing w:after="0"/>
              <w:rPr>
                <w:sz w:val="19"/>
                <w:szCs w:val="19"/>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9"/>
                <w:szCs w:val="19"/>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Revenues</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295.5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272.5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816.4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837.0</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GAAP Gross Profit</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197.1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190.1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518.3</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561.4</w:t>
            </w:r>
          </w:p>
        </w:tc>
        <w:tc>
          <w:tcPr>
            <w:tcW w:w="0" w:type="dxa"/>
            <w:vAlign w:val="bottom"/>
          </w:tcPr>
          <w:p>
            <w:pPr>
              <w:spacing w:after="0"/>
              <w:rPr>
                <w:sz w:val="1"/>
                <w:szCs w:val="1"/>
                <w:color w:val="auto"/>
              </w:rPr>
            </w:pPr>
          </w:p>
        </w:tc>
      </w:tr>
      <w:tr>
        <w:trPr>
          <w:trHeight w:val="222"/>
        </w:trPr>
        <w:tc>
          <w:tcPr>
            <w:tcW w:w="44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GAAP Gross Profit Margin</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66.7 %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69.8 %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63.5 %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67.1 %</w:t>
            </w: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0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(1)</w:t>
            </w:r>
          </w:p>
        </w:tc>
        <w:tc>
          <w:tcPr>
            <w:tcW w:w="1080" w:type="dxa"/>
            <w:vAlign w:val="bottom"/>
          </w:tcPr>
          <w:p>
            <w:pPr>
              <w:spacing w:after="0"/>
              <w:rPr>
                <w:sz w:val="21"/>
                <w:szCs w:val="21"/>
                <w:color w:val="auto"/>
              </w:rPr>
            </w:pP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1"/>
                <w:szCs w:val="21"/>
                <w:color w:val="auto"/>
                <w:vertAlign w:val="superscript"/>
              </w:rPr>
              <w:t>(2)</w:t>
            </w:r>
          </w:p>
        </w:tc>
        <w:tc>
          <w:tcPr>
            <w:tcW w:w="10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6"/>
                <w:szCs w:val="16"/>
                <w:color w:val="auto"/>
              </w:rPr>
              <w:t xml:space="preserve">EU MDR </w:t>
            </w:r>
            <w:r>
              <w:rPr>
                <w:rFonts w:ascii="Arial" w:cs="Arial" w:eastAsia="Arial" w:hAnsi="Arial"/>
                <w:sz w:val="21"/>
                <w:szCs w:val="21"/>
                <w:color w:val="auto"/>
                <w:vertAlign w:val="superscript"/>
              </w:rPr>
              <w:t>(3)</w:t>
            </w:r>
          </w:p>
        </w:tc>
        <w:tc>
          <w:tcPr>
            <w:tcW w:w="1080" w:type="dxa"/>
            <w:vAlign w:val="bottom"/>
          </w:tcPr>
          <w:p>
            <w:pPr>
              <w:spacing w:after="0"/>
              <w:rPr>
                <w:sz w:val="21"/>
                <w:szCs w:val="21"/>
                <w:color w:val="auto"/>
              </w:rPr>
            </w:pP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44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Costs associated with the discontinued patch pump program</w:t>
            </w:r>
          </w:p>
        </w:tc>
        <w:tc>
          <w:tcPr>
            <w:tcW w:w="10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(4)</w:t>
            </w:r>
          </w:p>
        </w:tc>
        <w:tc>
          <w:tcPr>
            <w:tcW w:w="10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vMerge w:val="continue"/>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Adjusted Gross Profit</w:t>
            </w:r>
          </w:p>
        </w:tc>
        <w:tc>
          <w:tcPr>
            <w:tcW w:w="1080" w:type="dxa"/>
            <w:vAlign w:val="bottom"/>
          </w:tcPr>
          <w:p>
            <w:pPr>
              <w:jc w:val="right"/>
              <w:ind w:right="879"/>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ind w:right="119"/>
              <w:spacing w:after="0"/>
              <w:rPr>
                <w:sz w:val="20"/>
                <w:szCs w:val="20"/>
                <w:color w:val="auto"/>
              </w:rPr>
            </w:pPr>
            <w:r>
              <w:rPr>
                <w:rFonts w:ascii="Arial" w:cs="Arial" w:eastAsia="Arial" w:hAnsi="Arial"/>
                <w:sz w:val="16"/>
                <w:szCs w:val="16"/>
                <w:b w:val="1"/>
                <w:bCs w:val="1"/>
                <w:color w:val="auto"/>
              </w:rPr>
              <w:t>198.6</w:t>
            </w:r>
          </w:p>
        </w:tc>
        <w:tc>
          <w:tcPr>
            <w:tcW w:w="12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190.3</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527.8</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562.4</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Adjusted Gross Profit Margin</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67.2 %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69.8 %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64.6 %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67.2 %</w:t>
            </w:r>
          </w:p>
        </w:tc>
        <w:tc>
          <w:tcPr>
            <w:tcW w:w="0" w:type="dxa"/>
            <w:vAlign w:val="bottom"/>
          </w:tcPr>
          <w:p>
            <w:pPr>
              <w:spacing w:after="0"/>
              <w:rPr>
                <w:sz w:val="1"/>
                <w:szCs w:val="1"/>
                <w:color w:val="auto"/>
              </w:rPr>
            </w:pPr>
          </w:p>
        </w:tc>
      </w:tr>
      <w:tr>
        <w:trPr>
          <w:trHeight w:val="21"/>
        </w:trPr>
        <w:tc>
          <w:tcPr>
            <w:tcW w:w="44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500" w:hanging="388"/>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Amortization of intangible assets is recorded in Cost of products sold.</w:t>
      </w:r>
    </w:p>
    <w:p>
      <w:pPr>
        <w:spacing w:after="0" w:line="41" w:lineRule="exact"/>
        <w:rPr>
          <w:rFonts w:ascii="Arial" w:cs="Arial" w:eastAsia="Arial" w:hAnsi="Arial"/>
          <w:sz w:val="14"/>
          <w:szCs w:val="14"/>
          <w:color w:val="auto"/>
        </w:rPr>
      </w:pPr>
    </w:p>
    <w:p>
      <w:pPr>
        <w:ind w:left="500" w:hanging="388"/>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One-time stand-up costs incurred are primarily attributed to brand transition.</w:t>
      </w:r>
    </w:p>
    <w:p>
      <w:pPr>
        <w:spacing w:after="0" w:line="29" w:lineRule="exact"/>
        <w:rPr>
          <w:rFonts w:ascii="Arial" w:cs="Arial" w:eastAsia="Arial" w:hAnsi="Arial"/>
          <w:sz w:val="14"/>
          <w:szCs w:val="14"/>
          <w:color w:val="auto"/>
        </w:rPr>
      </w:pPr>
    </w:p>
    <w:p>
      <w:pPr>
        <w:jc w:val="both"/>
        <w:ind w:left="500" w:hanging="388"/>
        <w:spacing w:after="0" w:line="243" w:lineRule="auto"/>
        <w:tabs>
          <w:tab w:leader="none" w:pos="497"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costs required to develop processes and systems to comply with regulations such as the EU MDR and GDPR which represent a significant, unusual change to the existing regulatory framework. We consider these costs to be duplicative of previously incurred costs and/or one-off costs, which are limited to a specific period of time.</w:t>
      </w:r>
    </w:p>
    <w:p>
      <w:pPr>
        <w:spacing w:after="0" w:line="159" w:lineRule="exact"/>
        <w:rPr>
          <w:rFonts w:ascii="Arial" w:cs="Arial" w:eastAsia="Arial" w:hAnsi="Arial"/>
          <w:sz w:val="14"/>
          <w:szCs w:val="14"/>
          <w:color w:val="auto"/>
        </w:rPr>
      </w:pPr>
    </w:p>
    <w:p>
      <w:pPr>
        <w:jc w:val="both"/>
        <w:ind w:left="500" w:hanging="388"/>
        <w:spacing w:after="0" w:line="242" w:lineRule="auto"/>
        <w:tabs>
          <w:tab w:leader="none" w:pos="497"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costs incurred for the three and nine months ended June 30, 2025 associated with the discontinued patch pump program. These costs are primarily one-time in nature and represent expenses that we do not view as normal operating expenses necessary to operate our core business. The costs primarily consist of asset impairments and other operating costs.</w:t>
      </w:r>
    </w:p>
    <w:p>
      <w:pPr>
        <w:sectPr>
          <w:pgSz w:w="11900" w:h="16838" w:orient="portrait"/>
          <w:cols w:equalWidth="0" w:num="1">
            <w:col w:w="11240"/>
          </w:cols>
          <w:pgMar w:left="320" w:top="1076"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gridSpan w:val="5"/>
          </w:tcPr>
          <w:p>
            <w:pPr>
              <w:ind w:left="48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6"/>
                <w:szCs w:val="16"/>
                <w:color w:val="auto"/>
              </w:rPr>
            </w:pPr>
          </w:p>
        </w:tc>
        <w:tc>
          <w:tcPr>
            <w:tcW w:w="294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June 30,</w:t>
            </w: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June 30,</w:t>
            </w: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ind w:right="5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ind w:right="5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
        </w:trPr>
        <w:tc>
          <w:tcPr>
            <w:tcW w:w="44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GAAP Operating Income</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94.0</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55.9</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185.6</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140.6</w:t>
            </w:r>
          </w:p>
        </w:tc>
        <w:tc>
          <w:tcPr>
            <w:tcW w:w="0" w:type="dxa"/>
            <w:vAlign w:val="bottom"/>
          </w:tcPr>
          <w:p>
            <w:pPr>
              <w:spacing w:after="0"/>
              <w:rPr>
                <w:sz w:val="1"/>
                <w:szCs w:val="1"/>
                <w:color w:val="auto"/>
              </w:rPr>
            </w:pPr>
          </w:p>
        </w:tc>
      </w:tr>
      <w:tr>
        <w:trPr>
          <w:trHeight w:val="222"/>
        </w:trPr>
        <w:tc>
          <w:tcPr>
            <w:tcW w:w="44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GAAP Operating Income Margin</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31.8 %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20.5 %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22.7 %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16.8 %</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1"/>
                <w:szCs w:val="21"/>
                <w:color w:val="auto"/>
                <w:vertAlign w:val="superscript"/>
              </w:rPr>
              <w:t>(2)</w:t>
            </w:r>
          </w:p>
        </w:tc>
        <w:tc>
          <w:tcPr>
            <w:tcW w:w="38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43"/>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EU MDR </w:t>
            </w:r>
            <w:r>
              <w:rPr>
                <w:rFonts w:ascii="Arial" w:cs="Arial" w:eastAsia="Arial" w:hAnsi="Arial"/>
                <w:sz w:val="21"/>
                <w:szCs w:val="21"/>
                <w:color w:val="auto"/>
                <w:vertAlign w:val="superscript"/>
              </w:rPr>
              <w:t>(3)</w:t>
            </w: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(4)</w:t>
            </w:r>
          </w:p>
        </w:tc>
        <w:tc>
          <w:tcPr>
            <w:tcW w:w="38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43"/>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Business optimization and severance related costs </w:t>
            </w:r>
            <w:r>
              <w:rPr>
                <w:rFonts w:ascii="Arial" w:cs="Arial" w:eastAsia="Arial" w:hAnsi="Arial"/>
                <w:sz w:val="21"/>
                <w:szCs w:val="21"/>
                <w:color w:val="auto"/>
                <w:vertAlign w:val="superscript"/>
              </w:rPr>
              <w:t>(5)</w:t>
            </w: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62"/>
        </w:trPr>
        <w:tc>
          <w:tcPr>
            <w:tcW w:w="4480" w:type="dxa"/>
            <w:vAlign w:val="bottom"/>
          </w:tcPr>
          <w:p>
            <w:pPr>
              <w:ind w:left="20"/>
              <w:spacing w:after="0" w:line="162" w:lineRule="exact"/>
              <w:rPr>
                <w:sz w:val="20"/>
                <w:szCs w:val="20"/>
                <w:color w:val="auto"/>
              </w:rPr>
            </w:pPr>
            <w:r>
              <w:rPr>
                <w:rFonts w:ascii="Arial" w:cs="Arial" w:eastAsia="Arial" w:hAnsi="Arial"/>
                <w:sz w:val="16"/>
                <w:szCs w:val="16"/>
                <w:color w:val="auto"/>
              </w:rPr>
              <w:t>Costs associated with the discontinued patch pump program</w:t>
            </w:r>
          </w:p>
        </w:tc>
        <w:tc>
          <w:tcPr>
            <w:tcW w:w="380" w:type="dxa"/>
            <w:vAlign w:val="bottom"/>
          </w:tcPr>
          <w:p>
            <w:pPr>
              <w:spacing w:after="0"/>
              <w:rPr>
                <w:sz w:val="14"/>
                <w:szCs w:val="14"/>
                <w:color w:val="auto"/>
              </w:rPr>
            </w:pPr>
          </w:p>
        </w:tc>
        <w:tc>
          <w:tcPr>
            <w:tcW w:w="1320" w:type="dxa"/>
            <w:vAlign w:val="bottom"/>
            <w:vMerge w:val="restart"/>
          </w:tcPr>
          <w:p>
            <w:pPr>
              <w:jc w:val="right"/>
              <w:ind w:right="11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4"/>
                <w:szCs w:val="14"/>
                <w:color w:val="auto"/>
              </w:rPr>
            </w:pPr>
          </w:p>
        </w:tc>
        <w:tc>
          <w:tcPr>
            <w:tcW w:w="1320" w:type="dxa"/>
            <w:vAlign w:val="bottom"/>
            <w:vMerge w:val="restart"/>
          </w:tcPr>
          <w:p>
            <w:pPr>
              <w:jc w:val="right"/>
              <w:ind w:right="119"/>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4480" w:type="dxa"/>
            <w:vAlign w:val="bottom"/>
          </w:tcPr>
          <w:p>
            <w:pPr>
              <w:ind w:left="200"/>
              <w:spacing w:after="0"/>
              <w:rPr>
                <w:sz w:val="20"/>
                <w:szCs w:val="20"/>
                <w:color w:val="auto"/>
              </w:rPr>
            </w:pPr>
            <w:r>
              <w:rPr>
                <w:rFonts w:ascii="Arial" w:cs="Arial" w:eastAsia="Arial" w:hAnsi="Arial"/>
                <w:sz w:val="11"/>
                <w:szCs w:val="11"/>
                <w:color w:val="auto"/>
              </w:rPr>
              <w:t>(7)</w:t>
            </w:r>
          </w:p>
        </w:tc>
        <w:tc>
          <w:tcPr>
            <w:tcW w:w="3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Operating Income</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109.1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83.3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271.0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235.7</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i w:val="1"/>
                <w:iCs w:val="1"/>
                <w:color w:val="auto"/>
              </w:rPr>
              <w:t>Adjusted Operating Income Margin</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36.9 %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30.6 %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33.2 %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28.2 %</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Arial" w:cs="Arial" w:eastAsia="Arial" w:hAnsi="Arial"/>
                <w:sz w:val="16"/>
                <w:szCs w:val="16"/>
                <w:b w:val="1"/>
                <w:bCs w:val="1"/>
                <w:color w:val="auto"/>
              </w:rPr>
              <w:t>GAAP Net Income</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45.5</w:t>
            </w:r>
          </w:p>
        </w:tc>
        <w:tc>
          <w:tcPr>
            <w:tcW w:w="10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14.7</w:t>
            </w:r>
          </w:p>
        </w:tc>
        <w:tc>
          <w:tcPr>
            <w:tcW w:w="100" w:type="dxa"/>
            <w:vAlign w:val="bottom"/>
          </w:tcPr>
          <w:p>
            <w:pPr>
              <w:spacing w:after="0"/>
              <w:rPr>
                <w:sz w:val="19"/>
                <w:szCs w:val="19"/>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69.0</w:t>
            </w:r>
          </w:p>
        </w:tc>
        <w:tc>
          <w:tcPr>
            <w:tcW w:w="10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63.7</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Adjustments:</w:t>
            </w:r>
          </w:p>
        </w:tc>
        <w:tc>
          <w:tcPr>
            <w:tcW w:w="3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80" w:type="dxa"/>
            <w:vAlign w:val="bottom"/>
          </w:tcPr>
          <w:p>
            <w:pPr>
              <w:ind w:left="240"/>
              <w:spacing w:after="0"/>
              <w:rPr>
                <w:sz w:val="20"/>
                <w:szCs w:val="20"/>
                <w:color w:val="auto"/>
              </w:rPr>
            </w:pPr>
            <w:r>
              <w:rPr>
                <w:rFonts w:ascii="Arial" w:cs="Arial" w:eastAsia="Arial" w:hAnsi="Arial"/>
                <w:sz w:val="16"/>
                <w:szCs w:val="16"/>
                <w:color w:val="auto"/>
              </w:rPr>
              <w:t>GAAP Income tax benefit</w:t>
            </w:r>
          </w:p>
        </w:tc>
        <w:tc>
          <w:tcPr>
            <w:tcW w:w="38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8"/>
        </w:trPr>
        <w:tc>
          <w:tcPr>
            <w:tcW w:w="4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43"/>
        </w:trPr>
        <w:tc>
          <w:tcPr>
            <w:tcW w:w="4480" w:type="dxa"/>
            <w:vAlign w:val="bottom"/>
          </w:tcPr>
          <w:p>
            <w:pPr>
              <w:ind w:left="24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1"/>
                <w:szCs w:val="21"/>
                <w:color w:val="auto"/>
                <w:vertAlign w:val="superscript"/>
              </w:rPr>
              <w:t>(2)</w:t>
            </w:r>
          </w:p>
        </w:tc>
        <w:tc>
          <w:tcPr>
            <w:tcW w:w="38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43"/>
        </w:trPr>
        <w:tc>
          <w:tcPr>
            <w:tcW w:w="4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EU MDR </w:t>
            </w:r>
            <w:r>
              <w:rPr>
                <w:rFonts w:ascii="Arial" w:cs="Arial" w:eastAsia="Arial" w:hAnsi="Arial"/>
                <w:sz w:val="21"/>
                <w:szCs w:val="21"/>
                <w:color w:val="auto"/>
                <w:vertAlign w:val="superscript"/>
              </w:rPr>
              <w:t>(3)</w:t>
            </w: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43"/>
        </w:trPr>
        <w:tc>
          <w:tcPr>
            <w:tcW w:w="4480" w:type="dxa"/>
            <w:vAlign w:val="bottom"/>
          </w:tcPr>
          <w:p>
            <w:pPr>
              <w:ind w:left="24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(4)</w:t>
            </w:r>
          </w:p>
        </w:tc>
        <w:tc>
          <w:tcPr>
            <w:tcW w:w="38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43"/>
        </w:trPr>
        <w:tc>
          <w:tcPr>
            <w:tcW w:w="4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Business optimization and severance related costs </w:t>
            </w:r>
            <w:r>
              <w:rPr>
                <w:rFonts w:ascii="Arial" w:cs="Arial" w:eastAsia="Arial" w:hAnsi="Arial"/>
                <w:sz w:val="21"/>
                <w:szCs w:val="21"/>
                <w:color w:val="auto"/>
                <w:vertAlign w:val="superscript"/>
              </w:rPr>
              <w:t>(5)</w:t>
            </w: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88"/>
        </w:trPr>
        <w:tc>
          <w:tcPr>
            <w:tcW w:w="4480" w:type="dxa"/>
            <w:vAlign w:val="bottom"/>
          </w:tcPr>
          <w:p>
            <w:pPr>
              <w:ind w:left="240"/>
              <w:spacing w:after="0"/>
              <w:rPr>
                <w:sz w:val="20"/>
                <w:szCs w:val="20"/>
                <w:color w:val="auto"/>
              </w:rPr>
            </w:pPr>
            <w:r>
              <w:rPr>
                <w:rFonts w:ascii="Arial" w:cs="Arial" w:eastAsia="Arial" w:hAnsi="Arial"/>
                <w:sz w:val="16"/>
                <w:szCs w:val="16"/>
                <w:color w:val="auto"/>
              </w:rPr>
              <w:t>Deferred jurisdiction adjustments in Other income</w:t>
            </w:r>
          </w:p>
        </w:tc>
        <w:tc>
          <w:tcPr>
            <w:tcW w:w="380" w:type="dxa"/>
            <w:vAlign w:val="bottom"/>
          </w:tcPr>
          <w:p>
            <w:pPr>
              <w:spacing w:after="0"/>
              <w:rPr>
                <w:sz w:val="16"/>
                <w:szCs w:val="16"/>
                <w:color w:val="auto"/>
              </w:rPr>
            </w:pPr>
          </w:p>
        </w:tc>
        <w:tc>
          <w:tcPr>
            <w:tcW w:w="142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140" w:type="dxa"/>
            <w:vAlign w:val="bottom"/>
            <w:vMerge w:val="restart"/>
          </w:tcPr>
          <w:p>
            <w:pPr>
              <w:jc w:val="right"/>
              <w:ind w:right="11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140" w:type="dxa"/>
            <w:vAlign w:val="bottom"/>
            <w:vMerge w:val="restart"/>
          </w:tcPr>
          <w:p>
            <w:pPr>
              <w:jc w:val="right"/>
              <w:ind w:right="1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0"/>
        </w:trPr>
        <w:tc>
          <w:tcPr>
            <w:tcW w:w="4480" w:type="dxa"/>
            <w:vAlign w:val="bottom"/>
          </w:tcPr>
          <w:p>
            <w:pPr>
              <w:ind w:left="420"/>
              <w:spacing w:after="0" w:line="230" w:lineRule="exact"/>
              <w:rPr>
                <w:sz w:val="20"/>
                <w:szCs w:val="20"/>
                <w:color w:val="auto"/>
              </w:rPr>
            </w:pPr>
            <w:r>
              <w:rPr>
                <w:rFonts w:ascii="Arial" w:cs="Arial" w:eastAsia="Arial" w:hAnsi="Arial"/>
                <w:sz w:val="16"/>
                <w:szCs w:val="16"/>
                <w:color w:val="auto"/>
              </w:rPr>
              <w:t xml:space="preserve">(expense), net for taxes </w:t>
            </w:r>
            <w:r>
              <w:rPr>
                <w:rFonts w:ascii="Arial" w:cs="Arial" w:eastAsia="Arial" w:hAnsi="Arial"/>
                <w:sz w:val="21"/>
                <w:szCs w:val="21"/>
                <w:color w:val="auto"/>
                <w:vertAlign w:val="superscript"/>
              </w:rPr>
              <w:t>(6)</w:t>
            </w:r>
          </w:p>
        </w:tc>
        <w:tc>
          <w:tcPr>
            <w:tcW w:w="38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Costs associated with the discontinued patch pump</w:t>
            </w:r>
          </w:p>
        </w:tc>
        <w:tc>
          <w:tcPr>
            <w:tcW w:w="38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48.3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420"/>
              <w:spacing w:after="0" w:line="230" w:lineRule="exact"/>
              <w:rPr>
                <w:sz w:val="20"/>
                <w:szCs w:val="20"/>
                <w:color w:val="auto"/>
              </w:rPr>
            </w:pPr>
            <w:r>
              <w:rPr>
                <w:rFonts w:ascii="Arial" w:cs="Arial" w:eastAsia="Arial" w:hAnsi="Arial"/>
                <w:sz w:val="16"/>
                <w:szCs w:val="16"/>
                <w:color w:val="auto"/>
              </w:rPr>
              <w:t xml:space="preserve">program </w:t>
            </w:r>
            <w:r>
              <w:rPr>
                <w:rFonts w:ascii="Arial" w:cs="Arial" w:eastAsia="Arial" w:hAnsi="Arial"/>
                <w:sz w:val="21"/>
                <w:szCs w:val="21"/>
                <w:color w:val="auto"/>
                <w:vertAlign w:val="superscript"/>
              </w:rPr>
              <w:t>(7)</w:t>
            </w:r>
          </w:p>
        </w:tc>
        <w:tc>
          <w:tcPr>
            <w:tcW w:w="38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gridSpan w:val="2"/>
            <w:vMerge w:val="continue"/>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 xml:space="preserve">Non-GAAP Income tax provision </w:t>
            </w:r>
            <w:r>
              <w:rPr>
                <w:rFonts w:ascii="Arial" w:cs="Arial" w:eastAsia="Arial" w:hAnsi="Arial"/>
                <w:sz w:val="21"/>
                <w:szCs w:val="21"/>
                <w:color w:val="auto"/>
                <w:vertAlign w:val="superscript"/>
              </w:rPr>
              <w:t>(8)</w:t>
            </w: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(48.2)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61"/>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65.5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43.0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144.5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117.2</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GAAP Net Income per Diluted share</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i w:val="1"/>
                <w:iCs w:val="1"/>
                <w:color w:val="auto"/>
                <w:w w:val="8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i w:val="1"/>
                <w:iCs w:val="1"/>
                <w:color w:val="auto"/>
              </w:rPr>
              <w:t>0.78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i w:val="1"/>
                <w:iCs w:val="1"/>
                <w:color w:val="auto"/>
              </w:rPr>
              <w:t>$</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i w:val="1"/>
                <w:iCs w:val="1"/>
                <w:color w:val="auto"/>
              </w:rPr>
              <w:t>0.25</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i w:val="1"/>
                <w:iCs w:val="1"/>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i w:val="1"/>
                <w:iCs w:val="1"/>
                <w:color w:val="auto"/>
              </w:rPr>
              <w:t>1.18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i w:val="1"/>
                <w:iCs w:val="1"/>
                <w:color w:val="auto"/>
              </w:rPr>
              <w:t>$</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i w:val="1"/>
                <w:iCs w:val="1"/>
                <w:color w:val="auto"/>
              </w:rPr>
              <w:t>1.10</w:t>
            </w:r>
          </w:p>
        </w:tc>
        <w:tc>
          <w:tcPr>
            <w:tcW w:w="0" w:type="dxa"/>
            <w:vAlign w:val="bottom"/>
          </w:tcPr>
          <w:p>
            <w:pPr>
              <w:spacing w:after="0"/>
              <w:rPr>
                <w:sz w:val="1"/>
                <w:szCs w:val="1"/>
                <w:color w:val="auto"/>
              </w:rPr>
            </w:pPr>
          </w:p>
        </w:tc>
      </w:tr>
      <w:tr>
        <w:trPr>
          <w:trHeight w:val="222"/>
        </w:trPr>
        <w:tc>
          <w:tcPr>
            <w:tcW w:w="44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Adjusted Net Income per Diluted share</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i w:val="1"/>
                <w:iCs w:val="1"/>
                <w:color w:val="auto"/>
                <w:w w:val="89"/>
              </w:rPr>
              <w:t>$</w:t>
            </w: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i w:val="1"/>
                <w:iCs w:val="1"/>
                <w:color w:val="auto"/>
              </w:rPr>
              <w:t>1.12</w:t>
            </w:r>
          </w:p>
        </w:tc>
        <w:tc>
          <w:tcPr>
            <w:tcW w:w="10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b w:val="1"/>
                <w:bCs w:val="1"/>
                <w:i w:val="1"/>
                <w:iCs w:val="1"/>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i w:val="1"/>
                <w:iCs w:val="1"/>
                <w:color w:val="auto"/>
              </w:rPr>
              <w:t>0.74</w:t>
            </w:r>
          </w:p>
        </w:tc>
        <w:tc>
          <w:tcPr>
            <w:tcW w:w="100" w:type="dxa"/>
            <w:vAlign w:val="bottom"/>
          </w:tcPr>
          <w:p>
            <w:pPr>
              <w:spacing w:after="0"/>
              <w:rPr>
                <w:sz w:val="19"/>
                <w:szCs w:val="19"/>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i w:val="1"/>
                <w:iCs w:val="1"/>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i w:val="1"/>
                <w:iCs w:val="1"/>
                <w:color w:val="auto"/>
              </w:rPr>
              <w:t>2.46</w:t>
            </w:r>
          </w:p>
        </w:tc>
        <w:tc>
          <w:tcPr>
            <w:tcW w:w="10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b w:val="1"/>
                <w:bCs w:val="1"/>
                <w:i w:val="1"/>
                <w:iCs w:val="1"/>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i w:val="1"/>
                <w:iCs w:val="1"/>
                <w:color w:val="auto"/>
              </w:rPr>
              <w:t>2.02</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4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4480" w:type="dxa"/>
            <w:vAlign w:val="bottom"/>
          </w:tcPr>
          <w:p>
            <w:pPr>
              <w:ind w:left="20"/>
              <w:spacing w:after="0"/>
              <w:rPr>
                <w:sz w:val="20"/>
                <w:szCs w:val="20"/>
                <w:color w:val="auto"/>
              </w:rPr>
            </w:pPr>
            <w:r>
              <w:rPr>
                <w:rFonts w:ascii="Arial" w:cs="Arial" w:eastAsia="Arial" w:hAnsi="Arial"/>
                <w:sz w:val="16"/>
                <w:szCs w:val="16"/>
                <w:b w:val="1"/>
                <w:bCs w:val="1"/>
                <w:color w:val="auto"/>
              </w:rPr>
              <w:t>Basic weighted average number of shares outstanding</w:t>
            </w:r>
          </w:p>
        </w:tc>
        <w:tc>
          <w:tcPr>
            <w:tcW w:w="380" w:type="dxa"/>
            <w:vAlign w:val="bottom"/>
          </w:tcPr>
          <w:p>
            <w:pPr>
              <w:spacing w:after="0"/>
              <w:rPr>
                <w:sz w:val="16"/>
                <w:szCs w:val="16"/>
                <w:color w:val="auto"/>
              </w:rPr>
            </w:pPr>
          </w:p>
        </w:tc>
        <w:tc>
          <w:tcPr>
            <w:tcW w:w="13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58,490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57,768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58,239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57,641</w:t>
            </w:r>
          </w:p>
        </w:tc>
        <w:tc>
          <w:tcPr>
            <w:tcW w:w="0" w:type="dxa"/>
            <w:vAlign w:val="bottom"/>
          </w:tcPr>
          <w:p>
            <w:pPr>
              <w:spacing w:after="0"/>
              <w:rPr>
                <w:sz w:val="1"/>
                <w:szCs w:val="1"/>
                <w:color w:val="auto"/>
              </w:rPr>
            </w:pPr>
          </w:p>
        </w:tc>
      </w:tr>
      <w:tr>
        <w:trPr>
          <w:trHeight w:val="226"/>
        </w:trPr>
        <w:tc>
          <w:tcPr>
            <w:tcW w:w="4480" w:type="dxa"/>
            <w:vAlign w:val="bottom"/>
          </w:tcPr>
          <w:p>
            <w:pPr>
              <w:ind w:left="20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dilutive securities:</w:t>
            </w:r>
          </w:p>
        </w:tc>
        <w:tc>
          <w:tcPr>
            <w:tcW w:w="3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ind w:left="140"/>
              <w:spacing w:after="0"/>
              <w:rPr>
                <w:sz w:val="20"/>
                <w:szCs w:val="20"/>
                <w:color w:val="auto"/>
              </w:rPr>
            </w:pPr>
            <w:r>
              <w:rPr>
                <w:rFonts w:ascii="Arial" w:cs="Arial" w:eastAsia="Arial" w:hAnsi="Arial"/>
                <w:sz w:val="16"/>
                <w:szCs w:val="16"/>
                <w:color w:val="auto"/>
              </w:rPr>
              <w:t>Stock awards and equity units (share equivalent)</w:t>
            </w:r>
          </w:p>
        </w:tc>
        <w:tc>
          <w:tcPr>
            <w:tcW w:w="380" w:type="dxa"/>
            <w:vAlign w:val="bottom"/>
          </w:tcPr>
          <w:p>
            <w:pPr>
              <w:spacing w:after="0"/>
              <w:rPr>
                <w:sz w:val="19"/>
                <w:szCs w:val="19"/>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b w:val="1"/>
                <w:bCs w:val="1"/>
                <w:color w:val="auto"/>
              </w:rPr>
              <w:t>482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502</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weighted average shares outstanding (in</w:t>
            </w:r>
          </w:p>
        </w:tc>
        <w:tc>
          <w:tcPr>
            <w:tcW w:w="38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58,495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57,842</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58,721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58,143</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thousands)</w:t>
            </w:r>
          </w:p>
        </w:tc>
        <w:tc>
          <w:tcPr>
            <w:tcW w:w="38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500" w:hanging="388"/>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Amortization of intangible assets is recorded in Cost of products sold.</w:t>
      </w:r>
    </w:p>
    <w:p>
      <w:pPr>
        <w:spacing w:after="0" w:line="41" w:lineRule="exact"/>
        <w:rPr>
          <w:rFonts w:ascii="Arial" w:cs="Arial" w:eastAsia="Arial" w:hAnsi="Arial"/>
          <w:sz w:val="14"/>
          <w:szCs w:val="14"/>
          <w:color w:val="auto"/>
        </w:rPr>
      </w:pPr>
    </w:p>
    <w:p>
      <w:pPr>
        <w:jc w:val="both"/>
        <w:ind w:left="500" w:hanging="388"/>
        <w:spacing w:after="0" w:line="221" w:lineRule="auto"/>
        <w:tabs>
          <w:tab w:leader="none" w:pos="497" w:val="left"/>
        </w:tabs>
        <w:numPr>
          <w:ilvl w:val="0"/>
          <w:numId w:val="11"/>
        </w:numPr>
        <w:rPr>
          <w:rFonts w:ascii="Arial" w:cs="Arial" w:eastAsia="Arial" w:hAnsi="Arial"/>
          <w:sz w:val="14"/>
          <w:szCs w:val="14"/>
          <w:color w:val="auto"/>
        </w:rPr>
      </w:pPr>
      <w:r>
        <w:rPr>
          <w:rFonts w:ascii="Arial" w:cs="Arial" w:eastAsia="Arial" w:hAnsi="Arial"/>
          <w:sz w:val="14"/>
          <w:szCs w:val="14"/>
          <w:color w:val="auto"/>
        </w:rPr>
        <w:t>One-time stand-up costs incurred primarily include: (i) product registration, labeling, and brand transition costs; (ii) warehousing and distribution set-up costs; (iii) legal costs associated with patents and trademark work; (iv) temporary headcount resources within accounting, tax, finance, human resources, regulatory and IT; and (v) one-time business integration and IT related costs primarily associated with our global ERP implementation. For the three months ended June 30, 2025, approximately $9.7 million is recorded in Other operating expenses, $0.9 is recorded in Cost of products sold, and $0.4 million is recorded in Research and development expense. For the three months ended June 30, 2024, approximately $23.0 million is recorded in Other operating expenses and $0.1 million is recorded in Selling and administrative expense. For the nine months ended June 30, 2025, approximately $26.3 million is recorded in Other operating expenses, $1.5 million is recorded in Cost of products sold, and $1.2 million is recorded in Research and development expense. For the nine months ended June 30, 2024, approximately $83.9 million is recorded in Other operating expenses and $1.1 million is recorded in Selling and administrative expense.</w:t>
      </w:r>
    </w:p>
    <w:p>
      <w:pPr>
        <w:sectPr>
          <w:pgSz w:w="11900" w:h="16838" w:orient="portrait"/>
          <w:cols w:equalWidth="0" w:num="1">
            <w:col w:w="11240"/>
          </w:cols>
          <w:pgMar w:left="320" w:top="1265" w:right="339" w:bottom="1440" w:gutter="0" w:footer="0" w:header="0"/>
        </w:sectPr>
      </w:pPr>
    </w:p>
    <w:bookmarkStart w:id="17" w:name="page18"/>
    <w:bookmarkEnd w:id="17"/>
    <w:p>
      <w:pPr>
        <w:jc w:val="both"/>
        <w:ind w:left="388" w:hanging="388"/>
        <w:spacing w:after="0" w:line="225" w:lineRule="auto"/>
        <w:tabs>
          <w:tab w:leader="none" w:pos="384"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costs required to develop processes and systems to comply with regulations such as the EU MDR and GDPR which represent a significant, unusual change to the existing regulatory framework. We consider these costs to be duplicative of previously incurred costs and/or one-off costs, which are limited to a specific period of time. For the three months ended June 30, 2025, $0.2 million is recorded in Research and development expense and $0.1 million is recorded in Cost of products sold. For the three months ended June 30, 2024, $0.1 million is recorded in Research and development expense. For the nine months ended June 30, 2025, $0.5 million is recorded in Research and development expense and $0.2 million is recorded in Cost of products sold. For the nine months ended June 30, 2024, $0.3 million is recorded in is Research and development expense.</w:t>
      </w:r>
    </w:p>
    <w:p>
      <w:pPr>
        <w:spacing w:after="0" w:line="12" w:lineRule="exact"/>
        <w:rPr>
          <w:rFonts w:ascii="Arial" w:cs="Arial" w:eastAsia="Arial" w:hAnsi="Arial"/>
          <w:sz w:val="14"/>
          <w:szCs w:val="14"/>
          <w:color w:val="auto"/>
        </w:rPr>
      </w:pPr>
    </w:p>
    <w:p>
      <w:pPr>
        <w:jc w:val="both"/>
        <w:ind w:left="388" w:hanging="388"/>
        <w:spacing w:after="0" w:line="225" w:lineRule="auto"/>
        <w:tabs>
          <w:tab w:leader="none" w:pos="384"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stock-based compensation expense recognized during the period associated with the incremental value of converted legacy BD share-based awards and one-time sign-on equity awards granted to certain members of the embecta leadership team in connection with the Company's separation from BD. For the three months ended June 30, 2025, $0.2 million is recorded in Selling and administrative expense. For the three months ended June 30, 2024, $1.2 million is recorded in Selling and administrative expense. For the nine months ended June 30, 2025, $2.0 million is recorded in Selling and administrative expense. For the nine months ended June 30, 2024, $3.0 million is recorded in Selling and administrative expense, $0.2 million is recorded in Cost of products sold, and $0.1 million is recorded in Research and development expense.</w:t>
      </w:r>
    </w:p>
    <w:p>
      <w:pPr>
        <w:spacing w:after="0" w:line="12" w:lineRule="exact"/>
        <w:rPr>
          <w:rFonts w:ascii="Arial" w:cs="Arial" w:eastAsia="Arial" w:hAnsi="Arial"/>
          <w:sz w:val="14"/>
          <w:szCs w:val="14"/>
          <w:color w:val="auto"/>
        </w:rPr>
      </w:pPr>
    </w:p>
    <w:p>
      <w:pPr>
        <w:ind w:left="388" w:right="20" w:hanging="388"/>
        <w:spacing w:after="0" w:line="252" w:lineRule="auto"/>
        <w:tabs>
          <w:tab w:leader="none" w:pos="384"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restructuring, business optimization, and severance related costs associated with standing up and optimizing the organization recorded in Other operating expenses.</w:t>
      </w:r>
    </w:p>
    <w:p>
      <w:pPr>
        <w:ind w:left="388" w:hanging="388"/>
        <w:spacing w:after="0"/>
        <w:tabs>
          <w:tab w:leader="none" w:pos="388"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amounts due to BD for tax liabilities incurred in deferred jurisdictions where BD is considered the primary obligor.</w:t>
      </w:r>
    </w:p>
    <w:p>
      <w:pPr>
        <w:spacing w:after="0" w:line="40" w:lineRule="exact"/>
        <w:rPr>
          <w:rFonts w:ascii="Arial" w:cs="Arial" w:eastAsia="Arial" w:hAnsi="Arial"/>
          <w:sz w:val="14"/>
          <w:szCs w:val="14"/>
          <w:color w:val="auto"/>
        </w:rPr>
      </w:pPr>
    </w:p>
    <w:p>
      <w:pPr>
        <w:jc w:val="both"/>
        <w:ind w:left="388" w:hanging="388"/>
        <w:spacing w:after="0" w:line="225" w:lineRule="auto"/>
        <w:tabs>
          <w:tab w:leader="none" w:pos="384"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costs incurred during the three and nine months ended June 30, 2025 associated with the discontinued patch pump program. These costs are primarily one-time in nature and represent expenses that we do not view as normal operating expenses necessary to operate our core business. The costs primarily consist of severance-related costs, asset impairments, contract termination costs, and other operating costs. During the three months ended June 30, 2025, $1.2 million is recorded in Research and development expense, $0.9 million is recorded in Other operating expenses, and $0.3 million is recorded in Cost of products sold. During the nine months ended June 30, 2025, $24.4 million is recorded in Research and development expense, $16.2 million is recorded in Other operating expenses, $6.9 million is recorded in Cost of products sold, and $0.8 million is recorded in Selling and administrative expense.</w:t>
      </w:r>
    </w:p>
    <w:p>
      <w:pPr>
        <w:spacing w:after="0" w:line="12" w:lineRule="exact"/>
        <w:rPr>
          <w:rFonts w:ascii="Arial" w:cs="Arial" w:eastAsia="Arial" w:hAnsi="Arial"/>
          <w:sz w:val="14"/>
          <w:szCs w:val="14"/>
          <w:color w:val="auto"/>
        </w:rPr>
      </w:pPr>
    </w:p>
    <w:p>
      <w:pPr>
        <w:jc w:val="both"/>
        <w:ind w:left="388" w:hanging="388"/>
        <w:spacing w:after="0" w:line="235" w:lineRule="auto"/>
        <w:tabs>
          <w:tab w:leader="none" w:pos="384"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the amount of tax expense that the Company estimates that it would record if it used non-GAAP results instead of GAAP results in the calculation of its tax provision. The non-GAAP effective tax rate for both the three and nine months ended June 30, 2025 was 25.0%. The non-GAAP effective tax rate for the three and nine months ended June 30, 2024 was 22.1% and 22.0%, respectively.</w:t>
      </w:r>
    </w:p>
    <w:p>
      <w:pPr>
        <w:sectPr>
          <w:pgSz w:w="11900" w:h="16838" w:orient="portrait"/>
          <w:cols w:equalWidth="0" w:num="1">
            <w:col w:w="11128"/>
          </w:cols>
          <w:pgMar w:left="432" w:top="1075"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About Embecta</w:t>
      </w:r>
    </w:p>
    <w:p>
      <w:pPr>
        <w:spacing w:after="0" w:line="10"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 xml:space="preserve">embecta is a global company that is advancing its 100-year legacy in insulin delivery to become a broad-based medical supplies company, helping to improve lives through innovative solutions, partnerships, and the passion of approximately 2,000 employees around the globe. For more information, visit </w:t>
      </w:r>
      <w:r>
        <w:rPr>
          <w:rFonts w:ascii="Arial" w:cs="Arial" w:eastAsia="Arial" w:hAnsi="Arial"/>
          <w:sz w:val="17"/>
          <w:szCs w:val="17"/>
          <w:color w:val="0000FF"/>
        </w:rPr>
        <w:t>embecta.com</w:t>
      </w:r>
      <w:r>
        <w:rPr>
          <w:rFonts w:ascii="Arial" w:cs="Arial" w:eastAsia="Arial" w:hAnsi="Arial"/>
          <w:sz w:val="17"/>
          <w:szCs w:val="17"/>
          <w:color w:val="auto"/>
        </w:rPr>
        <w:t xml:space="preserve"> </w:t>
      </w:r>
      <w:r>
        <w:rPr>
          <w:rFonts w:ascii="Arial" w:cs="Arial" w:eastAsia="Arial" w:hAnsi="Arial"/>
          <w:sz w:val="17"/>
          <w:szCs w:val="17"/>
          <w:color w:val="212529"/>
        </w:rPr>
        <w:t>or follow our social channels on</w:t>
      </w:r>
      <w:r>
        <w:rPr>
          <w:rFonts w:ascii="Arial" w:cs="Arial" w:eastAsia="Arial" w:hAnsi="Arial"/>
          <w:sz w:val="17"/>
          <w:szCs w:val="17"/>
          <w:color w:val="auto"/>
        </w:rPr>
        <w:t xml:space="preserve"> </w:t>
      </w:r>
      <w:r>
        <w:rPr>
          <w:rFonts w:ascii="Arial" w:cs="Arial" w:eastAsia="Arial" w:hAnsi="Arial"/>
          <w:sz w:val="17"/>
          <w:szCs w:val="17"/>
          <w:color w:val="0000FF"/>
        </w:rPr>
        <w:t>LinkedIn</w:t>
      </w:r>
      <w:r>
        <w:rPr>
          <w:rFonts w:ascii="Arial" w:cs="Arial" w:eastAsia="Arial" w:hAnsi="Arial"/>
          <w:sz w:val="17"/>
          <w:szCs w:val="17"/>
          <w:color w:val="212529"/>
        </w:rPr>
        <w:t>,</w:t>
      </w:r>
      <w:r>
        <w:rPr>
          <w:rFonts w:ascii="Arial" w:cs="Arial" w:eastAsia="Arial" w:hAnsi="Arial"/>
          <w:sz w:val="17"/>
          <w:szCs w:val="17"/>
          <w:color w:val="auto"/>
        </w:rPr>
        <w:t xml:space="preserve"> </w:t>
      </w:r>
      <w:r>
        <w:rPr>
          <w:rFonts w:ascii="Arial" w:cs="Arial" w:eastAsia="Arial" w:hAnsi="Arial"/>
          <w:sz w:val="17"/>
          <w:szCs w:val="17"/>
          <w:color w:val="0000FF"/>
        </w:rPr>
        <w:t>Facebook</w:t>
      </w:r>
      <w:r>
        <w:rPr>
          <w:rFonts w:ascii="Arial" w:cs="Arial" w:eastAsia="Arial" w:hAnsi="Arial"/>
          <w:sz w:val="17"/>
          <w:szCs w:val="17"/>
          <w:color w:val="212529"/>
        </w:rPr>
        <w:t>, and</w:t>
      </w:r>
      <w:r>
        <w:rPr>
          <w:rFonts w:ascii="Arial" w:cs="Arial" w:eastAsia="Arial" w:hAnsi="Arial"/>
          <w:sz w:val="17"/>
          <w:szCs w:val="17"/>
          <w:color w:val="auto"/>
        </w:rPr>
        <w:t xml:space="preserve"> </w:t>
      </w:r>
      <w:r>
        <w:rPr>
          <w:rFonts w:ascii="Arial" w:cs="Arial" w:eastAsia="Arial" w:hAnsi="Arial"/>
          <w:sz w:val="17"/>
          <w:szCs w:val="17"/>
          <w:color w:val="0000FF"/>
        </w:rPr>
        <w:t>Instagram</w:t>
      </w:r>
      <w:r>
        <w:rPr>
          <w:rFonts w:ascii="Arial" w:cs="Arial" w:eastAsia="Arial" w:hAnsi="Arial"/>
          <w:sz w:val="17"/>
          <w:szCs w:val="17"/>
          <w:color w:val="212529"/>
        </w:rPr>
        <w: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Safe Harbor Statement Regarding Forward-Looking Statements</w:t>
      </w:r>
    </w:p>
    <w:p>
      <w:pPr>
        <w:spacing w:after="0" w:line="1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This press release contains express or implied "forward-looking statements" as that term is defined in the Private Securities Litigation Reform Act of 1995 and other securities laws. These forward-looking statements concern our current expectations regarding our future results from operations, performance, financial condition, goals, strategies, plans, achievements, and anticipated product clearances, approvals and launches. These forward-looking statements are subject to various known and unknown risks, uncertainties and other factors, and you should not rely upon them except as statements of our present intentions and of our present expectations, which may or may not occur. When we use words such as “believes,” “expects,” “anticipates,” “estimates,” “intends,” “plans,” “pursue,” “will,” “goal” or similar expressions, we are making forward-looking statements. For example, embecta is using forward-looking statements when it discusses its fiscal 2025 financial guidance, executing on value creation drivers, transforming embecta into a diversified medical supplies company, expected savings from, and the timing for completion of, the restructuring plan associated with respect to streamlining the organization and optimizing resources, expectations related to the impact of incremental tariffs, brand transition plan timing, our ability to expand in other markets strengthening our core business, expanding our product portfolio and increasing our financial flexibility. Although we believe that our forward-looking statements are based on reasonable assumptions, our expected results may not be achieved, and actual results may differ materially from our expectations. In addition, important factors that could cause actual results to differ from expectations include, among others: (i) competitive factors that could adversely affect embecta’s operations; (ii) any inability to replace the services provided by BD under the transaction documents; (iii) any failure by BD to perform its obligations under the various separation agreements entered into in connection with the separation and distribution; (iv) any events that adversely affect the sale or profitability of embecta’s products or the revenues delivered from sales to its customers; (v) increases in operating costs, including costs incurred from newly instituted tariffs by the U.S. government and certain foreign governments on raw materials and products, fluctuations in the cost and availability of raw materials or components used in its products, the ability to maintain favorable supplier arrangements and relationships, and the potential adverse effects of any disruption in the availability of such items; (vi) the impact of the global trade environment resulting from newly instituted tariffs causing certain foreign governments, private purchasers and others to consider transitioning away from products originating from certain countries (including the U.S.) in favor of buying “local” products; (vii) changes in reimbursement practices of governments or private payers or other cost containment measures; (viii) the adverse financial impact resulting from unfavorable changes in foreign currency exchange rates, as well as regional, national and foreign economic factors, including inflation, deflation, and fluctuations in interest rates; (ix) the impact of changes in U.S. federal laws and policy that could affect fiscal and tax policies, healthcare and international trade, including import and export regulation and international trade agreements; (x) any new pandemic, or any geopolitical instability, including disruptions in its operations and supply chains; (xi) new or changing laws and regulations, or changes in enforcement practices, including laws relating to healthcare, environmental protection, trade, monetary and fiscal policies, taxation and licensing and regulatory requirements for products; (xii) the expected benefits of the separation from BD;</w:t>
      </w:r>
    </w:p>
    <w:p>
      <w:pPr>
        <w:spacing w:after="0" w:line="3" w:lineRule="exact"/>
        <w:rPr>
          <w:sz w:val="20"/>
          <w:szCs w:val="20"/>
          <w:color w:val="auto"/>
        </w:rPr>
      </w:pPr>
    </w:p>
    <w:p>
      <w:pPr>
        <w:jc w:val="both"/>
        <w:ind w:firstLine="8"/>
        <w:spacing w:after="0" w:line="236" w:lineRule="auto"/>
        <w:tabs>
          <w:tab w:leader="none" w:pos="375" w:val="left"/>
        </w:tabs>
        <w:numPr>
          <w:ilvl w:val="0"/>
          <w:numId w:val="13"/>
        </w:numPr>
        <w:rPr>
          <w:rFonts w:ascii="Arial" w:cs="Arial" w:eastAsia="Arial" w:hAnsi="Arial"/>
          <w:sz w:val="17"/>
          <w:szCs w:val="17"/>
          <w:color w:val="auto"/>
        </w:rPr>
      </w:pPr>
      <w:r>
        <w:rPr>
          <w:rFonts w:ascii="Arial" w:cs="Arial" w:eastAsia="Arial" w:hAnsi="Arial"/>
          <w:sz w:val="17"/>
          <w:szCs w:val="17"/>
          <w:color w:val="auto"/>
        </w:rPr>
        <w:t>risks associated with embecta’s indebtedness; (xiv) the risk that ongoing dis-synergy costs, costs of restructuring and other costs incurred in connection with the separation from BD will exceed our estimates of these costs; (xv) the risk that it will be more difficult than expected to effect embecta’s full separation from BD; (xvi) the risks related to timely and successfully completing the brand transition, including any resulting regulatory registration and license delays and interruptions in the transition of the rebranded products into commercial operations, networks, operations and end-to-end product flow and end-user access; (xvii) expectations related to the costs, profitability, timing and the estimated financial impact of, and charges and savings associated with, the restructuring plans we announced; (xviii) risks associated with not completing strategic collaborative partnerships and acquisitions for innovative technologies, complementary product lines, and new markets; and (xix) the other risks described in our periodic reports filed with the Securities and Exchange Commission, including under the caption “Risk Factors” in our most recent Annual Report on Form 10-K, as further updated by our Quarterly Reports on Form 10-Q we have filed or will file hereafter. Except as required by law, we undertake no obligation to update any forward-looking statements appearing in this release.</w:t>
      </w: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CONTACTS</w:t>
      </w:r>
    </w:p>
    <w:p>
      <w:pPr>
        <w:spacing w:after="0" w:line="232" w:lineRule="auto"/>
        <w:rPr>
          <w:sz w:val="20"/>
          <w:szCs w:val="20"/>
          <w:color w:val="auto"/>
        </w:rPr>
      </w:pPr>
      <w:r>
        <w:rPr>
          <w:rFonts w:ascii="Arial" w:cs="Arial" w:eastAsia="Arial" w:hAnsi="Arial"/>
          <w:sz w:val="17"/>
          <w:szCs w:val="17"/>
          <w:b w:val="1"/>
          <w:bCs w:val="1"/>
          <w:color w:val="auto"/>
        </w:rPr>
        <w:t>Investors:</w:t>
      </w:r>
    </w:p>
    <w:p>
      <w:pPr>
        <w:spacing w:after="0" w:line="232" w:lineRule="auto"/>
        <w:rPr>
          <w:sz w:val="20"/>
          <w:szCs w:val="20"/>
          <w:color w:val="auto"/>
        </w:rPr>
      </w:pPr>
      <w:r>
        <w:rPr>
          <w:rFonts w:ascii="Arial" w:cs="Arial" w:eastAsia="Arial" w:hAnsi="Arial"/>
          <w:sz w:val="17"/>
          <w:szCs w:val="17"/>
          <w:color w:val="auto"/>
        </w:rPr>
        <w:t>Pravesh Khandelwal</w:t>
      </w:r>
    </w:p>
    <w:p>
      <w:pPr>
        <w:spacing w:after="0" w:line="232" w:lineRule="auto"/>
        <w:rPr>
          <w:sz w:val="20"/>
          <w:szCs w:val="20"/>
          <w:color w:val="auto"/>
        </w:rPr>
      </w:pPr>
      <w:r>
        <w:rPr>
          <w:rFonts w:ascii="Arial" w:cs="Arial" w:eastAsia="Arial" w:hAnsi="Arial"/>
          <w:sz w:val="17"/>
          <w:szCs w:val="17"/>
          <w:color w:val="auto"/>
        </w:rPr>
        <w:t>VP, Head of Investor Relations</w:t>
      </w:r>
    </w:p>
    <w:p>
      <w:pPr>
        <w:spacing w:after="0" w:line="232" w:lineRule="auto"/>
        <w:rPr>
          <w:sz w:val="20"/>
          <w:szCs w:val="20"/>
          <w:color w:val="auto"/>
        </w:rPr>
      </w:pPr>
      <w:r>
        <w:rPr>
          <w:rFonts w:ascii="Arial" w:cs="Arial" w:eastAsia="Arial" w:hAnsi="Arial"/>
          <w:sz w:val="17"/>
          <w:szCs w:val="17"/>
          <w:color w:val="auto"/>
        </w:rPr>
        <w:t>551-264-6547</w:t>
      </w:r>
    </w:p>
    <w:p>
      <w:pPr>
        <w:spacing w:after="0"/>
        <w:rPr>
          <w:sz w:val="20"/>
          <w:szCs w:val="20"/>
          <w:color w:val="auto"/>
        </w:rPr>
      </w:pPr>
      <w:r>
        <w:rPr>
          <w:rFonts w:ascii="Arial" w:cs="Arial" w:eastAsia="Arial" w:hAnsi="Arial"/>
          <w:sz w:val="17"/>
          <w:szCs w:val="17"/>
          <w:color w:val="0000FF"/>
        </w:rPr>
        <w:t>Contact IR</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Christian Glazar</w:t>
      </w:r>
    </w:p>
    <w:p>
      <w:pPr>
        <w:spacing w:after="0" w:line="232" w:lineRule="auto"/>
        <w:rPr>
          <w:sz w:val="20"/>
          <w:szCs w:val="20"/>
          <w:color w:val="auto"/>
        </w:rPr>
      </w:pPr>
      <w:r>
        <w:rPr>
          <w:rFonts w:ascii="Arial" w:cs="Arial" w:eastAsia="Arial" w:hAnsi="Arial"/>
          <w:sz w:val="17"/>
          <w:szCs w:val="17"/>
          <w:color w:val="auto"/>
        </w:rPr>
        <w:t>Sr. Director, Corporate Communications</w:t>
      </w:r>
    </w:p>
    <w:p>
      <w:pPr>
        <w:spacing w:after="0" w:line="215" w:lineRule="auto"/>
        <w:rPr>
          <w:sz w:val="20"/>
          <w:szCs w:val="20"/>
          <w:color w:val="auto"/>
        </w:rPr>
      </w:pPr>
      <w:r>
        <w:rPr>
          <w:rFonts w:ascii="Arial" w:cs="Arial" w:eastAsia="Arial" w:hAnsi="Arial"/>
          <w:sz w:val="17"/>
          <w:szCs w:val="17"/>
          <w:color w:val="auto"/>
        </w:rPr>
        <w:t>908-821-6922</w:t>
      </w:r>
    </w:p>
    <w:p>
      <w:pPr>
        <w:spacing w:after="0"/>
        <w:rPr>
          <w:sz w:val="20"/>
          <w:szCs w:val="20"/>
          <w:color w:val="auto"/>
        </w:rPr>
      </w:pPr>
      <w:r>
        <w:rPr>
          <w:rFonts w:ascii="Arial" w:cs="Arial" w:eastAsia="Arial" w:hAnsi="Arial"/>
          <w:sz w:val="17"/>
          <w:szCs w:val="17"/>
          <w:color w:val="0000FF"/>
        </w:rPr>
        <w:t>Contact Media Relations</w:t>
      </w:r>
    </w:p>
    <w:sectPr>
      <w:pgSz w:w="11900" w:h="16838" w:orient="portrait"/>
      <w:cols w:equalWidth="0" w:num="1">
        <w:col w:w="11240"/>
      </w:cols>
      <w:pgMar w:left="320" w:top="10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4"/>
    </w:lvl>
  </w:abstractNum>
  <w:abstractNum w:abstractNumId="2">
    <w:nsid w:val="7545E146"/>
    <w:multiLevelType w:val="hybridMultilevel"/>
    <w:lvl w:ilvl="0">
      <w:lvlJc w:val="left"/>
      <w:lvlText w:val="•"/>
      <w:numFmt w:val="bullet"/>
      <w:start w:val="1"/>
    </w:lvl>
    <w:lvl w:ilvl="1">
      <w:lvlJc w:val="left"/>
      <w:lvlText w:val="◦"/>
      <w:numFmt w:val="bullet"/>
      <w:start w:val="1"/>
    </w:lvl>
  </w:abstractNum>
  <w:abstractNum w:abstractNumId="3">
    <w:nsid w:val="515F007C"/>
    <w:multiLevelType w:val="hybridMultilevel"/>
    <w:lvl w:ilvl="0">
      <w:lvlJc w:val="left"/>
      <w:lvlText w:val="•"/>
      <w:numFmt w:val="bullet"/>
      <w:start w:val="1"/>
    </w:lvl>
    <w:lvl w:ilvl="1">
      <w:lvlJc w:val="left"/>
      <w:lvlText w:val="◦"/>
      <w:numFmt w:val="bullet"/>
      <w:start w:val="1"/>
    </w:lvl>
  </w:abstractNum>
  <w:abstractNum w:abstractNumId="4">
    <w:nsid w:val="5BD062C2"/>
    <w:multiLevelType w:val="hybridMultilevel"/>
    <w:lvl w:ilvl="0">
      <w:lvlJc w:val="left"/>
      <w:lvlText w:val="•"/>
      <w:numFmt w:val="bullet"/>
      <w:start w:val="1"/>
    </w:lvl>
    <w:lvl w:ilvl="1">
      <w:lvlJc w:val="left"/>
      <w:lvlText w:val="◦"/>
      <w:numFmt w:val="bullet"/>
      <w:start w:val="1"/>
    </w:lvl>
  </w:abstractNum>
  <w:abstractNum w:abstractNumId="5">
    <w:nsid w:val="12200854"/>
    <w:multiLevelType w:val="hybridMultilevel"/>
    <w:lvl w:ilvl="0">
      <w:lvlJc w:val="left"/>
      <w:lvlText w:val="1"/>
      <w:numFmt w:val="bullet"/>
      <w:start w:val="1"/>
    </w:lvl>
  </w:abstractNum>
  <w:abstractNum w:abstractNumId="6">
    <w:nsid w:val="4DB127F8"/>
    <w:multiLevelType w:val="hybridMultilevel"/>
    <w:lvl w:ilvl="0">
      <w:lvlJc w:val="left"/>
      <w:lvlText w:val="2"/>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3"/>
    </w:lvl>
  </w:abstractNum>
  <w:abstractNum w:abstractNumId="12">
    <w:nsid w:val="3352255A"/>
    <w:multiLevelType w:val="hybridMultilevel"/>
    <w:lvl w:ilvl="0">
      <w:lvlJc w:val="left"/>
      <w:lvlText w:val="(%1)"/>
      <w:numFmt w:val="lowerRoman"/>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2025-08-08T06:05:36Z</dcterms:created>
  <dcterms:modified xsi:type="dcterms:W3CDTF">2025-08-08T06:05:36Z</dcterms:modified>
</cp:coreProperties>
</file>