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1104" w:type="dxa"/>
        <w:tblCellMar>
          <w:top w:w="0" w:type="dxa"/>
          <w:left w:w="0" w:type="dxa"/>
          <w:bottom w:w="0" w:type="dxa"/>
          <w:right w:w="0" w:type="dxa"/>
        </w:tblCellMar>
      </w:tblPr>
      <w:tr>
        <w:trPr>
          <w:trHeight w:val="212"/>
        </w:trPr>
        <w:tc>
          <w:tcPr>
            <w:tcW w:w="5020" w:type="dxa"/>
            <w:vAlign w:val="bottom"/>
          </w:tcPr>
          <w:p>
            <w:pPr>
              <w:jc w:val="center"/>
              <w:ind w:right="1581"/>
              <w:spacing w:after="0"/>
              <w:rPr>
                <w:sz w:val="20"/>
                <w:szCs w:val="20"/>
                <w:color w:val="auto"/>
              </w:rPr>
            </w:pPr>
            <w:r>
              <w:rPr>
                <w:rFonts w:ascii="Arial" w:cs="Arial" w:eastAsia="Arial" w:hAnsi="Arial"/>
                <w:sz w:val="18"/>
                <w:szCs w:val="18"/>
                <w:b w:val="1"/>
                <w:bCs w:val="1"/>
                <w:color w:val="auto"/>
                <w:w w:val="88"/>
              </w:rPr>
              <w:t>001-41186</w:t>
            </w:r>
          </w:p>
        </w:tc>
        <w:tc>
          <w:tcPr>
            <w:tcW w:w="2780" w:type="dxa"/>
            <w:vAlign w:val="bottom"/>
          </w:tcPr>
          <w:p>
            <w:pPr>
              <w:jc w:val="right"/>
              <w:ind w:right="41"/>
              <w:spacing w:after="0"/>
              <w:rPr>
                <w:sz w:val="20"/>
                <w:szCs w:val="20"/>
                <w:color w:val="auto"/>
              </w:rPr>
            </w:pPr>
            <w:r>
              <w:rPr>
                <w:rFonts w:ascii="Arial" w:cs="Arial" w:eastAsia="Arial" w:hAnsi="Arial"/>
                <w:sz w:val="18"/>
                <w:szCs w:val="18"/>
                <w:b w:val="1"/>
                <w:bCs w:val="1"/>
                <w:color w:val="auto"/>
              </w:rPr>
              <w:t>87-1583942</w:t>
            </w:r>
          </w:p>
        </w:tc>
      </w:tr>
      <w:tr>
        <w:trPr>
          <w:trHeight w:val="148"/>
        </w:trPr>
        <w:tc>
          <w:tcPr>
            <w:tcW w:w="5020" w:type="dxa"/>
            <w:vAlign w:val="bottom"/>
          </w:tcPr>
          <w:p>
            <w:pPr>
              <w:jc w:val="center"/>
              <w:ind w:right="158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7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20" w:type="dxa"/>
            <w:vAlign w:val="bottom"/>
          </w:tcPr>
          <w:p>
            <w:pPr>
              <w:jc w:val="center"/>
              <w:ind w:right="1581"/>
              <w:spacing w:after="0"/>
              <w:rPr>
                <w:sz w:val="20"/>
                <w:szCs w:val="20"/>
                <w:color w:val="auto"/>
              </w:rPr>
            </w:pPr>
            <w:r>
              <w:rPr>
                <w:rFonts w:ascii="Arial" w:cs="Arial" w:eastAsia="Arial" w:hAnsi="Arial"/>
                <w:sz w:val="14"/>
                <w:szCs w:val="14"/>
                <w:b w:val="1"/>
                <w:bCs w:val="1"/>
                <w:color w:val="auto"/>
                <w:w w:val="98"/>
              </w:rPr>
              <w:t>File Number)</w:t>
            </w:r>
          </w:p>
        </w:tc>
        <w:tc>
          <w:tcPr>
            <w:tcW w:w="2780" w:type="dxa"/>
            <w:vAlign w:val="bottom"/>
          </w:tcPr>
          <w:p>
            <w:pPr>
              <w:jc w:val="center"/>
              <w:ind w:left="1581"/>
              <w:spacing w:after="0"/>
              <w:rPr>
                <w:sz w:val="20"/>
                <w:szCs w:val="20"/>
                <w:color w:val="auto"/>
              </w:rPr>
            </w:pPr>
            <w:r>
              <w:rPr>
                <w:rFonts w:ascii="Arial" w:cs="Arial" w:eastAsia="Arial" w:hAnsi="Arial"/>
                <w:sz w:val="14"/>
                <w:szCs w:val="14"/>
                <w:b w:val="1"/>
                <w:bCs w:val="1"/>
                <w:color w:val="auto"/>
                <w:w w:val="94"/>
              </w:rPr>
              <w:t>Identification No.)</w:t>
            </w:r>
          </w:p>
        </w:tc>
      </w:tr>
      <w:tr>
        <w:trPr>
          <w:trHeight w:val="340"/>
        </w:trPr>
        <w:tc>
          <w:tcPr>
            <w:tcW w:w="5020" w:type="dxa"/>
            <w:vAlign w:val="bottom"/>
          </w:tcPr>
          <w:p>
            <w:pPr>
              <w:jc w:val="center"/>
              <w:ind w:right="1601"/>
              <w:spacing w:after="0"/>
              <w:rPr>
                <w:sz w:val="20"/>
                <w:szCs w:val="20"/>
                <w:color w:val="auto"/>
              </w:rPr>
            </w:pPr>
            <w:r>
              <w:rPr>
                <w:rFonts w:ascii="Arial" w:cs="Arial" w:eastAsia="Arial" w:hAnsi="Arial"/>
                <w:sz w:val="18"/>
                <w:szCs w:val="18"/>
                <w:b w:val="1"/>
                <w:bCs w:val="1"/>
                <w:color w:val="auto"/>
                <w:w w:val="91"/>
              </w:rPr>
              <w:t>300 Kimball Drive, Parsippany, New Jersey</w:t>
            </w:r>
          </w:p>
        </w:tc>
        <w:tc>
          <w:tcPr>
            <w:tcW w:w="2780" w:type="dxa"/>
            <w:vAlign w:val="bottom"/>
          </w:tcPr>
          <w:p>
            <w:pPr>
              <w:jc w:val="right"/>
              <w:ind w:right="261"/>
              <w:spacing w:after="0"/>
              <w:rPr>
                <w:sz w:val="20"/>
                <w:szCs w:val="20"/>
                <w:color w:val="auto"/>
              </w:rPr>
            </w:pPr>
            <w:r>
              <w:rPr>
                <w:rFonts w:ascii="Arial" w:cs="Arial" w:eastAsia="Arial" w:hAnsi="Arial"/>
                <w:sz w:val="18"/>
                <w:szCs w:val="18"/>
                <w:b w:val="1"/>
                <w:bCs w:val="1"/>
                <w:color w:val="auto"/>
              </w:rPr>
              <w:t>07054</w:t>
            </w:r>
          </w:p>
        </w:tc>
      </w:tr>
      <w:tr>
        <w:trPr>
          <w:trHeight w:val="186"/>
        </w:trPr>
        <w:tc>
          <w:tcPr>
            <w:tcW w:w="5020" w:type="dxa"/>
            <w:vAlign w:val="bottom"/>
          </w:tcPr>
          <w:p>
            <w:pPr>
              <w:jc w:val="center"/>
              <w:ind w:right="16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80" w:type="dxa"/>
            <w:vAlign w:val="bottom"/>
          </w:tcPr>
          <w:p>
            <w:pPr>
              <w:jc w:val="center"/>
              <w:ind w:left="15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(201) 847-6880</w:t>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EMBC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 (Nasdaq</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Global Select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984" w:right="6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Effective as of March 20, 2022, the Board of Directors (the “Board”) of Embecta Corp. (“Embecta”) increased the size of the Board from three to four directors and appointed Robert J. Hombach to fill the vacancy resulting from such increase. Upon his appointment, Mr. Hombach was also named by the Board as a member of Embecta’s Audit Committee. It is expected that Mr. Hombach will continue to serve as a director and a member of the Audit Committee as of the effective time of the previously announced distribution by Becton, Dickinson and Company (“BD”) of 100% of the outstanding shares of common stock of Embecta to BD shareholders of record as of the close of business on March 22, 2022 (the “Spin-Off Distribution”).</w:t>
      </w:r>
    </w:p>
    <w:p>
      <w:pPr>
        <w:spacing w:after="0" w:line="16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Biographical information for Mr. Hombach and a description of Embecta’s non-employee director compensation program is set forth in the sections entitled “Directors” and “Director Compensation,” respectively, in the Information Statement, dated February 11, 2022, filed as Exhibit 99.1 to the Company’s Current Report on Form 8-K filed with the U.S. Securities and Exchange Commission on February 11, 2022 (File No. 001-41186), and such information and description are incorporated in this Item 5.02 by reference.</w:t>
      </w:r>
    </w:p>
    <w:p>
      <w:pPr>
        <w:spacing w:after="0" w:line="3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In connection with the Spin-Off Distribution, Embecta filed a certificate of amendment of the Certificate of Incorporation (the “Split Amendment”) with the Secretary of State of the State of Delaware on March 22, 2022, which became effective as of the time of filing. The Split Amendment increased the number of authorized shares of the common stock of Embecta and effected a stock split of the outstanding shares of the common stock of Embecta. The foregoing description of the Split Amendment is not complete and is subject to, and qualified in its entirety by reference to, the full text thereof, which is attached hereto as Exhibit 3.1, and is incorporated herein by reference.</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ind w:left="4"/>
        <w:spacing w:after="0"/>
        <w:tabs>
          <w:tab w:leader="none" w:pos="664"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EE"/>
          </w:rPr>
          <w:t>Certificate of Amendment of the Certificate of Incorporation of Embecta Corp.</w:t>
        </w:r>
      </w:hyperlink>
    </w:p>
    <w:p>
      <w:pPr>
        <w:spacing w:after="0" w:line="117" w:lineRule="exact"/>
        <w:rPr>
          <w:sz w:val="20"/>
          <w:szCs w:val="20"/>
          <w:color w:val="auto"/>
        </w:rPr>
      </w:pPr>
    </w:p>
    <w:p>
      <w:pPr>
        <w:ind w:left="5464" w:right="4540" w:hanging="5464"/>
        <w:spacing w:after="0" w:line="490" w:lineRule="auto"/>
        <w:tabs>
          <w:tab w:leader="none" w:pos="689"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2</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7"/>
          <w:szCs w:val="17"/>
          <w:b w:val="1"/>
          <w:bCs w:val="1"/>
          <w:color w:val="auto"/>
        </w:rPr>
        <w:t>EMBECTA CORP.</w:t>
      </w:r>
    </w:p>
    <w:p>
      <w:pPr>
        <w:spacing w:after="0" w:line="24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Gary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DeFazio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INCORPORATION</w:t>
      </w:r>
    </w:p>
    <w:p>
      <w:pPr>
        <w:spacing w:after="0" w:line="207"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Embecta Corp. (the “</w:t>
      </w:r>
      <w:r>
        <w:rPr>
          <w:rFonts w:ascii="Arial" w:cs="Arial" w:eastAsia="Arial" w:hAnsi="Arial"/>
          <w:sz w:val="18"/>
          <w:szCs w:val="18"/>
          <w:b w:val="1"/>
          <w:bCs w:val="1"/>
          <w:color w:val="auto"/>
        </w:rPr>
        <w:t>Company</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HEREBY CERTIFY:</w:t>
      </w:r>
    </w:p>
    <w:p>
      <w:pPr>
        <w:spacing w:after="0" w:line="117"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original certificate of incorporation of the Company was filed with the Secretary of the State of Delaware on July 8, 2021.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amendment to the certificate of incorporation of the Company was filed with the Secretary of State of the State of Delaware on December 14, 2021.</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by the unanimous written consent of its members, filed with the minutes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duly adopted resolutions proposing and declaring advisable that the certificate of incorporation of the Company be amended by changing Article IV thereof, so that, as amended, said Article shall read in its entirety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Capital Stock</w:t>
      </w:r>
    </w:p>
    <w:p>
      <w:pPr>
        <w:spacing w:after="0" w:line="117" w:lineRule="exact"/>
        <w:rPr>
          <w:sz w:val="20"/>
          <w:szCs w:val="20"/>
          <w:color w:val="auto"/>
        </w:rPr>
      </w:pPr>
    </w:p>
    <w:p>
      <w:pPr>
        <w:ind w:left="1420" w:right="20" w:firstLine="8"/>
        <w:spacing w:after="0" w:line="259" w:lineRule="auto"/>
        <w:tabs>
          <w:tab w:leader="none" w:pos="177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Corporation shall be authorized to issue to two hundred sixty million (260,000,000) shares of capital stock which shall be divided into two classes as follows: (i) two hundred fifty million (250,000,000)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(ii) ten million (10,000,000) shares of preferred stock, par value $0.01 per share.</w:t>
      </w:r>
    </w:p>
    <w:p>
      <w:pPr>
        <w:spacing w:after="0" w:line="74" w:lineRule="exact"/>
        <w:rPr>
          <w:rFonts w:ascii="Arial" w:cs="Arial" w:eastAsia="Arial" w:hAnsi="Arial"/>
          <w:sz w:val="18"/>
          <w:szCs w:val="18"/>
          <w:color w:val="auto"/>
        </w:rPr>
      </w:pPr>
    </w:p>
    <w:p>
      <w:pPr>
        <w:ind w:left="1420" w:right="40" w:firstLine="8"/>
        <w:spacing w:after="0" w:line="292" w:lineRule="auto"/>
        <w:tabs>
          <w:tab w:leader="none" w:pos="176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Recapitalization</w:t>
      </w:r>
      <w:r>
        <w:rPr>
          <w:rFonts w:ascii="Arial" w:cs="Arial" w:eastAsia="Arial" w:hAnsi="Arial"/>
          <w:sz w:val="16"/>
          <w:szCs w:val="16"/>
          <w:color w:val="auto"/>
        </w:rPr>
        <w:t>. Effective as of 6:00 p.m., Eastern Time, on March 22, 2022 (such time, the “</w:t>
      </w:r>
      <w:r>
        <w:rPr>
          <w:rFonts w:ascii="Arial" w:cs="Arial" w:eastAsia="Arial" w:hAnsi="Arial"/>
          <w:sz w:val="16"/>
          <w:szCs w:val="16"/>
          <w:b w:val="1"/>
          <w:bCs w:val="1"/>
          <w:color w:val="auto"/>
        </w:rPr>
        <w:t>Recapitalization Time</w:t>
      </w:r>
      <w:r>
        <w:rPr>
          <w:rFonts w:ascii="Arial" w:cs="Arial" w:eastAsia="Arial" w:hAnsi="Arial"/>
          <w:sz w:val="16"/>
          <w:szCs w:val="16"/>
          <w:color w:val="auto"/>
        </w:rPr>
        <w:t>”), the total number of shares of Common Stock issued and outstanding, or held by the Corporation as treasury stock, immediately prior to the Recapitalization Time shall, automatically by operation of law and without any further action on the part of the Corporation or any holders of shares of capital stock of the Corporation, be converted into a number of shares of validly issued, fully paid and non-assessable shares of the Corporation’s Common Stock authorized for issuance pursuant to this Certificate of Incorporation equal to (i) the number of shares of common stock, par value $1.00 per share, of Becton, Dickinson and Company (the “</w:t>
      </w:r>
      <w:r>
        <w:rPr>
          <w:rFonts w:ascii="Arial" w:cs="Arial" w:eastAsia="Arial" w:hAnsi="Arial"/>
          <w:sz w:val="16"/>
          <w:szCs w:val="16"/>
          <w:b w:val="1"/>
          <w:bCs w:val="1"/>
          <w:color w:val="auto"/>
        </w:rPr>
        <w:t>BD 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issued and outstanding as of the Recapitalization Time, but not including shares held by Becton, Dickinson and Company</w:t>
      </w:r>
    </w:p>
    <w:p>
      <w:pPr>
        <w:sectPr>
          <w:pgSz w:w="11900" w:h="16838" w:orient="portrait"/>
          <w:cols w:equalWidth="0" w:num="1">
            <w:col w:w="11020"/>
          </w:cols>
          <w:pgMar w:left="440" w:top="121" w:right="439" w:bottom="1440" w:gutter="0" w:footer="0" w:header="0"/>
        </w:sectPr>
      </w:pPr>
    </w:p>
    <w:bookmarkStart w:id="4" w:name="page5"/>
    <w:bookmarkEnd w:id="4"/>
    <w:p>
      <w:pPr>
        <w:ind w:left="142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treasury stock (for the avoidance of doubt, shares of BD Common Stock held by Becton Dickinson France S.A.S. shall not be considered treasury stock), as of the Recapitalization Time, multiplied by (ii) 0.2.</w:t>
      </w:r>
    </w:p>
    <w:p>
      <w:pPr>
        <w:spacing w:after="0" w:line="62" w:lineRule="exact"/>
        <w:rPr>
          <w:sz w:val="20"/>
          <w:szCs w:val="20"/>
          <w:color w:val="auto"/>
        </w:rPr>
      </w:pPr>
    </w:p>
    <w:p>
      <w:pPr>
        <w:jc w:val="both"/>
        <w:ind w:left="1420" w:firstLine="8"/>
        <w:spacing w:after="0" w:line="263" w:lineRule="auto"/>
        <w:tabs>
          <w:tab w:leader="none" w:pos="176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Except as otherwise provided by law, the Common Stock shall have the exclusive right to vote for the election of directors and for all other purposes. Each share of Common Stock shall have one vote, and the Common Stock shall vote together as a single class.</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in lieu of a meeting and vote of stockholders, the sole stockholder of the Company has given written consent to said amendment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Section 228 of the DGCL.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the aforesaid amendment was duly adopted in accordance with the applicable provisions of Section 242 and 228 of the DGCL.</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That the aforesaid amendment shall be effective upon the filing hereof.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Company has caused this certificate to be signed by the undersigned as of this 22nd day of March, 2022.</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EMBECTA CORP.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Gary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Gary DeFazio</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Embecta Certificate of Amendment</w:t>
      </w:r>
      <w:r>
        <w:rPr>
          <w:rFonts w:ascii="Arial" w:cs="Arial" w:eastAsia="Arial" w:hAnsi="Arial"/>
          <w:sz w:val="18"/>
          <w:szCs w:val="18"/>
          <w:color w:val="auto"/>
        </w:rPr>
        <w:t>]</w:t>
      </w:r>
    </w:p>
    <w:sectPr>
      <w:pgSz w:w="11900" w:h="16838" w:orient="portrait"/>
      <w:cols w:equalWidth="0" w:num="1">
        <w:col w:w="9920"/>
      </w:cols>
      <w:pgMar w:left="880" w:top="27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2022-03-24T15:28:20Z</dcterms:created>
  <dcterms:modified xsi:type="dcterms:W3CDTF">2022-03-24T15:28:20Z</dcterms:modified>
</cp:coreProperties>
</file>