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876935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1065530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148590</wp:posOffset>
            </wp:positionV>
            <wp:extent cx="14827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180975</wp:posOffset>
            </wp:positionV>
            <wp:extent cx="1482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67"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3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0"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3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001-41186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80010</wp:posOffset>
            </wp:positionV>
            <wp:extent cx="1405890" cy="574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57467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842645</wp:posOffset>
            </wp:positionV>
            <wp:extent cx="1482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139700</wp:posOffset>
            </wp:positionV>
            <wp:extent cx="1482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82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right"/>
              <w:ind w:right="1781"/>
              <w:spacing w:after="0"/>
              <w:rPr>
                <w:sz w:val="20"/>
                <w:szCs w:val="20"/>
                <w:color w:val="auto"/>
              </w:rPr>
            </w:pPr>
            <w:r>
              <w:rPr>
                <w:rFonts w:ascii="Times New Roman" w:cs="Times New Roman" w:eastAsia="Times New Roman" w:hAnsi="Times New Roman"/>
                <w:sz w:val="18"/>
                <w:szCs w:val="18"/>
                <w:b w:val="1"/>
                <w:bCs w:val="1"/>
                <w:color w:val="auto"/>
              </w:rPr>
              <w:t>87-1583942</w:t>
            </w:r>
          </w:p>
        </w:tc>
      </w:tr>
      <w:tr>
        <w:trPr>
          <w:trHeight w:val="178"/>
        </w:trPr>
        <w:tc>
          <w:tcPr>
            <w:tcW w:w="7820" w:type="dxa"/>
            <w:vAlign w:val="bottom"/>
            <w:gridSpan w:val="3"/>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20" w:type="dxa"/>
            <w:vAlign w:val="bottom"/>
          </w:tcPr>
          <w:p>
            <w:pPr>
              <w:jc w:val="center"/>
              <w:ind w:right="110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820" w:type="dxa"/>
            <w:vAlign w:val="bottom"/>
            <w:gridSpan w:val="3"/>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20" w:type="dxa"/>
            <w:vAlign w:val="bottom"/>
          </w:tcPr>
          <w:p>
            <w:pPr>
              <w:jc w:val="center"/>
              <w:ind w:right="11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50"/>
        </w:trPr>
        <w:tc>
          <w:tcPr>
            <w:tcW w:w="782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9"/>
              </w:rPr>
              <w:t>300 Kimball Drive, Suite 300, Parsippany, New Jersey</w:t>
            </w:r>
          </w:p>
        </w:tc>
        <w:tc>
          <w:tcPr>
            <w:tcW w:w="3420" w:type="dxa"/>
            <w:vAlign w:val="bottom"/>
          </w:tcPr>
          <w:p>
            <w:pPr>
              <w:jc w:val="right"/>
              <w:ind w:right="2001"/>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206"/>
        </w:trPr>
        <w:tc>
          <w:tcPr>
            <w:tcW w:w="7820" w:type="dxa"/>
            <w:vAlign w:val="bottom"/>
            <w:gridSpan w:val="3"/>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20" w:type="dxa"/>
            <w:vAlign w:val="bottom"/>
          </w:tcPr>
          <w:p>
            <w:pPr>
              <w:jc w:val="center"/>
              <w:ind w:right="11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550"/>
        </w:trPr>
        <w:tc>
          <w:tcPr>
            <w:tcW w:w="68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(862) 401-0000</w:t>
            </w:r>
          </w:p>
        </w:tc>
        <w:tc>
          <w:tcPr>
            <w:tcW w:w="10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60"/>
        </w:trPr>
        <w:tc>
          <w:tcPr>
            <w:tcW w:w="7820" w:type="dxa"/>
            <w:vAlign w:val="bottom"/>
            <w:gridSpan w:val="3"/>
          </w:tcPr>
          <w:p>
            <w:pPr>
              <w:jc w:val="center"/>
              <w:ind w:left="33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420" w:type="dxa"/>
            <w:vAlign w:val="bottom"/>
          </w:tcPr>
          <w:p>
            <w:pPr>
              <w:spacing w:after="0"/>
              <w:rPr>
                <w:sz w:val="22"/>
                <w:szCs w:val="22"/>
                <w:color w:val="auto"/>
              </w:rPr>
            </w:pPr>
          </w:p>
        </w:tc>
      </w:tr>
      <w:tr>
        <w:trPr>
          <w:trHeight w:val="199"/>
        </w:trPr>
        <w:tc>
          <w:tcPr>
            <w:tcW w:w="4460" w:type="dxa"/>
            <w:vAlign w:val="bottom"/>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1054"/>
        </w:trPr>
        <w:tc>
          <w:tcPr>
            <w:tcW w:w="44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4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01"/>
        </w:trPr>
        <w:tc>
          <w:tcPr>
            <w:tcW w:w="4720" w:type="dxa"/>
            <w:vAlign w:val="bottom"/>
            <w:gridSpan w:val="2"/>
          </w:tcPr>
          <w:p>
            <w:pPr>
              <w:jc w:val="center"/>
              <w:ind w:right="1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100" w:type="dxa"/>
            <w:vAlign w:val="bottom"/>
            <w:gridSpan w:val="2"/>
          </w:tcPr>
          <w:p>
            <w:pPr>
              <w:jc w:val="center"/>
              <w:ind w:right="1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EMBC</w:t>
            </w:r>
          </w:p>
        </w:tc>
        <w:tc>
          <w:tcPr>
            <w:tcW w:w="43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The Nasdaq Stock Market LLC (Nasdaq Global Select</w:t>
            </w:r>
          </w:p>
        </w:tc>
      </w:tr>
      <w:tr>
        <w:trPr>
          <w:trHeight w:val="238"/>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r>
    </w:tbl>
    <w:p>
      <w:pPr>
        <w:spacing w:after="0" w:line="306"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2"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30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64"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Embecta Corp. common stock outstanding as of August 1, 2025 was 58,485,119 shares,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48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480" w:type="dxa"/>
            <w:vAlign w:val="bottom"/>
            <w:gridSpan w:val="16"/>
            <w:vMerge w:val="continue"/>
          </w:tcPr>
          <w:p>
            <w:pPr>
              <w:spacing w:after="0"/>
              <w:rPr>
                <w:sz w:val="15"/>
                <w:szCs w:val="15"/>
                <w:color w:val="auto"/>
              </w:rPr>
            </w:pPr>
          </w:p>
        </w:tc>
        <w:tc>
          <w:tcPr>
            <w:tcW w:w="7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360" w:type="dxa"/>
            <w:vAlign w:val="bottom"/>
            <w:gridSpan w:val="8"/>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5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w:t>
            </w:r>
          </w:p>
        </w:tc>
        <w:tc>
          <w:tcPr>
            <w:tcW w:w="4200" w:type="dxa"/>
            <w:vAlign w:val="bottom"/>
            <w:gridSpan w:val="2"/>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Equity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7"/>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420" w:type="dxa"/>
            <w:vAlign w:val="bottom"/>
            <w:gridSpan w:val="3"/>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6"/>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4.</w:t>
            </w: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020" w:type="dxa"/>
            <w:vAlign w:val="bottom"/>
            <w:gridSpan w:val="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8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880" w:type="dxa"/>
            <w:vAlign w:val="bottom"/>
            <w:gridSpan w:val="10"/>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6"/>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6.</w:t>
            </w: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7"/>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6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274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4"/>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46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40" w:type="dxa"/>
            <w:vAlign w:val="bottom"/>
            <w:tcBorders>
              <w:bottom w:val="single" w:sz="8" w:color="auto"/>
            </w:tcBorders>
          </w:tcPr>
          <w:p>
            <w:pPr>
              <w:spacing w:after="0"/>
              <w:rPr>
                <w:sz w:val="18"/>
                <w:szCs w:val="18"/>
                <w:color w:val="auto"/>
              </w:rPr>
            </w:pPr>
          </w:p>
        </w:tc>
      </w:tr>
      <w:tr>
        <w:trPr>
          <w:trHeight w:val="208"/>
        </w:trPr>
        <w:tc>
          <w:tcPr>
            <w:tcW w:w="46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1"/>
        </w:trPr>
        <w:tc>
          <w:tcPr>
            <w:tcW w:w="46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4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295.5</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837.0</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275.6</w:t>
            </w:r>
          </w:p>
        </w:tc>
      </w:tr>
      <w:tr>
        <w:trPr>
          <w:trHeight w:val="33"/>
        </w:trPr>
        <w:tc>
          <w:tcPr>
            <w:tcW w:w="46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4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Gross Profit</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518.3</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561.4</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4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10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268.3</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w:t>
            </w:r>
          </w:p>
        </w:tc>
      </w:tr>
      <w:tr>
        <w:trPr>
          <w:trHeight w:val="33"/>
        </w:trPr>
        <w:tc>
          <w:tcPr>
            <w:tcW w:w="4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w:t>
            </w:r>
          </w:p>
        </w:tc>
      </w:tr>
      <w:tr>
        <w:trPr>
          <w:trHeight w:val="204"/>
        </w:trPr>
        <w:tc>
          <w:tcPr>
            <w:tcW w:w="4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40" w:type="dxa"/>
            <w:vAlign w:val="bottom"/>
            <w:tcBorders>
              <w:top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100" w:type="dxa"/>
            <w:vAlign w:val="bottom"/>
          </w:tcPr>
          <w:p>
            <w:pPr>
              <w:spacing w:after="0"/>
              <w:rPr>
                <w:sz w:val="17"/>
                <w:szCs w:val="17"/>
                <w:color w:val="auto"/>
              </w:rPr>
            </w:pP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332.7</w:t>
            </w:r>
          </w:p>
        </w:tc>
        <w:tc>
          <w:tcPr>
            <w:tcW w:w="100" w:type="dxa"/>
            <w:vAlign w:val="bottom"/>
          </w:tcPr>
          <w:p>
            <w:pPr>
              <w:spacing w:after="0"/>
              <w:rPr>
                <w:sz w:val="17"/>
                <w:szCs w:val="17"/>
                <w:color w:val="auto"/>
              </w:rPr>
            </w:pPr>
          </w:p>
        </w:tc>
        <w:tc>
          <w:tcPr>
            <w:tcW w:w="44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420.8</w:t>
            </w:r>
          </w:p>
        </w:tc>
      </w:tr>
      <w:tr>
        <w:trPr>
          <w:trHeight w:val="33"/>
        </w:trPr>
        <w:tc>
          <w:tcPr>
            <w:tcW w:w="46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46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Operating Income</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w:t>
            </w:r>
          </w:p>
        </w:tc>
      </w:tr>
      <w:tr>
        <w:trPr>
          <w:trHeight w:val="33"/>
        </w:trPr>
        <w:tc>
          <w:tcPr>
            <w:tcW w:w="4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04"/>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40" w:type="dxa"/>
            <w:vAlign w:val="bottom"/>
            <w:tcBorders>
              <w:top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00" w:type="dxa"/>
            <w:vAlign w:val="bottom"/>
          </w:tcPr>
          <w:p>
            <w:pPr>
              <w:spacing w:after="0"/>
              <w:rPr>
                <w:sz w:val="17"/>
                <w:szCs w:val="17"/>
                <w:color w:val="auto"/>
              </w:rPr>
            </w:pP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100" w:type="dxa"/>
            <w:vAlign w:val="bottom"/>
          </w:tcPr>
          <w:p>
            <w:pPr>
              <w:spacing w:after="0"/>
              <w:rPr>
                <w:sz w:val="17"/>
                <w:szCs w:val="17"/>
                <w:color w:val="auto"/>
              </w:rPr>
            </w:pPr>
          </w:p>
        </w:tc>
        <w:tc>
          <w:tcPr>
            <w:tcW w:w="44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w:t>
            </w:r>
          </w:p>
        </w:tc>
      </w:tr>
      <w:tr>
        <w:trPr>
          <w:trHeight w:val="33"/>
        </w:trPr>
        <w:tc>
          <w:tcPr>
            <w:tcW w:w="4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04"/>
        </w:trPr>
        <w:tc>
          <w:tcPr>
            <w:tcW w:w="46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tcBorders>
              <w:top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tcPr>
          <w:p>
            <w:pPr>
              <w:spacing w:after="0"/>
              <w:rPr>
                <w:sz w:val="17"/>
                <w:szCs w:val="17"/>
                <w:color w:val="auto"/>
              </w:rPr>
            </w:pP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tcPr>
          <w:p>
            <w:pPr>
              <w:spacing w:after="0"/>
              <w:rPr>
                <w:sz w:val="17"/>
                <w:szCs w:val="17"/>
                <w:color w:val="auto"/>
              </w:rPr>
            </w:pPr>
          </w:p>
        </w:tc>
        <w:tc>
          <w:tcPr>
            <w:tcW w:w="44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w:t>
            </w:r>
          </w:p>
        </w:tc>
      </w:tr>
      <w:tr>
        <w:trPr>
          <w:trHeight w:val="33"/>
        </w:trPr>
        <w:tc>
          <w:tcPr>
            <w:tcW w:w="46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6"/>
        </w:trPr>
        <w:tc>
          <w:tcPr>
            <w:tcW w:w="4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4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10"/>
        </w:trPr>
        <w:tc>
          <w:tcPr>
            <w:tcW w:w="4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100" w:type="dxa"/>
            <w:vAlign w:val="bottom"/>
          </w:tcPr>
          <w:p>
            <w:pPr>
              <w:spacing w:after="0"/>
              <w:rPr>
                <w:sz w:val="18"/>
                <w:szCs w:val="18"/>
                <w:color w:val="auto"/>
              </w:rPr>
            </w:pP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278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4"/>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46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40" w:type="dxa"/>
            <w:vAlign w:val="bottom"/>
            <w:tcBorders>
              <w:bottom w:val="single" w:sz="8" w:color="auto"/>
            </w:tcBorders>
          </w:tcPr>
          <w:p>
            <w:pPr>
              <w:spacing w:after="0"/>
              <w:rPr>
                <w:sz w:val="18"/>
                <w:szCs w:val="18"/>
                <w:color w:val="auto"/>
              </w:rPr>
            </w:pPr>
          </w:p>
        </w:tc>
      </w:tr>
      <w:tr>
        <w:trPr>
          <w:trHeight w:val="208"/>
        </w:trPr>
        <w:tc>
          <w:tcPr>
            <w:tcW w:w="46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1"/>
        </w:trPr>
        <w:tc>
          <w:tcPr>
            <w:tcW w:w="46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4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4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4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0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8"/>
                <w:szCs w:val="18"/>
                <w:color w:val="auto"/>
              </w:rPr>
            </w:pP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33"/>
        </w:trPr>
        <w:tc>
          <w:tcPr>
            <w:tcW w:w="46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Pr>
          <w:p>
            <w:pPr>
              <w:spacing w:after="0"/>
              <w:rPr>
                <w:sz w:val="18"/>
                <w:szCs w:val="18"/>
                <w:color w:val="auto"/>
              </w:rPr>
            </w:pPr>
          </w:p>
        </w:tc>
        <w:tc>
          <w:tcPr>
            <w:tcW w:w="1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0" w:type="dxa"/>
            <w:vAlign w:val="bottom"/>
          </w:tcPr>
          <w:p>
            <w:pPr>
              <w:spacing w:after="0"/>
              <w:rPr>
                <w:sz w:val="1"/>
                <w:szCs w:val="1"/>
                <w:color w:val="auto"/>
              </w:rPr>
            </w:pPr>
          </w:p>
        </w:tc>
      </w:tr>
      <w:tr>
        <w:trPr>
          <w:trHeight w:val="209"/>
        </w:trPr>
        <w:tc>
          <w:tcPr>
            <w:tcW w:w="74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Cash and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Restricted cash</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Trade receivables, net (net of allowance for doubtful accounts of $2.0 million and $2.8 million as of</w:t>
            </w:r>
          </w:p>
        </w:tc>
        <w:tc>
          <w:tcPr>
            <w:tcW w:w="280" w:type="dxa"/>
            <w:vAlign w:val="bottom"/>
            <w:shd w:val="clear" w:color="auto" w:fill="CCEEFF"/>
          </w:tcPr>
          <w:p>
            <w:pPr>
              <w:spacing w:after="0"/>
              <w:rPr>
                <w:sz w:val="16"/>
                <w:szCs w:val="16"/>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June 30, 2025 and September 30, 2024, respectively)</w:t>
            </w:r>
          </w:p>
        </w:tc>
        <w:tc>
          <w:tcPr>
            <w:tcW w:w="28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Materials</w:t>
            </w:r>
          </w:p>
        </w:tc>
        <w:tc>
          <w:tcPr>
            <w:tcW w:w="2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0" w:type="dxa"/>
            <w:vAlign w:val="bottom"/>
          </w:tcPr>
          <w:p>
            <w:pPr>
              <w:spacing w:after="0"/>
              <w:rPr>
                <w:sz w:val="1"/>
                <w:szCs w:val="1"/>
                <w:color w:val="auto"/>
              </w:rPr>
            </w:pPr>
          </w:p>
        </w:tc>
      </w:tr>
      <w:tr>
        <w:trPr>
          <w:trHeight w:val="210"/>
        </w:trPr>
        <w:tc>
          <w:tcPr>
            <w:tcW w:w="74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Work in process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Finished products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0" w:type="dxa"/>
            <w:vAlign w:val="bottom"/>
          </w:tcPr>
          <w:p>
            <w:pPr>
              <w:spacing w:after="0"/>
              <w:rPr>
                <w:sz w:val="1"/>
                <w:szCs w:val="1"/>
                <w:color w:val="auto"/>
              </w:rPr>
            </w:pPr>
          </w:p>
        </w:tc>
      </w:tr>
      <w:tr>
        <w:trPr>
          <w:trHeight w:val="204"/>
        </w:trPr>
        <w:tc>
          <w:tcPr>
            <w:tcW w:w="74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Total Inventories</w:t>
            </w: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189.9</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Amounts due from Becton, Dickinson and Company</w:t>
            </w:r>
          </w:p>
        </w:tc>
        <w:tc>
          <w:tcPr>
            <w:tcW w:w="2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761.0</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290.4</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Assets</w:t>
            </w:r>
          </w:p>
        </w:tc>
        <w:tc>
          <w:tcPr>
            <w:tcW w:w="2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Assets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1,285.3</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4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Accrued expenses</w:t>
            </w:r>
          </w:p>
        </w:tc>
        <w:tc>
          <w:tcPr>
            <w:tcW w:w="2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Amounts due to Becton, Dickinson and Company</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Salaries, wages and related items</w:t>
            </w:r>
          </w:p>
        </w:tc>
        <w:tc>
          <w:tcPr>
            <w:tcW w:w="2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Current debt obligations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Current finance lease liabilities</w:t>
            </w:r>
          </w:p>
        </w:tc>
        <w:tc>
          <w:tcPr>
            <w:tcW w:w="2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Income taxes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374.0</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Liabilities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1,565.3</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 Current Finance Lease Liabilities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Contingencies (Note 6)</w:t>
            </w:r>
          </w:p>
        </w:tc>
        <w:tc>
          <w:tcPr>
            <w:tcW w:w="2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Embecta Corp. Equity</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Authorized - 250,000,000</w:t>
            </w: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Issued and outstanding - 58,473,127 as of June 30, 2025 and 57,707,285 as of September 30, 2024</w:t>
            </w:r>
          </w:p>
        </w:tc>
        <w:tc>
          <w:tcPr>
            <w:tcW w:w="280" w:type="dxa"/>
            <w:vAlign w:val="bottom"/>
            <w:vMerge w:val="continue"/>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Accumulated deficit</w:t>
            </w:r>
          </w:p>
        </w:tc>
        <w:tc>
          <w:tcPr>
            <w:tcW w:w="2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(498.6)</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(292.8)</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Total Equity</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(738.3)</w:t>
            </w:r>
          </w:p>
        </w:tc>
        <w:tc>
          <w:tcPr>
            <w:tcW w:w="0" w:type="dxa"/>
            <w:vAlign w:val="bottom"/>
          </w:tcPr>
          <w:p>
            <w:pPr>
              <w:spacing w:after="0"/>
              <w:rPr>
                <w:sz w:val="1"/>
                <w:szCs w:val="1"/>
                <w:color w:val="auto"/>
              </w:rPr>
            </w:pPr>
          </w:p>
        </w:tc>
      </w:tr>
      <w:tr>
        <w:trPr>
          <w:trHeight w:val="204"/>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1,157.3</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1,285.3</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jc w:val="right"/>
        <w:ind w:right="30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880" w:type="dxa"/>
            <w:vAlign w:val="bottom"/>
          </w:tcPr>
          <w:p>
            <w:pPr>
              <w:spacing w:after="0"/>
              <w:rPr>
                <w:sz w:val="16"/>
                <w:szCs w:val="16"/>
                <w:color w:val="auto"/>
              </w:rPr>
            </w:pPr>
          </w:p>
        </w:tc>
        <w:tc>
          <w:tcPr>
            <w:tcW w:w="2100" w:type="dxa"/>
            <w:vAlign w:val="bottom"/>
            <w:gridSpan w:val="3"/>
          </w:tcPr>
          <w:p>
            <w:pPr>
              <w:jc w:val="right"/>
              <w:ind w:right="388"/>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Additional Paid-In</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Comprehensive</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880" w:type="dxa"/>
            <w:vAlign w:val="bottom"/>
          </w:tcPr>
          <w:p>
            <w:pPr>
              <w:spacing w:after="0"/>
              <w:rPr>
                <w:sz w:val="17"/>
                <w:szCs w:val="17"/>
                <w:color w:val="auto"/>
              </w:rPr>
            </w:pP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Par Value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8"/>
              </w:rPr>
              <w:t>Capital</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(Loss) Income</w:t>
            </w:r>
          </w:p>
        </w:tc>
        <w:tc>
          <w:tcPr>
            <w:tcW w:w="240" w:type="dxa"/>
            <w:vAlign w:val="bottom"/>
          </w:tcPr>
          <w:p>
            <w:pPr>
              <w:spacing w:after="0"/>
              <w:rPr>
                <w:sz w:val="17"/>
                <w:szCs w:val="17"/>
                <w:color w:val="auto"/>
              </w:rPr>
            </w:pPr>
          </w:p>
        </w:tc>
        <w:tc>
          <w:tcPr>
            <w:tcW w:w="9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April 1, 2024</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57,661,433</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(299.9)</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(769.6)</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(loss), net of taxes</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 and dividend equivalents declared ($0.15 per share)</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shares related to stock-based compensation plans</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15,034</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57,676,467</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(763.7)</w:t>
            </w:r>
          </w:p>
        </w:tc>
        <w:tc>
          <w:tcPr>
            <w:tcW w:w="0" w:type="dxa"/>
            <w:vAlign w:val="bottom"/>
          </w:tcPr>
          <w:p>
            <w:pPr>
              <w:spacing w:after="0"/>
              <w:rPr>
                <w:sz w:val="1"/>
                <w:szCs w:val="1"/>
                <w:color w:val="auto"/>
              </w:rPr>
            </w:pPr>
          </w:p>
        </w:tc>
      </w:tr>
      <w:tr>
        <w:trPr>
          <w:trHeight w:val="250"/>
        </w:trPr>
        <w:tc>
          <w:tcPr>
            <w:tcW w:w="3880" w:type="dxa"/>
            <w:vAlign w:val="bottom"/>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April 1, 2025</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58,327,015</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(736.2)</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income, net of taxes</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 and dividend equivalents declared ($0.15 per share)</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shares related to stock-based compensation plans</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146,112</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2025</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58,473,127</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(283.3)</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(669.6)</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79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880" w:type="dxa"/>
            <w:vAlign w:val="bottom"/>
          </w:tcPr>
          <w:p>
            <w:pPr>
              <w:spacing w:after="0"/>
              <w:rPr>
                <w:sz w:val="16"/>
                <w:szCs w:val="16"/>
                <w:color w:val="auto"/>
              </w:rPr>
            </w:pPr>
          </w:p>
        </w:tc>
        <w:tc>
          <w:tcPr>
            <w:tcW w:w="2100" w:type="dxa"/>
            <w:vAlign w:val="bottom"/>
            <w:gridSpan w:val="3"/>
          </w:tcPr>
          <w:p>
            <w:pPr>
              <w:jc w:val="right"/>
              <w:ind w:right="388"/>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Accumulated</w:t>
            </w: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Additional Paid-In</w:t>
            </w:r>
          </w:p>
        </w:tc>
        <w:tc>
          <w:tcPr>
            <w:tcW w:w="14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Comprehensive</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880" w:type="dxa"/>
            <w:vAlign w:val="bottom"/>
          </w:tcPr>
          <w:p>
            <w:pPr>
              <w:spacing w:after="0"/>
              <w:rPr>
                <w:sz w:val="17"/>
                <w:szCs w:val="17"/>
                <w:color w:val="auto"/>
              </w:rPr>
            </w:pPr>
          </w:p>
        </w:tc>
        <w:tc>
          <w:tcPr>
            <w:tcW w:w="12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Shares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Par Value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Capital</w:t>
            </w:r>
          </w:p>
        </w:tc>
        <w:tc>
          <w:tcPr>
            <w:tcW w:w="14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Deficit</w:t>
            </w: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(Loss) Income</w:t>
            </w:r>
          </w:p>
        </w:tc>
        <w:tc>
          <w:tcPr>
            <w:tcW w:w="260" w:type="dxa"/>
            <w:vAlign w:val="bottom"/>
          </w:tcPr>
          <w:p>
            <w:pPr>
              <w:spacing w:after="0"/>
              <w:rPr>
                <w:sz w:val="17"/>
                <w:szCs w:val="17"/>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1, 2023</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57,333,353</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(821.7)</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income, net of taxes</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 and dividend equivalents declared ($0.45 per share)</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shares related to stock-based compensation plans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343,114</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57,676,467</w:t>
            </w: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(306.3)</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(763.7)</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1, 2024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57,707,285</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(738.3)</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income, net of taxes</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 and dividend equivalents declared ($0.45 per share)</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shares related to stock-based compensation plans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765,842</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2025</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58,473,127</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(669.6)</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798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4"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8890</wp:posOffset>
            </wp:positionV>
            <wp:extent cx="20916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4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3"/>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r>
      <w:tr>
        <w:trPr>
          <w:trHeight w:val="210"/>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Adjustments to net income to derive net cash provided by operating activities:</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33"/>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Impairment of property, plant and equipment</w:t>
            </w: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Amortization of cloud computing arrangements</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33"/>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Deferred income taxes</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r>
      <w:tr>
        <w:trPr>
          <w:trHeight w:val="33"/>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r>
      <w:tr>
        <w:trPr>
          <w:trHeight w:val="210"/>
        </w:trPr>
        <w:tc>
          <w:tcPr>
            <w:tcW w:w="79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Trade receivables, net</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w:t>
            </w:r>
          </w:p>
        </w:tc>
      </w:tr>
      <w:tr>
        <w:trPr>
          <w:trHeight w:val="33"/>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Inventories</w:t>
            </w: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r>
      <w:tr>
        <w:trPr>
          <w:trHeight w:val="210"/>
        </w:trPr>
        <w:tc>
          <w:tcPr>
            <w:tcW w:w="79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Due from/due to Becton, Dickinson and Company</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r>
      <w:tr>
        <w:trPr>
          <w:trHeight w:val="33"/>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r>
      <w:tr>
        <w:trPr>
          <w:trHeight w:val="210"/>
        </w:trPr>
        <w:tc>
          <w:tcPr>
            <w:tcW w:w="79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Accounts payable, accrued expenses and other current liabilities</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r>
      <w:tr>
        <w:trPr>
          <w:trHeight w:val="33"/>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Income and other net taxes payable</w:t>
            </w: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0"/>
        </w:trPr>
        <w:tc>
          <w:tcPr>
            <w:tcW w:w="794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r>
      <w:tr>
        <w:trPr>
          <w:trHeight w:val="33"/>
        </w:trPr>
        <w:tc>
          <w:tcPr>
            <w:tcW w:w="79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6"/>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192"/>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0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r>
      <w:tr>
        <w:trPr>
          <w:trHeight w:val="31"/>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Capital expenditures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04"/>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1040" w:type="dxa"/>
            <w:vAlign w:val="bottom"/>
            <w:tcBorders>
              <w:top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33"/>
        </w:trPr>
        <w:tc>
          <w:tcPr>
            <w:tcW w:w="79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0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33"/>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Payments related to tax withholding for stock-based compensation</w:t>
            </w: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Payments on finance lease</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33"/>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Dividend payments</w:t>
            </w: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r>
      <w:tr>
        <w:trPr>
          <w:trHeight w:val="204"/>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1040" w:type="dxa"/>
            <w:vAlign w:val="bottom"/>
            <w:tcBorders>
              <w:top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w:t>
            </w:r>
          </w:p>
        </w:tc>
      </w:tr>
      <w:tr>
        <w:trPr>
          <w:trHeight w:val="33"/>
        </w:trPr>
        <w:tc>
          <w:tcPr>
            <w:tcW w:w="79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Effect of exchange rate changes on cash and equivalents and restricted cash</w:t>
            </w:r>
          </w:p>
        </w:tc>
        <w:tc>
          <w:tcPr>
            <w:tcW w:w="10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4"/>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Change in Cash and equivalents and restricted cash</w:t>
            </w:r>
          </w:p>
        </w:tc>
        <w:tc>
          <w:tcPr>
            <w:tcW w:w="1040" w:type="dxa"/>
            <w:vAlign w:val="bottom"/>
            <w:tcBorders>
              <w:top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w:t>
            </w:r>
          </w:p>
        </w:tc>
      </w:tr>
      <w:tr>
        <w:trPr>
          <w:trHeight w:val="33"/>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Opening Cash and equivalents and restricted cash</w:t>
            </w: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w:t>
            </w:r>
          </w:p>
        </w:tc>
      </w:tr>
      <w:tr>
        <w:trPr>
          <w:trHeight w:val="204"/>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Closing Cash and equivalents and restricted cash</w:t>
            </w:r>
          </w:p>
        </w:tc>
        <w:tc>
          <w:tcPr>
            <w:tcW w:w="1040" w:type="dxa"/>
            <w:vAlign w:val="bottom"/>
            <w:tcBorders>
              <w:top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233.6</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281.8</w:t>
            </w:r>
          </w:p>
        </w:tc>
      </w:tr>
      <w:tr>
        <w:trPr>
          <w:trHeight w:val="33"/>
        </w:trPr>
        <w:tc>
          <w:tcPr>
            <w:tcW w:w="79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7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 Corp. ("Embecta" or the "Company") is a leading global medical device company focused on providing solutions to improve the health and well-being of people living with diabetes. The Company has a broad portfolio of marketed products, including a variety of pen needles, syringes and safety devices. The Company primarily sells products to wholesalers and distributors that sell to retail and institutional channels who in turn sell to patients or use the products to deliver insulin injections to patients.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accompanying unaudited financial statements have been prepared in accordance with U.S. Generally Accepted Accounting Principles (“GAAP”) and with the instructions to Form 10-Q and Article 10 of Regulation S-X. Accordingly, certain information and disclosures required by GAAP for complete consolidated financial statements are not included herein. The results of operations of any interim period are not necessarily indicative of the results of operations for the full year. In the Company's opinion, all adjustments necessary for a fair statement of these interim statements have been included and are of a normal and recurring nature. All intercompany transactions and accounts within Embecta have been eliminated. These interim statements should be read in conjunction with the audited financial statements and notes thereto included in Embecta's Annual Report on Form 10-K for the year ended September 30, 2024, filed with the Securities and Exchange Commission on December 11, 2024 (the “2024 Form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These estimates or assumptions affect reported assets, liabilities, revenues and expenses, depreciable and amortizable lives, sales returns and allowances, rebate accruals, inventory reserves and taxes on income as reflected in the Condensed Consolidated Financial Statements. Actual results could differ from these estimates.</w:t>
      </w:r>
    </w:p>
    <w:p>
      <w:pPr>
        <w:spacing w:after="0" w:line="107" w:lineRule="exact"/>
        <w:rPr>
          <w:sz w:val="20"/>
          <w:szCs w:val="20"/>
          <w:color w:val="auto"/>
        </w:rPr>
      </w:pPr>
    </w:p>
    <w:p>
      <w:pPr>
        <w:ind w:right="1640"/>
        <w:spacing w:after="0" w:line="408" w:lineRule="auto"/>
        <w:rPr>
          <w:sz w:val="20"/>
          <w:szCs w:val="20"/>
          <w:color w:val="auto"/>
        </w:rPr>
      </w:pPr>
      <w:r>
        <w:rPr>
          <w:rFonts w:ascii="Times New Roman" w:cs="Times New Roman" w:eastAsia="Times New Roman" w:hAnsi="Times New Roman"/>
          <w:sz w:val="18"/>
          <w:szCs w:val="18"/>
          <w:i w:val="1"/>
          <w:iCs w:val="1"/>
          <w:color w:val="auto"/>
        </w:rPr>
        <w:t>The following provides updates to the Company's "Summary of Significant Accounting Policies" as disclosed in the 2024 Form 10-K. Sales and Transfers of Financial Instruments</w:t>
      </w: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The Company may discount and sell accounts receivables during the normal course of business. These receivables which are sold to a third party without recourse, are excluded from the amounts reported in the Condensed Consolidated Balance Sheets. The Company’s continuing involvement is limited to servicing the receivables. The cash proceeds received from such sales are included in operating cash flows. The expenses associated with the sale of receivables are recorded within </w:t>
      </w: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 xml:space="preserve"> in the Condensed Consolidated Statements of Income. Additional disclosures regarding the Company's accounting for the sales of financial instruments are provided in Note 15.</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Costs</w:t>
      </w:r>
    </w:p>
    <w:p>
      <w:pPr>
        <w:spacing w:after="0" w:line="11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records liabilities for costs associated with exit or disposal activities in the period in which the liability is incurred. In accordance with existing benefit arrangements, future employee termination costs to be incurred in conjunction with involuntary separations are accrued when such separations are probable and estimable. When accruing these costs, the Company will recognize the amount that is the best estimate. Costs for one-time termination benefits are recognized at the date the employee is notified, unless the employee is required to render services beyond a minimum retention period, in which case the benefits are expensed ratably over the service period. Liabilities for other costs associated with a restructuring activity are measured at fair value and are recognized when the liability is incurred. Other costs primarily consist of contract termination fees and other costs related to restructuring activities and are expensed when incurred. In connection with exit and disposal activities, the Company also assesses the recoverability of long-lived assets employed in the business. Additional disclosures regarding the Company’s accounting for restructuring costs are provided in Note 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new material accounting standards adopted in the third quarter of fiscal year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 Not Yet Adopted</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November 2023, the Financial Accounting Standard Board ("FASB") issued Accounting Standards Update ("ASU") 2023-07, Segment Reporting (Topic 280): Improvements to Reportable Segment Disclosures, which modifies the disclosure and presentation requirements of reportable segments. This update is effective for the Company beginning with</w:t>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its fiscal year 2025 reporting and for interim reporting beginning with its fiscal year 2026. While this accounting standard will increase disclosures, it will not have a material impact on the Company’s Consolidated Financial Statement results.</w:t>
      </w:r>
    </w:p>
    <w:p>
      <w:pPr>
        <w:spacing w:after="0" w:line="5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to enhance the transparency and decision usefulness of income tax disclosures. This update is effective for the Company beginning with its fiscal year 2026 reporting. While this accounting standard will increase disclosures, it will not have a material impact on the Company’s Consolidated Financial Statement results.</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(Subtopic 220-40), to improve disclosures about an entity's expenses including more detailed information about the components of expenses in commonly presented expense captions. This update is effective for the Company beginning with its fiscal year 2028 reporting and for interim reporting beginning with its fiscal year 2029. While this accounting standard will increase disclosures, it is not expected to have a material impact on the Company’s Consolidated Financial Statement results.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Third Party Arrangements and Related Party Disclosures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B2A29"/>
        </w:rPr>
        <w:t>On April 1, 2022, Embecta and Becton, Dickinson and Company ("BD") entered into a Separation and Distribution Agreement (the "Separation and Distribution Agreement"). Pursuant to the Separation and Distribution Agreement, BD agreed to spin off its diabetes care business (the "Diabetes Care Business") into Embecta, a new, publicly traded company (the "Separation").</w:t>
      </w:r>
    </w:p>
    <w:p>
      <w:pPr>
        <w:spacing w:after="0" w:line="6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In connection with the Separation, the Company entered into the Separation and Distribution Agreement, which contains provisions that, among other things, relate to (i) assets, liabilities and contracts to be transferred, assumed and assigned to each of Embecta and BD (including certain deferred assets and liabilities) as part of the Separation, (ii) cross-indemnities principally designed to place financial responsibility for the obligations and liabilities of Embecta's business with Embecta and financial responsibility for the obligations and liabilities of BD’s remaining businesses with BD, (iii) procedures with respect to claims subject to indemnification and related matters, (iv) the allocation among Embecta and BD of rights and obligations under existing insurance policies with respect to occurrences prior to completion of the Separation, as well as the right to proceeds and the obligation to incur certain deductibles under certain insurance policies, and (v) procedures governing Embecta’s and BD’s obligations and allocations of liabilities with respect to ongoing litigation matters that may implicate each of BD’s business and Embecta’s business. In addition, the Company entered into a series of agreements with BD that govern aspects of Embecta's relationship with BD following the Separation which include, but are not limited to the Transition Services Agreements ("TSA"), </w:t>
      </w:r>
      <w:r>
        <w:rPr>
          <w:rFonts w:ascii="Times New Roman" w:cs="Times New Roman" w:eastAsia="Times New Roman" w:hAnsi="Times New Roman"/>
          <w:sz w:val="18"/>
          <w:szCs w:val="18"/>
          <w:color w:val="2B2A29"/>
        </w:rPr>
        <w:t>Trade Receivables Factoring Agreements ("Factoring Agreements"),</w:t>
      </w:r>
      <w:r>
        <w:rPr>
          <w:rFonts w:ascii="Times New Roman" w:cs="Times New Roman" w:eastAsia="Times New Roman" w:hAnsi="Times New Roman"/>
          <w:sz w:val="18"/>
          <w:szCs w:val="18"/>
          <w:color w:val="auto"/>
        </w:rPr>
        <w:t xml:space="preserve"> Distribution Agreements, Cannula Supply Agreement, Tax Matters Agreement, Logistics Services Agreement ("LSA"), employee matters agreement, an intellectual property matters agreement, local support services agreements, certain other manufacturing arrangements and a process services agreement and lease agreement for a manufacturing facility located in Holdrege, Nebraska. Certain of these agreements have expired or terminated as disclosed in the 2024 Form 10-K.</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details on the rights and responsibilities of the parties under these agreements refer to Note 4 to the Consolidated Financial Statements in the 2024 Form 10-K.</w:t>
      </w:r>
    </w:p>
    <w:p>
      <w:pPr>
        <w:spacing w:after="0" w:line="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amounts due from BD under the above agreements were $10.1 million and $9.2 million at June 30, 2025 and are included in </w:t>
      </w:r>
      <w:r>
        <w:rPr>
          <w:rFonts w:ascii="Times New Roman" w:cs="Times New Roman" w:eastAsia="Times New Roman" w:hAnsi="Times New Roman"/>
          <w:sz w:val="18"/>
          <w:szCs w:val="18"/>
          <w:i w:val="1"/>
          <w:iCs w:val="1"/>
          <w:color w:val="auto"/>
        </w:rPr>
        <w:t>Amounts due from Becton,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Dickinson and Company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Trade receivables, net</w:t>
      </w:r>
      <w:r>
        <w:rPr>
          <w:rFonts w:ascii="Times New Roman" w:cs="Times New Roman" w:eastAsia="Times New Roman" w:hAnsi="Times New Roman"/>
          <w:sz w:val="18"/>
          <w:szCs w:val="18"/>
          <w:color w:val="auto"/>
        </w:rPr>
        <w:t>, respectively. The amounts due to BD under these agreements were $19.5 million and $3.5 million 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June 30, 2025 and are included in </w:t>
      </w:r>
      <w:r>
        <w:rPr>
          <w:rFonts w:ascii="Times New Roman" w:cs="Times New Roman" w:eastAsia="Times New Roman" w:hAnsi="Times New Roman"/>
          <w:sz w:val="18"/>
          <w:szCs w:val="18"/>
          <w:i w:val="1"/>
          <w:iCs w:val="1"/>
          <w:color w:val="auto"/>
        </w:rPr>
        <w:t>Amounts due to Becton, Dickinson and Company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Accounts payable</w:t>
      </w:r>
      <w:r>
        <w:rPr>
          <w:rFonts w:ascii="Times New Roman" w:cs="Times New Roman" w:eastAsia="Times New Roman" w:hAnsi="Times New Roman"/>
          <w:sz w:val="18"/>
          <w:szCs w:val="18"/>
          <w:color w:val="auto"/>
        </w:rPr>
        <w:t>, respectively.</w:t>
      </w:r>
    </w:p>
    <w:p>
      <w:pPr>
        <w:spacing w:after="0" w:line="8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June 30, 2025, the closing of the transfers of certain assets and liabilities related to the Diabetes Care Business in certain jurisdictions which did not occur at Separation, is complete.</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Restructuring Charges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November 22, 2024, the Company’s Board of Directors approved a plan to discontinue internal and external investment in the research and development of the Company's patch pump program. As a result, the Company incurred organizational restructuring plan (the "Patch Pump Restructuring Plan") costs of $34.3 million during the nine months ended June 30, 2025. This Patch Pump Restructuring Plan is substantially complete as of June 30, 2025. The Company plans to refocus its investment on its core business while looking to optimize free cash flow and strengthen its balance sheet by paying down debt.</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second quarter of fiscal year 2025, the Company initiated a restructuring plan (the "2025 Restructuring Plan") to streamline the organization and optimize resources. As a result, the Company incurred organizational restructuring plan costs of $3.5 million during the nine months ended June 30, 2025. The 2025 Restructuring Plan is substantially complete as of June 30, 2025.</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charges related to the restructuring programs by type of cost for the periods ended: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8"/>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Three months ended June 30, 2025</w:t>
            </w:r>
          </w:p>
        </w:tc>
        <w:tc>
          <w:tcPr>
            <w:tcW w:w="140" w:type="dxa"/>
            <w:vAlign w:val="bottom"/>
          </w:tcPr>
          <w:p>
            <w:pPr>
              <w:spacing w:after="0"/>
              <w:rPr>
                <w:sz w:val="18"/>
                <w:szCs w:val="18"/>
                <w:color w:val="auto"/>
              </w:rPr>
            </w:pPr>
          </w:p>
        </w:tc>
        <w:tc>
          <w:tcPr>
            <w:tcW w:w="3500" w:type="dxa"/>
            <w:vAlign w:val="bottom"/>
            <w:gridSpan w:val="7"/>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Nine months ended June 30, 2025</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00"/>
              <w:spacing w:after="0" w:line="181" w:lineRule="exact"/>
              <w:rPr>
                <w:sz w:val="20"/>
                <w:szCs w:val="20"/>
                <w:color w:val="auto"/>
              </w:rPr>
            </w:pPr>
            <w:r>
              <w:rPr>
                <w:rFonts w:ascii="Times New Roman" w:cs="Times New Roman" w:eastAsia="Times New Roman" w:hAnsi="Times New Roman"/>
                <w:sz w:val="16"/>
                <w:szCs w:val="16"/>
                <w:b w:val="1"/>
                <w:bCs w:val="1"/>
                <w:color w:val="auto"/>
              </w:rPr>
              <w:t>Employee</w:t>
            </w:r>
          </w:p>
        </w:tc>
        <w:tc>
          <w:tcPr>
            <w:tcW w:w="1240" w:type="dxa"/>
            <w:vAlign w:val="bottom"/>
            <w:gridSpan w:val="3"/>
          </w:tcPr>
          <w:p>
            <w:pPr>
              <w:jc w:val="center"/>
              <w:ind w:right="80"/>
              <w:spacing w:after="0" w:line="181" w:lineRule="exact"/>
              <w:rPr>
                <w:sz w:val="20"/>
                <w:szCs w:val="20"/>
                <w:color w:val="auto"/>
              </w:rPr>
            </w:pPr>
            <w:r>
              <w:rPr>
                <w:rFonts w:ascii="Times New Roman" w:cs="Times New Roman" w:eastAsia="Times New Roman" w:hAnsi="Times New Roman"/>
                <w:sz w:val="16"/>
                <w:szCs w:val="16"/>
                <w:b w:val="1"/>
                <w:bCs w:val="1"/>
                <w:color w:val="auto"/>
              </w:rPr>
              <w:t>Non-Employee</w:t>
            </w:r>
          </w:p>
        </w:tc>
        <w:tc>
          <w:tcPr>
            <w:tcW w:w="240" w:type="dxa"/>
            <w:vAlign w:val="bottom"/>
          </w:tcPr>
          <w:p>
            <w:pPr>
              <w:spacing w:after="0"/>
              <w:rPr>
                <w:sz w:val="15"/>
                <w:szCs w:val="15"/>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5"/>
                <w:szCs w:val="15"/>
                <w:color w:val="auto"/>
              </w:rPr>
            </w:pPr>
          </w:p>
        </w:tc>
        <w:tc>
          <w:tcPr>
            <w:tcW w:w="1120" w:type="dxa"/>
            <w:vAlign w:val="bottom"/>
            <w:gridSpan w:val="2"/>
          </w:tcPr>
          <w:p>
            <w:pPr>
              <w:jc w:val="center"/>
              <w:ind w:right="220"/>
              <w:spacing w:after="0" w:line="181" w:lineRule="exact"/>
              <w:rPr>
                <w:sz w:val="20"/>
                <w:szCs w:val="20"/>
                <w:color w:val="auto"/>
              </w:rPr>
            </w:pPr>
            <w:r>
              <w:rPr>
                <w:rFonts w:ascii="Times New Roman" w:cs="Times New Roman" w:eastAsia="Times New Roman" w:hAnsi="Times New Roman"/>
                <w:sz w:val="16"/>
                <w:szCs w:val="16"/>
                <w:b w:val="1"/>
                <w:bCs w:val="1"/>
                <w:color w:val="auto"/>
              </w:rPr>
              <w:t>Employee</w:t>
            </w:r>
          </w:p>
        </w:tc>
        <w:tc>
          <w:tcPr>
            <w:tcW w:w="1240" w:type="dxa"/>
            <w:vAlign w:val="bottom"/>
            <w:gridSpan w:val="3"/>
          </w:tcPr>
          <w:p>
            <w:pPr>
              <w:jc w:val="center"/>
              <w:ind w:right="100"/>
              <w:spacing w:after="0" w:line="181" w:lineRule="exact"/>
              <w:rPr>
                <w:sz w:val="20"/>
                <w:szCs w:val="20"/>
                <w:color w:val="auto"/>
              </w:rPr>
            </w:pPr>
            <w:r>
              <w:rPr>
                <w:rFonts w:ascii="Times New Roman" w:cs="Times New Roman" w:eastAsia="Times New Roman" w:hAnsi="Times New Roman"/>
                <w:sz w:val="16"/>
                <w:szCs w:val="16"/>
                <w:b w:val="1"/>
                <w:bCs w:val="1"/>
                <w:color w:val="auto"/>
              </w:rPr>
              <w:t>Non-Employee</w:t>
            </w:r>
          </w:p>
        </w:tc>
        <w:tc>
          <w:tcPr>
            <w:tcW w:w="240" w:type="dxa"/>
            <w:vAlign w:val="bottom"/>
          </w:tcPr>
          <w:p>
            <w:pPr>
              <w:spacing w:after="0"/>
              <w:rPr>
                <w:sz w:val="15"/>
                <w:szCs w:val="15"/>
                <w:color w:val="auto"/>
              </w:rPr>
            </w:pPr>
          </w:p>
        </w:tc>
        <w:tc>
          <w:tcPr>
            <w:tcW w:w="9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5"/>
        </w:trPr>
        <w:tc>
          <w:tcPr>
            <w:tcW w:w="3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20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Related</w:t>
            </w:r>
          </w:p>
        </w:tc>
        <w:tc>
          <w:tcPr>
            <w:tcW w:w="24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200" w:type="dxa"/>
            <w:vAlign w:val="bottom"/>
          </w:tcPr>
          <w:p>
            <w:pPr>
              <w:spacing w:after="0"/>
              <w:rPr>
                <w:sz w:val="19"/>
                <w:szCs w:val="19"/>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Related</w:t>
            </w: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33"/>
        </w:trPr>
        <w:tc>
          <w:tcPr>
            <w:tcW w:w="3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3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Employee termination costs are associated with actual headcount reductions, including involuntary headcount reductions which were probable and could be reasonably estimated.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Non-employee related costs are associated with termination of contracts and long-lived asset impairments are discussed further in Note 16 and Note 17.</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charges and spending relating to restructuring program activities for the nine months ended June 30, 2025: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Employee</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Non-Employee</w:t>
            </w:r>
          </w:p>
        </w:tc>
        <w:tc>
          <w:tcPr>
            <w:tcW w:w="260" w:type="dxa"/>
            <w:vAlign w:val="bottom"/>
          </w:tcPr>
          <w:p>
            <w:pPr>
              <w:spacing w:after="0"/>
              <w:rPr>
                <w:sz w:val="16"/>
                <w:szCs w:val="16"/>
                <w:color w:val="auto"/>
              </w:rPr>
            </w:pPr>
          </w:p>
        </w:tc>
        <w:tc>
          <w:tcPr>
            <w:tcW w:w="9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5"/>
        </w:trPr>
        <w:tc>
          <w:tcPr>
            <w:tcW w:w="7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20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Related</w:t>
            </w: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 2024</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Charged to expense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payments</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adjustments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33"/>
        </w:trPr>
        <w:tc>
          <w:tcPr>
            <w:tcW w:w="7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7600" w:type="dxa"/>
            <w:vAlign w:val="bottom"/>
            <w:tcBorders>
              <w:bottom w:val="single" w:sz="8" w:color="CCEEFF"/>
            </w:tcBorders>
            <w:shd w:val="clear" w:color="auto" w:fill="CCEEFF"/>
          </w:tcPr>
          <w:p>
            <w:pPr>
              <w:ind w:left="20"/>
              <w:spacing w:after="0" w:line="237" w:lineRule="exact"/>
              <w:rPr>
                <w:sz w:val="20"/>
                <w:szCs w:val="20"/>
                <w:color w:val="auto"/>
              </w:rPr>
            </w:pPr>
            <w:r>
              <w:rPr>
                <w:rFonts w:ascii="Times New Roman" w:cs="Times New Roman" w:eastAsia="Times New Roman" w:hAnsi="Times New Roman"/>
                <w:sz w:val="16"/>
                <w:szCs w:val="16"/>
                <w:color w:val="auto"/>
              </w:rPr>
              <w:t xml:space="preserve">Balance at June 30, 2025 </w:t>
            </w:r>
            <w:r>
              <w:rPr>
                <w:rFonts w:ascii="Times New Roman" w:cs="Times New Roman" w:eastAsia="Times New Roman" w:hAnsi="Times New Roman"/>
                <w:sz w:val="21"/>
                <w:szCs w:val="21"/>
                <w:color w:val="auto"/>
                <w:vertAlign w:val="superscript"/>
              </w:rPr>
              <w:t>(a)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As of June 30, 2025, $1.2 million is recorded in </w:t>
      </w:r>
      <w:r>
        <w:rPr>
          <w:rFonts w:ascii="Times New Roman" w:cs="Times New Roman" w:eastAsia="Times New Roman" w:hAnsi="Times New Roman"/>
          <w:sz w:val="18"/>
          <w:szCs w:val="18"/>
          <w:i w:val="1"/>
          <w:iCs w:val="1"/>
          <w:color w:val="auto"/>
        </w:rPr>
        <w:t>Salaries, wages and related items</w:t>
      </w:r>
      <w:r>
        <w:rPr>
          <w:rFonts w:ascii="Times New Roman" w:cs="Times New Roman" w:eastAsia="Times New Roman" w:hAnsi="Times New Roman"/>
          <w:sz w:val="18"/>
          <w:szCs w:val="18"/>
          <w:color w:val="auto"/>
        </w:rPr>
        <w:t xml:space="preserve"> and $1.4 million is recorded in </w:t>
      </w:r>
      <w:r>
        <w:rPr>
          <w:rFonts w:ascii="Times New Roman" w:cs="Times New Roman" w:eastAsia="Times New Roman" w:hAnsi="Times New Roman"/>
          <w:sz w:val="18"/>
          <w:szCs w:val="18"/>
          <w:i w:val="1"/>
          <w:iCs w:val="1"/>
          <w:color w:val="auto"/>
        </w:rPr>
        <w:t>Accrued expenses.</w:t>
      </w: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798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Other Operating Expenses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expenses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0" w:type="dxa"/>
            <w:vAlign w:val="bottom"/>
          </w:tcPr>
          <w:p>
            <w:pPr>
              <w:spacing w:after="0"/>
              <w:rPr>
                <w:sz w:val="18"/>
                <w:szCs w:val="18"/>
                <w:color w:val="auto"/>
              </w:rPr>
            </w:pPr>
          </w:p>
        </w:tc>
        <w:tc>
          <w:tcPr>
            <w:tcW w:w="278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Nine months ended June 30,</w:t>
            </w:r>
          </w:p>
        </w:tc>
      </w:tr>
      <w:tr>
        <w:trPr>
          <w:trHeight w:val="33"/>
        </w:trPr>
        <w:tc>
          <w:tcPr>
            <w:tcW w:w="46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6"/>
        </w:trPr>
        <w:tc>
          <w:tcPr>
            <w:tcW w:w="460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1"/>
        </w:trPr>
        <w:tc>
          <w:tcPr>
            <w:tcW w:w="46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related to the Separation</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cloud computing arrangements</w:t>
            </w: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33"/>
        </w:trPr>
        <w:tc>
          <w:tcPr>
            <w:tcW w:w="4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associated with the discontinued patch pump program</w:t>
            </w:r>
          </w:p>
        </w:tc>
        <w:tc>
          <w:tcPr>
            <w:tcW w:w="10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Business optimization and severance related costs</w:t>
            </w: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33"/>
        </w:trPr>
        <w:tc>
          <w:tcPr>
            <w:tcW w:w="4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4"/>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Borders>
              <w:top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17"/>
                <w:szCs w:val="17"/>
                <w:color w:val="auto"/>
              </w:rPr>
            </w:pPr>
          </w:p>
        </w:tc>
        <w:tc>
          <w:tcPr>
            <w:tcW w:w="1100" w:type="dxa"/>
            <w:vAlign w:val="bottom"/>
            <w:tcBorders>
              <w:top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93.5</w:t>
            </w:r>
          </w:p>
        </w:tc>
      </w:tr>
      <w:tr>
        <w:trPr>
          <w:trHeight w:val="33"/>
        </w:trPr>
        <w:tc>
          <w:tcPr>
            <w:tcW w:w="46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6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Separation, the Company incurred separation and stand-up costs. The costs incurred primarily consist of costs associated with accounting, auditing, legal services, marketing, supply chain, employee retention, brand transition, and certain other costs to establish certain systems and services, including but not limited to, information technology, procurement, quality and regulatory affairs, medical affairs, tax and treasury services, distribution logistics, and shared services infrastructure support for order-to-cash, source-to-pay, and record-to-report, which, for clarity, includes enterprise resource plan ("ERP") system (“Business Continuity Processes”) and stand-alone functions to assist with the transition to being a stand-alone entity.</w:t>
      </w:r>
    </w:p>
    <w:p>
      <w:pPr>
        <w:spacing w:after="0" w:line="6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both the three and nine months ended June 30, 2025 and 2024, the Company recognized costs associated with the amortization of cloud computing arrangements which is further discussed in Note 11.</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June 30, 2025, the Company recognized costs associated with the discontinuation of the patch pump program which is further discussed in Note 4.</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both the three and nine months ended June 30, 2025 and 2024, the Company incurred restructuring, business optimization, and severance related costs associated with standing up and optimizing the organization.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Contingencies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was not a party to any material legal proceedings at June 30, 2025 or September 30, 2024, nor is it a party to any material legal proceedings as of the date of issuance of these Condensed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Revenues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policies for recognizing revenue have not changed from those described in the 2024 Form 10-K. The Company sells syringes, pen needles and other products used in the management of diabetes which are primarily sold to wholesalers and distributors that sell to retail and institutional channels who in turn sell to patients or use the products to deliver insulin injections to patients. End-users of the Company’s products include healthcare institutions, physicians, life science researchers, clinical laboratories, the pharmaceutical industry, and the general public.</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Revenues</w:t>
      </w:r>
    </w:p>
    <w:p>
      <w:pPr>
        <w:spacing w:after="0" w:line="1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Payment terms extended to the Company’s customers are based upon commercially reasonable terms for the markets in which the Company’s products are sold. Because the Company generally expects to receive payment within one year or less from when control of a product is transferred to the customer, the Company does not generally adjust its revenues for the effects of a financing component. The Company’s allowance for doubtful accounts reflects the current estimate of credit losses expected to be incurred over the life of its trade receivables. Such estimated credit losses are determined based on historical loss experiences, customer specific credit risk, and reasonable and supportable forward-looking information, such as country or regional risks that are not captured in the historical loss information. Amounts are written off against the allowances for doubtful accounts when the Company determines that a customer account is uncollectible. The allowance for doubtful accounts for trade receivables is not material to the Company’s Condensed Consolidated Financial Statements.</w:t>
      </w:r>
    </w:p>
    <w:p>
      <w:pPr>
        <w:spacing w:after="0" w:line="9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Company’s gross revenues are subject to a variety of gross-to-net deductions which are recorded in the same period that the underlying revenues are recognized. Such variable consideration includes rebates, sales discounts, and sales returns. Because these deductions represent estimates of the related obligations, judgment is required when determining the impact of these revenue deductions on gross revenues for a reporting period. Rebates provided by the Company are based upon prices determined under the Company’s agreements primarily with its end-user customers. Additional factors considered in the estimate of the Company’s rebate liability include the quantification of inventory that is either in stock at</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in transit to the Company’s distributors, as well as the estimated lag time between the sale of product and the payment of corresponding rebates.</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liability attributed to variable consideration at June 30, 2025 and September 30, 2024 was $143.9 million and $149.6 million, respectively. Sales deductions recorded as a reduction of gross revenues for the three months ended June 30, 2025 and 2024 were $143.0 million and $124.5 million, respectively. Sales deductions recorded as a reduction of gross revenues for the nine months ended June 30, 2025 and 2024 were $436.3 million and $389.7 million, respectively.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revenue by geographic region and product line is provided within Note 8.</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Segment and Geographical Data</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in which discrete financial information is available for evaluation by the chief operating decision-maker (“CODM”) in making decisions regarding assessing business performance and allocating resources and capital. Management has concluded that the Company operates in one segment based upon the information used by the CODM in evaluating the performance of the Company’s business and allocating resources and capital.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9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 has distribution agreements with regional or national distributors (including wholesalers and medical suppliers) to ensure broad availability of its products as well as a direct sales force in certain countries and regions around the world. In the United States and Canada, the Company utilizes its key account managers that call on payers, retailers, wholesalers and institutional customers, and field-based territory managers that call on health care providers and pharmacies. In certain markets within Europe, the Company has dedicated sales representatives and in certain regions of the Middle East and Africa, the Company has distribution agreements. In Asia, the Company has distribution agreements, and in China the Company relies on its own commercial team to support sales execution. In Latin America, the Company maintains distribution agreements and direct sales representatives.</w:t>
      </w:r>
    </w:p>
    <w:p>
      <w:pPr>
        <w:spacing w:after="0" w:line="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disaggregates its revenue by geography and product line as management believes these categories best depict how the nature, amount, and timing of revenues and cash flows are affected by economic factors.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geographic region are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2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74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Nine months ended June 30,</w:t>
            </w:r>
          </w:p>
        </w:tc>
      </w:tr>
      <w:tr>
        <w:trPr>
          <w:trHeight w:val="33"/>
        </w:trPr>
        <w:tc>
          <w:tcPr>
            <w:tcW w:w="12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6"/>
        </w:trPr>
        <w:tc>
          <w:tcPr>
            <w:tcW w:w="12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1"/>
        </w:trPr>
        <w:tc>
          <w:tcPr>
            <w:tcW w:w="122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437.1</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439.8</w:t>
            </w:r>
          </w:p>
        </w:tc>
      </w:tr>
      <w:tr>
        <w:trPr>
          <w:trHeight w:val="243"/>
        </w:trPr>
        <w:tc>
          <w:tcPr>
            <w:tcW w:w="4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International</w:t>
            </w:r>
            <w:r>
              <w:rPr>
                <w:rFonts w:ascii="Times New Roman" w:cs="Times New Roman" w:eastAsia="Times New Roman" w:hAnsi="Times New Roman"/>
                <w:sz w:val="21"/>
                <w:szCs w:val="21"/>
                <w:color w:val="auto"/>
                <w:vertAlign w:val="superscript"/>
              </w:rPr>
              <w:t>(1)</w:t>
            </w:r>
          </w:p>
        </w:tc>
        <w:tc>
          <w:tcPr>
            <w:tcW w:w="10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397.2</w:t>
            </w:r>
          </w:p>
        </w:tc>
      </w:tr>
      <w:tr>
        <w:trPr>
          <w:trHeight w:val="262"/>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295.5</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837.0</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1220" w:type="dxa"/>
            <w:vAlign w:val="bottom"/>
            <w:tcBorders>
              <w:bottom w:val="single" w:sz="8" w:color="auto"/>
            </w:tcBorders>
          </w:tcPr>
          <w:p>
            <w:pPr>
              <w:spacing w:after="0"/>
              <w:rPr>
                <w:sz w:val="23"/>
                <w:szCs w:val="23"/>
                <w:color w:val="auto"/>
              </w:rPr>
            </w:pPr>
          </w:p>
        </w:tc>
        <w:tc>
          <w:tcPr>
            <w:tcW w:w="33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bl>
    <w:p>
      <w:pPr>
        <w:spacing w:after="0" w:line="175" w:lineRule="exact"/>
        <w:rPr>
          <w:sz w:val="20"/>
          <w:szCs w:val="20"/>
          <w:color w:val="auto"/>
        </w:rPr>
      </w:pPr>
    </w:p>
    <w:p>
      <w:pPr>
        <w:ind w:left="340" w:right="20" w:hanging="332"/>
        <w:spacing w:after="0" w:line="225" w:lineRule="auto"/>
        <w:tabs>
          <w:tab w:leader="none" w:pos="328"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three and nine months ended June 30, 2025 and 2024, no individual country outside of the United States generated net revenues that represented more than 10.0% of total revenues.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product line are as follows:</w:t>
      </w:r>
    </w:p>
    <w:p>
      <w:pPr>
        <w:sectPr>
          <w:pgSz w:w="11900" w:h="16838" w:orient="portrait"/>
          <w:cols w:equalWidth="0" w:num="1">
            <w:col w:w="11240"/>
          </w:cols>
          <w:pgMar w:left="320" w:top="226" w:right="339" w:bottom="1440" w:gutter="0" w:footer="0" w:header="0"/>
        </w:sectPr>
      </w:pPr>
    </w:p>
    <w:p>
      <w:pPr>
        <w:spacing w:after="0" w:line="18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21590</wp:posOffset>
            </wp:positionV>
            <wp:extent cx="20828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6" w:lineRule="exact"/>
        <w:rPr>
          <w:sz w:val="20"/>
          <w:szCs w:val="20"/>
          <w:color w:val="auto"/>
        </w:rPr>
      </w:pPr>
    </w:p>
    <w:p>
      <w:pPr>
        <w:ind w:left="5080"/>
        <w:spacing w:after="0"/>
        <w:tabs>
          <w:tab w:leader="none" w:pos="670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21590</wp:posOffset>
            </wp:positionV>
            <wp:extent cx="22028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6"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41" w:lineRule="exact"/>
        <w:rPr>
          <w:sz w:val="20"/>
          <w:szCs w:val="20"/>
          <w:color w:val="auto"/>
        </w:rPr>
      </w:pPr>
    </w:p>
    <w:p>
      <w:pPr>
        <w:sectPr>
          <w:pgSz w:w="11900" w:h="16838" w:orient="portrait"/>
          <w:cols w:equalWidth="0" w:num="2">
            <w:col w:w="7780" w:space="720"/>
            <w:col w:w="2740"/>
          </w:cols>
          <w:pgMar w:left="320" w:top="226"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4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 Needles</w:t>
            </w:r>
          </w:p>
        </w:tc>
        <w:tc>
          <w:tcPr>
            <w:tcW w:w="620" w:type="dxa"/>
            <w:vAlign w:val="bottom"/>
            <w:tcBorders>
              <w:top w:val="single" w:sz="8" w:color="auto"/>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596.3</w:t>
            </w: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629.3</w:t>
            </w:r>
          </w:p>
        </w:tc>
      </w:tr>
      <w:tr>
        <w:trPr>
          <w:trHeight w:val="21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Syringes</w:t>
            </w: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w:t>
            </w:r>
          </w:p>
        </w:tc>
      </w:tr>
      <w:tr>
        <w:trPr>
          <w:trHeight w:val="33"/>
        </w:trPr>
        <w:tc>
          <w:tcPr>
            <w:tcW w:w="12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3"/>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Safety</w:t>
            </w:r>
          </w:p>
        </w:tc>
        <w:tc>
          <w:tcPr>
            <w:tcW w:w="6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w:t>
            </w:r>
          </w:p>
        </w:tc>
      </w:tr>
      <w:tr>
        <w:trPr>
          <w:trHeight w:val="24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1"/>
                <w:szCs w:val="21"/>
                <w:color w:val="auto"/>
                <w:vertAlign w:val="superscript"/>
              </w:rPr>
              <w:t>(2)</w:t>
            </w:r>
          </w:p>
        </w:tc>
        <w:tc>
          <w:tcPr>
            <w:tcW w:w="6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43"/>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Manufacturing</w:t>
            </w: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04"/>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62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295.5</w:t>
            </w:r>
          </w:p>
        </w:tc>
        <w:tc>
          <w:tcPr>
            <w:tcW w:w="100" w:type="dxa"/>
            <w:vAlign w:val="bottom"/>
          </w:tcPr>
          <w:p>
            <w:pPr>
              <w:spacing w:after="0"/>
              <w:rPr>
                <w:sz w:val="17"/>
                <w:szCs w:val="17"/>
                <w:color w:val="auto"/>
              </w:rPr>
            </w:pPr>
          </w:p>
        </w:tc>
        <w:tc>
          <w:tcPr>
            <w:tcW w:w="64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272.5</w:t>
            </w:r>
          </w:p>
        </w:tc>
        <w:tc>
          <w:tcPr>
            <w:tcW w:w="100" w:type="dxa"/>
            <w:vAlign w:val="bottom"/>
          </w:tcPr>
          <w:p>
            <w:pPr>
              <w:spacing w:after="0"/>
              <w:rPr>
                <w:sz w:val="17"/>
                <w:szCs w:val="17"/>
                <w:color w:val="auto"/>
              </w:rPr>
            </w:pPr>
          </w:p>
        </w:tc>
        <w:tc>
          <w:tcPr>
            <w:tcW w:w="66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816.4</w:t>
            </w:r>
          </w:p>
        </w:tc>
        <w:tc>
          <w:tcPr>
            <w:tcW w:w="100" w:type="dxa"/>
            <w:vAlign w:val="bottom"/>
          </w:tcPr>
          <w:p>
            <w:pPr>
              <w:spacing w:after="0"/>
              <w:rPr>
                <w:sz w:val="17"/>
                <w:szCs w:val="17"/>
                <w:color w:val="auto"/>
              </w:rPr>
            </w:pPr>
          </w:p>
        </w:tc>
        <w:tc>
          <w:tcPr>
            <w:tcW w:w="66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837.0</w:t>
            </w:r>
          </w:p>
        </w:tc>
      </w:tr>
      <w:tr>
        <w:trPr>
          <w:trHeight w:val="33"/>
        </w:trPr>
        <w:tc>
          <w:tcPr>
            <w:tcW w:w="12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12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77"/>
        </w:trPr>
        <w:tc>
          <w:tcPr>
            <w:tcW w:w="1220" w:type="dxa"/>
            <w:vAlign w:val="bottom"/>
            <w:tcBorders>
              <w:bottom w:val="single" w:sz="8" w:color="auto"/>
            </w:tcBorders>
          </w:tcPr>
          <w:p>
            <w:pPr>
              <w:spacing w:after="0"/>
              <w:rPr>
                <w:sz w:val="24"/>
                <w:szCs w:val="24"/>
                <w:color w:val="auto"/>
              </w:rPr>
            </w:pPr>
          </w:p>
        </w:tc>
        <w:tc>
          <w:tcPr>
            <w:tcW w:w="3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144"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includes product sales for swabs and other accessories.</w:t>
      </w: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Stock-Based Compensation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Total stock-based compensation expense for the three and nine months ended June 30, 2025 and 2024 and the respective income tax benefits recognized by the Company in the Condensed Consolidated Statements of Income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20" w:type="dxa"/>
            <w:vAlign w:val="bottom"/>
          </w:tcPr>
          <w:p>
            <w:pPr>
              <w:spacing w:after="0"/>
              <w:rPr>
                <w:sz w:val="18"/>
                <w:szCs w:val="18"/>
                <w:color w:val="auto"/>
              </w:rPr>
            </w:pPr>
          </w:p>
        </w:tc>
        <w:tc>
          <w:tcPr>
            <w:tcW w:w="280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Nine months ended June 30,</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62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31"/>
        </w:trPr>
        <w:tc>
          <w:tcPr>
            <w:tcW w:w="46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0"/>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0"/>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operating expense</w:t>
            </w:r>
          </w:p>
        </w:tc>
        <w:tc>
          <w:tcPr>
            <w:tcW w:w="11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169"/>
        </w:trPr>
        <w:tc>
          <w:tcPr>
            <w:tcW w:w="4620" w:type="dxa"/>
            <w:vAlign w:val="bottom"/>
          </w:tcPr>
          <w:p>
            <w:pPr>
              <w:ind w:left="20"/>
              <w:spacing w:after="0" w:line="169" w:lineRule="exact"/>
              <w:rPr>
                <w:sz w:val="20"/>
                <w:szCs w:val="20"/>
                <w:color w:val="auto"/>
              </w:rPr>
            </w:pPr>
            <w:r>
              <w:rPr>
                <w:rFonts w:ascii="Times New Roman" w:cs="Times New Roman" w:eastAsia="Times New Roman" w:hAnsi="Times New Roman"/>
                <w:sz w:val="16"/>
                <w:szCs w:val="16"/>
                <w:color w:val="auto"/>
              </w:rPr>
              <w:t>Tax benefit associated with stock-based compensation costs</w:t>
            </w:r>
          </w:p>
        </w:tc>
        <w:tc>
          <w:tcPr>
            <w:tcW w:w="1120" w:type="dxa"/>
            <w:vAlign w:val="bottom"/>
            <w:tcBorders>
              <w:top w:val="single" w:sz="8" w:color="auto"/>
            </w:tcBorders>
            <w:vMerge w:val="restart"/>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4"/>
                <w:szCs w:val="14"/>
                <w:color w:val="auto"/>
              </w:rPr>
            </w:pPr>
          </w:p>
        </w:tc>
        <w:tc>
          <w:tcPr>
            <w:tcW w:w="1120" w:type="dxa"/>
            <w:vAlign w:val="bottom"/>
            <w:tcBorders>
              <w:top w:val="single" w:sz="8" w:color="auto"/>
            </w:tcBorders>
            <w:vMerge w:val="restart"/>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14"/>
                <w:szCs w:val="14"/>
                <w:color w:val="auto"/>
              </w:rPr>
            </w:pPr>
          </w:p>
        </w:tc>
        <w:tc>
          <w:tcPr>
            <w:tcW w:w="360" w:type="dxa"/>
            <w:vAlign w:val="bottom"/>
            <w:tcBorders>
              <w:top w:val="single" w:sz="8" w:color="auto"/>
            </w:tcBorders>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4"/>
                <w:szCs w:val="14"/>
                <w:color w:val="auto"/>
              </w:rPr>
            </w:pPr>
          </w:p>
        </w:tc>
        <w:tc>
          <w:tcPr>
            <w:tcW w:w="360" w:type="dxa"/>
            <w:vAlign w:val="bottom"/>
            <w:tcBorders>
              <w:top w:val="single" w:sz="8" w:color="auto"/>
            </w:tcBorders>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8"/>
        </w:trPr>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recognized</w:t>
            </w:r>
          </w:p>
        </w:tc>
        <w:tc>
          <w:tcPr>
            <w:tcW w:w="112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total stock-based compensation expense by classification of award for the three and nine months ended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2024:</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580" w:type="dxa"/>
            <w:vAlign w:val="bottom"/>
          </w:tcPr>
          <w:p>
            <w:pPr>
              <w:spacing w:after="0"/>
              <w:rPr>
                <w:sz w:val="18"/>
                <w:szCs w:val="18"/>
                <w:color w:val="auto"/>
              </w:rPr>
            </w:pPr>
          </w:p>
        </w:tc>
        <w:tc>
          <w:tcPr>
            <w:tcW w:w="280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Nine Months Ended June 30,</w:t>
            </w:r>
          </w:p>
        </w:tc>
      </w:tr>
      <w:tr>
        <w:trPr>
          <w:trHeight w:val="33"/>
        </w:trPr>
        <w:tc>
          <w:tcPr>
            <w:tcW w:w="4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6"/>
        </w:trPr>
        <w:tc>
          <w:tcPr>
            <w:tcW w:w="4580" w:type="dxa"/>
            <w:vAlign w:val="bottom"/>
          </w:tcPr>
          <w:p>
            <w:pPr>
              <w:spacing w:after="0"/>
              <w:rPr>
                <w:sz w:val="17"/>
                <w:szCs w:val="17"/>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1"/>
        </w:trPr>
        <w:tc>
          <w:tcPr>
            <w:tcW w:w="45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Awards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10"/>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Liability Awards</w:t>
            </w:r>
          </w:p>
        </w:tc>
        <w:tc>
          <w:tcPr>
            <w:tcW w:w="11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33"/>
        </w:trPr>
        <w:tc>
          <w:tcPr>
            <w:tcW w:w="45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r>
      <w:tr>
        <w:trPr>
          <w:trHeight w:val="20"/>
        </w:trPr>
        <w:tc>
          <w:tcPr>
            <w:tcW w:w="4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27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Company's total stock-based compensation expense by award type for the three and nine months ended June 30, 2025 and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60" w:type="dxa"/>
            <w:vAlign w:val="bottom"/>
          </w:tcPr>
          <w:p>
            <w:pPr>
              <w:spacing w:after="0"/>
              <w:rPr>
                <w:sz w:val="18"/>
                <w:szCs w:val="18"/>
                <w:color w:val="auto"/>
              </w:rPr>
            </w:pPr>
          </w:p>
        </w:tc>
        <w:tc>
          <w:tcPr>
            <w:tcW w:w="280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Nine Months Ended June 30,</w:t>
            </w:r>
          </w:p>
        </w:tc>
        <w:tc>
          <w:tcPr>
            <w:tcW w:w="480" w:type="dxa"/>
            <w:vAlign w:val="bottom"/>
          </w:tcPr>
          <w:p>
            <w:pPr>
              <w:spacing w:after="0"/>
              <w:rPr>
                <w:sz w:val="18"/>
                <w:szCs w:val="18"/>
                <w:color w:val="auto"/>
              </w:rPr>
            </w:pPr>
          </w:p>
        </w:tc>
      </w:tr>
      <w:tr>
        <w:trPr>
          <w:trHeight w:val="33"/>
        </w:trPr>
        <w:tc>
          <w:tcPr>
            <w:tcW w:w="46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6"/>
        </w:trPr>
        <w:tc>
          <w:tcPr>
            <w:tcW w:w="466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Pr>
          <w:p>
            <w:pPr>
              <w:spacing w:after="0"/>
              <w:rPr>
                <w:sz w:val="17"/>
                <w:szCs w:val="17"/>
                <w:color w:val="auto"/>
              </w:rPr>
            </w:pPr>
          </w:p>
        </w:tc>
      </w:tr>
      <w:tr>
        <w:trPr>
          <w:trHeight w:val="31"/>
        </w:trPr>
        <w:tc>
          <w:tcPr>
            <w:tcW w:w="46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17"/>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Time-Vested Restricted Stock Units (TVUs)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210"/>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Performance-Based Restricted Stock Units (PSUs)</w:t>
            </w: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33"/>
        </w:trPr>
        <w:tc>
          <w:tcPr>
            <w:tcW w:w="4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43"/>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Appreciation Rights (SARs)</w:t>
            </w: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4"/>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top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Pr>
          <w:p>
            <w:pPr>
              <w:spacing w:after="0"/>
              <w:rPr>
                <w:sz w:val="17"/>
                <w:szCs w:val="17"/>
                <w:color w:val="auto"/>
              </w:rPr>
            </w:pPr>
          </w:p>
        </w:tc>
        <w:tc>
          <w:tcPr>
            <w:tcW w:w="1140" w:type="dxa"/>
            <w:vAlign w:val="bottom"/>
            <w:tcBorders>
              <w:top w:val="single" w:sz="8" w:color="auto"/>
            </w:tcBorders>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tcPr>
          <w:p>
            <w:pPr>
              <w:spacing w:after="0"/>
              <w:rPr>
                <w:sz w:val="17"/>
                <w:szCs w:val="17"/>
                <w:color w:val="auto"/>
              </w:rPr>
            </w:pPr>
          </w:p>
        </w:tc>
        <w:tc>
          <w:tcPr>
            <w:tcW w:w="1100" w:type="dxa"/>
            <w:vAlign w:val="bottom"/>
            <w:tcBorders>
              <w:top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7"/>
                <w:szCs w:val="17"/>
                <w:color w:val="auto"/>
              </w:rPr>
            </w:pPr>
          </w:p>
        </w:tc>
        <w:tc>
          <w:tcPr>
            <w:tcW w:w="1100" w:type="dxa"/>
            <w:vAlign w:val="bottom"/>
            <w:tcBorders>
              <w:top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r>
      <w:tr>
        <w:trPr>
          <w:trHeight w:val="33"/>
        </w:trPr>
        <w:tc>
          <w:tcPr>
            <w:tcW w:w="46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B2A29"/>
        </w:rPr>
        <w:t>Time Vested Restricted Stock Units ("TVUs")</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 xml:space="preserve">During the nine </w:t>
      </w:r>
      <w:r>
        <w:rPr>
          <w:rFonts w:ascii="Times New Roman" w:cs="Times New Roman" w:eastAsia="Times New Roman" w:hAnsi="Times New Roman"/>
          <w:sz w:val="18"/>
          <w:szCs w:val="18"/>
          <w:color w:val="000000"/>
        </w:rPr>
        <w:t>months ended June 30, 2025</w:t>
      </w:r>
      <w:r>
        <w:rPr>
          <w:rFonts w:ascii="Times New Roman" w:cs="Times New Roman" w:eastAsia="Times New Roman" w:hAnsi="Times New Roman"/>
          <w:sz w:val="18"/>
          <w:szCs w:val="18"/>
          <w:color w:val="2B2A29"/>
        </w:rPr>
        <w:t>, Embecta granted 1,576,493 restricted stock units ("RSUs") in the form of TVUs to employees. TVUs vest on a graded basis over a period of three years. The related stock-based compensation expense is recorded over the requisite service period, which is the vesting period or is based on retirement eligibility. These awards accumulate dividend equivalents, which are provided as additional units and are subject to the same vesting requirements as the underlying grant.</w:t>
      </w: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TVUs outstanding as of June 30, 2025 and changes during the nine months ended June 30, 2025 are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tcPr>
          <w:p>
            <w:pPr>
              <w:spacing w:after="0"/>
              <w:rPr>
                <w:sz w:val="16"/>
                <w:szCs w:val="16"/>
                <w:color w:val="auto"/>
              </w:rPr>
            </w:pPr>
          </w:p>
        </w:tc>
        <w:tc>
          <w:tcPr>
            <w:tcW w:w="1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TVUs (in thousands)</w:t>
            </w:r>
          </w:p>
        </w:tc>
        <w:tc>
          <w:tcPr>
            <w:tcW w:w="140" w:type="dxa"/>
            <w:vAlign w:val="bottom"/>
          </w:tcPr>
          <w:p>
            <w:pPr>
              <w:spacing w:after="0"/>
              <w:rPr>
                <w:sz w:val="16"/>
                <w:szCs w:val="16"/>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225"/>
        </w:trPr>
        <w:tc>
          <w:tcPr>
            <w:tcW w:w="7940" w:type="dxa"/>
            <w:vAlign w:val="bottom"/>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c>
          <w:tcPr>
            <w:tcW w:w="0" w:type="dxa"/>
            <w:vAlign w:val="bottom"/>
          </w:tcPr>
          <w:p>
            <w:pPr>
              <w:spacing w:after="0"/>
              <w:rPr>
                <w:sz w:val="1"/>
                <w:szCs w:val="1"/>
                <w:color w:val="auto"/>
              </w:rPr>
            </w:pPr>
          </w:p>
        </w:tc>
      </w:tr>
      <w:tr>
        <w:trPr>
          <w:trHeight w:val="223"/>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October 1</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21.34</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 canceled or expired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0" w:type="dxa"/>
            <w:vAlign w:val="bottom"/>
          </w:tcPr>
          <w:p>
            <w:pPr>
              <w:spacing w:after="0"/>
              <w:rPr>
                <w:sz w:val="1"/>
                <w:szCs w:val="1"/>
                <w:color w:val="auto"/>
              </w:rPr>
            </w:pPr>
          </w:p>
        </w:tc>
      </w:tr>
      <w:tr>
        <w:trPr>
          <w:trHeight w:val="33"/>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June 30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Expected to vest at June 30</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40" w:type="dxa"/>
            <w:vAlign w:val="bottom"/>
            <w:vMerge w:val="continue"/>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1,974.9</w:t>
            </w:r>
          </w:p>
        </w:tc>
        <w:tc>
          <w:tcPr>
            <w:tcW w:w="1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18.98</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9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*Includes accumulated nonvested dividend equivalents</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TVUs distributed include shares withheld for taxes that are not formally issued to the market.</w:t>
      </w:r>
    </w:p>
    <w:p>
      <w:pPr>
        <w:spacing w:after="0" w:line="2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TVUs granted during the nine months ended June 30, 2025 is $18.53 and the total fair value of TVUs vested during the nine months ended June 30, 2025 is $25.1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2025, the weighted average remaining vesting term of TVUs is 1.8 years.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B2A29"/>
        </w:rPr>
        <w:t>Performance Based Restricted Stock Units ("PSUs")</w:t>
      </w:r>
    </w:p>
    <w:p>
      <w:pPr>
        <w:spacing w:after="0" w:line="1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2B2A29"/>
        </w:rPr>
        <w:t xml:space="preserve">During the </w:t>
      </w:r>
      <w:r>
        <w:rPr>
          <w:rFonts w:ascii="Times New Roman" w:cs="Times New Roman" w:eastAsia="Times New Roman" w:hAnsi="Times New Roman"/>
          <w:sz w:val="18"/>
          <w:szCs w:val="18"/>
          <w:color w:val="000000"/>
        </w:rPr>
        <w:t>nine months ended June 30, 2025</w:t>
      </w:r>
      <w:r>
        <w:rPr>
          <w:rFonts w:ascii="Times New Roman" w:cs="Times New Roman" w:eastAsia="Times New Roman" w:hAnsi="Times New Roman"/>
          <w:sz w:val="18"/>
          <w:szCs w:val="18"/>
          <w:color w:val="2B2A29"/>
        </w:rPr>
        <w:t xml:space="preserve">, Embecta awarded 538,031 RSUs in the form of PSUs to certain executive officers and employees which cliff vest after three years, subject to continued employment of the recipients and the achievement of certain performance metric targets. The Company has identified certain performance metrics associated with these awards and certain targets will be fully established at a future date. The Company has determined that the service inception date precedes the grant date for these awards as (a) the awards were authorized prior to establishing an accounting grant date, (b) the recipients began providing services prior to the grant date, and (c) there are performance conditions that, if not met by the accounting grant date, will result in the forfeiture of the awards. As the service inception date precedes the accounting grant date, the Company recognizes stock-based compensation expense for each separately-vesting tranche over the requisite service period based on the fair value at each reporting date. The requisite service period is equal to the vesting period or is based on retirement eligibility. These awards accumulate dividend equivalents, which are provided as additional units and are subject to the same vesting requirements as the underlying grant. As of </w:t>
      </w:r>
      <w:r>
        <w:rPr>
          <w:rFonts w:ascii="Times New Roman" w:cs="Times New Roman" w:eastAsia="Times New Roman" w:hAnsi="Times New Roman"/>
          <w:sz w:val="18"/>
          <w:szCs w:val="18"/>
          <w:color w:val="000000"/>
        </w:rPr>
        <w:t>June 30, 2025</w:t>
      </w:r>
      <w:r>
        <w:rPr>
          <w:rFonts w:ascii="Times New Roman" w:cs="Times New Roman" w:eastAsia="Times New Roman" w:hAnsi="Times New Roman"/>
          <w:sz w:val="18"/>
          <w:szCs w:val="18"/>
          <w:color w:val="2B2A29"/>
        </w:rPr>
        <w:t>, there were 945,269 RSUs in the form of PSUs that have been awarded, inclusive of accumulated dividend equivalents, for which a grant date has not yet been established.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PSUs outstanding as of June 30, 2025 and changes during the nine months ended June 30, 2025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40" w:type="dxa"/>
            <w:vAlign w:val="bottom"/>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Stock Units (in</w:t>
            </w:r>
          </w:p>
        </w:tc>
        <w:tc>
          <w:tcPr>
            <w:tcW w:w="140" w:type="dxa"/>
            <w:vAlign w:val="bottom"/>
          </w:tcPr>
          <w:p>
            <w:pPr>
              <w:spacing w:after="0"/>
              <w:rPr>
                <w:sz w:val="16"/>
                <w:szCs w:val="16"/>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212"/>
        </w:trPr>
        <w:tc>
          <w:tcPr>
            <w:tcW w:w="794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c>
          <w:tcPr>
            <w:tcW w:w="0" w:type="dxa"/>
            <w:vAlign w:val="bottom"/>
          </w:tcPr>
          <w:p>
            <w:pPr>
              <w:spacing w:after="0"/>
              <w:rPr>
                <w:sz w:val="1"/>
                <w:szCs w:val="1"/>
                <w:color w:val="auto"/>
              </w:rPr>
            </w:pPr>
          </w:p>
        </w:tc>
      </w:tr>
      <w:tr>
        <w:trPr>
          <w:trHeight w:val="33"/>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October 1</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30.24</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 canceled or expired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w:t>
            </w:r>
          </w:p>
        </w:tc>
        <w:tc>
          <w:tcPr>
            <w:tcW w:w="0" w:type="dxa"/>
            <w:vAlign w:val="bottom"/>
          </w:tcPr>
          <w:p>
            <w:pPr>
              <w:spacing w:after="0"/>
              <w:rPr>
                <w:sz w:val="1"/>
                <w:szCs w:val="1"/>
                <w:color w:val="auto"/>
              </w:rPr>
            </w:pPr>
          </w:p>
        </w:tc>
      </w:tr>
      <w:tr>
        <w:trPr>
          <w:trHeight w:val="33"/>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June 30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Expected to vest at June 30</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40" w:type="dxa"/>
            <w:vAlign w:val="bottom"/>
            <w:vMerge w:val="continue"/>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219.0</w:t>
            </w:r>
          </w:p>
        </w:tc>
        <w:tc>
          <w:tcPr>
            <w:tcW w:w="1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21.52</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9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*Includes accumulated nonvested dividend equivalents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2025, the weighted average remaining vesting term of PSUs is 0.4 years.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appreciation rights ("SARs") outstanding as of June 30, 2025 and changes during the nine months ended June 30, 2025 are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Contractual Term</w:t>
            </w:r>
          </w:p>
        </w:tc>
        <w:tc>
          <w:tcPr>
            <w:tcW w:w="120" w:type="dxa"/>
            <w:vAlign w:val="bottom"/>
          </w:tcPr>
          <w:p>
            <w:pPr>
              <w:spacing w:after="0"/>
              <w:rPr>
                <w:sz w:val="16"/>
                <w:szCs w:val="16"/>
                <w:color w:val="auto"/>
              </w:rPr>
            </w:pPr>
          </w:p>
        </w:tc>
        <w:tc>
          <w:tcPr>
            <w:tcW w:w="14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212"/>
        </w:trPr>
        <w:tc>
          <w:tcPr>
            <w:tcW w:w="458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SARs (in thousands)</w:t>
            </w: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20" w:type="dxa"/>
            <w:vAlign w:val="bottom"/>
          </w:tcPr>
          <w:p>
            <w:pPr>
              <w:spacing w:after="0"/>
              <w:rPr>
                <w:sz w:val="18"/>
                <w:szCs w:val="18"/>
                <w:color w:val="auto"/>
              </w:rPr>
            </w:pPr>
          </w:p>
        </w:tc>
        <w:tc>
          <w:tcPr>
            <w:tcW w:w="14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October 1</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29.11</w:t>
            </w: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 canceled or expired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30</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1,507.0</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29.14</w:t>
            </w:r>
          </w:p>
        </w:tc>
        <w:tc>
          <w:tcPr>
            <w:tcW w:w="100" w:type="dxa"/>
            <w:vAlign w:val="bottom"/>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at June 30</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29.14</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Exercisable at June 30</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580" w:type="dxa"/>
            <w:vAlign w:val="bottom"/>
            <w:vMerge w:val="continue"/>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29.16</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amounts exercised include shares withheld for taxes that are not formally issued to the market.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3,400 SARs were exercised during the nine months ended June 30,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Unrecognized Stock-Based Compensation Expense and Other Stock Plans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 of unrecognized compensation expense for all non-vested stock-based awards granted as of June 30, 2025, is approximately $30.9 million which is expected to be recognized over a weighted-average remaining life of approximately 1.9 years. At June 30, 2025, 3.3 million shares were authorized for future grants under the Company's 2022 Employee and Director Equity Based Compensation Plan, as amended.</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Goodwill and Other Intangible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Other Intangible Assets consisted of:</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0" w:type="dxa"/>
            <w:vAlign w:val="bottom"/>
          </w:tcPr>
          <w:p>
            <w:pPr>
              <w:spacing w:after="0"/>
              <w:rPr>
                <w:sz w:val="1"/>
                <w:szCs w:val="1"/>
                <w:color w:val="auto"/>
              </w:rPr>
            </w:pPr>
          </w:p>
        </w:tc>
      </w:tr>
      <w:tr>
        <w:trPr>
          <w:trHeight w:val="33"/>
        </w:trPr>
        <w:tc>
          <w:tcPr>
            <w:tcW w:w="7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Amortized intangible assets</w:t>
            </w: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00" w:type="dxa"/>
            <w:vAlign w:val="bottom"/>
            <w:vMerge w:val="continue"/>
          </w:tcPr>
          <w:p>
            <w:pPr>
              <w:spacing w:after="0"/>
              <w:rPr>
                <w:sz w:val="16"/>
                <w:szCs w:val="16"/>
                <w:color w:val="auto"/>
              </w:rPr>
            </w:pPr>
          </w:p>
        </w:tc>
        <w:tc>
          <w:tcPr>
            <w:tcW w:w="1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Patents – gross</w:t>
            </w:r>
          </w:p>
        </w:tc>
        <w:tc>
          <w:tcPr>
            <w:tcW w:w="1500" w:type="dxa"/>
            <w:vAlign w:val="bottom"/>
            <w:tcBorders>
              <w:bottom w:val="single" w:sz="8" w:color="CCEEFF"/>
            </w:tcBorders>
            <w:shd w:val="clear" w:color="auto" w:fill="CCEEFF"/>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0"/>
        </w:trPr>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5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33"/>
        </w:trPr>
        <w:tc>
          <w:tcPr>
            <w:tcW w:w="73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Patents – net</w:t>
            </w:r>
          </w:p>
        </w:tc>
        <w:tc>
          <w:tcPr>
            <w:tcW w:w="1500" w:type="dxa"/>
            <w:vAlign w:val="bottom"/>
            <w:tcBorders>
              <w:bottom w:val="single" w:sz="8" w:color="CCEEFF"/>
            </w:tcBorders>
            <w:shd w:val="clear" w:color="auto" w:fill="CCEEFF"/>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4"/>
        </w:trPr>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Customer Relationships and Other – gross</w:t>
            </w:r>
          </w:p>
        </w:tc>
        <w:tc>
          <w:tcPr>
            <w:tcW w:w="1500" w:type="dxa"/>
            <w:vAlign w:val="bottom"/>
            <w:tcBorders>
              <w:top w:val="single" w:sz="8" w:color="auto"/>
            </w:tcBorders>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4"/>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 and Other – net</w:t>
            </w:r>
          </w:p>
        </w:tc>
        <w:tc>
          <w:tcPr>
            <w:tcW w:w="1500" w:type="dxa"/>
            <w:vAlign w:val="bottom"/>
            <w:tcBorders>
              <w:top w:val="single" w:sz="8" w:color="auto"/>
            </w:tcBorders>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33"/>
        </w:trPr>
        <w:tc>
          <w:tcPr>
            <w:tcW w:w="73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amortized intangible assets</w:t>
            </w:r>
          </w:p>
        </w:tc>
        <w:tc>
          <w:tcPr>
            <w:tcW w:w="1500" w:type="dxa"/>
            <w:vAlign w:val="bottom"/>
            <w:tcBorders>
              <w:bottom w:val="single" w:sz="8" w:color="CCEEFF"/>
            </w:tcBorders>
            <w:shd w:val="clear" w:color="auto" w:fill="CCEEFF"/>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04"/>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5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33"/>
        </w:trPr>
        <w:tc>
          <w:tcPr>
            <w:tcW w:w="73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Goodwill and Other Intangible Assets</w:t>
            </w:r>
          </w:p>
        </w:tc>
        <w:tc>
          <w:tcPr>
            <w:tcW w:w="1500" w:type="dxa"/>
            <w:vAlign w:val="bottom"/>
            <w:tcBorders>
              <w:bottom w:val="single" w:sz="8" w:color="CCEEFF"/>
            </w:tcBorders>
            <w:shd w:val="clear" w:color="auto" w:fill="CCEEFF"/>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Cloud Computing Arrangements</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The Company capitalizes costs associated with the development of cloud computing arrangements in a manner consistent with internally developed software. Capitalized costs are included in </w:t>
      </w:r>
      <w:r>
        <w:rPr>
          <w:rFonts w:ascii="Times New Roman" w:cs="Times New Roman" w:eastAsia="Times New Roman" w:hAnsi="Times New Roman"/>
          <w:sz w:val="18"/>
          <w:szCs w:val="18"/>
          <w:i w:val="1"/>
          <w:iCs w:val="1"/>
          <w:color w:val="auto"/>
        </w:rPr>
        <w:t>Prepaid expenses and other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Deferred Income Taxes and Other Assets.</w:t>
      </w:r>
      <w:r>
        <w:rPr>
          <w:rFonts w:ascii="Times New Roman" w:cs="Times New Roman" w:eastAsia="Times New Roman" w:hAnsi="Times New Roman"/>
          <w:sz w:val="18"/>
          <w:szCs w:val="18"/>
          <w:color w:val="auto"/>
        </w:rPr>
        <w:t xml:space="preserve"> Capitalized costs to implement cloud computing arrangements at cost and accumulated amortization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33"/>
        </w:trPr>
        <w:tc>
          <w:tcPr>
            <w:tcW w:w="73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portion</w:t>
            </w:r>
          </w:p>
        </w:tc>
        <w:tc>
          <w:tcPr>
            <w:tcW w:w="1460" w:type="dxa"/>
            <w:vAlign w:val="bottom"/>
            <w:tcBorders>
              <w:bottom w:val="single" w:sz="8" w:color="CCEEFF"/>
            </w:tcBorders>
            <w:shd w:val="clear" w:color="auto" w:fill="CCEEFF"/>
          </w:tcPr>
          <w:p>
            <w:pPr>
              <w:jc w:val="right"/>
              <w:ind w:right="12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10.2</w:t>
            </w: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portion</w:t>
            </w:r>
          </w:p>
        </w:tc>
        <w:tc>
          <w:tcPr>
            <w:tcW w:w="146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60.6</w:t>
            </w:r>
          </w:p>
        </w:tc>
      </w:tr>
      <w:tr>
        <w:trPr>
          <w:trHeight w:val="33"/>
        </w:trPr>
        <w:tc>
          <w:tcPr>
            <w:tcW w:w="73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6"/>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Capitalized implementation costs</w:t>
            </w:r>
          </w:p>
        </w:tc>
        <w:tc>
          <w:tcPr>
            <w:tcW w:w="1460" w:type="dxa"/>
            <w:vAlign w:val="bottom"/>
            <w:tcBorders>
              <w:bottom w:val="single" w:sz="8" w:color="CCEEFF"/>
            </w:tcBorders>
            <w:shd w:val="clear" w:color="auto" w:fill="CCEEFF"/>
          </w:tcPr>
          <w:p>
            <w:pPr>
              <w:jc w:val="right"/>
              <w:ind w:right="12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71.6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70.8</w:t>
            </w: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46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(6.3)</w:t>
            </w:r>
          </w:p>
        </w:tc>
      </w:tr>
      <w:tr>
        <w:trPr>
          <w:trHeight w:val="33"/>
        </w:trPr>
        <w:tc>
          <w:tcPr>
            <w:tcW w:w="73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4"/>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Capitalized implementation costs, net</w:t>
            </w:r>
          </w:p>
        </w:tc>
        <w:tc>
          <w:tcPr>
            <w:tcW w:w="1460" w:type="dxa"/>
            <w:vAlign w:val="bottom"/>
            <w:shd w:val="clear" w:color="auto" w:fill="CCEEFF"/>
          </w:tcPr>
          <w:p>
            <w:pPr>
              <w:jc w:val="right"/>
              <w:ind w:right="12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64.5</w:t>
            </w:r>
          </w:p>
        </w:tc>
      </w:tr>
      <w:tr>
        <w:trPr>
          <w:trHeight w:val="33"/>
        </w:trPr>
        <w:tc>
          <w:tcPr>
            <w:tcW w:w="73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Costs amortized during the </w:t>
      </w:r>
      <w:r>
        <w:rPr>
          <w:rFonts w:ascii="Times New Roman" w:cs="Times New Roman" w:eastAsia="Times New Roman" w:hAnsi="Times New Roman"/>
          <w:sz w:val="18"/>
          <w:szCs w:val="18"/>
          <w:color w:val="2B2A29"/>
        </w:rPr>
        <w:t>three and nine months ended June 30, 2025 and</w:t>
      </w:r>
      <w:r>
        <w:rPr>
          <w:rFonts w:ascii="Times New Roman" w:cs="Times New Roman" w:eastAsia="Times New Roman" w:hAnsi="Times New Roman"/>
          <w:sz w:val="18"/>
          <w:szCs w:val="18"/>
          <w:color w:val="auto"/>
        </w:rPr>
        <w:t xml:space="preserve"> 2024 are included in </w:t>
      </w: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 xml:space="preserve"> and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0" w:type="dxa"/>
            <w:vAlign w:val="bottom"/>
          </w:tcPr>
          <w:p>
            <w:pPr>
              <w:spacing w:after="0"/>
              <w:rPr>
                <w:sz w:val="18"/>
                <w:szCs w:val="18"/>
                <w:color w:val="auto"/>
              </w:rPr>
            </w:pPr>
          </w:p>
        </w:tc>
        <w:tc>
          <w:tcPr>
            <w:tcW w:w="2820" w:type="dxa"/>
            <w:vAlign w:val="bottom"/>
            <w:gridSpan w:val="3"/>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00" w:type="dxa"/>
            <w:vAlign w:val="bottom"/>
            <w:gridSpan w:val="3"/>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Nine months ended June 30,</w:t>
            </w:r>
          </w:p>
        </w:tc>
      </w:tr>
      <w:tr>
        <w:trPr>
          <w:trHeight w:val="33"/>
        </w:trPr>
        <w:tc>
          <w:tcPr>
            <w:tcW w:w="46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6"/>
        </w:trPr>
        <w:tc>
          <w:tcPr>
            <w:tcW w:w="4600" w:type="dxa"/>
            <w:vAlign w:val="bottom"/>
          </w:tcPr>
          <w:p>
            <w:pPr>
              <w:spacing w:after="0"/>
              <w:rPr>
                <w:sz w:val="17"/>
                <w:szCs w:val="17"/>
                <w:color w:val="auto"/>
              </w:rPr>
            </w:pPr>
          </w:p>
        </w:tc>
        <w:tc>
          <w:tcPr>
            <w:tcW w:w="112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Pr>
          <w:p>
            <w:pPr>
              <w:spacing w:after="0"/>
              <w:rPr>
                <w:sz w:val="17"/>
                <w:szCs w:val="17"/>
                <w:color w:val="auto"/>
              </w:rPr>
            </w:pPr>
          </w:p>
        </w:tc>
        <w:tc>
          <w:tcPr>
            <w:tcW w:w="12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Pr>
          <w:p>
            <w:pPr>
              <w:spacing w:after="0"/>
              <w:rPr>
                <w:sz w:val="17"/>
                <w:szCs w:val="17"/>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1"/>
        </w:trPr>
        <w:tc>
          <w:tcPr>
            <w:tcW w:w="46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4"/>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cloud computing arrangements</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2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w:t>
            </w:r>
          </w:p>
        </w:tc>
        <w:tc>
          <w:tcPr>
            <w:tcW w:w="4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w:t>
            </w:r>
          </w:p>
        </w:tc>
        <w:tc>
          <w:tcPr>
            <w:tcW w:w="4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33"/>
        </w:trPr>
        <w:tc>
          <w:tcPr>
            <w:tcW w:w="46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cloud computing arrangement assets in-service have remaining useful lives which range from approximately one to seven years.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Long-Term Debt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31, 2022, Embecta entered into a credit agreement (the “Credit Agreement”), providing for:</w:t>
      </w:r>
    </w:p>
    <w:p>
      <w:pPr>
        <w:spacing w:after="0" w:line="104" w:lineRule="exact"/>
        <w:rPr>
          <w:sz w:val="20"/>
          <w:szCs w:val="20"/>
          <w:color w:val="auto"/>
        </w:rPr>
      </w:pPr>
    </w:p>
    <w:p>
      <w:pPr>
        <w:jc w:val="both"/>
        <w:ind w:left="900" w:hanging="568"/>
        <w:spacing w:after="0" w:line="250" w:lineRule="auto"/>
        <w:tabs>
          <w:tab w:leader="none" w:pos="895" w:val="left"/>
        </w:tabs>
        <w:numPr>
          <w:ilvl w:val="0"/>
          <w:numId w:val="5"/>
        </w:numPr>
        <w:rPr>
          <w:rFonts w:ascii="Times New Roman" w:cs="Times New Roman" w:eastAsia="Times New Roman" w:hAnsi="Times New Roman"/>
          <w:sz w:val="18"/>
          <w:szCs w:val="18"/>
          <w:color w:val="2B2A29"/>
        </w:rPr>
      </w:pPr>
      <w:r>
        <w:rPr>
          <w:rFonts w:ascii="Times New Roman" w:cs="Times New Roman" w:eastAsia="Times New Roman" w:hAnsi="Times New Roman"/>
          <w:sz w:val="18"/>
          <w:szCs w:val="18"/>
          <w:color w:val="auto"/>
        </w:rPr>
        <w:t xml:space="preserve">a Term Loan B Facility (the "Term Loan") in the amount of $950.0 million, with a </w:t>
      </w:r>
      <w:r>
        <w:rPr>
          <w:rFonts w:ascii="Times New Roman" w:cs="Times New Roman" w:eastAsia="Times New Roman" w:hAnsi="Times New Roman"/>
          <w:sz w:val="18"/>
          <w:szCs w:val="18"/>
          <w:color w:val="2B2A29"/>
        </w:rPr>
        <w:t>seven</w:t>
      </w:r>
      <w:r>
        <w:rPr>
          <w:rFonts w:ascii="Times New Roman" w:cs="Times New Roman" w:eastAsia="Times New Roman" w:hAnsi="Times New Roman"/>
          <w:sz w:val="18"/>
          <w:szCs w:val="18"/>
          <w:color w:val="auto"/>
        </w:rPr>
        <w:t xml:space="preserve">-year </w:t>
      </w:r>
      <w:r>
        <w:rPr>
          <w:rFonts w:ascii="Times New Roman" w:cs="Times New Roman" w:eastAsia="Times New Roman" w:hAnsi="Times New Roman"/>
          <w:sz w:val="18"/>
          <w:szCs w:val="18"/>
          <w:color w:val="2B2A29"/>
        </w:rPr>
        <w:t>term that matures in March 2029. The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 xml:space="preserve">rate is 300 basis points over the secured overnight financing rate (“SOFR”), with a 0.50% SOFR floor. The Term Loan was issued at a discount of 0.50%. Principal and interest payments on the Term Loan commenced on June 30, 2022. Such quarterly principal payments are calculated as 0.25% of the initial principal amount, with the remaining balance payable upon maturity; </w:t>
      </w:r>
      <w:r>
        <w:rPr>
          <w:rFonts w:ascii="Times New Roman" w:cs="Times New Roman" w:eastAsia="Times New Roman" w:hAnsi="Times New Roman"/>
          <w:sz w:val="18"/>
          <w:szCs w:val="18"/>
          <w:color w:val="000000"/>
        </w:rPr>
        <w:t>and</w:t>
      </w:r>
    </w:p>
    <w:p>
      <w:pPr>
        <w:spacing w:after="0" w:line="82" w:lineRule="exact"/>
        <w:rPr>
          <w:rFonts w:ascii="Times New Roman" w:cs="Times New Roman" w:eastAsia="Times New Roman" w:hAnsi="Times New Roman"/>
          <w:sz w:val="18"/>
          <w:szCs w:val="18"/>
          <w:color w:val="2B2A29"/>
        </w:rPr>
      </w:pPr>
    </w:p>
    <w:p>
      <w:pPr>
        <w:jc w:val="both"/>
        <w:ind w:left="900" w:hanging="568"/>
        <w:spacing w:after="0" w:line="244" w:lineRule="auto"/>
        <w:tabs>
          <w:tab w:leader="none" w:pos="895" w:val="left"/>
        </w:tabs>
        <w:numPr>
          <w:ilvl w:val="0"/>
          <w:numId w:val="5"/>
        </w:numPr>
        <w:rPr>
          <w:rFonts w:ascii="Times New Roman" w:cs="Times New Roman" w:eastAsia="Times New Roman" w:hAnsi="Times New Roman"/>
          <w:sz w:val="18"/>
          <w:szCs w:val="18"/>
          <w:color w:val="2B2A29"/>
        </w:rPr>
      </w:pPr>
      <w:r>
        <w:rPr>
          <w:rFonts w:ascii="Times New Roman" w:cs="Times New Roman" w:eastAsia="Times New Roman" w:hAnsi="Times New Roman"/>
          <w:sz w:val="18"/>
          <w:szCs w:val="18"/>
          <w:color w:val="auto"/>
        </w:rPr>
        <w:t xml:space="preserve">a Revolving Credit Facility (the "Revolving Credit Facility") in an aggregate principal amount of up to $500.0 million, with a </w:t>
      </w:r>
      <w:r>
        <w:rPr>
          <w:rFonts w:ascii="Times New Roman" w:cs="Times New Roman" w:eastAsia="Times New Roman" w:hAnsi="Times New Roman"/>
          <w:sz w:val="18"/>
          <w:szCs w:val="18"/>
          <w:color w:val="2B2A29"/>
        </w:rPr>
        <w:t>five</w:t>
      </w:r>
      <w:r>
        <w:rPr>
          <w:rFonts w:ascii="Times New Roman" w:cs="Times New Roman" w:eastAsia="Times New Roman" w:hAnsi="Times New Roman"/>
          <w:sz w:val="18"/>
          <w:szCs w:val="18"/>
          <w:color w:val="auto"/>
        </w:rPr>
        <w:t xml:space="preserve">-year term that matures in March 2027. </w:t>
      </w:r>
      <w:r>
        <w:rPr>
          <w:rFonts w:ascii="Times New Roman" w:cs="Times New Roman" w:eastAsia="Times New Roman" w:hAnsi="Times New Roman"/>
          <w:sz w:val="18"/>
          <w:szCs w:val="18"/>
          <w:color w:val="2B2A29"/>
        </w:rPr>
        <w:t>Borrowings under the Revolving Credit Facility bear interest, at Embecta’s option, at an annual rate equal to (a)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 xml:space="preserve">the case of loans denominated in United States dollars (i) the SOFR or (ii) the alternate base rate or (b) in the case of loans denominated in Euros, the EURIBOR rate, in each case plus an applicable margin specified in the credit agreement. A commitment fee applies to the unused portion of the Revolving Credit Facility, equal to 0.25% per annum. </w:t>
      </w:r>
      <w:r>
        <w:rPr>
          <w:rFonts w:ascii="Times New Roman" w:cs="Times New Roman" w:eastAsia="Times New Roman" w:hAnsi="Times New Roman"/>
          <w:sz w:val="18"/>
          <w:szCs w:val="18"/>
          <w:color w:val="000000"/>
        </w:rPr>
        <w:t>As of June 30, 2025, no amount has been drawn on the Revolving Credit</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Facility.</w:t>
      </w:r>
    </w:p>
    <w:p>
      <w:pPr>
        <w:spacing w:after="0" w:line="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The Credit Agreement and the indentures for Embecta's outstanding 5.00% senior secured notes due February 2030 (the "5.00% Notes") and </w:t>
      </w:r>
      <w:r>
        <w:rPr>
          <w:rFonts w:ascii="Times New Roman" w:cs="Times New Roman" w:eastAsia="Times New Roman" w:hAnsi="Times New Roman"/>
          <w:sz w:val="18"/>
          <w:szCs w:val="18"/>
          <w:color w:val="2B2A29"/>
        </w:rPr>
        <w:t>6.75%</w:t>
      </w:r>
      <w:r>
        <w:rPr>
          <w:rFonts w:ascii="Times New Roman" w:cs="Times New Roman" w:eastAsia="Times New Roman" w:hAnsi="Times New Roman"/>
          <w:sz w:val="18"/>
          <w:szCs w:val="18"/>
          <w:color w:val="auto"/>
        </w:rPr>
        <w:t xml:space="preserve"> senior secured notes due February 2030 (the "</w:t>
      </w:r>
      <w:r>
        <w:rPr>
          <w:rFonts w:ascii="Times New Roman" w:cs="Times New Roman" w:eastAsia="Times New Roman" w:hAnsi="Times New Roman"/>
          <w:sz w:val="18"/>
          <w:szCs w:val="18"/>
          <w:color w:val="2B2A29"/>
        </w:rPr>
        <w:t>6.75%</w:t>
      </w:r>
      <w:r>
        <w:rPr>
          <w:rFonts w:ascii="Times New Roman" w:cs="Times New Roman" w:eastAsia="Times New Roman" w:hAnsi="Times New Roman"/>
          <w:sz w:val="18"/>
          <w:szCs w:val="18"/>
          <w:color w:val="auto"/>
        </w:rPr>
        <w:t xml:space="preserve"> Notes") contain customary financial covenants, including a total net leverage ratio covenant, which measures the ratio of (i) consolidated total net debt to (ii) consolidated earnings before interest, taxes, depreciation and amortization, and subject to other adjustments, must meet certain defined limits which are tested on a quarterly basis in accordance with the terms of the Credit Agreement and the 5.00% Notes and </w:t>
      </w:r>
      <w:r>
        <w:rPr>
          <w:rFonts w:ascii="Times New Roman" w:cs="Times New Roman" w:eastAsia="Times New Roman" w:hAnsi="Times New Roman"/>
          <w:sz w:val="18"/>
          <w:szCs w:val="18"/>
          <w:color w:val="2B2A29"/>
        </w:rPr>
        <w:t xml:space="preserve">6.75% </w:t>
      </w:r>
      <w:r>
        <w:rPr>
          <w:rFonts w:ascii="Times New Roman" w:cs="Times New Roman" w:eastAsia="Times New Roman" w:hAnsi="Times New Roman"/>
          <w:sz w:val="18"/>
          <w:szCs w:val="18"/>
          <w:color w:val="000000"/>
        </w:rPr>
        <w:t>Notes. In addition, the Credit Agreement contains covenants that will limit, among other things, Embecta’s ability to prepay, redeem or repurchase</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its subordinated and junior lien debt, incur additional debt, make acquisitions, merge with other entities, pay dividends or distributions, redeem or repurchase equity interests, and create or become subject to liens. As of June 30, 2025, we were in compliance with all of such covenants. The credit agreement and the senior secured notes are secured by substantially all assets of Embecta and each subsidiary guarantor, subject to certain exceptions.</w:t>
      </w: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Embecta's total debt outstanding as of June 30, 2025: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due March 2029</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789.1</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5.00% Notes due February 2030</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500.0</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51"/>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2B2A29"/>
              </w:rPr>
              <w:t xml:space="preserve">6.75% </w:t>
            </w:r>
            <w:r>
              <w:rPr>
                <w:rFonts w:ascii="Times New Roman" w:cs="Times New Roman" w:eastAsia="Times New Roman" w:hAnsi="Times New Roman"/>
                <w:sz w:val="16"/>
                <w:szCs w:val="16"/>
                <w:color w:val="000000"/>
              </w:rPr>
              <w:t>Notes due February 2030</w:t>
            </w:r>
          </w:p>
        </w:tc>
        <w:tc>
          <w:tcPr>
            <w:tcW w:w="5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200.0</w:t>
            </w:r>
          </w:p>
        </w:tc>
      </w:tr>
      <w:tr>
        <w:trPr>
          <w:trHeight w:val="204"/>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principal debt issued</w:t>
            </w:r>
          </w:p>
        </w:tc>
        <w:tc>
          <w:tcPr>
            <w:tcW w:w="5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1,489.1</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debt obligations</w:t>
            </w:r>
          </w:p>
        </w:tc>
        <w:tc>
          <w:tcPr>
            <w:tcW w:w="5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debt issuance costs and discounts</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(20.8)</w:t>
            </w:r>
          </w:p>
        </w:tc>
      </w:tr>
      <w:tr>
        <w:trPr>
          <w:trHeight w:val="33"/>
        </w:trPr>
        <w:tc>
          <w:tcPr>
            <w:tcW w:w="9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2"/>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1,458.8</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 xml:space="preserve">The debt issuance costs on the Term Loan, </w:t>
      </w:r>
      <w:r>
        <w:rPr>
          <w:rFonts w:ascii="Times New Roman" w:cs="Times New Roman" w:eastAsia="Times New Roman" w:hAnsi="Times New Roman"/>
          <w:sz w:val="18"/>
          <w:szCs w:val="18"/>
          <w:color w:val="000000"/>
        </w:rPr>
        <w:t>5.00%</w:t>
      </w:r>
      <w:r>
        <w:rPr>
          <w:rFonts w:ascii="Times New Roman" w:cs="Times New Roman" w:eastAsia="Times New Roman" w:hAnsi="Times New Roman"/>
          <w:sz w:val="18"/>
          <w:szCs w:val="18"/>
          <w:color w:val="2B2A29"/>
        </w:rPr>
        <w:t xml:space="preserve"> Notes, 6.75% </w:t>
      </w:r>
      <w:r>
        <w:rPr>
          <w:rFonts w:ascii="Times New Roman" w:cs="Times New Roman" w:eastAsia="Times New Roman" w:hAnsi="Times New Roman"/>
          <w:sz w:val="18"/>
          <w:szCs w:val="18"/>
          <w:color w:val="000000"/>
        </w:rPr>
        <w:t>Notes</w:t>
      </w:r>
      <w:r>
        <w:rPr>
          <w:rFonts w:ascii="Times New Roman" w:cs="Times New Roman" w:eastAsia="Times New Roman" w:hAnsi="Times New Roman"/>
          <w:sz w:val="18"/>
          <w:szCs w:val="18"/>
          <w:color w:val="2B2A29"/>
        </w:rPr>
        <w:t xml:space="preserve"> and the discount on the Term Loan are reported in the Condensed Consolidated Balance Sheets as a reduction of debt and are amortized as a component of </w:t>
      </w:r>
      <w:r>
        <w:rPr>
          <w:rFonts w:ascii="Times New Roman" w:cs="Times New Roman" w:eastAsia="Times New Roman" w:hAnsi="Times New Roman"/>
          <w:sz w:val="18"/>
          <w:szCs w:val="18"/>
          <w:i w:val="1"/>
          <w:iCs w:val="1"/>
          <w:color w:val="2B2A29"/>
        </w:rPr>
        <w:t>Interest expense, net</w:t>
      </w:r>
      <w:r>
        <w:rPr>
          <w:rFonts w:ascii="Times New Roman" w:cs="Times New Roman" w:eastAsia="Times New Roman" w:hAnsi="Times New Roman"/>
          <w:sz w:val="18"/>
          <w:szCs w:val="18"/>
          <w:color w:val="2B2A29"/>
        </w:rPr>
        <w:t xml:space="preserve"> over the term of the related debt using the effective interest method. During the </w:t>
      </w:r>
      <w:r>
        <w:rPr>
          <w:rFonts w:ascii="Times New Roman" w:cs="Times New Roman" w:eastAsia="Times New Roman" w:hAnsi="Times New Roman"/>
          <w:sz w:val="18"/>
          <w:szCs w:val="18"/>
          <w:color w:val="000000"/>
        </w:rPr>
        <w:t>nine</w:t>
      </w:r>
      <w:r>
        <w:rPr>
          <w:rFonts w:ascii="Times New Roman" w:cs="Times New Roman" w:eastAsia="Times New Roman" w:hAnsi="Times New Roman"/>
          <w:sz w:val="18"/>
          <w:szCs w:val="18"/>
          <w:color w:val="2B2A29"/>
        </w:rPr>
        <w:t xml:space="preserve"> months ended </w:t>
      </w:r>
      <w:r>
        <w:rPr>
          <w:rFonts w:ascii="Times New Roman" w:cs="Times New Roman" w:eastAsia="Times New Roman" w:hAnsi="Times New Roman"/>
          <w:sz w:val="18"/>
          <w:szCs w:val="18"/>
          <w:color w:val="000000"/>
        </w:rPr>
        <w:t>June 30, 2025, the Company recorded approximately $6.5 million of amortization on deferred debt issuance costs</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and discounts.</w:t>
      </w:r>
    </w:p>
    <w:p>
      <w:pPr>
        <w:spacing w:after="0" w:line="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nine months ended </w:t>
      </w:r>
      <w:r>
        <w:rPr>
          <w:rFonts w:ascii="Times New Roman" w:cs="Times New Roman" w:eastAsia="Times New Roman" w:hAnsi="Times New Roman"/>
          <w:sz w:val="18"/>
          <w:szCs w:val="18"/>
          <w:color w:val="2B2A29"/>
        </w:rPr>
        <w:t>June 30, 2025</w:t>
      </w:r>
      <w:r>
        <w:rPr>
          <w:rFonts w:ascii="Times New Roman" w:cs="Times New Roman" w:eastAsia="Times New Roman" w:hAnsi="Times New Roman"/>
          <w:sz w:val="18"/>
          <w:szCs w:val="18"/>
          <w:color w:val="auto"/>
        </w:rPr>
        <w:t xml:space="preserve">, the Company made interest payments of $68.5 million on debt outstanding. The weighted-average interest rate on total borrowings as of </w:t>
      </w:r>
      <w:r>
        <w:rPr>
          <w:rFonts w:ascii="Times New Roman" w:cs="Times New Roman" w:eastAsia="Times New Roman" w:hAnsi="Times New Roman"/>
          <w:sz w:val="18"/>
          <w:szCs w:val="18"/>
          <w:color w:val="2B2A29"/>
        </w:rPr>
        <w:t>June 30, 2025</w:t>
      </w:r>
      <w:r>
        <w:rPr>
          <w:rFonts w:ascii="Times New Roman" w:cs="Times New Roman" w:eastAsia="Times New Roman" w:hAnsi="Times New Roman"/>
          <w:sz w:val="18"/>
          <w:szCs w:val="18"/>
          <w:color w:val="auto"/>
        </w:rPr>
        <w:t xml:space="preserve"> is 6.5%.</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 xml:space="preserve">During the </w:t>
      </w:r>
      <w:r>
        <w:rPr>
          <w:rFonts w:ascii="Times New Roman" w:cs="Times New Roman" w:eastAsia="Times New Roman" w:hAnsi="Times New Roman"/>
          <w:sz w:val="18"/>
          <w:szCs w:val="18"/>
          <w:color w:val="000000"/>
        </w:rPr>
        <w:t>nine months ended</w:t>
      </w:r>
      <w:r>
        <w:rPr>
          <w:rFonts w:ascii="Times New Roman" w:cs="Times New Roman" w:eastAsia="Times New Roman" w:hAnsi="Times New Roman"/>
          <w:sz w:val="18"/>
          <w:szCs w:val="18"/>
          <w:color w:val="2B2A29"/>
        </w:rPr>
        <w:t xml:space="preserve"> June 30, 2025, the Company paid an aggregate principal amount of approximately </w:t>
      </w:r>
      <w:r>
        <w:rPr>
          <w:rFonts w:ascii="Times New Roman" w:cs="Times New Roman" w:eastAsia="Times New Roman" w:hAnsi="Times New Roman"/>
          <w:sz w:val="18"/>
          <w:szCs w:val="18"/>
          <w:color w:val="000000"/>
        </w:rPr>
        <w:t>$112.2 million</w:t>
      </w:r>
      <w:r>
        <w:rPr>
          <w:rFonts w:ascii="Times New Roman" w:cs="Times New Roman" w:eastAsia="Times New Roman" w:hAnsi="Times New Roman"/>
          <w:sz w:val="18"/>
          <w:szCs w:val="18"/>
          <w:color w:val="2B2A29"/>
        </w:rPr>
        <w:t xml:space="preserve"> on the Term Loan, of which </w:t>
      </w:r>
      <w:r>
        <w:rPr>
          <w:rFonts w:ascii="Times New Roman" w:cs="Times New Roman" w:eastAsia="Times New Roman" w:hAnsi="Times New Roman"/>
          <w:sz w:val="18"/>
          <w:szCs w:val="18"/>
          <w:color w:val="000000"/>
        </w:rPr>
        <w:t>$105.0 million</w:t>
      </w:r>
      <w:r>
        <w:rPr>
          <w:rFonts w:ascii="Times New Roman" w:cs="Times New Roman" w:eastAsia="Times New Roman" w:hAnsi="Times New Roman"/>
          <w:sz w:val="18"/>
          <w:szCs w:val="18"/>
          <w:color w:val="2B2A29"/>
        </w:rPr>
        <w:t xml:space="preserve"> was discretionary. Debt extinguishment charges as a result of these discretionary prepayments were not material to the Company's Condensed Consolidated Statements of Income.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of principal payments required on long-term debt for the next five fiscal years and thereafter is as follows: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508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50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50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50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2029</w:t>
            </w:r>
          </w:p>
        </w:tc>
        <w:tc>
          <w:tcPr>
            <w:tcW w:w="50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758.2</w:t>
            </w: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50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r>
    </w:tbl>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The estimated fair value of long-term debt (including current portion) at June 30, 2025 was $1,430.8 million compared with a carrying value (which includes a reduction for unamortized debt issuance costs and discounts) of $1,468.3 million. Fair value was estimated using inputs other than quoted prices in active markets for identical assets and liabilities that are observable either directly or indirectly for substantially the full term of the asset or liability and would be considered Level 2 in the fair value hierarchy.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Earnings per Share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calculation of earnings per basic and diluted common share for the </w:t>
      </w:r>
      <w:r>
        <w:rPr>
          <w:rFonts w:ascii="Times New Roman" w:cs="Times New Roman" w:eastAsia="Times New Roman" w:hAnsi="Times New Roman"/>
          <w:sz w:val="18"/>
          <w:szCs w:val="18"/>
          <w:color w:val="2B2A29"/>
        </w:rPr>
        <w:t>three and nine months ended June 30, 2025 and</w:t>
      </w:r>
      <w:r>
        <w:rPr>
          <w:rFonts w:ascii="Times New Roman" w:cs="Times New Roman" w:eastAsia="Times New Roman" w:hAnsi="Times New Roman"/>
          <w:sz w:val="18"/>
          <w:szCs w:val="18"/>
          <w:color w:val="auto"/>
        </w:rPr>
        <w:t xml:space="preserve"> 2024 </w:t>
      </w:r>
      <w:r>
        <w:rPr>
          <w:rFonts w:ascii="Times New Roman" w:cs="Times New Roman" w:eastAsia="Times New Roman" w:hAnsi="Times New Roman"/>
          <w:sz w:val="18"/>
          <w:szCs w:val="18"/>
          <w:color w:val="2B2A29"/>
        </w:rPr>
        <w:t>was as follows: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2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rPr>
                <w:sz w:val="16"/>
                <w:szCs w:val="16"/>
                <w:color w:val="auto"/>
              </w:rPr>
            </w:pPr>
          </w:p>
        </w:tc>
        <w:tc>
          <w:tcPr>
            <w:tcW w:w="2900" w:type="dxa"/>
            <w:vAlign w:val="bottom"/>
            <w:gridSpan w:val="4"/>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45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40" w:type="dxa"/>
            <w:vAlign w:val="bottom"/>
            <w:tcBorders>
              <w:bottom w:val="single" w:sz="8" w:color="auto"/>
            </w:tcBorders>
          </w:tcPr>
          <w:p>
            <w:pPr>
              <w:spacing w:after="0"/>
              <w:rPr>
                <w:sz w:val="18"/>
                <w:szCs w:val="18"/>
                <w:color w:val="auto"/>
              </w:rPr>
            </w:pPr>
          </w:p>
        </w:tc>
      </w:tr>
      <w:tr>
        <w:trPr>
          <w:trHeight w:val="235"/>
        </w:trPr>
        <w:tc>
          <w:tcPr>
            <w:tcW w:w="4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i w:val="1"/>
                <w:iCs w:val="1"/>
                <w:color w:val="auto"/>
              </w:rPr>
              <w:t>($ in millions and shares in thousands, except per share amounts)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r>
      <w:tr>
        <w:trPr>
          <w:trHeight w:val="162"/>
        </w:trPr>
        <w:tc>
          <w:tcPr>
            <w:tcW w:w="4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4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weighted average number of shares outstanding</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58,490</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57,768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58,239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57,641</w:t>
            </w:r>
          </w:p>
        </w:tc>
      </w:tr>
      <w:tr>
        <w:trPr>
          <w:trHeight w:val="240"/>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Stock awards and equity units (share equivalent)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w:t>
            </w:r>
          </w:p>
        </w:tc>
      </w:tr>
      <w:tr>
        <w:trPr>
          <w:trHeight w:val="24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weighted average shares outstanding</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58,495</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57,842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58,721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58,143</w:t>
            </w:r>
          </w:p>
        </w:tc>
      </w:tr>
      <w:tr>
        <w:trPr>
          <w:trHeight w:val="162"/>
        </w:trPr>
        <w:tc>
          <w:tcPr>
            <w:tcW w:w="4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4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per common share - Basic</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40"/>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Earnings per common share - Diluted</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120" w:type="dxa"/>
            <w:vAlign w:val="bottom"/>
          </w:tcPr>
          <w:p>
            <w:pPr>
              <w:spacing w:after="0"/>
              <w:rPr>
                <w:sz w:val="20"/>
                <w:szCs w:val="20"/>
                <w:color w:val="auto"/>
              </w:rPr>
            </w:pP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165"/>
        </w:trPr>
        <w:tc>
          <w:tcPr>
            <w:tcW w:w="45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37"/>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Antidilutive Shares (millions)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bl>
    <w:p>
      <w:pPr>
        <w:spacing w:after="0" w:line="2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Earnings per diluted share is computed by giving effect to all potentially dilutive stock awards that are outstanding. The computation of earnings per diluted share excludes the effect of the potential exercise of stock-based awards, when the effect of the potential exercise would be anti-dilutive.</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jc w:val="right"/>
        <w:ind w:right="22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income tax in the various jurisdictions in which it operates. A significant portion of the Company's earnings are taxed in jurisdictions with tax rates that are lower than the statutory tax rate of the United States. The effective tax rate can change from quarter to quarter because of variability in global pretax income or geographical mix of the Company's earnings, changes in tax laws and matters related to tax audits.</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tax rates were 37.0% and 45.6% for the three months ended June 30, 2025 and 2024, respectively. The decrease in the Company's effective tax rate compared to the prior period is primarily due to favorable tax impacts resulting from overall higher earnings reflected in the current period. This was partially offset by higher taxes on undistributed foreign earnings and reduced tax benefits from non-taxable income.</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effective tax rates were 35.7% and (24.4)% for the nine months ended June 30, 2025 and 2024, respectively. The increase in the Company's effective tax rate compared to the prior period is primarily due to the absence of non-recurring tax benefits recognized in the prior period related to withholding taxes on undistributed foreign earnings, Swiss tax law changes and lower tax reserves. This was partially offset by favorable tax impacts primarily resulting from overall higher earnings reflected in the current period.</w:t>
      </w:r>
    </w:p>
    <w:p>
      <w:pPr>
        <w:spacing w:after="0" w:line="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July 4, 2025, the One Big Beautiful Bill ("OBBB") Act, which includes a broad range of tax reform provisions, was signed into law in the United States and we continue to assess its impact. We currently do not expect the OBBB Act to have a material impact on the Company's results of operations in fiscal year 2025.</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Receivables Sale Agreement</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third quarter of 2025, the Company entered into a trade receivables sale agreement with a third-party financial institution to sell certain trade receivables of the Company at a discount on an uncommitted basis. These trade receivable sales are accounted for as a sale of assets, as the Company's continuing involvement is limited to servicing the accounts receivables. The Company receives the sales price, equal to the trade receivable less the applicable discount, at the time of sale.</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Company's receivables sale agreement, $26.2 million of trade receivables were sold during the nine months ended June 30, 2025, resulting in derecognition of the receivables from the Company's Condensed Consolidated Balance Sheets. Discounts recognized on the sale of trade receivables were not material to the Company's Condensed Consolidated Statements of Income. The cash received on the sale of trade receivables during the nine months ended June 30, 2025 is presented in changes in trade receivables, net within operating activities in the Condensed Consolidated Statement of Cash Flows.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Financial Instruments and Fair Value Measurements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reconciles </w:t>
      </w:r>
      <w:r>
        <w:rPr>
          <w:rFonts w:ascii="Times New Roman" w:cs="Times New Roman" w:eastAsia="Times New Roman" w:hAnsi="Times New Roman"/>
          <w:sz w:val="18"/>
          <w:szCs w:val="18"/>
          <w:i w:val="1"/>
          <w:iCs w:val="1"/>
          <w:color w:val="auto"/>
        </w:rPr>
        <w:t>Cash and equivalents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xml:space="preserve"> reported within the Condensed Consolidated Balance Sheets as of June 30, 2025 and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to the total amounts shown in the Condensed Consolidated Statements of Cash Flows: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21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equivalents</w:t>
            </w:r>
          </w:p>
        </w:tc>
        <w:tc>
          <w:tcPr>
            <w:tcW w:w="142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w:t>
            </w:r>
          </w:p>
        </w:tc>
      </w:tr>
      <w:tr>
        <w:trPr>
          <w:trHeight w:val="213"/>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37"/>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equivalents and restricted cash</w:t>
            </w:r>
          </w:p>
        </w:tc>
        <w:tc>
          <w:tcPr>
            <w:tcW w:w="1420" w:type="dxa"/>
            <w:vAlign w:val="bottom"/>
            <w:tcBorders>
              <w:bottom w:val="single" w:sz="8" w:color="auto"/>
            </w:tcBorders>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233.6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Cash and equivalents as of June 30, 2025 includes cash held in money market funds and other cash equivalents. All cash and equivalents are Level 1 in the fair value hierarchy. Interest income on </w:t>
      </w:r>
      <w:r>
        <w:rPr>
          <w:rFonts w:ascii="Times New Roman" w:cs="Times New Roman" w:eastAsia="Times New Roman" w:hAnsi="Times New Roman"/>
          <w:sz w:val="18"/>
          <w:szCs w:val="18"/>
          <w:i w:val="1"/>
          <w:iCs w:val="1"/>
          <w:color w:val="auto"/>
        </w:rPr>
        <w:t>Cash and equivalents</w:t>
      </w:r>
      <w:r>
        <w:rPr>
          <w:rFonts w:ascii="Times New Roman" w:cs="Times New Roman" w:eastAsia="Times New Roman" w:hAnsi="Times New Roman"/>
          <w:sz w:val="18"/>
          <w:szCs w:val="18"/>
          <w:color w:val="auto"/>
        </w:rPr>
        <w:t xml:space="preserve"> was $1.5 million and $3.1 million for the three months ended June 30, 2025 and 2024, respectively, and $4.6 million and $9.4 million for the nine months ended June 30, 2025 and 2024, respectively, and is included as a component of </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 net</w:t>
      </w:r>
      <w:r>
        <w:rPr>
          <w:rFonts w:ascii="Times New Roman" w:cs="Times New Roman" w:eastAsia="Times New Roman" w:hAnsi="Times New Roman"/>
          <w:sz w:val="18"/>
          <w:szCs w:val="18"/>
          <w:color w:val="auto"/>
        </w:rPr>
        <w:t>. Restricted cash consists of cash not readily available for use in the Company's operating activities. The Company's restricted cash balance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pledged as collateral for bank guarantees related to certain customer performance guarantees and property leases internationally.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Risks and Related Strategies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foreign currency exposures throughout Europe, Asia, Canada and Latin America. Transactional currency exposures that arise from entering into transactions, generally on an intercompany basis, in non-hyperinflationary countries that are denominated in currencies other than the functional currency are mitigated primarily through the use of forward contracts.</w:t>
      </w: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notional amounts of the Company’s foreign currency-related derivative instruments were as follows as of June 30, 2025 and September 30, 2024: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Hedge Designation</w:t>
            </w:r>
          </w:p>
        </w:tc>
        <w:tc>
          <w:tcPr>
            <w:tcW w:w="26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Pr>
          <w:p>
            <w:pPr>
              <w:spacing w:after="0"/>
              <w:rPr>
                <w:sz w:val="18"/>
                <w:szCs w:val="18"/>
                <w:color w:val="auto"/>
              </w:rPr>
            </w:pPr>
          </w:p>
        </w:tc>
        <w:tc>
          <w:tcPr>
            <w:tcW w:w="17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212"/>
        </w:trPr>
        <w:tc>
          <w:tcPr>
            <w:tcW w:w="5480" w:type="dxa"/>
            <w:vAlign w:val="bottom"/>
            <w:tcBorders>
              <w:top w:val="single" w:sz="8" w:color="CCEEFF"/>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Foreign exchange contracts</w:t>
            </w:r>
            <w:r>
              <w:rPr>
                <w:rFonts w:ascii="Times New Roman" w:cs="Times New Roman" w:eastAsia="Times New Roman" w:hAnsi="Times New Roman"/>
                <w:sz w:val="21"/>
                <w:szCs w:val="21"/>
                <w:color w:val="auto"/>
                <w:vertAlign w:val="superscript"/>
              </w:rPr>
              <w:t>(a)</w:t>
            </w: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Undesignated</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715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left="340" w:hanging="332"/>
        <w:spacing w:after="0" w:line="258" w:lineRule="auto"/>
        <w:tabs>
          <w:tab w:leader="none" w:pos="33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 hedges of transactional foreign exchange exposures resulting primarily from intercompany payables and receivables. Gains and losses on these instruments are recognized immediately in Other income (expense), net. These gains and losses are largely offset by gains and losses on the underlying hedged items, as well as the hedging costs associated with the derivative instruments. Gains and losses recognized to date on these instruments were not material to the Company's Condensed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Non-financial assets, including property, plant and equipment as well as intangible assets, are measured at fair value when there are indicators of impairment and these assets are recorded at fair value only when an impairment is recognized. These measurements of fair value are generally based upon Level 3 inputs, including values estimated using the income approach.</w:t>
      </w:r>
    </w:p>
    <w:p>
      <w:pPr>
        <w:spacing w:after="0" w:line="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In the first nine months of fiscal year 2025, the Company recorded non-cash asset impairment charges of $10.6 million to write down the carrying value of certain property and equipment as a result of the Company's plan to discontinue the patch pump program. $6.3 million was recorded to </w:t>
      </w:r>
      <w:r>
        <w:rPr>
          <w:rFonts w:ascii="Times New Roman" w:cs="Times New Roman" w:eastAsia="Times New Roman" w:hAnsi="Times New Roman"/>
          <w:sz w:val="18"/>
          <w:szCs w:val="18"/>
          <w:i w:val="1"/>
          <w:iCs w:val="1"/>
          <w:color w:val="auto"/>
        </w:rPr>
        <w:t>Cost of products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sold </w:t>
      </w:r>
      <w:r>
        <w:rPr>
          <w:rFonts w:ascii="Times New Roman" w:cs="Times New Roman" w:eastAsia="Times New Roman" w:hAnsi="Times New Roman"/>
          <w:sz w:val="18"/>
          <w:szCs w:val="18"/>
          <w:color w:val="auto"/>
        </w:rPr>
        <w:t>and $4.3 million was recorded to</w:t>
      </w:r>
      <w:r>
        <w:rPr>
          <w:rFonts w:ascii="Times New Roman" w:cs="Times New Roman" w:eastAsia="Times New Roman" w:hAnsi="Times New Roman"/>
          <w:sz w:val="18"/>
          <w:szCs w:val="18"/>
          <w:i w:val="1"/>
          <w:iCs w:val="1"/>
          <w:color w:val="auto"/>
        </w:rPr>
        <w:t xml:space="preserve"> Research and development expense</w:t>
      </w:r>
      <w:r>
        <w:rPr>
          <w:rFonts w:ascii="Times New Roman" w:cs="Times New Roman" w:eastAsia="Times New Roman" w:hAnsi="Times New Roman"/>
          <w:sz w:val="18"/>
          <w:szCs w:val="18"/>
          <w:color w:val="auto"/>
        </w:rPr>
        <w:t>. The amount recognized was recorded to adjust the carrying amount of assets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assets' fair values, which were estimated, based upon a market participant's perspective, using Level 3 measurements, including values estimated using the income approach.</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Three of the Company’s customers represented at least 10.0% of total gross revenues individually and, in the aggregate, represented approximately 40.7% for the three months ended June 30, 2025, and three of the Company's customers represented at least 10.0% of total gross revenues individually and, in the aggregate, represented approximately 41.2% of total revenues for the nine months ended June 30, 2025.</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Two of the Company's customers represented at least 10.0% of total gross trade receivables individually and, in the aggregate, represented approximately 29.1% as of June 30, 2025.</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trade receivables are due from public and private entities involved in the healthcare industry. The Company does not normally require collateral from its customers.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Property, Plant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consisted of:</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22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1760" w:type="dxa"/>
            <w:vAlign w:val="bottom"/>
            <w:tcBorders>
              <w:bottom w:val="single" w:sz="8" w:color="CCEEFF"/>
            </w:tcBorders>
            <w:shd w:val="clear" w:color="auto" w:fill="CCEEFF"/>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0"/>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17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w:t>
            </w:r>
          </w:p>
        </w:tc>
      </w:tr>
      <w:tr>
        <w:trPr>
          <w:trHeight w:val="33"/>
        </w:trPr>
        <w:tc>
          <w:tcPr>
            <w:tcW w:w="64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2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equipment and fixtures</w:t>
            </w:r>
          </w:p>
        </w:tc>
        <w:tc>
          <w:tcPr>
            <w:tcW w:w="17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607.3</w:t>
            </w:r>
          </w:p>
        </w:tc>
      </w:tr>
      <w:tr>
        <w:trPr>
          <w:trHeight w:val="210"/>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7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33"/>
        </w:trPr>
        <w:tc>
          <w:tcPr>
            <w:tcW w:w="64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4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17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r>
      <w:tr>
        <w:trPr>
          <w:trHeight w:val="204"/>
        </w:trPr>
        <w:tc>
          <w:tcPr>
            <w:tcW w:w="6400" w:type="dxa"/>
            <w:vAlign w:val="bottom"/>
          </w:tcPr>
          <w:p>
            <w:pPr>
              <w:spacing w:after="0"/>
              <w:rPr>
                <w:sz w:val="17"/>
                <w:szCs w:val="17"/>
                <w:color w:val="auto"/>
              </w:rPr>
            </w:pPr>
          </w:p>
        </w:tc>
        <w:tc>
          <w:tcPr>
            <w:tcW w:w="1760" w:type="dxa"/>
            <w:vAlign w:val="bottom"/>
            <w:tcBorders>
              <w:top w:val="single" w:sz="8" w:color="auto"/>
            </w:tcBorders>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789.0</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779.1</w:t>
            </w:r>
          </w:p>
        </w:tc>
      </w:tr>
      <w:tr>
        <w:trPr>
          <w:trHeight w:val="33"/>
        </w:trPr>
        <w:tc>
          <w:tcPr>
            <w:tcW w:w="64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4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7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(488.7)</w:t>
            </w:r>
          </w:p>
        </w:tc>
      </w:tr>
      <w:tr>
        <w:trPr>
          <w:trHeight w:val="204"/>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Property, Plant and Equipment, Net</w:t>
            </w:r>
          </w:p>
        </w:tc>
        <w:tc>
          <w:tcPr>
            <w:tcW w:w="1760" w:type="dxa"/>
            <w:vAlign w:val="bottom"/>
            <w:tcBorders>
              <w:top w:val="single" w:sz="8" w:color="auto"/>
            </w:tcBorders>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262.7</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290.4</w:t>
            </w:r>
          </w:p>
        </w:tc>
      </w:tr>
      <w:tr>
        <w:trPr>
          <w:trHeight w:val="33"/>
        </w:trPr>
        <w:tc>
          <w:tcPr>
            <w:tcW w:w="64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1"/>
        </w:trPr>
        <w:tc>
          <w:tcPr>
            <w:tcW w:w="64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During the nine months ended June 30, 2025, the Company recorded non-cash asset impairment charges of $10.6 million to write down the carrying value of certain property and equipment as a result of the Company's plan to discontinue the patch pump program. $6.3 million was recorded to </w:t>
      </w:r>
      <w:r>
        <w:rPr>
          <w:rFonts w:ascii="Times New Roman" w:cs="Times New Roman" w:eastAsia="Times New Roman" w:hAnsi="Times New Roman"/>
          <w:sz w:val="18"/>
          <w:szCs w:val="18"/>
          <w:i w:val="1"/>
          <w:iCs w:val="1"/>
          <w:color w:val="auto"/>
        </w:rPr>
        <w:t>Cost of products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sold </w:t>
      </w:r>
      <w:r>
        <w:rPr>
          <w:rFonts w:ascii="Times New Roman" w:cs="Times New Roman" w:eastAsia="Times New Roman" w:hAnsi="Times New Roman"/>
          <w:sz w:val="18"/>
          <w:szCs w:val="18"/>
          <w:color w:val="auto"/>
        </w:rPr>
        <w:t>and $4.3 million was recorded to</w:t>
      </w:r>
      <w:r>
        <w:rPr>
          <w:rFonts w:ascii="Times New Roman" w:cs="Times New Roman" w:eastAsia="Times New Roman" w:hAnsi="Times New Roman"/>
          <w:sz w:val="18"/>
          <w:szCs w:val="18"/>
          <w:i w:val="1"/>
          <w:iCs w:val="1"/>
          <w:color w:val="auto"/>
        </w:rPr>
        <w:t xml:space="preserve"> Research and development expense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Leases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Leases</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finance lease assets and liabilities are attributed to its manufacturing site in Holdrege, Nebraska, which has an initial term of ten years and an option for the Company to extend the lease term for an additional period of up to five years. This lease is classified as a finance lease because the present value of the sum of the lease payments associated with the lease exceeds substantially all of the fair value of the manufacturing site.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operating leases primarily relate to its real estate leases that are not classified as finance leases.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Aggregate Lease Information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leases are included in its Condensed Consolidated Balance Sheets as follows: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200" w:type="dxa"/>
            <w:vAlign w:val="bottom"/>
          </w:tcPr>
          <w:p>
            <w:pPr>
              <w:spacing w:after="0"/>
              <w:rPr>
                <w:sz w:val="18"/>
                <w:szCs w:val="18"/>
                <w:color w:val="auto"/>
              </w:rPr>
            </w:pPr>
          </w:p>
        </w:tc>
        <w:tc>
          <w:tcPr>
            <w:tcW w:w="1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196"/>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1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33"/>
        </w:trPr>
        <w:tc>
          <w:tcPr>
            <w:tcW w:w="6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20" w:type="dxa"/>
            <w:vAlign w:val="bottom"/>
            <w:tcBorders>
              <w:bottom w:val="single" w:sz="8" w:color="CCEEFF"/>
            </w:tcBorders>
            <w:shd w:val="clear" w:color="auto" w:fill="CCEEFF"/>
          </w:tcPr>
          <w:p>
            <w:pPr>
              <w:jc w:val="right"/>
              <w:ind w:right="16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30.8</w:t>
            </w:r>
          </w:p>
        </w:tc>
      </w:tr>
      <w:tr>
        <w:trPr>
          <w:trHeight w:val="204"/>
        </w:trPr>
        <w:tc>
          <w:tcPr>
            <w:tcW w:w="6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Finance Lease Assets</w:t>
            </w:r>
          </w:p>
        </w:tc>
        <w:tc>
          <w:tcPr>
            <w:tcW w:w="1820" w:type="dxa"/>
            <w:vAlign w:val="bottom"/>
            <w:tcBorders>
              <w:top w:val="single" w:sz="8" w:color="auto"/>
            </w:tcBorders>
          </w:tcPr>
          <w:p>
            <w:pPr>
              <w:jc w:val="right"/>
              <w:ind w:right="16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30.8</w:t>
            </w:r>
          </w:p>
        </w:tc>
      </w:tr>
      <w:tr>
        <w:trPr>
          <w:trHeight w:val="33"/>
        </w:trPr>
        <w:tc>
          <w:tcPr>
            <w:tcW w:w="62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75"/>
        </w:trPr>
        <w:tc>
          <w:tcPr>
            <w:tcW w:w="6200" w:type="dxa"/>
            <w:vAlign w:val="bottom"/>
            <w:shd w:val="clear" w:color="auto" w:fill="CCEEFF"/>
          </w:tcPr>
          <w:p>
            <w:pPr>
              <w:spacing w:after="0"/>
              <w:rPr>
                <w:sz w:val="6"/>
                <w:szCs w:val="6"/>
                <w:color w:val="auto"/>
              </w:rPr>
            </w:pPr>
          </w:p>
        </w:tc>
        <w:tc>
          <w:tcPr>
            <w:tcW w:w="18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120" w:type="dxa"/>
            <w:vAlign w:val="bottom"/>
            <w:shd w:val="clear" w:color="auto" w:fill="CCEEFF"/>
          </w:tcPr>
          <w:p>
            <w:pPr>
              <w:spacing w:after="0"/>
              <w:rPr>
                <w:sz w:val="6"/>
                <w:szCs w:val="6"/>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finance lease liabilities</w:t>
            </w:r>
          </w:p>
        </w:tc>
        <w:tc>
          <w:tcPr>
            <w:tcW w:w="1820" w:type="dxa"/>
            <w:vAlign w:val="bottom"/>
          </w:tcPr>
          <w:p>
            <w:pPr>
              <w:jc w:val="right"/>
              <w:ind w:right="16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w:t>
            </w:r>
          </w:p>
        </w:tc>
      </w:tr>
      <w:tr>
        <w:trPr>
          <w:trHeight w:val="33"/>
        </w:trPr>
        <w:tc>
          <w:tcPr>
            <w:tcW w:w="6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 Current Finance Lease Liabilities</w:t>
            </w:r>
          </w:p>
        </w:tc>
        <w:tc>
          <w:tcPr>
            <w:tcW w:w="18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30.2</w:t>
            </w:r>
          </w:p>
        </w:tc>
      </w:tr>
      <w:tr>
        <w:trPr>
          <w:trHeight w:val="204"/>
        </w:trPr>
        <w:tc>
          <w:tcPr>
            <w:tcW w:w="6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Finance Lease Liabilities</w:t>
            </w:r>
          </w:p>
        </w:tc>
        <w:tc>
          <w:tcPr>
            <w:tcW w:w="1820" w:type="dxa"/>
            <w:vAlign w:val="bottom"/>
            <w:tcBorders>
              <w:top w:val="single" w:sz="8" w:color="auto"/>
            </w:tcBorders>
          </w:tcPr>
          <w:p>
            <w:pPr>
              <w:jc w:val="right"/>
              <w:ind w:right="16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33.6</w:t>
            </w:r>
          </w:p>
        </w:tc>
      </w:tr>
      <w:tr>
        <w:trPr>
          <w:trHeight w:val="33"/>
        </w:trPr>
        <w:tc>
          <w:tcPr>
            <w:tcW w:w="62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237"/>
        </w:trPr>
        <w:tc>
          <w:tcPr>
            <w:tcW w:w="62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(years)</w:t>
            </w:r>
          </w:p>
        </w:tc>
        <w:tc>
          <w:tcPr>
            <w:tcW w:w="182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w:t>
            </w:r>
          </w:p>
        </w:tc>
      </w:tr>
      <w:tr>
        <w:trPr>
          <w:trHeight w:val="33"/>
        </w:trPr>
        <w:tc>
          <w:tcPr>
            <w:tcW w:w="6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2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8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r>
      <w:tr>
        <w:trPr>
          <w:trHeight w:val="318"/>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3"/>
        </w:trPr>
        <w:tc>
          <w:tcPr>
            <w:tcW w:w="6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20" w:type="dxa"/>
            <w:vAlign w:val="bottom"/>
            <w:tcBorders>
              <w:bottom w:val="single" w:sz="8" w:color="CCEEFF"/>
            </w:tcBorders>
            <w:shd w:val="clear" w:color="auto" w:fill="CCEEFF"/>
          </w:tcPr>
          <w:p>
            <w:pPr>
              <w:jc w:val="right"/>
              <w:ind w:right="16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22.6</w:t>
            </w:r>
          </w:p>
        </w:tc>
      </w:tr>
      <w:tr>
        <w:trPr>
          <w:trHeight w:val="204"/>
        </w:trPr>
        <w:tc>
          <w:tcPr>
            <w:tcW w:w="6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Operating Lease Assets</w:t>
            </w:r>
          </w:p>
        </w:tc>
        <w:tc>
          <w:tcPr>
            <w:tcW w:w="1820" w:type="dxa"/>
            <w:vAlign w:val="bottom"/>
            <w:tcBorders>
              <w:top w:val="single" w:sz="8" w:color="auto"/>
            </w:tcBorders>
          </w:tcPr>
          <w:p>
            <w:pPr>
              <w:jc w:val="right"/>
              <w:ind w:right="16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22.6</w:t>
            </w:r>
          </w:p>
        </w:tc>
      </w:tr>
      <w:tr>
        <w:trPr>
          <w:trHeight w:val="33"/>
        </w:trPr>
        <w:tc>
          <w:tcPr>
            <w:tcW w:w="62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75"/>
        </w:trPr>
        <w:tc>
          <w:tcPr>
            <w:tcW w:w="6200" w:type="dxa"/>
            <w:vAlign w:val="bottom"/>
            <w:shd w:val="clear" w:color="auto" w:fill="CCEEFF"/>
          </w:tcPr>
          <w:p>
            <w:pPr>
              <w:spacing w:after="0"/>
              <w:rPr>
                <w:sz w:val="6"/>
                <w:szCs w:val="6"/>
                <w:color w:val="auto"/>
              </w:rPr>
            </w:pPr>
          </w:p>
        </w:tc>
        <w:tc>
          <w:tcPr>
            <w:tcW w:w="18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120" w:type="dxa"/>
            <w:vAlign w:val="bottom"/>
            <w:shd w:val="clear" w:color="auto" w:fill="CCEEFF"/>
          </w:tcPr>
          <w:p>
            <w:pPr>
              <w:spacing w:after="0"/>
              <w:rPr>
                <w:sz w:val="6"/>
                <w:szCs w:val="6"/>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expenses</w:t>
            </w:r>
          </w:p>
        </w:tc>
        <w:tc>
          <w:tcPr>
            <w:tcW w:w="1820" w:type="dxa"/>
            <w:vAlign w:val="bottom"/>
          </w:tcPr>
          <w:p>
            <w:pPr>
              <w:jc w:val="right"/>
              <w:ind w:right="16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6.0</w:t>
            </w:r>
          </w:p>
        </w:tc>
      </w:tr>
      <w:tr>
        <w:trPr>
          <w:trHeight w:val="33"/>
        </w:trPr>
        <w:tc>
          <w:tcPr>
            <w:tcW w:w="6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Liabilities</w:t>
            </w:r>
          </w:p>
        </w:tc>
        <w:tc>
          <w:tcPr>
            <w:tcW w:w="18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11.9</w:t>
            </w:r>
          </w:p>
        </w:tc>
      </w:tr>
      <w:tr>
        <w:trPr>
          <w:trHeight w:val="204"/>
        </w:trPr>
        <w:tc>
          <w:tcPr>
            <w:tcW w:w="6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1820" w:type="dxa"/>
            <w:vAlign w:val="bottom"/>
            <w:tcBorders>
              <w:top w:val="single" w:sz="8" w:color="auto"/>
            </w:tcBorders>
          </w:tcPr>
          <w:p>
            <w:pPr>
              <w:jc w:val="right"/>
              <w:ind w:right="16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17.9</w:t>
            </w:r>
          </w:p>
        </w:tc>
      </w:tr>
      <w:tr>
        <w:trPr>
          <w:trHeight w:val="33"/>
        </w:trPr>
        <w:tc>
          <w:tcPr>
            <w:tcW w:w="62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75"/>
        </w:trPr>
        <w:tc>
          <w:tcPr>
            <w:tcW w:w="6200" w:type="dxa"/>
            <w:vAlign w:val="bottom"/>
            <w:shd w:val="clear" w:color="auto" w:fill="CCEEFF"/>
          </w:tcPr>
          <w:p>
            <w:pPr>
              <w:spacing w:after="0"/>
              <w:rPr>
                <w:sz w:val="6"/>
                <w:szCs w:val="6"/>
                <w:color w:val="auto"/>
              </w:rPr>
            </w:pPr>
          </w:p>
        </w:tc>
        <w:tc>
          <w:tcPr>
            <w:tcW w:w="18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120" w:type="dxa"/>
            <w:vAlign w:val="bottom"/>
            <w:shd w:val="clear" w:color="auto" w:fill="CCEEFF"/>
          </w:tcPr>
          <w:p>
            <w:pPr>
              <w:spacing w:after="0"/>
              <w:rPr>
                <w:sz w:val="6"/>
                <w:szCs w:val="6"/>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(years)</w:t>
            </w:r>
          </w:p>
        </w:tc>
        <w:tc>
          <w:tcPr>
            <w:tcW w:w="182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w:t>
            </w:r>
          </w:p>
        </w:tc>
      </w:tr>
      <w:tr>
        <w:trPr>
          <w:trHeight w:val="33"/>
        </w:trPr>
        <w:tc>
          <w:tcPr>
            <w:tcW w:w="6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1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8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w:t>
            </w:r>
          </w:p>
        </w:tc>
      </w:tr>
      <w:tr>
        <w:trPr>
          <w:trHeight w:val="33"/>
        </w:trPr>
        <w:tc>
          <w:tcPr>
            <w:tcW w:w="62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nine months ended June 30, 2025 and 2024 were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00" w:type="dxa"/>
            <w:vAlign w:val="bottom"/>
          </w:tcPr>
          <w:p>
            <w:pPr>
              <w:spacing w:after="0"/>
              <w:rPr>
                <w:sz w:val="18"/>
                <w:szCs w:val="18"/>
                <w:color w:val="auto"/>
              </w:rPr>
            </w:pPr>
          </w:p>
        </w:tc>
        <w:tc>
          <w:tcPr>
            <w:tcW w:w="18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196"/>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Right of use assets obtained in exchange for lease liabilities</w:t>
            </w:r>
          </w:p>
        </w:tc>
        <w:tc>
          <w:tcPr>
            <w:tcW w:w="1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33"/>
        </w:trPr>
        <w:tc>
          <w:tcPr>
            <w:tcW w:w="6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23"/>
        </w:trPr>
        <w:tc>
          <w:tcPr>
            <w:tcW w:w="6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Leases</w:t>
            </w:r>
          </w:p>
        </w:tc>
        <w:tc>
          <w:tcPr>
            <w:tcW w:w="1880" w:type="dxa"/>
            <w:vAlign w:val="bottom"/>
            <w:tcBorders>
              <w:bottom w:val="single" w:sz="8" w:color="CCEEFF"/>
            </w:tcBorders>
            <w:shd w:val="clear" w:color="auto" w:fill="CCEEFF"/>
          </w:tcPr>
          <w:p>
            <w:pPr>
              <w:jc w:val="right"/>
              <w:ind w:right="16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520"/>
        </w:trPr>
        <w:tc>
          <w:tcPr>
            <w:tcW w:w="6400" w:type="dxa"/>
            <w:vAlign w:val="bottom"/>
          </w:tcPr>
          <w:p>
            <w:pPr>
              <w:spacing w:after="0"/>
              <w:rPr>
                <w:sz w:val="24"/>
                <w:szCs w:val="24"/>
                <w:color w:val="auto"/>
              </w:rPr>
            </w:pPr>
          </w:p>
        </w:tc>
        <w:tc>
          <w:tcPr>
            <w:tcW w:w="18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196"/>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used for amounts included in the measurement of lease liabilities</w:t>
            </w:r>
          </w:p>
        </w:tc>
        <w:tc>
          <w:tcPr>
            <w:tcW w:w="1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33"/>
        </w:trPr>
        <w:tc>
          <w:tcPr>
            <w:tcW w:w="6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23"/>
        </w:trPr>
        <w:tc>
          <w:tcPr>
            <w:tcW w:w="6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1880" w:type="dxa"/>
            <w:vAlign w:val="bottom"/>
            <w:tcBorders>
              <w:bottom w:val="single" w:sz="8" w:color="CCEEFF"/>
            </w:tcBorders>
            <w:shd w:val="clear" w:color="auto" w:fill="CCEEFF"/>
          </w:tcPr>
          <w:p>
            <w:pPr>
              <w:jc w:val="right"/>
              <w:ind w:right="16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0"/>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cash flows from Finance Lease</w:t>
            </w:r>
          </w:p>
        </w:tc>
        <w:tc>
          <w:tcPr>
            <w:tcW w:w="1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33"/>
        </w:trPr>
        <w:tc>
          <w:tcPr>
            <w:tcW w:w="6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cash flows from Finance Lease</w:t>
            </w:r>
          </w:p>
        </w:tc>
        <w:tc>
          <w:tcPr>
            <w:tcW w:w="1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33"/>
        </w:trPr>
        <w:tc>
          <w:tcPr>
            <w:tcW w:w="64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the Company's finance and operating lease liabilities as of June 30, 2025 by fiscal year are as follows:</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500" w:type="dxa"/>
            <w:vAlign w:val="bottom"/>
          </w:tcPr>
          <w:p>
            <w:pPr>
              <w:spacing w:after="0"/>
              <w:rPr>
                <w:sz w:val="18"/>
                <w:szCs w:val="18"/>
                <w:color w:val="auto"/>
              </w:rPr>
            </w:pPr>
          </w:p>
        </w:tc>
        <w:tc>
          <w:tcPr>
            <w:tcW w:w="174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0"/>
        </w:trPr>
        <w:tc>
          <w:tcPr>
            <w:tcW w:w="41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2025</w:t>
            </w:r>
          </w:p>
        </w:tc>
        <w:tc>
          <w:tcPr>
            <w:tcW w:w="1780" w:type="dxa"/>
            <w:vAlign w:val="bottom"/>
            <w:tcBorders>
              <w:top w:val="single" w:sz="8" w:color="auto"/>
              <w:bottom w:val="single" w:sz="8" w:color="CCEEFF"/>
            </w:tcBorders>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0"/>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2026</w:t>
            </w:r>
          </w:p>
        </w:tc>
        <w:tc>
          <w:tcPr>
            <w:tcW w:w="1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33"/>
        </w:trPr>
        <w:tc>
          <w:tcPr>
            <w:tcW w:w="4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3"/>
        </w:trPr>
        <w:tc>
          <w:tcPr>
            <w:tcW w:w="4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2027</w:t>
            </w:r>
          </w:p>
        </w:tc>
        <w:tc>
          <w:tcPr>
            <w:tcW w:w="17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0"/>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2028</w:t>
            </w:r>
          </w:p>
        </w:tc>
        <w:tc>
          <w:tcPr>
            <w:tcW w:w="1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33"/>
        </w:trPr>
        <w:tc>
          <w:tcPr>
            <w:tcW w:w="4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3"/>
        </w:trPr>
        <w:tc>
          <w:tcPr>
            <w:tcW w:w="4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2029</w:t>
            </w:r>
          </w:p>
        </w:tc>
        <w:tc>
          <w:tcPr>
            <w:tcW w:w="17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0"/>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Thereafter</w:t>
            </w:r>
          </w:p>
        </w:tc>
        <w:tc>
          <w:tcPr>
            <w:tcW w:w="1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r>
      <w:tr>
        <w:trPr>
          <w:trHeight w:val="33"/>
        </w:trPr>
        <w:tc>
          <w:tcPr>
            <w:tcW w:w="41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payments</w:t>
            </w:r>
          </w:p>
        </w:tc>
        <w:tc>
          <w:tcPr>
            <w:tcW w:w="1780" w:type="dxa"/>
            <w:vAlign w:val="bottom"/>
            <w:tcBorders>
              <w:bottom w:val="single" w:sz="8" w:color="CCEEFF"/>
            </w:tcBorders>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w:t>
            </w:r>
          </w:p>
        </w:tc>
      </w:tr>
      <w:tr>
        <w:trPr>
          <w:trHeight w:val="204"/>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17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6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33"/>
        </w:trPr>
        <w:tc>
          <w:tcPr>
            <w:tcW w:w="41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2"/>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780" w:type="dxa"/>
            <w:vAlign w:val="bottom"/>
            <w:tcBorders>
              <w:bottom w:val="single" w:sz="8" w:color="CCEEFF"/>
            </w:tcBorders>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Factors Affecting Forward-Looking Statements</w:t>
      </w:r>
    </w:p>
    <w:p>
      <w:pPr>
        <w:spacing w:after="0" w:line="1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Condensed Consolidated Financial Statements and accompanying notes contained elsewhere in this Quarterly Report on Form 10-Q. This discussion contains a number of forward-looking statements, all of which are based on our current expectations and could be affected by the uncertainties and other factors described throughout this discussion and analysis, particularly in the section “Cautionary Statement Concerning Forward-Looking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are a leading global medical device company focused on providing solutions to improve the health and well-being of people living with diabetes. In the 100-year history of our business, we believe that our products have become some of the most widely recognized and respected brands in diabetes management in the world. We estimate that our products are used by approximately 30 million people in over 100 countries for insulin administration and to aid with the daily management of diabetes. Our business traces its origins to 1924, when BD developed the first dedicated insulin syringe. Since then, we have built a world-class organization with an unique manufacturing, supply chain and commercial footprint.</w:t>
      </w:r>
    </w:p>
    <w:p>
      <w:pPr>
        <w:spacing w:after="0" w:line="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a broad portfolio of marketed products, including a variety of pen needles, syringes and safety injection devices. Our pen needles are sterile, single-use, medical devices, designed to be used in conjunction with pen injectors that inject insulin or other diabetes medications. We also sell safety pen needles, which have shields on both ends of the cannula that automatically deploy after the injection to help prevent needlestick exposure and injury during injection and disposal. Our traditional and safety pen needles are compatible and frequently used with widely available pen injectors in the market today. In addition to pen needles, we sell sterile, single-use insulin syringes, which are used to inject insulin drawn from insulin vials. We also sell safety insulin syringes, which have a sliding safety shield that can be activated with one-hand after the injection to help prevent needlestick exposure and injury during injection and disposal.</w:t>
      </w:r>
    </w:p>
    <w:p>
      <w:pPr>
        <w:spacing w:after="0" w:line="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primarily sell our products to wholesalers and distributors that sell to retail and institutional channels who in turn sell to patients or use the products to deliver insulin injections to patients.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Affecting Our Results of Operations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Competition. The regions in which we conduct our business and the medical devices industry in general are highly competitive. We face significant competition from a wide range of companies in a highly regulated industry. These include large companies with multiple product lines, some of which may have greater financial and marketing resources than us, as well as smaller more specialized companies. Non-traditional entrants, such as technology companies, are also entering into the diabetes care industry and its adjacent markets, some of which may have greater financial and marketing resources than us.</w:t>
      </w:r>
    </w:p>
    <w:p>
      <w:pPr>
        <w:spacing w:after="0" w:line="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Pricing Pressures. We face significant pricing pressures from competitors in the pen needle and insulin syringe categories who not only can provide competitive products at lower costs, but also provide payors and customers with more choices for formulary partners in these categories. In addition, the increased scrutiny by regulators on healthcare spending, which accelerated in light of the COVID-19 pandemic, along with a shift towards volume-based procurement and group purchasing organizations, which generally values lower cost over product features, benefits and quality, have placed significant pressure on Embecta to lower price in both developed and emerging markets. These trends may reduce our operating margins, which are only partially offset by our ability to differentiate our products and sell at higher prices.</w:t>
      </w:r>
    </w:p>
    <w:p>
      <w:pPr>
        <w:spacing w:after="0" w:line="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Commoditization of Injection Devices. Given the growing demand for medical devices to assist in the treatment of diabetes and difficulties around access to diabetes care due to complex and costly insurance plans, patient care is increasingly focused on providing more affordable products, which has led to the commoditization of more traditional injection delivery devices, such as insulin syringes and pen needles. Existing and new local and regional low-cost providers, in combination with a shift from insulin vials to insulin pens, have made the pen needle category highly competitive.</w:t>
      </w:r>
    </w:p>
    <w:p>
      <w:pPr>
        <w:spacing w:after="0" w:line="6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Global Trade. The current global economic environment has been recently influenced by rapidly changing new tariff policies instituted by the United States ("U.S.") government and foreign governments. As a global company that both imports raw materials and products into the U.S. and distributes products and raw materials originating from the U.S. to global manufacturing sites and markets, these new tariffs may have a financial impact on our cost of goods, our profit margins, our business generally and our global distribution strategy. These new tariffs may cause foreign governments and private purchasers to consider transitioning away from products originating from certain countries (including the U.S.) in favor of buying “local” products resulting in the additional possibility that local manufacturers, brands and other competitors may engage in aggressive competitive pricing to take advantage of the uncertain global trade environment and transition customers away from global manufacturers, all of which may impact the company’s business and operations.</w:t>
      </w: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Changes in Clinical Practice. Introduction of new drugs and increased penetration of oral and once-weekly anti-diabetic drugs (e.g., SGLT-2s), GLP-1s and GLP-1 combination products have delayed initiation of insulin therapy and contributed to less demand for our products. New drug therapies, including weekly insulin, are targeted to challenge the current diabetes treatment paradigm, including the frequency insulin is dosed (weekly vs. daily injections) and amount of insulin used. Additionally, insulin therapy in developed markets continues to transition to infusion pumps.</w:t>
      </w:r>
    </w:p>
    <w:p>
      <w:pPr>
        <w:spacing w:after="0" w:line="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Decentralization of Chronic Care. Many countries are facing an aging population and a rapidly growing number of people living with diabetes. While healthcare investments in certain regions continue to grow, there is an increased burden on physicians and longer wait times for patients. Healthcare delivery for non-emergency diabetes care is expected to continue shifting outside of hospitals to primary care providers, which could have a material impact on our results of operations.</w:t>
      </w:r>
    </w:p>
    <w:p>
      <w:pPr>
        <w:spacing w:after="0" w:line="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Political and Economic Instability in Emerging Markets. We operate in a number of emerging markets, many of which are subject from time to time to significant political and economic disruptions. However, the number of countries we provide products to and our proactive channel management strategies help us manage this variability.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9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continue to face increases in the cost and disrupted availability of raw materials, components, and other inputs necessary to manufacture and distribute our products due to constraints and inflation within the global supply chain, as well as increases in the cost and time to distribute our products. To date we have been able to successfully mitigate this disruption and provide uninterrupted supply to our customers by increasing our inventory levels and taking other measures. Given our global business, we expect recently announced tariffs will result in additional cost for us and our suppliers, and there is the potential that such tariffs may influence future decisions by foreign governments and private purchasers to source non-U.S., “locally” manufactured products instead of products originating from certain countries (including the U.S.) and that local manufacturers, brands and other competitors may engage in aggressive competitive pricing or other strategies to take advantage of the uncertain global trade environment and transition customers away from global manufacturers. We will continue to monitor the evolving tariff environment and we will focus on optimizing operations and leveraging existing strategies to reduce the impact from tariffs.</w:t>
      </w:r>
    </w:p>
    <w:p>
      <w:pPr>
        <w:spacing w:after="0" w:line="9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November 22, 2024, the Company's Board of Directors approved a plan to discontinue internal and external investment in the research and development of our patch pump program. As a result, the Company incurred organizational restructuring plan (the "Patch Pump Restructuring Plan") costs of $34.3 million during the nine months ended June 30, 2025. Restructuring actions associated with the Patch Pump Restructuring Plan to discontinue the patch pump program are substantially complete as of June 30, 2025. In addition, we discontinued our commercial operation plans for the insulin delivery system, including the previous intended limited launch. The Company plans to refocus its investment on its core business while looking to optimize free cash flow and strengthen its balance sheet by paying down debt.</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second quarter of fiscal 2025, the Company initiated restructuring actions in connection with the 2025 Restructuring Plan to streamline the organization and optimize resources. As a result, the Company incurred organizational restructuring plan costs of $3.5 million during the nine months ended June 30, 2025. The 2025 Restructuring Plan is substantially complete as of June 30, 2025.</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continue to monitor the conflict in Ukraine and the associated sanctions and other restrictions. We also are monitoring the conflicts in the Middle East and Houthi attacks on commercial shipping vessels and other naval vessels. As of August 8, 2025, there is no material impact to our business operations and financial performance as a result of the aforementioned conflicts. However, the full impact of the conflicts on our business operations and financial performance remains uncertain and will depend on future developments, including the severity and duration of the conflicts and their impact on regional and global economic conditions. We will continue to monitor these conflicts and assess the related restrictions and other effects on our business.</w:t>
      </w:r>
    </w:p>
    <w:p>
      <w:pPr>
        <w:spacing w:after="0" w:line="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our revenues and results of operations have been affected by various fluctuations in macroeconomic conditions and regulatory and policy changes, both on a global level and in particular markets, which include inflation and slowing economic growth and contractions, a changing interest rate environment, supply chain interruptions, tariff policy changes, volatility in capital markets and the availability of credit, tax rates and the rate of exchange between the United States dollar and foreign currencies. The nature and extent of the impact of these factors among others varies by region and remains uncertain and unpredictable and may affect our business.</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July 4, 2025, the One Big Beautiful Bill ("OBBB") Act, which includes a broad range of tax reform provisions, was signed into law in the United States and we continue to assess its impact. We currently do not expect the OBBB Act to have a material impact on the Company's results of operations in fiscal year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unaudited Condensed Consolidated Statements of Income are as follows: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ind w:left="780"/>
              <w:spacing w:after="0"/>
              <w:rPr>
                <w:sz w:val="20"/>
                <w:szCs w:val="20"/>
                <w:color w:val="auto"/>
              </w:rPr>
            </w:pPr>
            <w:r>
              <w:rPr>
                <w:rFonts w:ascii="Times New Roman" w:cs="Times New Roman" w:eastAsia="Times New Roman" w:hAnsi="Times New Roman"/>
                <w:sz w:val="16"/>
                <w:szCs w:val="16"/>
                <w:b w:val="1"/>
                <w:bCs w:val="1"/>
                <w:color w:val="auto"/>
              </w:rPr>
              <w:t>Nine months ended June 30,</w:t>
            </w:r>
          </w:p>
        </w:tc>
        <w:tc>
          <w:tcPr>
            <w:tcW w:w="920" w:type="dxa"/>
            <w:vAlign w:val="bottom"/>
            <w:tcBorders>
              <w:bottom w:val="single" w:sz="8" w:color="auto"/>
            </w:tcBorders>
          </w:tcPr>
          <w:p>
            <w:pPr>
              <w:spacing w:after="0"/>
              <w:rPr>
                <w:sz w:val="18"/>
                <w:szCs w:val="18"/>
                <w:color w:val="auto"/>
              </w:rPr>
            </w:pPr>
          </w:p>
        </w:tc>
      </w:tr>
      <w:tr>
        <w:trPr>
          <w:trHeight w:val="209"/>
        </w:trPr>
        <w:tc>
          <w:tcPr>
            <w:tcW w:w="30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1"/>
        </w:trPr>
        <w:tc>
          <w:tcPr>
            <w:tcW w:w="3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6"/>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295.5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272.5</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816.4</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837.0</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0"/>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8.2</w:t>
            </w:r>
          </w:p>
        </w:tc>
      </w:tr>
      <w:tr>
        <w:trPr>
          <w:trHeight w:val="33"/>
        </w:trPr>
        <w:tc>
          <w:tcPr>
            <w:tcW w:w="3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8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197.1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518.3</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561.4</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(7.7)</w:t>
            </w:r>
          </w:p>
        </w:tc>
      </w:tr>
      <w:tr>
        <w:trPr>
          <w:trHeight w:val="210"/>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3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3"/>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8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268.3</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(8.6)</w:t>
            </w:r>
          </w:p>
        </w:tc>
      </w:tr>
      <w:tr>
        <w:trPr>
          <w:trHeight w:val="210"/>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(44.6)</w:t>
            </w:r>
          </w:p>
        </w:tc>
      </w:tr>
      <w:tr>
        <w:trPr>
          <w:trHeight w:val="33"/>
        </w:trPr>
        <w:tc>
          <w:tcPr>
            <w:tcW w:w="3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(41.6)</w:t>
            </w:r>
          </w:p>
        </w:tc>
      </w:tr>
      <w:tr>
        <w:trPr>
          <w:trHeight w:val="204"/>
        </w:trPr>
        <w:tc>
          <w:tcPr>
            <w:tcW w:w="3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103.1</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332.7</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420.8</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(20.9)</w:t>
            </w:r>
          </w:p>
        </w:tc>
      </w:tr>
      <w:tr>
        <w:trPr>
          <w:trHeight w:val="33"/>
        </w:trPr>
        <w:tc>
          <w:tcPr>
            <w:tcW w:w="3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8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32.0</w:t>
            </w:r>
          </w:p>
        </w:tc>
      </w:tr>
      <w:tr>
        <w:trPr>
          <w:trHeight w:val="210"/>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w:t>
            </w:r>
          </w:p>
        </w:tc>
      </w:tr>
      <w:tr>
        <w:trPr>
          <w:trHeight w:val="33"/>
        </w:trPr>
        <w:tc>
          <w:tcPr>
            <w:tcW w:w="3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(536.4)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(147.5)</w:t>
            </w:r>
          </w:p>
        </w:tc>
      </w:tr>
      <w:tr>
        <w:trPr>
          <w:trHeight w:val="204"/>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167.4</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109.6</w:t>
            </w:r>
          </w:p>
        </w:tc>
      </w:tr>
      <w:tr>
        <w:trPr>
          <w:trHeight w:val="33"/>
        </w:trPr>
        <w:tc>
          <w:tcPr>
            <w:tcW w:w="3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(406.4)</w:t>
            </w:r>
          </w:p>
        </w:tc>
      </w:tr>
      <w:tr>
        <w:trPr>
          <w:trHeight w:val="204"/>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tcBorders>
              <w:top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209.5 %</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2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8.3 %</w:t>
            </w:r>
          </w:p>
        </w:tc>
      </w:tr>
      <w:tr>
        <w:trPr>
          <w:trHeight w:val="33"/>
        </w:trPr>
        <w:tc>
          <w:tcPr>
            <w:tcW w:w="30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30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10"/>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3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3"/>
        </w:trPr>
        <w:tc>
          <w:tcPr>
            <w:tcW w:w="3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212.0 %</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r>
      <w:tr>
        <w:trPr>
          <w:trHeight w:val="210"/>
        </w:trPr>
        <w:tc>
          <w:tcPr>
            <w:tcW w:w="3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212.0 %</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7.3 %</w:t>
            </w:r>
          </w:p>
        </w:tc>
      </w:tr>
    </w:tbl>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2025 Summary (on a comparative basis)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financial results for the three months ended June 30, 2025 were as follows:</w:t>
      </w:r>
    </w:p>
    <w:p>
      <w:pPr>
        <w:spacing w:after="0" w:line="144"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by $23.0 million to $295.5 million from $272.5 million;</w:t>
      </w:r>
    </w:p>
    <w:p>
      <w:pPr>
        <w:spacing w:after="0" w:line="144"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by $7.0 million to $197.1 million from $190.1 million. Gross profit as a percent of revenue was 66.7%, as compared to 69.8% in the prior year comparative period;</w:t>
      </w:r>
    </w:p>
    <w:p>
      <w:pPr>
        <w:spacing w:after="0" w:line="8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increased by $38.1 million to $94.0 million from $55.9 million; and</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increased by $30.8 million to $45.5 million from $14.7 million.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June 30, 2025 Summary (on a comparative basis)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financial results for the nine months ended June 30, 2025 were as follows:</w:t>
      </w:r>
    </w:p>
    <w:p>
      <w:pPr>
        <w:spacing w:after="0" w:line="144"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$20.6 million to $816.4 million from $837.0 million;</w:t>
      </w:r>
    </w:p>
    <w:p>
      <w:pPr>
        <w:spacing w:after="0" w:line="144" w:lineRule="exact"/>
        <w:rPr>
          <w:rFonts w:ascii="Times New Roman" w:cs="Times New Roman" w:eastAsia="Times New Roman" w:hAnsi="Times New Roman"/>
          <w:sz w:val="18"/>
          <w:szCs w:val="18"/>
          <w:color w:val="auto"/>
        </w:rPr>
      </w:pPr>
    </w:p>
    <w:p>
      <w:pPr>
        <w:ind w:left="980" w:hanging="324"/>
        <w:spacing w:after="0" w:line="266"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decreased by $43.1 million to $518.3 million, from $561.4 million. Gross profit as a percent of revenue was 63.5%, as compared to 67.1% in the prior year comparative period;</w:t>
      </w:r>
    </w:p>
    <w:p>
      <w:pPr>
        <w:spacing w:after="0" w:line="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increased by $45.0 million to $185.6 million from $140.6 million; and</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increased by $5.3 million to $69.0 million from $63.7 million.</w:t>
      </w: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revenues increased by $23.0 million, or 8.4%, to $295.5 million for the three months ended June 30, 2025 as compared to revenues of $272.5 million for the three months ended June 30, 2024. Changes in revenues are driven by the volume of goods that the Company sells, the prices it negotiates with customers, and changes in foreign exchange rates. The increase in revenues was driven by $13.5 million of favorable changes in volume, $6.8 million of favorable changes in price, a $1.7 million increase in contract manufacturing revenues related to sales of non-diabetes products to Becton, Dickinson and Company ("BD"), and $1.0 million associated with the positive impact of foreign currency translation primarily due to the weakening of the U.S. dollar.</w:t>
      </w:r>
    </w:p>
    <w:p>
      <w:pPr>
        <w:spacing w:after="0" w:line="12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revenues decreased by $20.6 million, or 2.5%, to $816.4 million for the nine months ended June 30, 2025 as compared to revenues of $837.0 million for the nine months ended June 30, 2024. The decrease in revenues was driven by $31.0 million of unfavorable changes in volume and $7.0 million associated with the negative impact of foreign currency translation primarily due to the strengthening of the U.S. dollar. This was partially offset by $10.9 million of favorable changes in price and $6.5 million increase in contract manufacturing revenues related to sales of non-diabetes products to BD.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products sold</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Cost of products sold increased by $16.0 million, or 19.4%, to $98.4 million for the three months ended June 30, 2025 as compared to $82.4 million for the three months ended June 30, 2024. Cost of products sold as a percentage of revenues was 33.3% for the three months ended June 30, 2025 as compared to 30.2% for the three months ended June 30, 2024. The increase in cost of products sold for the three month comparative period was primarily driven by higher volumes and the impact of net changes in profit in inventory adjustments period over period.</w:t>
      </w:r>
    </w:p>
    <w:p>
      <w:pPr>
        <w:spacing w:after="0" w:line="12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Cost of products sold increased by $22.5 million, or 8.2%, to $298.1 million for the nine months ended June 30, 2025 as compared to $275.6 million for the nine months ended June 30, 2024. Cost of products sold as a percentage of revenues was 36.5% for the nine months ended June 30, 2025 as compared to 32.9% in the nine months ended June 30, 2024. The increase in cost of products sold for the nine month comparative period was primarily driven by the impact of net changes from profit in inventory adjustments period over period and non-cash asset impairment charges recorded to write down the carrying value of certain property and equipment as a result of the Company's Patch Pump Restructuring Plan. This was partially offset by lower volumes in the current period compared to the prior year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administrative expenses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Selling and administrative expenses decreased by $1.3 million, or 1.5%, to $84.4 million for the three months ended June 30, 2025 as compared to $85.7 million for the three months ended June 30, 2024. Selling and administrative expenses decreased by $23.2 million, or 8.6%, to $245.1 million for the nine months ended June 30, 2025 as compared to $268.3 million for the nine months ended June 30, 2024. The decrease for both the three and nine month comparative periods was primarily driven by lower TSA and LSA costs with BD in addition to lower compensation expense recognized in the current periods.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Research and development expenses decreased by $16.0 million, or 78.4%, to $4.4 million for the three months ended June 30, 2025 as compared to $20.4 million for the three months ended June 30, 2024. Research and development expenses decreased by $26.3 million, or 44.6%, to $32.7 million for the nine months ended June 30, 2025 as compared to $59.0 million for the nine months ended June 30, 2024. The decrease for both the three and nine month comparative periods was primarily driven by a reduction in payments made in connection with the development of our insulin patch pump program in the current periods as compared to the prior periods, given the discontinuation of the patch pump program. We expect our research and development expenses to decrease sequentially in fiscal year 2025 compared to fiscal year 2024.</w:t>
      </w: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expenses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0" w:type="dxa"/>
            <w:vAlign w:val="bottom"/>
          </w:tcPr>
          <w:p>
            <w:pPr>
              <w:spacing w:after="0"/>
              <w:rPr>
                <w:sz w:val="18"/>
                <w:szCs w:val="18"/>
                <w:color w:val="auto"/>
              </w:rPr>
            </w:pPr>
          </w:p>
        </w:tc>
        <w:tc>
          <w:tcPr>
            <w:tcW w:w="278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Nine months ended June 30,</w:t>
            </w:r>
          </w:p>
        </w:tc>
      </w:tr>
      <w:tr>
        <w:trPr>
          <w:trHeight w:val="33"/>
        </w:trPr>
        <w:tc>
          <w:tcPr>
            <w:tcW w:w="46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6"/>
        </w:trPr>
        <w:tc>
          <w:tcPr>
            <w:tcW w:w="460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1"/>
        </w:trPr>
        <w:tc>
          <w:tcPr>
            <w:tcW w:w="46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related to the Separation</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cloud computing arrangements</w:t>
            </w: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33"/>
        </w:trPr>
        <w:tc>
          <w:tcPr>
            <w:tcW w:w="4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associated with the discontinued patch pump program</w:t>
            </w:r>
          </w:p>
        </w:tc>
        <w:tc>
          <w:tcPr>
            <w:tcW w:w="10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Business optimization and severance related costs</w:t>
            </w: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33"/>
        </w:trPr>
        <w:tc>
          <w:tcPr>
            <w:tcW w:w="4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4"/>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Borders>
              <w:top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17"/>
                <w:szCs w:val="17"/>
                <w:color w:val="auto"/>
              </w:rPr>
            </w:pPr>
          </w:p>
        </w:tc>
        <w:tc>
          <w:tcPr>
            <w:tcW w:w="1100" w:type="dxa"/>
            <w:vAlign w:val="bottom"/>
            <w:tcBorders>
              <w:top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93.5</w:t>
            </w:r>
          </w:p>
        </w:tc>
      </w:tr>
      <w:tr>
        <w:trPr>
          <w:trHeight w:val="33"/>
        </w:trPr>
        <w:tc>
          <w:tcPr>
            <w:tcW w:w="46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6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expenses incurred primarily consist of the following:</w:t>
      </w:r>
    </w:p>
    <w:p>
      <w:pPr>
        <w:spacing w:after="0" w:line="117" w:lineRule="exact"/>
        <w:rPr>
          <w:sz w:val="20"/>
          <w:szCs w:val="20"/>
          <w:color w:val="auto"/>
        </w:rPr>
      </w:pPr>
    </w:p>
    <w:p>
      <w:pPr>
        <w:jc w:val="both"/>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auditing, legal services, marketing, supply chain, employee retention, costs associated with the implementation of our new ERP system and other Business Continuity Processes, costs associated with brand transition, and certain other costs to establish certain stand-alone functions to assist with the transition to being a stand-alone entity;</w:t>
      </w:r>
    </w:p>
    <w:p>
      <w:pPr>
        <w:spacing w:after="0" w:line="8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related costs associated with the optimization of certain business functions as we transition to being a stand-alone entity;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and contract termination costs associated with the discontinued patch pump program;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recognized associated with the amortization of cloud computing arrangements.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decreased by $1.2 million to $26.6 million for the three months ended June 30, 2025 as compared to $27.8 million for the three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June 30, 2024. Interest expense, net decreased by $2.1 million to $81.2 million for the nine months ended June 30, 2025 as compared to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$83.3 million for the nine months ended June 30, 2024. The decrease for both the three and nine month comparative periods was primarily driven by lower</w:t>
      </w:r>
    </w:p>
    <w:p>
      <w:pPr>
        <w:spacing w:after="0" w:line="234" w:lineRule="auto"/>
        <w:rPr>
          <w:sz w:val="20"/>
          <w:szCs w:val="20"/>
          <w:color w:val="auto"/>
        </w:rPr>
      </w:pPr>
      <w:r>
        <w:rPr>
          <w:rFonts w:ascii="Times New Roman" w:cs="Times New Roman" w:eastAsia="Times New Roman" w:hAnsi="Times New Roman"/>
          <w:sz w:val="18"/>
          <w:szCs w:val="18"/>
          <w:color w:val="auto"/>
        </w:rPr>
        <w:t>debt levels and lower short-term interest rates in the current periods as compared to the prior periods. It remains unclear whether the United States Federal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 will increase or decrease the benchmark interest rate during the remainder of fiscal 2025. An increase in the benchmark interest rate would result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an increase in interest expense on our variable rate debt and a decrease in the benchmark interest rate would result in a decrease in interest expense on</w:t>
      </w:r>
    </w:p>
    <w:p>
      <w:pPr>
        <w:spacing w:after="0"/>
        <w:rPr>
          <w:sz w:val="20"/>
          <w:szCs w:val="20"/>
          <w:color w:val="auto"/>
        </w:rPr>
      </w:pPr>
      <w:r>
        <w:rPr>
          <w:rFonts w:ascii="Times New Roman" w:cs="Times New Roman" w:eastAsia="Times New Roman" w:hAnsi="Times New Roman"/>
          <w:sz w:val="18"/>
          <w:szCs w:val="18"/>
          <w:color w:val="auto"/>
        </w:rPr>
        <w:t>our variable rate debt.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Other income (expense), net, was $4.8 million and $(1.1) million for the three months ended June 30, 2025 and 2024, respectively. Other income (expense), net was $2.9 million and $(6.1) million for the nine months ended June 30, 2025 and 2024, respectively. The income generated for the three and nine month periods ended June 30, 2025 was primarily attributed to favorable impacts from foreign exchange. The costs incurred for the three and nine month periods ended June 30, 2024, was primarily attributed to amounts due to BD for income taxes payable incurred in deferred jurisdictions where BD is considered the primary obligor and the unfavorable impacts from foreign exchange. We do not expect to incur any additional amounts where BD is considered the primary obligor in the current fiscal year.</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tax rates were 37.0% and 45.6% for the three months ended June 30, 2025 and 2024, respectively. The decrease in the Company's effective tax rate compared to the prior period is primarily due to favorable tax impacts resulting from overall higher earnings reflected in the current period. This was partially offset by higher taxes on undistributed foreign earnings and reduced tax benefits from non-taxable income.</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effective tax rates were 35.7% and (24.4)% for the nine months ended June 30, 2025 and 2024, respectively. The increase in the Company's effective tax rate compared to the prior period is primarily due to the absence of non-recurring tax benefits recognized in the prior period related to withholding taxes on undistributed foreign earnings, Swiss tax law changes and lower tax reserves. This was partially offset by favorable tax impacts primarily resulting from overall higher earnings reflected in the current period.</w:t>
      </w: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believe that our cash and our cash equivalents and cash from operations, together with our borrowing capacity under our Revolving Credit Facility, will provide sufficient financial flexibility to fund seasonal and other working capital requirements, capital expenditures, debt service requirements and other obligations, cash dividends on common shares and additional growth opportunities for the foreseeable future. However, should it become necessary, we believe that our credit profile should provide us with access to additional financing in order to fund normal business operations, make interest payments, fund growth opportunities and satisfy upcoming debt maturities.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Embecta's total debt outstanding as of June 30,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789.1</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5.00% Notes</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500.0</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2B2A29"/>
              </w:rPr>
              <w:t xml:space="preserve">6.75% </w:t>
            </w:r>
            <w:r>
              <w:rPr>
                <w:rFonts w:ascii="Times New Roman" w:cs="Times New Roman" w:eastAsia="Times New Roman" w:hAnsi="Times New Roman"/>
                <w:sz w:val="16"/>
                <w:szCs w:val="16"/>
                <w:color w:val="000000"/>
              </w:rPr>
              <w:t>Notes</w:t>
            </w: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200.0</w:t>
            </w:r>
          </w:p>
        </w:tc>
      </w:tr>
      <w:tr>
        <w:trPr>
          <w:trHeight w:val="204"/>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principal debt issued</w:t>
            </w: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1,489.1</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debt obligations</w:t>
            </w:r>
          </w:p>
        </w:tc>
        <w:tc>
          <w:tcPr>
            <w:tcW w:w="5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debt issuance costs and discounts</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(20.8)</w:t>
            </w:r>
          </w:p>
        </w:tc>
      </w:tr>
      <w:tr>
        <w:trPr>
          <w:trHeight w:val="33"/>
        </w:trPr>
        <w:tc>
          <w:tcPr>
            <w:tcW w:w="9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2"/>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1,458.8</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of principal payments required on long-term debt for the next five years and thereafter is as follows: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508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50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50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50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50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758.2</w:t>
            </w:r>
          </w:p>
        </w:tc>
      </w:tr>
      <w:tr>
        <w:trPr>
          <w:trHeight w:val="210"/>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0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measures relating to our total debt outstanding as of June 30, 2025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debt</w:t>
            </w:r>
          </w:p>
        </w:tc>
        <w:tc>
          <w:tcPr>
            <w:tcW w:w="380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1,468.3</w:t>
            </w:r>
          </w:p>
        </w:tc>
      </w:tr>
      <w:tr>
        <w:trPr>
          <w:trHeight w:val="148"/>
        </w:trPr>
        <w:tc>
          <w:tcPr>
            <w:tcW w:w="62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43"/>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Short-term debt as a percentage of total debt</w:t>
            </w:r>
          </w:p>
        </w:tc>
        <w:tc>
          <w:tcPr>
            <w:tcW w:w="38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r>
      <w:tr>
        <w:trPr>
          <w:trHeight w:val="237"/>
        </w:trPr>
        <w:tc>
          <w:tcPr>
            <w:tcW w:w="6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cost of total debt</w:t>
            </w:r>
          </w:p>
        </w:tc>
        <w:tc>
          <w:tcPr>
            <w:tcW w:w="38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r>
    </w:tbl>
    <w:p>
      <w:pPr>
        <w:spacing w:after="0" w:line="19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credit agreement and the indentures for the 5.00% Notes and the 6.75% Notes contain customary financial covenants, including a total net leverage ratio covenant, which measures the ratio of (i) consolidated total net debt to (ii) consolidated earnings before interest, taxes, depreciation and amortization, and subject to other adjustments, must meet certain defined limits which are tested on a quarterly basis in accordance with the terms of the credit agreement and indentures governing the 5.00% Notes and the 6.75% Notes. In addition, the credit agreement contains covenants that limit, among other things, our ability to prepay, redeem or repurchase our subordinated and junior lien debt, incur additional debt, make acquisitions, merge with other entities, pay dividends or distributions, redeem or repurchase equity interests, and create or become subject to liens. As of June 30, 2025, we were in compliance with all of such covenants. The credit agreement and the senior secured notes are secured by substantially all assets of Embecta and each subsidiary guarantor, subject to certain exceptions.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B2A29"/>
        </w:rPr>
        <w:t xml:space="preserve">During the nine </w:t>
      </w:r>
      <w:r>
        <w:rPr>
          <w:rFonts w:ascii="Times New Roman" w:cs="Times New Roman" w:eastAsia="Times New Roman" w:hAnsi="Times New Roman"/>
          <w:sz w:val="18"/>
          <w:szCs w:val="18"/>
          <w:color w:val="000000"/>
        </w:rPr>
        <w:t>months ended</w:t>
      </w:r>
      <w:r>
        <w:rPr>
          <w:rFonts w:ascii="Times New Roman" w:cs="Times New Roman" w:eastAsia="Times New Roman" w:hAnsi="Times New Roman"/>
          <w:sz w:val="18"/>
          <w:szCs w:val="18"/>
          <w:color w:val="2B2A29"/>
        </w:rPr>
        <w:t xml:space="preserve"> June 30, 2025, the Company paid an aggregate principal amount of approximately </w:t>
      </w:r>
      <w:r>
        <w:rPr>
          <w:rFonts w:ascii="Times New Roman" w:cs="Times New Roman" w:eastAsia="Times New Roman" w:hAnsi="Times New Roman"/>
          <w:sz w:val="18"/>
          <w:szCs w:val="18"/>
          <w:color w:val="000000"/>
        </w:rPr>
        <w:t>$112.2 million</w:t>
      </w:r>
      <w:r>
        <w:rPr>
          <w:rFonts w:ascii="Times New Roman" w:cs="Times New Roman" w:eastAsia="Times New Roman" w:hAnsi="Times New Roman"/>
          <w:sz w:val="18"/>
          <w:szCs w:val="18"/>
          <w:color w:val="2B2A29"/>
        </w:rPr>
        <w:t xml:space="preserve"> on the Term Loan, of which </w:t>
      </w:r>
      <w:r>
        <w:rPr>
          <w:rFonts w:ascii="Times New Roman" w:cs="Times New Roman" w:eastAsia="Times New Roman" w:hAnsi="Times New Roman"/>
          <w:sz w:val="18"/>
          <w:szCs w:val="18"/>
          <w:color w:val="000000"/>
        </w:rPr>
        <w:t>$105.0 million</w:t>
      </w:r>
      <w:r>
        <w:rPr>
          <w:rFonts w:ascii="Times New Roman" w:cs="Times New Roman" w:eastAsia="Times New Roman" w:hAnsi="Times New Roman"/>
          <w:sz w:val="18"/>
          <w:szCs w:val="18"/>
          <w:color w:val="2B2A29"/>
        </w:rPr>
        <w:t xml:space="preserve"> was discretionary. Debt extinguishment charges as a result of these discretionary prepayments were not material to the Company's Condensed Consolidated Statements of Income.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During the nine months ended </w:t>
      </w:r>
      <w:r>
        <w:rPr>
          <w:rFonts w:ascii="Times New Roman" w:cs="Times New Roman" w:eastAsia="Times New Roman" w:hAnsi="Times New Roman"/>
          <w:sz w:val="18"/>
          <w:szCs w:val="18"/>
          <w:color w:val="2B2A29"/>
        </w:rPr>
        <w:t>June 30, 2025</w:t>
      </w:r>
      <w:r>
        <w:rPr>
          <w:rFonts w:ascii="Times New Roman" w:cs="Times New Roman" w:eastAsia="Times New Roman" w:hAnsi="Times New Roman"/>
          <w:sz w:val="18"/>
          <w:szCs w:val="18"/>
          <w:color w:val="auto"/>
        </w:rPr>
        <w:t>, the Company made interest payments of $68.5 million on debt outstanding.</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may, from time to time, seek to retire or repurchase our outstanding debt through cash purchases and/or exchanges for equity or debt, in open-market purchase, or privately negotiated transactions, or otherwise may redeem some or all of our debt pursuant to its terms. Such repurchases or exchanges, if any, will depend upon various factors existing at the time, including prevailing market conditions, our liquidity requirements, contractual restrictions and other factors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there can be no assurance as to which, if any, of these alternatives, or combination thereof, we may choose to pursue in the future.</w:t>
      </w:r>
    </w:p>
    <w:p>
      <w:pPr>
        <w:spacing w:after="0" w:line="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For additional information related to the Company's debt related activities, refer to Note 12 within the </w:t>
      </w:r>
      <w:r>
        <w:rPr>
          <w:rFonts w:ascii="Times New Roman" w:cs="Times New Roman" w:eastAsia="Times New Roman" w:hAnsi="Times New Roman"/>
          <w:sz w:val="18"/>
          <w:szCs w:val="18"/>
          <w:i w:val="1"/>
          <w:iCs w:val="1"/>
          <w:color w:val="auto"/>
        </w:rPr>
        <w:t>Notes to Condensed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w:t>
      </w:r>
      <w:r>
        <w:rPr>
          <w:rFonts w:ascii="Times New Roman" w:cs="Times New Roman" w:eastAsia="Times New Roman" w:hAnsi="Times New Roman"/>
          <w:sz w:val="18"/>
          <w:szCs w:val="18"/>
          <w:color w:val="auto"/>
        </w:rPr>
        <w:t>within this Form 10-Q.</w:t>
      </w: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our finance lease and operating lease liabilities as of June 30, 2025 by fiscal year are as follows: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180" w:type="dxa"/>
            <w:vAlign w:val="bottom"/>
          </w:tcPr>
          <w:p>
            <w:pPr>
              <w:spacing w:after="0"/>
              <w:rPr>
                <w:sz w:val="18"/>
                <w:szCs w:val="18"/>
                <w:color w:val="auto"/>
              </w:rPr>
            </w:pPr>
          </w:p>
        </w:tc>
        <w:tc>
          <w:tcPr>
            <w:tcW w:w="17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Finance Lease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520" w:type="dxa"/>
            <w:vAlign w:val="bottom"/>
          </w:tcPr>
          <w:p>
            <w:pPr>
              <w:spacing w:after="0"/>
              <w:rPr>
                <w:sz w:val="18"/>
                <w:szCs w:val="18"/>
                <w:color w:val="auto"/>
              </w:rPr>
            </w:pPr>
          </w:p>
        </w:tc>
        <w:tc>
          <w:tcPr>
            <w:tcW w:w="1720" w:type="dxa"/>
            <w:vAlign w:val="bottom"/>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0"/>
        </w:trPr>
        <w:tc>
          <w:tcPr>
            <w:tcW w:w="41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2025</w:t>
            </w:r>
          </w:p>
        </w:tc>
        <w:tc>
          <w:tcPr>
            <w:tcW w:w="1760" w:type="dxa"/>
            <w:vAlign w:val="bottom"/>
            <w:tcBorders>
              <w:top w:val="single" w:sz="8" w:color="auto"/>
              <w:bottom w:val="single" w:sz="8" w:color="CCEEFF"/>
            </w:tcBorders>
            <w:shd w:val="clear" w:color="auto" w:fill="CCEEFF"/>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0"/>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2026</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33"/>
        </w:trPr>
        <w:tc>
          <w:tcPr>
            <w:tcW w:w="4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4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2027</w:t>
            </w:r>
          </w:p>
        </w:tc>
        <w:tc>
          <w:tcPr>
            <w:tcW w:w="17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0"/>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2028</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33"/>
        </w:trPr>
        <w:tc>
          <w:tcPr>
            <w:tcW w:w="4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4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2029</w:t>
            </w:r>
          </w:p>
        </w:tc>
        <w:tc>
          <w:tcPr>
            <w:tcW w:w="17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0"/>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Thereafter</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r>
      <w:tr>
        <w:trPr>
          <w:trHeight w:val="33"/>
        </w:trPr>
        <w:tc>
          <w:tcPr>
            <w:tcW w:w="41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760" w:type="dxa"/>
            <w:vAlign w:val="bottom"/>
            <w:tcBorders>
              <w:bottom w:val="single" w:sz="8" w:color="CCEEFF"/>
            </w:tcBorders>
            <w:shd w:val="clear" w:color="auto" w:fill="CCEEFF"/>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w:t>
            </w:r>
          </w:p>
        </w:tc>
      </w:tr>
      <w:tr>
        <w:trPr>
          <w:trHeight w:val="20"/>
        </w:trPr>
        <w:tc>
          <w:tcPr>
            <w:tcW w:w="41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155" w:lineRule="exact"/>
        <w:rPr>
          <w:sz w:val="20"/>
          <w:szCs w:val="20"/>
          <w:color w:val="auto"/>
        </w:rPr>
      </w:pPr>
    </w:p>
    <w:p>
      <w:pPr>
        <w:ind w:right="380"/>
        <w:spacing w:after="0" w:line="400" w:lineRule="auto"/>
        <w:rPr>
          <w:sz w:val="20"/>
          <w:szCs w:val="20"/>
          <w:color w:val="auto"/>
        </w:rPr>
      </w:pPr>
      <w:r>
        <w:rPr>
          <w:rFonts w:ascii="Times New Roman" w:cs="Times New Roman" w:eastAsia="Times New Roman" w:hAnsi="Times New Roman"/>
          <w:sz w:val="18"/>
          <w:szCs w:val="18"/>
          <w:color w:val="auto"/>
        </w:rPr>
        <w:t xml:space="preserve">For additional information related to our leases, refer to Note 18 within the </w:t>
      </w:r>
      <w:r>
        <w:rPr>
          <w:rFonts w:ascii="Times New Roman" w:cs="Times New Roman" w:eastAsia="Times New Roman" w:hAnsi="Times New Roman"/>
          <w:sz w:val="18"/>
          <w:szCs w:val="18"/>
          <w:i w:val="1"/>
          <w:iCs w:val="1"/>
          <w:color w:val="auto"/>
        </w:rPr>
        <w:t>Notes to Condensed Consolidated Financial Statements</w:t>
      </w:r>
      <w:r>
        <w:rPr>
          <w:rFonts w:ascii="Times New Roman" w:cs="Times New Roman" w:eastAsia="Times New Roman" w:hAnsi="Times New Roman"/>
          <w:sz w:val="18"/>
          <w:szCs w:val="18"/>
          <w:color w:val="auto"/>
        </w:rPr>
        <w:t xml:space="preserve"> of this Form 10-Q. </w:t>
      </w:r>
      <w:r>
        <w:rPr>
          <w:rFonts w:ascii="Times New Roman" w:cs="Times New Roman" w:eastAsia="Times New Roman" w:hAnsi="Times New Roman"/>
          <w:sz w:val="18"/>
          <w:szCs w:val="18"/>
          <w:b w:val="1"/>
          <w:bCs w:val="1"/>
          <w:i w:val="1"/>
          <w:iCs w:val="1"/>
          <w:color w:val="auto"/>
        </w:rPr>
        <w:t>Factoring Agreements</w:t>
      </w:r>
    </w:p>
    <w:p>
      <w:pPr>
        <w:spacing w:after="0" w:line="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conjunction with the Separation, we entered into the Factoring Agreements with BD. Embecta owed BD a service fee calculated as 0.1% of annual revenues related to countries subject to the Factoring Agreements, in exchange for the services provided by BD pursuant to the Factoring Agreements.</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all Factoring Agreements between Embecta and BD had expired and terminated as a result of our implementation and onboarding of certain Business Continuity Processes in North America, and certain jurisdictions in Europe and Asia.</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third quarter of 2025, the Company entered into a trade receivables sale agreement with a third-party financial institution to sell certain trade receivables of the Company at a discount on an uncommitted basis. These trade receivable sales are accounted for as a sale of assets, as the Company's continuing involvement is limited to servicing the accounts receivables. The Company receives the sales price, equal to the trade receivable less the applicable discount, at the time of sale.</w:t>
      </w:r>
    </w:p>
    <w:p>
      <w:pPr>
        <w:spacing w:after="0" w:line="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connection with the Company's receivables sale agreement, $26.2 million of trade receivables were sold during the nine months ended June 30, 2025, resulting in derecognition of the receivables from the Company's Condensed Consolidated Balance Sheets. Discounts recognized on the sale of trade receivables were not material to the Company's Condensed Consolidated Statements of Income. The cash received on the sale of trade receivables during the nine months ended June 30, 2025 is presented in changes in trade receivables, net within operating activities in the Condensed Consolidated Statement of Cash Flows.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Access to Capital and Credit Ratings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2025 and June 2025, Moody’s Investor Services and Standard &amp; Poor’s Ratings Services published updates to our credit ratings. Our Moody's Investors Services credit rating is B1 and our Standard &amp; Poor's Rating Services credit rating is B+.</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equivalents and restricted cash were $233.6 million as of June 30, 2025 as compared to $274.2 million as of September 30,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uses of cash that contributed to the $40.6 million decrease were: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2024 Cash and equivalents and restricted cash balance</w:t>
            </w: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w:t>
            </w: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used for investing activities</w:t>
            </w: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for financing activities</w:t>
            </w: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w:t>
            </w:r>
          </w:p>
        </w:tc>
      </w:t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equivalents and restricted cash</w:t>
            </w:r>
          </w:p>
        </w:tc>
        <w:tc>
          <w:tcPr>
            <w:tcW w:w="6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2"/>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June 30, 2025 Cash and equivalents and restricted cash balance</w:t>
            </w:r>
          </w:p>
        </w:tc>
        <w:tc>
          <w:tcPr>
            <w:tcW w:w="6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233.6</w:t>
            </w:r>
          </w:p>
        </w:tc>
      </w:tr>
      <w:tr>
        <w:trPr>
          <w:trHeight w:val="20"/>
        </w:trPr>
        <w:tc>
          <w:tcPr>
            <w:tcW w:w="9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operating activities was primarily attributable to:</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0" w:type="dxa"/>
            <w:vAlign w:val="bottom"/>
          </w:tcPr>
          <w:p>
            <w:pPr>
              <w:spacing w:after="0"/>
              <w:rPr>
                <w:sz w:val="1"/>
                <w:szCs w:val="1"/>
                <w:color w:val="auto"/>
              </w:rPr>
            </w:pPr>
          </w:p>
        </w:tc>
      </w:tr>
      <w:tr>
        <w:trPr>
          <w:trHeight w:val="162"/>
        </w:trPr>
        <w:tc>
          <w:tcPr>
            <w:tcW w:w="96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Non-cash adjustments related to depreciation and amortization, impairment of property, plant and equipment, stock-based compensation, and</w:t>
            </w:r>
          </w:p>
        </w:tc>
        <w:tc>
          <w:tcPr>
            <w:tcW w:w="6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0" w:type="dxa"/>
            <w:vAlign w:val="bottom"/>
          </w:tcPr>
          <w:p>
            <w:pPr>
              <w:spacing w:after="0"/>
              <w:rPr>
                <w:sz w:val="1"/>
                <w:szCs w:val="1"/>
                <w:color w:val="auto"/>
              </w:rPr>
            </w:pP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6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accounts payable and accrued expenses</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0" w:type="dxa"/>
            <w:vAlign w:val="bottom"/>
          </w:tcPr>
          <w:p>
            <w:pPr>
              <w:spacing w:after="0"/>
              <w:rPr>
                <w:sz w:val="1"/>
                <w:szCs w:val="1"/>
                <w:color w:val="auto"/>
              </w:rPr>
            </w:pP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trade receivables</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inventories</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amounts due from/due to Becton, Dickinson and Company</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prepaid expenses and other</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income and other net taxes payable</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other assets and liabilities, net</w:t>
            </w:r>
          </w:p>
        </w:tc>
        <w:tc>
          <w:tcPr>
            <w:tcW w:w="6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2"/>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0" w:type="dxa"/>
            <w:vAlign w:val="bottom"/>
          </w:tcPr>
          <w:p>
            <w:pPr>
              <w:spacing w:after="0"/>
              <w:rPr>
                <w:sz w:val="1"/>
                <w:szCs w:val="1"/>
                <w:color w:val="auto"/>
              </w:rPr>
            </w:pPr>
          </w:p>
        </w:tc>
      </w:tr>
      <w:tr>
        <w:trPr>
          <w:trHeight w:val="21"/>
        </w:trPr>
        <w:tc>
          <w:tcPr>
            <w:tcW w:w="9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accounts payable and accrued expenses is primarily attributed to timing of payments to vendors and annual bonus payments.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trade receivables is primarily attributed to the timing of sales and receivables factored.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inventories is primarily attributed to actions taken to build inventory to support the execution of our brand transition program.</w:t>
      </w:r>
    </w:p>
    <w:p>
      <w:pPr>
        <w:spacing w:after="0" w:line="1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change in amounts due from/due to Becton, Dickinson and Company is attributed to the timing of payments associated with certain agreements effectuated at Separation.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prepaid expenses and other is primarily attributed to timing of payments to vendors.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income and other net taxes payable is primarily attributed to timing of required tax payments.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other assets and liabilities, net is primarily attributed to costs capitalized attributed to cloud computing arrangements.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movements related to working capital were due to timing of payments and receipts of cash in the ordinary course of business.</w:t>
      </w:r>
    </w:p>
    <w:p>
      <w:pPr>
        <w:spacing w:after="0" w:line="10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was comprised of capital expenditures of $2.0 million for the nine months ended June 30, 2025 to support our business and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for financing activities was primarily attributable to:</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payments</w:t>
            </w: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w:t>
            </w: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related to tax withholding for stock-based compensation</w:t>
            </w: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3"/>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Payments on finance lease</w:t>
            </w: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37"/>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contractual obligations as of June 30, 2025, which require material cash requirements in the future, consist of purchase obligations and lease obligations. Purchase obligations are enforceable and legally binding obligations for purchases of goods and services which include inventory purchase commitments. Over the next several years, we expect to incur material costs associated with operating and maintaining our information technology infrastructure. Lease obligations include lease agreements for which a contract has been signed even if the lease has not yet commenced. Refer to "Item 7. Management's Discussion and Analysis of Financial Condition and Results of Operations" in the 2024 Form 10-K for further details. As of June 30, 2025, there have been no material changes to our contractual obligations outside the ordinary course of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significant accounting policies, which include management’s best estimates and judgments, are included in Note 3 to the Consolidated Financial Statements included in the 2024 Form 10-K. A discussion of accounting estimates considered critical because of the potential for a significant impact on the financial statements due to the inherent uncertainty in such estimates are disclosed in the Critical Accounting Policies section of Management’s Discussion and Analysis of Financial Condition and Results of Operations included in the 2024 Form 10-K. There have been no changes to our critical accounting policies as of June 30, 2025.</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Statements Regarding Forward-Looking Statements</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This Quarterly Report on Form 10-Q contains statements that constitute forward-looking statements under the Private Securities Litigation Reform Act of 1995 and other securities laws. Forward-looking statements include those containing such words as “anticipates,” “believes,” "can," “could,” “estimates,” “expects,” “forecasts,” “goal,” “guidance,” “intends,” “may,” “outlook,” “plans,” "possible," “projects,” “seeks,” “sees,” “should,” “targets,” “will,” “would,” or other words of similar meaning. All statements that reflect Embecta’s expectations, assumptions or projections about the future, other than statements of historical fact, are forward-looking statements, including, without limitation, forecasts relating to discussions of future operations and financial performance (including volume growth, pricing, sales and earnings per share growth and cash flows) and statements regarding Embecta’s strategy for growth, the Patch Pump Restructuring Plan, the 2025 Restructuring Plan, expectations related to the impact of incremental tariffs, brand transition, future product development, anticipated product and regulatory clearances, approvals, and launches, competitive position and expenditures. Forward-looking statements are based upon our present intent, beliefs or expectations, are not guarantees of future performance and are subject to numerous risks, uncertainties, and changes in circumstances that are difficult to predict. Although Embecta believes that the expectations reflected in any forward-looking statements it makes are based on reasonable assumptions, it can give no assurance that these expectations will be attained and it is possible that actual results may differ materially from those indicated by these forward-looking statements due to a variety of risks and uncertainties. Such risks and uncertainties include, but are not limited to:</w:t>
      </w:r>
    </w:p>
    <w:p>
      <w:pPr>
        <w:spacing w:after="0" w:line="95" w:lineRule="exact"/>
        <w:rPr>
          <w:sz w:val="20"/>
          <w:szCs w:val="20"/>
          <w:color w:val="auto"/>
        </w:rPr>
      </w:pPr>
    </w:p>
    <w:p>
      <w:pPr>
        <w:jc w:val="both"/>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that could adversely affect Embecta’s operations, including adoption of new drug therapies for treatment of diabetes, new product introductions by Embecta’s competitors, the development of new technologies, lower cost producers that create pricing pressure, and consolidation resulting in companies with greater scale and market presence than Embecta.</w:t>
      </w:r>
    </w:p>
    <w:p>
      <w:pPr>
        <w:spacing w:after="0" w:line="8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Embecta is unable to replace the services, including the Business Continuity Processes, that BD currently provides to it on substantially similar terms as the terms on which BD is providing these services under the transaction agreements or that BD terminates such services.</w:t>
      </w:r>
    </w:p>
    <w:p>
      <w:pPr>
        <w:spacing w:after="0" w:line="6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BD to perform its obligations under the various separation agreements entered into in connection with the Separation and distribution, including the cannula supply agreement.</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events that adversely affect the sale or profitability of one of Embecta’s key products or the revenue delivered from sales to its key customers.</w:t>
      </w:r>
    </w:p>
    <w:p>
      <w:pPr>
        <w:spacing w:after="0" w:line="115" w:lineRule="exact"/>
        <w:rPr>
          <w:rFonts w:ascii="Times New Roman" w:cs="Times New Roman" w:eastAsia="Times New Roman" w:hAnsi="Times New Roman"/>
          <w:sz w:val="17"/>
          <w:szCs w:val="17"/>
          <w:color w:val="auto"/>
        </w:rPr>
      </w:pPr>
    </w:p>
    <w:p>
      <w:pPr>
        <w:jc w:val="both"/>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operating costs, including costs incurred from the new tariffs instituted by the U.S. government and certain foreign governments on raw materials and products, fluctuations in the cost and availability of oil-based resins, other raw materials, and energy as well as certain components, used in its products, the ability to maintain favorable supplier arrangements and relationships, and the potential adverse effects of any disruption in the availability of such items.</w:t>
      </w:r>
    </w:p>
    <w:p>
      <w:pPr>
        <w:spacing w:after="0" w:line="8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as a result of the current global trade environment from the newly instituted tariffs, certain foreign governments, private purchasers and other customers in certain countries may consider transitioning away from products originating from certain countries (including the U.S.) in favor of buying “local” products and local manufacturers and competitors may attempt to capitalize on these sentiments and participate in aggressive competitive pricing or other strategies to transition, or divert, current and potential customers away Embecta.</w:t>
      </w: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ability to obtain clearance from the U.S. Food and Drug Administration of any product, to market and sell such products successfully, to anticipate the needs of people with diabetes, and future business decisions by Embecta and its competitors.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practices of governments or private payers or other cost containment measures.</w:t>
      </w:r>
    </w:p>
    <w:p>
      <w:pPr>
        <w:spacing w:after="0" w:line="11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financial impact resulting from unfavorable changes in foreign currency exchange rates, as well as regional, national and foreign economic factors, including inflation, deflation, and fluctuations in interest rates, and their potential effect on its operating performance.</w:t>
      </w:r>
    </w:p>
    <w:p>
      <w:pPr>
        <w:spacing w:after="0" w:line="5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United States, federal laws and policy that could affect fiscal and tax policies, healthcare and international trade, including import and export regulation, tariffs and international trade agreements. In particular, tariffs or other trade barriers imposed by the United States or other countries could adversely impact its supply chain costs or otherwise adversely impact its results of operations.</w:t>
      </w:r>
    </w:p>
    <w:p>
      <w:pPr>
        <w:spacing w:after="0" w:line="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impact of pandemics or geopolitical instability on Embecta’s business, including disruptions in its operations and supply chains.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changing laws and regulations affecting Embecta’s domestic and foreign operations, or changes in enforcement practices, including laws relating to healthcare, environmental protection, trade, monetary and fiscal policies, taxation (including tax reforms that could adversely impact multinational corporations) and licensing and regulatory requirements for products.</w:t>
      </w:r>
    </w:p>
    <w:p>
      <w:pPr>
        <w:spacing w:after="0" w:line="8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the Separation from BD.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indebtedness and our use of indebtedness available to us.</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dis-synergy costs, costs of restructuring transactions and other costs incurred in connection with the Separation will exceed Embecta's estimates.</w:t>
      </w:r>
    </w:p>
    <w:p>
      <w:pPr>
        <w:spacing w:after="0" w:line="40"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Separation on Embecta's businesses and the risk that the Separation, including brand transition timelines and efforts, may be more difficult, time-consuming or costly than expected, the impact on its resources, systems, including ERP, procedures and controls, diversion of management’s attention and the impact on relationships with customers, suppliers, employees and other business counterparties.</w:t>
      </w:r>
    </w:p>
    <w:p>
      <w:pPr>
        <w:spacing w:after="0" w:line="6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ability to timely and successfully complete the brand transition, including any resulting regulatory delays of transferring or obtaining registrations and licenses in the “Embecta” name, interruptions in, or customer confusion from, the replacement and transfer of the rebranded product into the current commercialization, supply and distribution networks, or other issues arising out of system, supply chain logistics, administrative and adjudicative operations transitions in the end-to-end product flow and end-user access.</w:t>
      </w:r>
    </w:p>
    <w:p>
      <w:pPr>
        <w:spacing w:after="0" w:line="6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expectations related to the costs, profitability, timing and the estimated financial impact of, and charges associated with, the Patch Pump Program Restructuring Plan and the 2025 Restructuring Plan.</w:t>
      </w:r>
    </w:p>
    <w:p>
      <w:pPr>
        <w:spacing w:after="0" w:line="40"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complete strategic collaborative partnerships and acquisition opportunities that enable us to accelerate our growth or strategic collaborative opportunities that give us access to innovative technologies, complementary product lines, and new markets.</w:t>
      </w:r>
    </w:p>
    <w:p>
      <w:pPr>
        <w:spacing w:after="0" w:line="6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the material weakness identified in our internal control over financial reporting and our ability to remediate such material weakness.</w:t>
      </w:r>
    </w:p>
    <w:p>
      <w:pPr>
        <w:spacing w:after="0" w:line="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There can be no assurance that the transactions or uncertainties described above will in fact be consummated or occur in the manner described or at all. As a result, you should not place undue reliance upon our forward-looking statements. The above list of factors is not exhaustive or necessarily in order of importance. For additional information on identifying factors that may cause actual results to vary materially from those stated in forward-looking statements, see the discussions under “Risk Factors,” included within the 2024 Form 10-K. Any forward-looking statement speaks only as of the date on which it is made, and Embecta expressly disclaims and assumes no obligation to update or revise such statement, whether as a result of new information, future events or otherwise, except as required by applicable law.</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in information reported since the filing of the 2024 Form 10-K except as follows: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and Other Rate Risks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on a global basis and are exposed to the risk that changes in foreign currency exchange rates could adversely affect our financial condition, results of operations and cash flows.</w:t>
      </w: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From time to time, we enter into foreign currency forward exchange contracts with major financial institutions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Note 16, </w:t>
      </w:r>
      <w:r>
        <w:rPr>
          <w:rFonts w:ascii="Times New Roman" w:cs="Times New Roman" w:eastAsia="Times New Roman" w:hAnsi="Times New Roman"/>
          <w:sz w:val="18"/>
          <w:szCs w:val="18"/>
          <w:i w:val="1"/>
          <w:iCs w:val="1"/>
          <w:color w:val="auto"/>
        </w:rPr>
        <w:t xml:space="preserve">Financial Instruments and Fair Value Measurements </w:t>
      </w:r>
      <w:r>
        <w:rPr>
          <w:rFonts w:ascii="Times New Roman" w:cs="Times New Roman" w:eastAsia="Times New Roman" w:hAnsi="Times New Roman"/>
          <w:sz w:val="18"/>
          <w:szCs w:val="18"/>
          <w:color w:val="auto"/>
        </w:rPr>
        <w:t>of the Notes to Condensed Consolidated Financial Statements for further information.</w:t>
      </w:r>
    </w:p>
    <w:p>
      <w:pPr>
        <w:spacing w:after="0" w:line="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Consequently, foreign currency exchange contracts would not subject us to material risk due to exchange rate movements, because gains and losses on these contracts offset gains and losses on the assets, liabilities or transactions being hedged.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 Our interest rate risk relates primarily to our Term Loan. The interest rate is set at 300 basis points over SOFR, with a 0.50% SOFR floor.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outstanding borrowings at June 30, 2025, a 100 basis points change in interest rates would have impacted interest expense on the Term Loan by $7.9 million on an annualized basis. To the extent we borrow on our Revolving Credit Facility, we will be subject to risks related to changes in SOFR.</w:t>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the design and operation of our disclosure controls and procedures (as defined in Rule 13a-15(e) under the Securities Exchange Act of 1934), as amended. Based upon that evaluation as of June 30, 2025, our Chief Executive Officer and Chief Financial Officer each concluded that, as of the end of such period, our disclosure controls and procedures were not effective due to the material weakness in our internal control over financial reporting, as described in Management's Report on Internal Control Over Financial Reporting in "Item 9A. Control and Procedures" in the 2024 Form 10-K.</w:t>
      </w:r>
    </w:p>
    <w:p>
      <w:pPr>
        <w:spacing w:after="0" w:line="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2022, the Company commenced the process of implementing a new ERP system and other Business Continuity Processes to replace the existing systems provided by BD. The ERP system is designed to accurately maintain the Company's financial records used to report operating results. The implementation of the ERP system and other Business Continuity Processes is highly complex and has occurred in phases across our geographies. The implementations of North America, EMEA, Asia and Greater China were completed in phases within fiscal years 2023 and 2024. The Latin America implementation was completed in the first quarter of fiscal year 2025 and the implementation for India, the final phase, was completed in the third quarter of fiscal year 2025. A standardized internal control framework was implemented with each phase as the Company moves away from relying on BD’s systems and controls.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Remediation Plan</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the identification of the material weakness, management immediately effectuated a plan to remediate the design and operation of the related control activities. The execution of this plan is in progress and will continue through completion. Remediation activities in process include, but are not limited to the following actions:</w:t>
      </w:r>
    </w:p>
    <w:p>
      <w:pPr>
        <w:spacing w:after="0" w:line="6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design of processes and internal controls related to certain account reconciliations and certain analyses;</w:t>
      </w:r>
    </w:p>
    <w:p>
      <w:pPr>
        <w:spacing w:after="0" w:line="6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a robust and formal training program regarding diligence in control performance and Sarbanes-Oxley Act requirements and emphasis of certain finance policies;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enhanced oversight and governance over account reconciliations and certain financial analyses;</w:t>
      </w:r>
    </w:p>
    <w:p>
      <w:pPr>
        <w:spacing w:after="0" w:line="6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control documentation and design to include additional procedures regarding confirmation of the completeness and accuracy of data used to perform controls and the precision of control activities; and</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existing technology to develop enhanced reporting and to drive process efficiencies and automation.</w:t>
      </w:r>
    </w:p>
    <w:p>
      <w:pPr>
        <w:spacing w:after="0" w:line="1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is committed to remediating the material weakness. The ongoing actions are subject to management review, as well as oversight from the Audit Committee. When fully implemented and operational, the Company believes the measures described above will remediate the underlying cause of the material weakness and will strengthen the Company's internal control over financial reporting. However, the Company will not be able to fully remediate this material weakness until these steps have been completed and have been operating effectively for a sufficient period of time. The Company may also identify additional measures that may be required to remediate the material weakness in its internal control over financial reporting, necessitating further action. The Company will continue to build on the progress made in the remediation plan. A determination cannot be made on when the remediation plan will be fully completed, and the Company cannot provide any assurance that these remediation efforts will be successful or that internal control over financial reporting will be effective as a result of these efforts.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working towards executing the remediation plan to address the material weakness. However, none of these efforts have resulted in the remediation of the material weakness as of June 30, 2025. There have been no changes in internal control over financial reporting during the three months ended June 30, 2025, that have materially affected, or are reasonably likely to materially affect, our internal control over financial reporting.</w:t>
      </w:r>
    </w:p>
    <w:p>
      <w:pPr>
        <w:spacing w:after="0" w:line="3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Embecta’s risk factors from those described in “Risk Factors” included within the 2024 Form 10-K and Embecta's Quarterly Report on Form 10-Q for the quarter ended March 31, 2025 filed with the Securities and Exchange Commission on May 9,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04"/>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9800" w:type="dxa"/>
            <w:vAlign w:val="bottom"/>
            <w:gridSpan w:val="5"/>
          </w:tcPr>
          <w:p>
            <w:pPr>
              <w:ind w:left="43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3"/>
        </w:trPr>
        <w:tc>
          <w:tcPr>
            <w:tcW w:w="1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45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53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 Rule 13a–14(a)</w:t>
            </w:r>
          </w:p>
        </w:tc>
        <w:tc>
          <w:tcPr>
            <w:tcW w:w="4500" w:type="dxa"/>
            <w:vAlign w:val="bottom"/>
            <w:gridSpan w:val="3"/>
          </w:tcPr>
          <w:p>
            <w:pPr>
              <w:spacing w:after="0"/>
              <w:rPr>
                <w:sz w:val="24"/>
                <w:szCs w:val="24"/>
                <w:color w:val="auto"/>
              </w:rPr>
            </w:pPr>
          </w:p>
        </w:tc>
      </w:tr>
      <w:tr>
        <w:trPr>
          <w:trHeight w:val="5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 Rule 13a–14(a)</w:t>
            </w:r>
          </w:p>
        </w:tc>
      </w:tr>
      <w:tr>
        <w:trPr>
          <w:trHeight w:val="20"/>
        </w:trPr>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40" w:type="dxa"/>
            <w:vAlign w:val="bottom"/>
            <w:shd w:val="clear" w:color="auto" w:fill="0000FF"/>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50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13a–14(b) and Section 1350 of Chapter 63 of Title 18 of the U.S. Code</w:t>
            </w:r>
          </w:p>
        </w:tc>
      </w:tr>
      <w:tr>
        <w:trPr>
          <w:trHeight w:val="5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4"/>
                <w:szCs w:val="24"/>
                <w:color w:val="auto"/>
              </w:rPr>
            </w:pPr>
          </w:p>
        </w:tc>
        <w:tc>
          <w:tcPr>
            <w:tcW w:w="92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Rule 13a–14(b) and Section 1350 of Chapter 63 of Title 18 of the U.S. Code</w:t>
            </w:r>
          </w:p>
        </w:tc>
        <w:tc>
          <w:tcPr>
            <w:tcW w:w="4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r>
      <w:tr>
        <w:trPr>
          <w:trHeight w:val="515"/>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4"/>
                <w:szCs w:val="24"/>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materials from this report, formatted in iXBRL (Inline eXtensible Business Reporting Language): (i) the Condensed</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Consolidated Statements of Income, (ii) the Condensed Consolidated Statements of Comprehensive Income, (iii) the Condensed</w:t>
            </w:r>
          </w:p>
        </w:tc>
      </w:tr>
      <w:tr>
        <w:trPr>
          <w:trHeight w:val="203"/>
        </w:trPr>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auto"/>
              </w:rPr>
              <w:t>Consolidated Balance Sheets, (iv) the Condensed Consolidated Statements of Equity, (v) the Condensed Consolidated Statements of</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Cash Flows, and (vi) Notes to Condensed Consolidated Financial Statements.</w:t>
            </w:r>
          </w:p>
        </w:tc>
      </w:tr>
      <w:tr>
        <w:trPr>
          <w:trHeight w:val="52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52" w:lineRule="exact"/>
        <w:rPr>
          <w:sz w:val="20"/>
          <w:szCs w:val="20"/>
          <w:color w:val="auto"/>
        </w:rPr>
      </w:pPr>
    </w:p>
    <w:p>
      <w:pPr>
        <w:ind w:left="560" w:hanging="534"/>
        <w:spacing w:after="0"/>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50" w:lineRule="exact"/>
        <w:rPr>
          <w:sz w:val="20"/>
          <w:szCs w:val="20"/>
          <w:color w:val="auto"/>
        </w:rPr>
      </w:pPr>
    </w:p>
    <w:p>
      <w:pPr>
        <w:ind w:left="560" w:hanging="534"/>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EMBECTA CORP.</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Devdatt Kurdikar</w:t>
            </w:r>
          </w:p>
        </w:tc>
      </w:tr>
      <w:tr>
        <w:trPr>
          <w:trHeight w:val="241"/>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2025</w:t>
            </w:r>
          </w:p>
        </w:tc>
        <w:tc>
          <w:tcPr>
            <w:tcW w:w="5380" w:type="dxa"/>
            <w:vAlign w:val="bottom"/>
            <w:tcBorders>
              <w:bottom w:val="single" w:sz="8" w:color="auto"/>
            </w:tcBorders>
          </w:tcPr>
          <w:p>
            <w:pPr>
              <w:spacing w:after="0"/>
              <w:rPr>
                <w:sz w:val="20"/>
                <w:szCs w:val="20"/>
                <w:color w:val="auto"/>
              </w:rPr>
            </w:pPr>
          </w:p>
        </w:tc>
      </w:tr>
      <w:tr>
        <w:trPr>
          <w:trHeight w:val="243"/>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Devdatt Kurdikar</w:t>
            </w:r>
          </w:p>
        </w:tc>
      </w:tr>
      <w:tr>
        <w:trPr>
          <w:trHeight w:val="257"/>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57"/>
        </w:trPr>
        <w:tc>
          <w:tcPr>
            <w:tcW w:w="584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Jacob Elguicze</w:t>
            </w:r>
          </w:p>
        </w:tc>
      </w:tr>
      <w:tr>
        <w:trPr>
          <w:trHeight w:val="241"/>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2025</w:t>
            </w:r>
          </w:p>
        </w:tc>
        <w:tc>
          <w:tcPr>
            <w:tcW w:w="5380" w:type="dxa"/>
            <w:vAlign w:val="bottom"/>
            <w:tcBorders>
              <w:bottom w:val="single" w:sz="8" w:color="auto"/>
            </w:tcBorders>
          </w:tcPr>
          <w:p>
            <w:pPr>
              <w:spacing w:after="0"/>
              <w:rPr>
                <w:sz w:val="20"/>
                <w:szCs w:val="20"/>
                <w:color w:val="auto"/>
              </w:rPr>
            </w:pPr>
          </w:p>
        </w:tc>
      </w:tr>
      <w:tr>
        <w:trPr>
          <w:trHeight w:val="243"/>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Jacob Elguicze</w:t>
            </w:r>
          </w:p>
        </w:tc>
      </w:tr>
      <w:tr>
        <w:trPr>
          <w:trHeight w:val="257"/>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57"/>
        </w:trPr>
        <w:tc>
          <w:tcPr>
            <w:tcW w:w="584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Anthony Roth</w:t>
            </w:r>
          </w:p>
        </w:tc>
      </w:tr>
      <w:tr>
        <w:trPr>
          <w:trHeight w:val="241"/>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2025</w:t>
            </w:r>
          </w:p>
        </w:tc>
        <w:tc>
          <w:tcPr>
            <w:tcW w:w="5380" w:type="dxa"/>
            <w:vAlign w:val="bottom"/>
            <w:tcBorders>
              <w:bottom w:val="single" w:sz="8" w:color="auto"/>
            </w:tcBorders>
          </w:tcPr>
          <w:p>
            <w:pPr>
              <w:spacing w:after="0"/>
              <w:rPr>
                <w:sz w:val="20"/>
                <w:szCs w:val="20"/>
                <w:color w:val="auto"/>
              </w:rPr>
            </w:pPr>
          </w:p>
        </w:tc>
      </w:tr>
      <w:tr>
        <w:trPr>
          <w:trHeight w:val="243"/>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Roth</w:t>
            </w:r>
          </w:p>
        </w:tc>
      </w:tr>
      <w:tr>
        <w:trPr>
          <w:trHeight w:val="257"/>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tc>
      </w:tr>
      <w:tr>
        <w:trPr>
          <w:trHeight w:val="256"/>
        </w:trPr>
        <w:tc>
          <w:tcPr>
            <w:tcW w:w="584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1240"/>
          </w:cols>
          <w:pgMar w:left="320" w:top="226"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Devdatt Kurdikar, certify that:</w:t>
      </w:r>
    </w:p>
    <w:p>
      <w:pPr>
        <w:spacing w:after="0" w:line="144"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Embecta Corp.;</w:t>
      </w:r>
    </w:p>
    <w:p>
      <w:pPr>
        <w:spacing w:after="0" w:line="144" w:lineRule="exact"/>
        <w:rPr>
          <w:rFonts w:ascii="Times New Roman" w:cs="Times New Roman" w:eastAsia="Times New Roman" w:hAnsi="Times New Roman"/>
          <w:sz w:val="18"/>
          <w:szCs w:val="18"/>
          <w:color w:val="auto"/>
        </w:rPr>
      </w:pPr>
    </w:p>
    <w:p>
      <w:pPr>
        <w:jc w:val="both"/>
        <w:ind w:left="340" w:right="440" w:hanging="332"/>
        <w:spacing w:after="0" w:line="250"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340" w:right="20" w:hanging="332"/>
        <w:spacing w:after="0" w:line="24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8"/>
          <w:szCs w:val="18"/>
          <w:color w:val="auto"/>
        </w:rPr>
      </w:pPr>
    </w:p>
    <w:p>
      <w:pPr>
        <w:ind w:left="660" w:right="380" w:hanging="328"/>
        <w:spacing w:after="0" w:line="258" w:lineRule="auto"/>
        <w:tabs>
          <w:tab w:leader="none" w:pos="65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8" w:lineRule="exact"/>
        <w:rPr>
          <w:rFonts w:ascii="Times New Roman" w:cs="Times New Roman" w:eastAsia="Times New Roman" w:hAnsi="Times New Roman"/>
          <w:sz w:val="18"/>
          <w:szCs w:val="18"/>
          <w:color w:val="auto"/>
        </w:rPr>
      </w:pPr>
    </w:p>
    <w:p>
      <w:pPr>
        <w:ind w:left="660" w:right="60" w:hanging="328"/>
        <w:spacing w:after="0" w:line="242" w:lineRule="auto"/>
        <w:tabs>
          <w:tab w:leader="none" w:pos="6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Times New Roman" w:cs="Times New Roman" w:eastAsia="Times New Roman" w:hAnsi="Times New Roman"/>
          <w:sz w:val="18"/>
          <w:szCs w:val="18"/>
          <w:color w:val="auto"/>
        </w:rPr>
      </w:pPr>
    </w:p>
    <w:p>
      <w:pPr>
        <w:jc w:val="both"/>
        <w:ind w:left="660" w:right="860" w:hanging="328"/>
        <w:spacing w:after="0" w:line="296" w:lineRule="auto"/>
        <w:tabs>
          <w:tab w:leader="none" w:pos="65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17"/>
          <w:szCs w:val="17"/>
          <w:color w:val="auto"/>
        </w:rPr>
      </w:pPr>
    </w:p>
    <w:p>
      <w:pPr>
        <w:ind w:left="660" w:right="80" w:hanging="328"/>
        <w:spacing w:after="0" w:line="258" w:lineRule="auto"/>
        <w:tabs>
          <w:tab w:leader="none" w:pos="6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rFonts w:ascii="Times New Roman" w:cs="Times New Roman" w:eastAsia="Times New Roman" w:hAnsi="Times New Roman"/>
          <w:sz w:val="18"/>
          <w:szCs w:val="18"/>
          <w:color w:val="auto"/>
        </w:rPr>
      </w:pPr>
    </w:p>
    <w:p>
      <w:pPr>
        <w:ind w:left="340" w:right="1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2025</w:t>
      </w:r>
    </w:p>
    <w:p>
      <w:pPr>
        <w:spacing w:after="0" w:line="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Devdatt Kurdikar</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Jacob Elguicze, certify that:</w:t>
      </w:r>
    </w:p>
    <w:p>
      <w:pPr>
        <w:spacing w:after="0" w:line="144"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Embecta Corp.;</w:t>
      </w:r>
    </w:p>
    <w:p>
      <w:pPr>
        <w:spacing w:after="0" w:line="144" w:lineRule="exact"/>
        <w:rPr>
          <w:rFonts w:ascii="Times New Roman" w:cs="Times New Roman" w:eastAsia="Times New Roman" w:hAnsi="Times New Roman"/>
          <w:sz w:val="18"/>
          <w:szCs w:val="18"/>
          <w:color w:val="auto"/>
        </w:rPr>
      </w:pPr>
    </w:p>
    <w:p>
      <w:pPr>
        <w:jc w:val="both"/>
        <w:ind w:left="340" w:right="440" w:hanging="332"/>
        <w:spacing w:after="0" w:line="250"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340" w:right="20" w:hanging="332"/>
        <w:spacing w:after="0" w:line="24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8"/>
          <w:szCs w:val="18"/>
          <w:color w:val="auto"/>
        </w:rPr>
      </w:pPr>
    </w:p>
    <w:p>
      <w:pPr>
        <w:ind w:left="660" w:right="380" w:hanging="328"/>
        <w:spacing w:after="0" w:line="258" w:lineRule="auto"/>
        <w:tabs>
          <w:tab w:leader="none" w:pos="65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1"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Times New Roman" w:cs="Times New Roman" w:eastAsia="Times New Roman" w:hAnsi="Times New Roman"/>
          <w:sz w:val="17"/>
          <w:szCs w:val="17"/>
          <w:color w:val="auto"/>
        </w:rPr>
      </w:pPr>
    </w:p>
    <w:p>
      <w:pPr>
        <w:ind w:left="660" w:right="80" w:hanging="328"/>
        <w:spacing w:after="0" w:line="250" w:lineRule="auto"/>
        <w:tabs>
          <w:tab w:leader="none" w:pos="65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2025</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Jacob Elguicze</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08"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Pursuant to 18 U.S.C. Section 1350, in connection with the Quarterly Report on Form 10-Q of Embecta Corp. for the quarter ended June 30, 2025 as filed with the Securities and Exchange Commission (the “Report”),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Devdatt Kurdikar, the Chief Executive Officer of Embecta Corp., certify that, to the best of my knowledge:</w:t>
      </w:r>
    </w:p>
    <w:p>
      <w:pPr>
        <w:spacing w:after="0" w:line="131" w:lineRule="exact"/>
        <w:rPr>
          <w:sz w:val="20"/>
          <w:szCs w:val="20"/>
          <w:color w:val="auto"/>
        </w:rPr>
      </w:pPr>
    </w:p>
    <w:p>
      <w:pPr>
        <w:ind w:left="420" w:hanging="412"/>
        <w:spacing w:after="0"/>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Embecta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2025</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17145</wp:posOffset>
            </wp:positionV>
            <wp:extent cx="28543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Devdatt Kurdikar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08"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Pursuant to 18 U.S.C. Section 1350, in connection with the Quarterly Report on Form 10-Q of Embecta Corp. for the quarter ended June 30, 2025 as filed with the Securities and Exchange Commission (the “Report”),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Jacob Elguicze, the Chief Financial Officer of Embecta Corp., certify that, to the best of my knowledge:</w:t>
      </w:r>
    </w:p>
    <w:p>
      <w:pPr>
        <w:spacing w:after="0" w:line="131" w:lineRule="exact"/>
        <w:rPr>
          <w:sz w:val="20"/>
          <w:szCs w:val="20"/>
          <w:color w:val="auto"/>
        </w:rPr>
      </w:pPr>
    </w:p>
    <w:p>
      <w:pPr>
        <w:ind w:left="420" w:hanging="412"/>
        <w:spacing w:after="0"/>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Embecta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2025</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Jacob Elguicze</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2025-08-08T10:47:58Z</dcterms:created>
  <dcterms:modified xsi:type="dcterms:W3CDTF">2025-08-08T10:47:58Z</dcterms:modified>
</cp:coreProperties>
</file>