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png" ContentType="image/png"/>
  <Override PartName="/word/media/image3.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76" w:before="120" w:after="340"/>
        <w:jc w:val="left"/>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before="120" w:after="12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80" w:after="12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76" w:before="120" w:after="120"/>
        <w:jc w:val="center"/>
        <w:rPr>
          <w:rFonts w:ascii="Times New Roman;serif" w:hAnsi="Times New Roman;serif"/>
          <w:b/>
          <w:color w:val="000000"/>
          <w:sz w:val="32"/>
        </w:rPr>
      </w:pPr>
      <w:r>
        <w:rPr>
          <w:rFonts w:ascii="Times New Roman;serif" w:hAnsi="Times New Roman;serif"/>
          <w:b/>
          <w:color w:val="000000"/>
          <w:sz w:val="32"/>
        </w:rPr>
        <w:t xml:space="preserve">SECURITIES AND EXCHANGE COMMISSION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Washington, D.C. 20549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center"/>
        <w:rPr>
          <w:rFonts w:ascii="Times New Roman;serif" w:hAnsi="Times New Roman;serif"/>
          <w:b/>
          <w:color w:val="000000"/>
          <w:sz w:val="32"/>
        </w:rPr>
      </w:pPr>
      <w:r>
        <w:rPr>
          <w:rFonts w:ascii="Times New Roman;serif" w:hAnsi="Times New Roman;serif"/>
          <w:b/>
          <w:color w:val="000000"/>
          <w:sz w:val="32"/>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 xml:space="preserve">(Mark One)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 xml:space="preserve">QUARTERLY REPORT PURSUANT TO SECTION 13 OR 15(d) OF THE SECURITIES EXCHANGE ACT OF 1934 </w:t>
            </w:r>
          </w:p>
        </w:tc>
      </w:tr>
    </w:tbl>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2"/>
              </w:rPr>
            </w:pPr>
            <w:r>
              <w:rPr>
                <w:rFonts w:ascii="Times New Roman;serif" w:hAnsi="Times New Roman;serif"/>
                <w:b/>
                <w:color w:val="000000"/>
                <w:sz w:val="22"/>
              </w:rPr>
              <w:t>TRANSITION REPORT PURSUANT TO SECTION 13 OR 15(d) OF THE SECURITIES EXCHANGE ACT OF 1934</w:t>
            </w:r>
          </w:p>
        </w:tc>
      </w:tr>
    </w:tbl>
    <w:p>
      <w:pPr>
        <w:pStyle w:val="TextBody"/>
        <w:bidi w:val="0"/>
        <w:spacing w:lineRule="auto" w:line="276" w:before="280" w:after="120"/>
        <w:jc w:val="center"/>
        <w:rPr>
          <w:rFonts w:ascii="Times New Roman;serif" w:hAnsi="Times New Roman;serif"/>
          <w:b/>
          <w:color w:val="000000"/>
          <w:sz w:val="20"/>
        </w:rPr>
      </w:pPr>
      <w:r>
        <w:rPr>
          <w:rFonts w:ascii="Times New Roman;serif" w:hAnsi="Times New Roman;serif"/>
          <w:b/>
          <w:color w:val="000000"/>
          <w:sz w:val="20"/>
        </w:rPr>
        <w:t xml:space="preserve">For the transition period from to </w:t>
      </w: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Commission file number 001-41186</w:t>
      </w:r>
    </w:p>
    <w:p>
      <w:pPr>
        <w:pStyle w:val="TextBody"/>
        <w:bidi w:val="0"/>
        <w:spacing w:before="120" w:after="120"/>
        <w:jc w:val="center"/>
        <w:rPr/>
      </w:pPr>
      <w:r>
        <w:rPr/>
        <w:drawing>
          <wp:inline distT="0" distB="0" distL="0" distR="0">
            <wp:extent cx="1562100" cy="638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62100" cy="638175"/>
                    </a:xfrm>
                    <a:prstGeom prst="rect">
                      <a:avLst/>
                    </a:prstGeom>
                  </pic:spPr>
                </pic:pic>
              </a:graphicData>
            </a:graphic>
          </wp:inline>
        </w:drawing>
      </w:r>
      <w:bookmarkStart w:id="0" w:name="i-1"/>
      <w:bookmarkEnd w:id="0"/>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EMBECTA CORP.</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61" w:type="dxa"/>
        <w:jc w:val="center"/>
        <w:tblInd w:w="0" w:type="dxa"/>
        <w:tblLayout w:type="fixed"/>
        <w:tblCellMar>
          <w:top w:w="28" w:type="dxa"/>
          <w:left w:w="28" w:type="dxa"/>
          <w:bottom w:w="28" w:type="dxa"/>
          <w:right w:w="28" w:type="dxa"/>
        </w:tblCellMar>
      </w:tblPr>
      <w:tblGrid>
        <w:gridCol w:w="1698"/>
        <w:gridCol w:w="1488"/>
        <w:gridCol w:w="1509"/>
        <w:gridCol w:w="109"/>
        <w:gridCol w:w="109"/>
        <w:gridCol w:w="109"/>
        <w:gridCol w:w="420"/>
        <w:gridCol w:w="420"/>
        <w:gridCol w:w="599"/>
      </w:tblGrid>
      <w:tr>
        <w:trPr/>
        <w:tc>
          <w:tcPr>
            <w:tcW w:w="1698"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87-1583942</w:t>
            </w:r>
          </w:p>
        </w:tc>
      </w:tr>
      <w:tr>
        <w:trPr/>
        <w:tc>
          <w:tcPr>
            <w:tcW w:w="469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300 Kimball Drive, Suite 300, Parsippany, New Jersey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07054</w:t>
            </w:r>
          </w:p>
        </w:tc>
      </w:tr>
      <w:tr>
        <w:trPr/>
        <w:tc>
          <w:tcPr>
            <w:tcW w:w="4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(862) 401-0000</w:t>
      </w:r>
    </w:p>
    <w:p>
      <w:pPr>
        <w:pStyle w:val="TextBody"/>
        <w:bidi w:val="0"/>
        <w:spacing w:lineRule="auto" w:line="276" w:before="120" w:after="12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2"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76" w:before="120" w:after="340"/>
        <w:jc w:val="left"/>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center"/>
        <w:tblInd w:w="0" w:type="dxa"/>
        <w:tblLayout w:type="fixed"/>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1529"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r>
      <w:tr>
        <w:trPr/>
        <w:tc>
          <w:tcPr>
            <w:tcW w:w="353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cMar>
              <w:top w:w="0" w:type="dxa"/>
              <w:left w:w="0" w:type="dxa"/>
              <w:bottom w:w="0" w:type="dxa"/>
              <w:right w:w="0" w:type="dxa"/>
            </w:tcMar>
            <w:vAlign w:val="center"/>
          </w:tcPr>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76"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5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20"/>
              </w:rPr>
            </w:pPr>
            <w:r>
              <w:rPr>
                <w:rFonts w:ascii="Times New Roman;serif" w:hAnsi="Times New Roman;serif"/>
                <w:b/>
                <w:color w:val="000000"/>
                <w:sz w:val="20"/>
              </w:rPr>
              <w:t>EMBC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center"/>
              <w:rPr>
                <w:rFonts w:ascii="Times New Roman;serif" w:hAnsi="Times New Roman;serif"/>
                <w:b/>
                <w:color w:val="000000"/>
                <w:sz w:val="20"/>
              </w:rPr>
            </w:pPr>
            <w:r>
              <w:rPr>
                <w:rFonts w:ascii="Times New Roman;serif" w:hAnsi="Times New Roman;serif"/>
                <w:b/>
                <w:color w:val="000000"/>
                <w:sz w:val="20"/>
              </w:rPr>
              <w:t>The Nasdaq Stock Market LLC (Nasdaq Global Select Market)</w:t>
            </w:r>
          </w:p>
        </w:tc>
      </w:tr>
    </w:tbl>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(the “Exchange Act”) during the preceding 12 months (or for such shorter period that the registrant was required to file such reports), and (2) has been subject to such filing requirements for the past 90 days. Yes ☒ No ☐ </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 No ☐ </w:t>
      </w:r>
    </w:p>
    <w:p>
      <w:pPr>
        <w:pStyle w:val="TextBody"/>
        <w:bidi w:val="0"/>
        <w:spacing w:lineRule="auto" w:line="288" w:before="240" w:after="24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6315" w:type="dxa"/>
        <w:jc w:val="center"/>
        <w:tblInd w:w="0" w:type="dxa"/>
        <w:tblLayout w:type="fixed"/>
        <w:tblCellMar>
          <w:top w:w="28" w:type="dxa"/>
          <w:left w:w="28" w:type="dxa"/>
          <w:bottom w:w="28" w:type="dxa"/>
          <w:right w:w="28" w:type="dxa"/>
        </w:tblCellMar>
      </w:tblPr>
      <w:tblGrid>
        <w:gridCol w:w="842"/>
        <w:gridCol w:w="740"/>
        <w:gridCol w:w="743"/>
        <w:gridCol w:w="109"/>
        <w:gridCol w:w="109"/>
        <w:gridCol w:w="109"/>
        <w:gridCol w:w="109"/>
        <w:gridCol w:w="109"/>
        <w:gridCol w:w="109"/>
        <w:gridCol w:w="109"/>
        <w:gridCol w:w="109"/>
        <w:gridCol w:w="109"/>
        <w:gridCol w:w="769"/>
        <w:gridCol w:w="769"/>
        <w:gridCol w:w="772"/>
        <w:gridCol w:w="109"/>
        <w:gridCol w:w="109"/>
        <w:gridCol w:w="109"/>
        <w:gridCol w:w="109"/>
        <w:gridCol w:w="109"/>
        <w:gridCol w:w="154"/>
      </w:tblGrid>
      <w:tr>
        <w:trPr/>
        <w:tc>
          <w:tcPr>
            <w:tcW w:w="8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0"/>
              <w:jc w:val="left"/>
              <w:rPr>
                <w:color w:val="000000"/>
              </w:rPr>
            </w:pPr>
            <w:r>
              <w:rPr>
                <w:color w:val="000000"/>
              </w:rPr>
              <w:t>☐</w:t>
            </w:r>
          </w:p>
        </w:tc>
        <w:tc>
          <w:tcPr>
            <w:tcW w:w="263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r>
    </w:tbl>
    <w:p>
      <w:pPr>
        <w:pStyle w:val="TextBody"/>
        <w:bidi w:val="0"/>
        <w:spacing w:lineRule="auto" w:line="268" w:before="240" w:after="240"/>
        <w:jc w:val="both"/>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by Rule 12b-2 of the Exchange Act). Yes ☐ No ☒</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number of shares of Embecta Corp. common stock outstanding as of July 31, 2026 was 56,659,599 shares, par value $0.01 per share.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51460"/>
                <wp:effectExtent l="0" t="0" r="0" b="0"/>
                <wp:wrapNone/>
                <wp:docPr id="3"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both"/>
                        <w:rPr/>
                      </w:pPr>
                      <w:r>
                        <w:rPr/>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Embecta Corp. </w:t>
      </w: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 xml:space="preserve">Table of Contents </w:t>
      </w:r>
    </w:p>
    <w:tbl>
      <w:tblPr>
        <w:tblW w:w="9707" w:type="dxa"/>
        <w:jc w:val="left"/>
        <w:tblInd w:w="0" w:type="dxa"/>
        <w:tblLayout w:type="fixed"/>
        <w:tblCellMar>
          <w:top w:w="28" w:type="dxa"/>
          <w:left w:w="28" w:type="dxa"/>
          <w:bottom w:w="28" w:type="dxa"/>
          <w:right w:w="28" w:type="dxa"/>
        </w:tblCellMar>
      </w:tblPr>
      <w:tblGrid>
        <w:gridCol w:w="497"/>
        <w:gridCol w:w="267"/>
        <w:gridCol w:w="267"/>
        <w:gridCol w:w="267"/>
        <w:gridCol w:w="267"/>
        <w:gridCol w:w="267"/>
        <w:gridCol w:w="2431"/>
        <w:gridCol w:w="2431"/>
        <w:gridCol w:w="2502"/>
        <w:gridCol w:w="149"/>
        <w:gridCol w:w="149"/>
        <w:gridCol w:w="213"/>
      </w:tblGrid>
      <w:tr>
        <w:trPr/>
        <w:tc>
          <w:tcPr>
            <w:tcW w:w="49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196" w:type="dxa"/>
            <w:gridSpan w:val="9"/>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10">
              <w:r>
                <w:rPr>
                  <w:rStyle w:val="InternetLink"/>
                  <w:rFonts w:ascii="Times New Roman;serif" w:hAnsi="Times New Roman;serif"/>
                  <w:b w:val="false"/>
                  <w:color w:val="0000FF"/>
                  <w:sz w:val="20"/>
                  <w:u w:val="single"/>
                </w:rPr>
                <w:t xml:space="preserve">Part I. Financial Information </w:t>
              </w:r>
            </w:hyperlink>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0"/>
              <w:jc w:val="right"/>
              <w:rPr/>
            </w:pPr>
            <w:hyperlink w:anchor="ifb1f1ab38f974d7ea35a273a762ba045_10">
              <w:r>
                <w:rPr>
                  <w:rStyle w:val="InternetLink"/>
                  <w:rFonts w:ascii="Times New Roman;serif" w:hAnsi="Times New Roman;serif"/>
                  <w:b w:val="false"/>
                  <w:strike w:val="false"/>
                  <w:dstrike w:val="false"/>
                  <w:color w:val="000000"/>
                  <w:sz w:val="20"/>
                  <w:u w:val="none"/>
                  <w:effect w:val="none"/>
                </w:rPr>
                <w:t>1</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13">
              <w:r>
                <w:rPr>
                  <w:rStyle w:val="InternetLink"/>
                  <w:rFonts w:ascii="Times New Roman;serif" w:hAnsi="Times New Roman;serif"/>
                  <w:b w:val="false"/>
                  <w:color w:val="0000FF"/>
                  <w:sz w:val="20"/>
                  <w:u w:val="single"/>
                </w:rPr>
                <w:t>Financial Statements (Unaudited)</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13">
              <w:r>
                <w:rPr>
                  <w:rStyle w:val="InternetLink"/>
                  <w:rFonts w:ascii="Times New Roman;serif" w:hAnsi="Times New Roman;serif"/>
                  <w:b w:val="false"/>
                  <w:strike w:val="false"/>
                  <w:dstrike w:val="false"/>
                  <w:color w:val="000000"/>
                  <w:sz w:val="20"/>
                  <w:u w:val="none"/>
                  <w:effect w:val="none"/>
                </w:rPr>
                <w:t>1</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16">
              <w:r>
                <w:rPr>
                  <w:rStyle w:val="InternetLink"/>
                  <w:rFonts w:ascii="Times New Roman;serif" w:hAnsi="Times New Roman;serif"/>
                  <w:b w:val="false"/>
                  <w:color w:val="000080"/>
                  <w:sz w:val="20"/>
                  <w:u w:val="single"/>
                </w:rPr>
                <w:t>Condensed Consolidated Statements of</w:t>
              </w:r>
            </w:hyperlink>
            <w:hyperlink w:anchor="ifb1f1ab38f974d7ea35a273a762ba045_16">
              <w:r>
                <w:rPr>
                  <w:rStyle w:val="InternetLink"/>
                  <w:rFonts w:ascii="Times New Roman;serif" w:hAnsi="Times New Roman;serif"/>
                  <w:b w:val="false"/>
                  <w:color w:val="000080"/>
                  <w:sz w:val="20"/>
                  <w:u w:val="single"/>
                </w:rPr>
                <w:t xml:space="preser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16">
              <w:r>
                <w:rPr>
                  <w:rStyle w:val="InternetLink"/>
                  <w:rFonts w:ascii="Times New Roman;serif" w:hAnsi="Times New Roman;serif"/>
                  <w:b w:val="false"/>
                  <w:strike w:val="false"/>
                  <w:dstrike w:val="false"/>
                  <w:color w:val="000000"/>
                  <w:sz w:val="20"/>
                  <w:u w:val="none"/>
                  <w:effect w:val="none"/>
                </w:rPr>
                <w:t>1</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19">
              <w:r>
                <w:rPr>
                  <w:rStyle w:val="InternetLink"/>
                  <w:rFonts w:ascii="Times New Roman;serif" w:hAnsi="Times New Roman;serif"/>
                  <w:b w:val="false"/>
                  <w:color w:val="000080"/>
                  <w:sz w:val="20"/>
                  <w:u w:val="single"/>
                </w:rPr>
                <w:t>Condensed Consolidated Statements of Comprehensive</w:t>
              </w:r>
            </w:hyperlink>
            <w:hyperlink w:anchor="ifb1f1ab38f974d7ea35a273a762ba045_19">
              <w:r>
                <w:rPr>
                  <w:rStyle w:val="InternetLink"/>
                  <w:rFonts w:ascii="Times New Roman;serif" w:hAnsi="Times New Roman;serif"/>
                  <w:b w:val="false"/>
                  <w:color w:val="000080"/>
                  <w:sz w:val="20"/>
                  <w:u w:val="single"/>
                </w:rPr>
                <w:t xml:space="preserve"> Income</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19">
              <w:r>
                <w:rPr>
                  <w:rStyle w:val="InternetLink"/>
                  <w:rFonts w:ascii="Times New Roman;serif" w:hAnsi="Times New Roman;serif"/>
                  <w:b w:val="false"/>
                  <w:strike w:val="false"/>
                  <w:dstrike w:val="false"/>
                  <w:color w:val="000000"/>
                  <w:sz w:val="20"/>
                  <w:u w:val="none"/>
                  <w:effect w:val="none"/>
                </w:rPr>
                <w:t>2</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2">
              <w:r>
                <w:rPr>
                  <w:rStyle w:val="InternetLink"/>
                  <w:rFonts w:ascii="Times New Roman;serif" w:hAnsi="Times New Roman;serif"/>
                  <w:b w:val="false"/>
                  <w:color w:val="0000FF"/>
                  <w:sz w:val="20"/>
                  <w:u w:val="single"/>
                </w:rPr>
                <w:t>Condensed 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2">
              <w:r>
                <w:rPr>
                  <w:rStyle w:val="InternetLink"/>
                  <w:rFonts w:ascii="Times New Roman;serif" w:hAnsi="Times New Roman;serif"/>
                  <w:b w:val="false"/>
                  <w:strike w:val="false"/>
                  <w:dstrike w:val="false"/>
                  <w:color w:val="000000"/>
                  <w:sz w:val="20"/>
                  <w:u w:val="none"/>
                  <w:effect w:val="none"/>
                </w:rPr>
                <w:t>3</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5">
              <w:r>
                <w:rPr>
                  <w:rStyle w:val="InternetLink"/>
                  <w:rFonts w:ascii="Times New Roman;serif" w:hAnsi="Times New Roman;serif"/>
                  <w:b w:val="false"/>
                  <w:color w:val="0000FF"/>
                  <w:sz w:val="20"/>
                  <w:u w:val="single"/>
                </w:rPr>
                <w:t>Condensed Consolidated Statements of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5">
              <w:r>
                <w:rPr>
                  <w:rStyle w:val="InternetLink"/>
                  <w:rFonts w:ascii="Times New Roman;serif" w:hAnsi="Times New Roman;serif"/>
                  <w:b w:val="false"/>
                  <w:strike w:val="false"/>
                  <w:dstrike w:val="false"/>
                  <w:color w:val="000000"/>
                  <w:sz w:val="20"/>
                  <w:u w:val="none"/>
                  <w:effect w:val="none"/>
                </w:rPr>
                <w:t>4</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31">
              <w:r>
                <w:rPr>
                  <w:rStyle w:val="InternetLink"/>
                  <w:rFonts w:ascii="Times New Roman;serif" w:hAnsi="Times New Roman;serif"/>
                  <w:b w:val="false"/>
                  <w:color w:val="0000FF"/>
                  <w:sz w:val="20"/>
                  <w:u w:val="single"/>
                </w:rPr>
                <w:t>Condensed 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31">
              <w:r>
                <w:rPr>
                  <w:rStyle w:val="InternetLink"/>
                  <w:rFonts w:ascii="Times New Roman;serif" w:hAnsi="Times New Roman;serif"/>
                  <w:b w:val="false"/>
                  <w:strike w:val="false"/>
                  <w:dstrike w:val="false"/>
                  <w:color w:val="000000"/>
                  <w:sz w:val="20"/>
                  <w:u w:val="none"/>
                  <w:effect w:val="none"/>
                </w:rPr>
                <w:t>6</w:t>
              </w:r>
            </w:hyperlink>
          </w:p>
        </w:tc>
      </w:tr>
      <w:tr>
        <w:trPr/>
        <w:tc>
          <w:tcPr>
            <w:tcW w:w="10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34">
              <w:r>
                <w:rPr>
                  <w:rStyle w:val="InternetLink"/>
                  <w:rFonts w:ascii="Times New Roman;serif" w:hAnsi="Times New Roman;serif"/>
                  <w:b w:val="false"/>
                  <w:color w:val="0000FF"/>
                  <w:sz w:val="20"/>
                  <w:u w:val="single"/>
                </w:rPr>
                <w:t>Notes to Condensed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34">
              <w:r>
                <w:rPr>
                  <w:rStyle w:val="InternetLink"/>
                  <w:rFonts w:ascii="Times New Roman;serif" w:hAnsi="Times New Roman;serif"/>
                  <w:b w:val="false"/>
                  <w:strike w:val="false"/>
                  <w:dstrike w:val="false"/>
                  <w:color w:val="000000"/>
                  <w:sz w:val="20"/>
                  <w:u w:val="none"/>
                  <w:effect w:val="none"/>
                </w:rPr>
                <w:t>7</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13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139">
              <w:r>
                <w:rPr>
                  <w:rStyle w:val="InternetLink"/>
                  <w:rFonts w:ascii="Times New Roman;serif" w:hAnsi="Times New Roman;serif"/>
                  <w:b w:val="false"/>
                  <w:strike w:val="false"/>
                  <w:dstrike w:val="false"/>
                  <w:color w:val="000000"/>
                  <w:sz w:val="20"/>
                  <w:u w:val="none"/>
                  <w:effect w:val="none"/>
                </w:rPr>
                <w:t>25</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23">
              <w:r>
                <w:rPr>
                  <w:rStyle w:val="InternetLink"/>
                  <w:rFonts w:ascii="Times New Roman;serif" w:hAnsi="Times New Roman;serif"/>
                  <w:b w:val="false"/>
                  <w:color w:val="0000FF"/>
                  <w:sz w:val="20"/>
                  <w:u w:val="single"/>
                </w:rPr>
                <w:t>Quantitative and Qualitative Disclosures About Market Risk</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23">
              <w:r>
                <w:rPr>
                  <w:rStyle w:val="InternetLink"/>
                  <w:rFonts w:ascii="Times New Roman;serif" w:hAnsi="Times New Roman;serif"/>
                  <w:b w:val="false"/>
                  <w:strike w:val="false"/>
                  <w:dstrike w:val="false"/>
                  <w:color w:val="000000"/>
                  <w:sz w:val="20"/>
                  <w:u w:val="none"/>
                  <w:effect w:val="none"/>
                </w:rPr>
                <w:t>36</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26">
              <w:r>
                <w:rPr>
                  <w:rStyle w:val="InternetLink"/>
                  <w:rFonts w:ascii="Times New Roman;serif" w:hAnsi="Times New Roman;serif"/>
                  <w:b w:val="false"/>
                  <w:color w:val="0000FF"/>
                  <w:sz w:val="20"/>
                  <w:u w:val="single"/>
                </w:rPr>
                <w:t>Controls and Procedures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26">
              <w:r>
                <w:rPr>
                  <w:rStyle w:val="InternetLink"/>
                  <w:rFonts w:ascii="Times New Roman;serif" w:hAnsi="Times New Roman;serif"/>
                  <w:b w:val="false"/>
                  <w:strike w:val="false"/>
                  <w:dstrike w:val="false"/>
                  <w:color w:val="000000"/>
                  <w:sz w:val="20"/>
                  <w:u w:val="none"/>
                  <w:effect w:val="none"/>
                </w:rPr>
                <w:t>37</w:t>
              </w:r>
            </w:hyperlink>
          </w:p>
        </w:tc>
      </w:tr>
      <w:tr>
        <w:trPr/>
        <w:tc>
          <w:tcPr>
            <w:tcW w:w="9196" w:type="dxa"/>
            <w:gridSpan w:val="9"/>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29">
              <w:r>
                <w:rPr>
                  <w:rStyle w:val="InternetLink"/>
                  <w:rFonts w:ascii="Times New Roman;serif" w:hAnsi="Times New Roman;serif"/>
                  <w:b w:val="false"/>
                  <w:color w:val="0000FF"/>
                  <w:sz w:val="20"/>
                  <w:u w:val="single"/>
                </w:rPr>
                <w:t xml:space="preserve">Part II. Other Information </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29">
              <w:r>
                <w:rPr>
                  <w:rStyle w:val="InternetLink"/>
                  <w:rFonts w:ascii="Times New Roman;serif" w:hAnsi="Times New Roman;serif"/>
                  <w:b w:val="false"/>
                  <w:strike w:val="false"/>
                  <w:dstrike w:val="false"/>
                  <w:color w:val="000000"/>
                  <w:sz w:val="20"/>
                  <w:u w:val="none"/>
                  <w:effect w:val="none"/>
                </w:rPr>
                <w:t>38</w:t>
              </w:r>
            </w:hyperlink>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35">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35">
              <w:r>
                <w:rPr>
                  <w:rStyle w:val="InternetLink"/>
                  <w:rFonts w:ascii="Times New Roman;serif" w:hAnsi="Times New Roman;serif"/>
                  <w:b w:val="false"/>
                  <w:strike w:val="false"/>
                  <w:dstrike w:val="false"/>
                  <w:color w:val="000000"/>
                  <w:sz w:val="20"/>
                  <w:u w:val="none"/>
                  <w:effect w:val="none"/>
                </w:rPr>
                <w:t>38</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38">
              <w:r>
                <w:rPr>
                  <w:rStyle w:val="InternetLink"/>
                  <w:rFonts w:ascii="Times New Roman;serif" w:hAnsi="Times New Roman;serif"/>
                  <w:b w:val="false"/>
                  <w:color w:val="0000FF"/>
                  <w:sz w:val="20"/>
                  <w:u w:val="single"/>
                </w:rPr>
                <w:t>Unregistered Sales of Equity Securities and 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38">
              <w:r>
                <w:rPr>
                  <w:rStyle w:val="InternetLink"/>
                  <w:rFonts w:ascii="Times New Roman;serif" w:hAnsi="Times New Roman;serif"/>
                  <w:b w:val="false"/>
                  <w:strike w:val="false"/>
                  <w:dstrike w:val="false"/>
                  <w:color w:val="000000"/>
                  <w:sz w:val="20"/>
                  <w:u w:val="none"/>
                  <w:effect w:val="none"/>
                </w:rPr>
                <w:t>38</w:t>
              </w:r>
            </w:hyperlink>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7364"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47">
              <w:r>
                <w:rPr>
                  <w:rStyle w:val="InternetLink"/>
                  <w:rFonts w:ascii="Times New Roman;serif" w:hAnsi="Times New Roman;serif"/>
                  <w:b w:val="false"/>
                  <w:color w:val="0000FF"/>
                  <w:sz w:val="20"/>
                  <w:u w:val="single"/>
                </w:rPr>
                <w:t>Other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47">
              <w:r>
                <w:rPr>
                  <w:rStyle w:val="InternetLink"/>
                  <w:rFonts w:ascii="Times New Roman;serif" w:hAnsi="Times New Roman;serif"/>
                  <w:b w:val="false"/>
                  <w:strike w:val="false"/>
                  <w:dstrike w:val="false"/>
                  <w:color w:val="000000"/>
                  <w:sz w:val="20"/>
                  <w:u w:val="none"/>
                  <w:effect w:val="none"/>
                </w:rPr>
                <w:t>38</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50">
              <w:r>
                <w:rPr>
                  <w:rStyle w:val="InternetLink"/>
                  <w:rFonts w:ascii="Times New Roman;serif" w:hAnsi="Times New Roman;serif"/>
                  <w:b w:val="false"/>
                  <w:color w:val="0000FF"/>
                  <w:sz w:val="20"/>
                  <w:u w:val="single"/>
                </w:rPr>
                <w:t>Exhibits</w:t>
              </w:r>
            </w:hyperlink>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50">
              <w:r>
                <w:rPr>
                  <w:rStyle w:val="InternetLink"/>
                  <w:rFonts w:ascii="Times New Roman;serif" w:hAnsi="Times New Roman;serif"/>
                  <w:b w:val="false"/>
                  <w:strike w:val="false"/>
                  <w:dstrike w:val="false"/>
                  <w:color w:val="000000"/>
                  <w:sz w:val="20"/>
                  <w:u w:val="none"/>
                  <w:effect w:val="none"/>
                </w:rPr>
                <w:t>39</w:t>
              </w:r>
            </w:hyperlink>
          </w:p>
        </w:tc>
      </w:tr>
      <w:tr>
        <w:trPr/>
        <w:tc>
          <w:tcPr>
            <w:tcW w:w="1031" w:type="dxa"/>
            <w:gridSpan w:val="3"/>
            <w:tcBorders/>
            <w:tcMar>
              <w:top w:w="0" w:type="dxa"/>
              <w:left w:w="0" w:type="dxa"/>
              <w:bottom w:w="0" w:type="dxa"/>
              <w:right w:w="0" w:type="dxa"/>
            </w:tcMar>
            <w:vAlign w:val="center"/>
          </w:tcPr>
          <w:p>
            <w:pPr>
              <w:pStyle w:val="TableContents"/>
              <w:bidi w:val="0"/>
              <w:spacing w:lineRule="auto" w:line="273" w:before="0" w:after="0"/>
              <w:jc w:val="left"/>
              <w:rPr/>
            </w:pPr>
            <w:hyperlink w:anchor="ifb1f1ab38f974d7ea35a273a762ba045_253">
              <w:r>
                <w:rPr>
                  <w:rStyle w:val="InternetLink"/>
                  <w:rFonts w:ascii="Times New Roman;serif" w:hAnsi="Times New Roman;serif"/>
                  <w:b w:val="false"/>
                  <w:color w:val="0000FF"/>
                  <w:sz w:val="20"/>
                  <w:u w:val="single"/>
                </w:rPr>
                <w:t>Signatures</w:t>
              </w:r>
            </w:hyperlink>
          </w:p>
        </w:tc>
        <w:tc>
          <w:tcPr>
            <w:tcW w:w="8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73" w:before="0" w:after="0"/>
              <w:jc w:val="right"/>
              <w:rPr/>
            </w:pPr>
            <w:hyperlink w:anchor="ifb1f1ab38f974d7ea35a273a762ba045_253">
              <w:r>
                <w:rPr>
                  <w:rStyle w:val="InternetLink"/>
                  <w:rFonts w:ascii="Times New Roman;serif" w:hAnsi="Times New Roman;serif"/>
                  <w:b w:val="false"/>
                  <w:strike w:val="false"/>
                  <w:dstrike w:val="false"/>
                  <w:color w:val="000000"/>
                  <w:sz w:val="20"/>
                  <w:u w:val="none"/>
                  <w:effect w:val="none"/>
                </w:rPr>
                <w:t>40</w:t>
              </w:r>
            </w:hyperlink>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4"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120" w:after="12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PART I. FINANCIAL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Embecta Corp.</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7094" w:type="dxa"/>
        <w:jc w:val="left"/>
        <w:tblInd w:w="0" w:type="dxa"/>
        <w:tblLayout w:type="fixed"/>
        <w:tblCellMar>
          <w:top w:w="28" w:type="dxa"/>
          <w:left w:w="28" w:type="dxa"/>
          <w:bottom w:w="28" w:type="dxa"/>
          <w:right w:w="28" w:type="dxa"/>
        </w:tblCellMar>
      </w:tblPr>
      <w:tblGrid>
        <w:gridCol w:w="951"/>
        <w:gridCol w:w="835"/>
        <w:gridCol w:w="838"/>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administrative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120"/>
        <w:jc w:val="center"/>
        <w:rPr/>
      </w:pPr>
      <w:r>
        <w:rPr>
          <w:rFonts w:ascii="Times New Roman;serif" w:hAnsi="Times New Roman;serif"/>
          <w:b w:val="false"/>
          <w:i/>
          <w:color w:val="000000"/>
          <w:sz w:val="20"/>
        </w:rPr>
        <w:t>See notes to the Unaudited Condensed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34060"/>
                <wp:effectExtent l="0" t="0" r="0" b="0"/>
                <wp:wrapNone/>
                <wp:docPr id="5" name="Frame4"/>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Income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Embecta Corp.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(Unaudited) </w:t>
      </w:r>
    </w:p>
    <w:tbl>
      <w:tblPr>
        <w:tblW w:w="8760" w:type="dxa"/>
        <w:jc w:val="left"/>
        <w:tblInd w:w="0" w:type="dxa"/>
        <w:tblLayout w:type="fixed"/>
        <w:tblCellMar>
          <w:top w:w="28" w:type="dxa"/>
          <w:left w:w="28" w:type="dxa"/>
          <w:bottom w:w="28" w:type="dxa"/>
          <w:right w:w="28" w:type="dxa"/>
        </w:tblCellMar>
      </w:tblPr>
      <w:tblGrid>
        <w:gridCol w:w="1681"/>
        <w:gridCol w:w="1473"/>
        <w:gridCol w:w="1496"/>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68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plan net gain and prior service credit, net of amortization</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 net of tax</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12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34060"/>
                <wp:effectExtent l="0" t="0" r="0" b="0"/>
                <wp:wrapNone/>
                <wp:docPr id="6" name="Frame5"/>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Embecta Corp.</w:t>
      </w:r>
    </w:p>
    <w:tbl>
      <w:tblPr>
        <w:tblW w:w="10205" w:type="dxa"/>
        <w:jc w:val="left"/>
        <w:tblInd w:w="0" w:type="dxa"/>
        <w:tblLayout w:type="fixed"/>
        <w:tblCellMar>
          <w:top w:w="28" w:type="dxa"/>
          <w:left w:w="28" w:type="dxa"/>
          <w:bottom w:w="28" w:type="dxa"/>
          <w:right w:w="28" w:type="dxa"/>
        </w:tblCellMar>
      </w:tblPr>
      <w:tblGrid>
        <w:gridCol w:w="2782"/>
        <w:gridCol w:w="2274"/>
        <w:gridCol w:w="2300"/>
        <w:gridCol w:w="215"/>
        <w:gridCol w:w="761"/>
        <w:gridCol w:w="119"/>
        <w:gridCol w:w="109"/>
        <w:gridCol w:w="109"/>
        <w:gridCol w:w="109"/>
        <w:gridCol w:w="267"/>
        <w:gridCol w:w="945"/>
        <w:gridCol w:w="215"/>
      </w:tblGrid>
      <w:tr>
        <w:trPr/>
        <w:tc>
          <w:tcPr>
            <w:tcW w:w="2782"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73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(Unaudited)</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Trade receivables, net (net of allowance for doubtful accounts of $2.6 million and $1.8 million as of June 30, 2026 and September 30, 2025, respectively)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145.6 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Materials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products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214.2 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178.6 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from Becton, Dickinson and Company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75.3 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705.1 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631.4 </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 net</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Assets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179.9 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1,265.3 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0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21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Amounts due to Becton, Dickinson and Company</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Salaries, wages and related items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debt obligations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419.8 </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261.5 </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1,388.7 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 Current Finance Lease Liabilities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Contingencies (Note 7)</w:t>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Embecta Corp. Equity</w:t>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Common stock, $0.01 par value</w:t>
            </w:r>
          </w:p>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Authorized - 250,000,000</w:t>
            </w:r>
          </w:p>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Issued and outstanding - 56,659,599 as of June 30, 2026 and 58,496,113 as of September 30, 2025</w:t>
            </w:r>
          </w:p>
        </w:tc>
        <w:tc>
          <w:tcPr>
            <w:tcW w:w="215"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80.0 </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(404.3)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56" w:type="dxa"/>
            <w:gridSpan w:val="3"/>
            <w:tcBorders/>
            <w:vAlign w:val="center"/>
          </w:tcPr>
          <w:p>
            <w:pPr>
              <w:pStyle w:val="TableContents"/>
              <w:bidi w:val="0"/>
              <w:spacing w:before="0" w:after="283"/>
              <w:jc w:val="left"/>
              <w:rPr>
                <w:sz w:val="4"/>
                <w:szCs w:val="4"/>
              </w:rPr>
            </w:pPr>
            <w:r>
              <w:rPr>
                <w:sz w:val="4"/>
                <w:szCs w:val="4"/>
              </w:rPr>
            </w:r>
          </w:p>
        </w:tc>
        <w:tc>
          <w:tcPr>
            <w:tcW w:w="10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(285.6)</w:t>
            </w:r>
          </w:p>
        </w:tc>
        <w:tc>
          <w:tcPr>
            <w:tcW w:w="2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(612.7)</w:t>
            </w:r>
          </w:p>
        </w:tc>
        <w:tc>
          <w:tcPr>
            <w:tcW w:w="11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(650.6)</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35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1,265.3 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1,090.9 </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00" w:after="12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34060"/>
                <wp:effectExtent l="0" t="0" r="0" b="0"/>
                <wp:wrapNone/>
                <wp:docPr id="7" name="Frame6"/>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Equity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Embecta Corp. </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834"/>
        <w:gridCol w:w="509"/>
        <w:gridCol w:w="438"/>
        <w:gridCol w:w="480"/>
        <w:gridCol w:w="481"/>
        <w:gridCol w:w="186"/>
        <w:gridCol w:w="109"/>
        <w:gridCol w:w="109"/>
        <w:gridCol w:w="109"/>
        <w:gridCol w:w="201"/>
        <w:gridCol w:w="386"/>
        <w:gridCol w:w="111"/>
        <w:gridCol w:w="109"/>
        <w:gridCol w:w="109"/>
        <w:gridCol w:w="109"/>
        <w:gridCol w:w="263"/>
        <w:gridCol w:w="628"/>
        <w:gridCol w:w="148"/>
        <w:gridCol w:w="109"/>
        <w:gridCol w:w="109"/>
        <w:gridCol w:w="109"/>
        <w:gridCol w:w="248"/>
        <w:gridCol w:w="726"/>
        <w:gridCol w:w="139"/>
        <w:gridCol w:w="109"/>
        <w:gridCol w:w="109"/>
        <w:gridCol w:w="109"/>
        <w:gridCol w:w="109"/>
        <w:gridCol w:w="109"/>
        <w:gridCol w:w="365"/>
        <w:gridCol w:w="1066"/>
        <w:gridCol w:w="204"/>
        <w:gridCol w:w="109"/>
        <w:gridCol w:w="109"/>
        <w:gridCol w:w="109"/>
        <w:gridCol w:w="196"/>
        <w:gridCol w:w="582"/>
        <w:gridCol w:w="161"/>
      </w:tblGrid>
      <w:tr>
        <w:trPr/>
        <w:tc>
          <w:tcPr>
            <w:tcW w:w="83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2025</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58,327,015 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65.0 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(493.5)</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(308.3)</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(736.2)</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45.5 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25.0 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Dividends and dividend equivalents declared ($0.15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related to 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146,112 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58,473,127 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April 1, 2026</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59,327,677 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88.0 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(424.7)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(626.1)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21.1 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Dividends and dividend equivalents declared ($0.01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related to 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16,504 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(2,684,582)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56,659,599 </w:t>
            </w:r>
          </w:p>
        </w:tc>
        <w:tc>
          <w:tcPr>
            <w:tcW w:w="1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w:t>
            </w:r>
          </w:p>
        </w:tc>
        <w:tc>
          <w:tcPr>
            <w:tcW w:w="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(292.6)</w:t>
            </w:r>
          </w:p>
        </w:tc>
        <w:tc>
          <w:tcPr>
            <w:tcW w:w="2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36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34060"/>
                <wp:effectExtent l="0" t="0" r="0" b="0"/>
                <wp:wrapNone/>
                <wp:docPr id="8" name="Frame7"/>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3"/>
        <w:gridCol w:w="448"/>
        <w:gridCol w:w="440"/>
        <w:gridCol w:w="480"/>
        <w:gridCol w:w="481"/>
        <w:gridCol w:w="186"/>
        <w:gridCol w:w="109"/>
        <w:gridCol w:w="109"/>
        <w:gridCol w:w="109"/>
        <w:gridCol w:w="201"/>
        <w:gridCol w:w="386"/>
        <w:gridCol w:w="111"/>
        <w:gridCol w:w="109"/>
        <w:gridCol w:w="109"/>
        <w:gridCol w:w="109"/>
        <w:gridCol w:w="263"/>
        <w:gridCol w:w="628"/>
        <w:gridCol w:w="148"/>
        <w:gridCol w:w="109"/>
        <w:gridCol w:w="109"/>
        <w:gridCol w:w="109"/>
        <w:gridCol w:w="248"/>
        <w:gridCol w:w="726"/>
        <w:gridCol w:w="139"/>
        <w:gridCol w:w="109"/>
        <w:gridCol w:w="109"/>
        <w:gridCol w:w="109"/>
        <w:gridCol w:w="109"/>
        <w:gridCol w:w="109"/>
        <w:gridCol w:w="365"/>
        <w:gridCol w:w="1066"/>
        <w:gridCol w:w="204"/>
        <w:gridCol w:w="109"/>
        <w:gridCol w:w="109"/>
        <w:gridCol w:w="109"/>
        <w:gridCol w:w="196"/>
        <w:gridCol w:w="582"/>
        <w:gridCol w:w="161"/>
      </w:tblGrid>
      <w:tr>
        <w:trPr/>
        <w:tc>
          <w:tcPr>
            <w:tcW w:w="893"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Accumulated Other Comprehensive (Loss)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Total</w:t>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October 1, 2024</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57,707,285 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52.5 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(498.6)</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(292.8)</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(738.3)</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9.5 </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Dividends and dividend equivalents declared ($0.45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(26.2)</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related to 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765,842 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58,473,127 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(457.1)</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(283.3)</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(669.6)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October 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58,496,113 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(445.6)</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(285.6)</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(650.6)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jc w:val="left"/>
              <w:rPr>
                <w:sz w:val="4"/>
                <w:szCs w:val="4"/>
              </w:rPr>
            </w:pPr>
            <w:r>
              <w:rPr>
                <w:sz w:val="4"/>
                <w:szCs w:val="4"/>
              </w:rPr>
            </w:r>
          </w:p>
        </w:tc>
      </w:tr>
      <w:tr>
        <w:trPr/>
        <w:tc>
          <w:tcPr>
            <w:tcW w:w="1781"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9"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61.1 </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net of taxes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(7.0)</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Dividends and dividend equivalents declared ($0.31 per share)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6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shares related to stock-based compensation plans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848,068 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w:t>
            </w:r>
          </w:p>
        </w:tc>
        <w:tc>
          <w:tcPr>
            <w:tcW w:w="16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7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Common stock repurchased</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(2,684,582)</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Balance at June 30, 2026</w:t>
            </w:r>
          </w:p>
        </w:tc>
        <w:tc>
          <w:tcPr>
            <w:tcW w:w="961"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56,659,599 </w:t>
            </w:r>
          </w:p>
        </w:tc>
        <w:tc>
          <w:tcPr>
            <w:tcW w:w="1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8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83.6 </w:t>
            </w:r>
          </w:p>
        </w:tc>
        <w:tc>
          <w:tcPr>
            <w:tcW w:w="1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(404.3)</w:t>
            </w:r>
          </w:p>
        </w:tc>
        <w:tc>
          <w:tcPr>
            <w:tcW w:w="13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106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(292.6)</w:t>
            </w:r>
          </w:p>
        </w:tc>
        <w:tc>
          <w:tcPr>
            <w:tcW w:w="20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8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6"/>
              </w:rPr>
            </w:pPr>
            <w:r>
              <w:rPr>
                <w:rFonts w:ascii="Times New Roman;serif" w:hAnsi="Times New Roman;serif"/>
                <w:b w:val="false"/>
                <w:color w:val="000000"/>
                <w:sz w:val="16"/>
              </w:rPr>
              <w:t>(612.7)</w:t>
            </w:r>
          </w:p>
        </w:tc>
        <w:tc>
          <w:tcPr>
            <w:tcW w:w="16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12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Condensed Consolidated Financial Statements. </w:t>
      </w:r>
    </w:p>
    <w:p>
      <w:pPr>
        <w:pStyle w:val="TextBody"/>
        <w:bidi w:val="0"/>
        <w:spacing w:before="360" w:after="120"/>
        <w:jc w:val="center"/>
        <w:rPr/>
      </w:pPr>
      <w:r>
        <w:rPr/>
      </w:r>
    </w:p>
    <w:p>
      <w:pPr>
        <w:pStyle w:val="TextBody"/>
        <w:bidi w:val="0"/>
        <w:spacing w:before="36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734060"/>
                <wp:effectExtent l="0" t="0" r="0" b="0"/>
                <wp:wrapNone/>
                <wp:docPr id="9" name="Frame8"/>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Embecta Corp.</w:t>
      </w:r>
    </w:p>
    <w:p>
      <w:pPr>
        <w:pStyle w:val="TextBody"/>
        <w:bidi w:val="0"/>
        <w:spacing w:lineRule="auto" w:line="276" w:before="120" w:after="120"/>
        <w:jc w:val="center"/>
        <w:rPr/>
      </w:pPr>
      <w:r>
        <w:rPr>
          <w:rFonts w:ascii="Times New Roman;serif" w:hAnsi="Times New Roman;serif"/>
          <w:b/>
          <w:color w:val="000000"/>
          <w:sz w:val="20"/>
        </w:rPr>
        <w:t>(Unaudited)</w:t>
      </w:r>
      <w:r>
        <w:rPr>
          <w:color w:val="000000"/>
        </w:rPr>
        <w:t xml:space="preserve"> </w:t>
      </w:r>
    </w:p>
    <w:tbl>
      <w:tblPr>
        <w:tblW w:w="8094" w:type="dxa"/>
        <w:jc w:val="center"/>
        <w:tblInd w:w="0" w:type="dxa"/>
        <w:tblLayout w:type="fixed"/>
        <w:tblCellMar>
          <w:top w:w="28" w:type="dxa"/>
          <w:left w:w="28" w:type="dxa"/>
          <w:bottom w:w="28" w:type="dxa"/>
          <w:right w:w="28" w:type="dxa"/>
        </w:tblCellMar>
      </w:tblPr>
      <w:tblGrid>
        <w:gridCol w:w="2118"/>
        <w:gridCol w:w="1862"/>
        <w:gridCol w:w="1870"/>
        <w:gridCol w:w="196"/>
        <w:gridCol w:w="631"/>
        <w:gridCol w:w="109"/>
        <w:gridCol w:w="109"/>
        <w:gridCol w:w="109"/>
        <w:gridCol w:w="109"/>
        <w:gridCol w:w="196"/>
        <w:gridCol w:w="631"/>
        <w:gridCol w:w="154"/>
      </w:tblGrid>
      <w:tr>
        <w:trPr/>
        <w:tc>
          <w:tcPr>
            <w:tcW w:w="2118"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5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85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Activities</w:t>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net income to derive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inventory step-up</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Impairment of property, plant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certain intellectual property rights and long-lived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Amortization of cloud computing arrangements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Change in operating assets and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Due from/due to Becton, Dickinson and Company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other 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and other net taxes payable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and liabilities,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Owen Mumford acquisition,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certain intellectual property rights and long-lived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for investing activities</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(112.2)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drawdown of revolving credit facility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payments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(used for) financing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(145.1)</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Net Change in Cash and equivalents and restricted cash</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(40.6)</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Opening Cash and equivalents and restricted cash</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Closing Cash and equivalents and restricted cash</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85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360" w:after="12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notes to the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734060"/>
                <wp:effectExtent l="0" t="0" r="0" b="0"/>
                <wp:wrapNone/>
                <wp:docPr id="10" name="Frame9"/>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Notes to Unaudited Condensed Consolidated Financial Statements</w:t>
      </w:r>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Embecta Corp.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Note 1 — Background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Embecta Corp. ("Embecta" or the "Company") is a leading global medical device company focused on providing solutions to improve the health and well-being of people living with diabetes. The Company has a broad portfolio of marketed products, including a variety of pen needles, syringes and safety devices. The Company primarily sells products to wholesalers and distributors that sell to retail and institutional channels who in turn sell to patients or use the products to deliver insulin injections to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Note 2 — Basis of Presentation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financial statements have been prepared in accordance with U.S. Generally Accepted Accounting Principles (“GAAP”) and with the instructions to Form 10-Q and Article 10 of Regulation S-X. Accordingly, certain information and disclosures required by GAAP for complete consolidated financial statements are not included herein. The results of operations of any interim period are not necessarily indicative of the results of operations for the full year. In the Company's opinion, all adjustments necessary for a fair statement of these interim statements have been included and are of a normal and recurring nature. All intercompany transactions and accounts within Embecta have been eliminated. These interim statements should be read in conjunction with the audited financial statements and notes thereto included in Embecta's Annual Report on Form 10-K for the year ended September 30, 2025, filed with the Securities and Exchange Commission on November 25, 2025 (the “2025 Form 10-K”).</w:t>
      </w:r>
    </w:p>
    <w:p>
      <w:pPr>
        <w:pStyle w:val="TextBody"/>
        <w:bidi w:val="0"/>
        <w:spacing w:lineRule="auto" w:line="26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Use of Estimates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estimates and assumptions. These estimates or assumptions affect reported assets, liabilities, revenues and expenses, depreciable and amortizable lives, sales returns and allowances, rebate accruals, inventory reserves and taxes on income as reflected in the Condensed Consolidated Financial Statements. Actual results could differ from these estimates.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provides updates to the Company's "Summary of Significant Accounting Policies" as disclosed in the 2025 Form 10-K.</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Contingent Consideration Liabilities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For transactions accounted for as a business acquisition, contingent consideration liabilities may exist and these are recognized at the estimated fair value on the acquisition date. Subsequent changes to the fair value of contingent consideration liabilities existing from business acquisitions are recognized in Other operating expense, net in the Consolidated Statements of Income. See Note 3, Acquisition, and Note 18, Financial Instruments and Fair Value Measurements, for further information.</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Retirement of Common Stock</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When the Company decides to actually or constructively retire the shares of common stock it has repurchased it records the amount paid in excess of par value as a reduction in retained earnings, to the extent such recording does not reduce retained earning to an amount below zero. In those instances in which such recording would reduce retained earnings below zero, it records the difference as a reduction in additional paid-in capital. See Note 14, Stockholders' Equity, for further information.</w:t>
      </w:r>
    </w:p>
    <w:p>
      <w:pPr>
        <w:pStyle w:val="TextBody"/>
        <w:bidi w:val="0"/>
        <w:spacing w:lineRule="auto" w:line="26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There were no new material accounting standards adopted in the third quarter of fiscal year 2026.</w:t>
      </w:r>
    </w:p>
    <w:p>
      <w:pPr>
        <w:pStyle w:val="TextBody"/>
        <w:bidi w:val="0"/>
        <w:spacing w:lineRule="auto" w:line="268" w:before="180" w:after="120"/>
        <w:jc w:val="both"/>
        <w:rPr>
          <w:rFonts w:ascii="Times New Roman;serif" w:hAnsi="Times New Roman;serif"/>
          <w:b w:val="false"/>
          <w:i/>
          <w:color w:val="000000"/>
          <w:sz w:val="20"/>
        </w:rPr>
      </w:pPr>
      <w:r>
        <w:rPr>
          <w:rFonts w:ascii="Times New Roman;serif" w:hAnsi="Times New Roman;serif"/>
          <w:b w:val="false"/>
          <w:i/>
          <w:color w:val="000000"/>
          <w:sz w:val="20"/>
        </w:rPr>
        <w:t>Recently Issued Accounting Standards Not Yet Adopted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2023, the Financial Accounting Standards Board ("FASB") issued Accounting Standards Update ("ASU") 2023-09, Income Taxes (Topic 740): Improvements to Income Tax Disclosures, to enhance the transparency and decision usefulness of income tax disclosures. This update is effective for the Company beginning with its annual fiscal year 2026 reporting. While this accounting standard will increase disclosures, it will not have a material impact on the Company’s Consolidated Financial Statements.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Disaggregation of Income Statement Expenses (Subtopic 220-40), to improve disclosures about an entity's expenses including more detailed information about the components of expenses in commonly presented expense captions. This update is effective for the Company beginning with its fiscal year 2028 reporting and for interim reporting beginning with its fiscal year 2029. While this accounting standard will increase disclosures, it is not expected to have a material impact on the Company’s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734060"/>
                <wp:effectExtent l="0" t="0" r="0" b="0"/>
                <wp:wrapNone/>
                <wp:docPr id="11" name="Frame10"/>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September 2025, the FASB issued ASU 2025-06, Intangibles - Goodwill and Other - Internal-Use Software (Subtopic 350-40): Targeted Improvements to the Accounting for Internal Use Software. This ASU eliminates accounting consideration of software project development stages and clarifies the threshold applied to begin capitalizing costs. This ASU is effective for the Company beginning with its fiscal 2029 reporting and permits prospective, modified prospective, or retrospective adoption. Early adoption is permitted. The Company is evaluating the impact of this ASU on its Consolidated Financial Statements and related disclosures.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December 2025, the FASB issued ASU 2025-11, Interim Reporting (Topic 270): Narrow-Scope Improvements. This ASU clarifies and improves existing interim reporting guidance by consolidating disclosure requirements within Topic 270 and introducing a disclosure principle requiring entities to disclose events and changes occurring after the most recent annual reporting period that are expected to have a material effect on the entity’s financial condition or results of operations. The ASU does not introduce significant changes to recognition or measurement guidance. This ASU is effective for the Company beginning with its fiscal 2029 reporting and permits both prospective and retrospective adoption. The Company is currently evaluating the effect of adopting this pronouncement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Note 3 — Acquisition</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Owen Mumford Holdings Limited ("Owen Mumford")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15, 2026, the Company acquired Owen Mumford, a UK-based innovator and manufacturer of medical devices and drug-delivery technologies. This transaction is referred to as the OM acquisition.</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Consideration Transferred</w:t>
      </w:r>
    </w:p>
    <w:p>
      <w:pPr>
        <w:pStyle w:val="TextBody"/>
        <w:bidi w:val="0"/>
        <w:spacing w:lineRule="auto" w:line="276" w:before="120" w:after="180"/>
        <w:jc w:val="both"/>
        <w:rPr>
          <w:rFonts w:ascii="Times New Roman;serif" w:hAnsi="Times New Roman;serif"/>
          <w:b w:val="false"/>
          <w:color w:val="000000"/>
          <w:sz w:val="20"/>
        </w:rPr>
      </w:pPr>
      <w:r>
        <w:rPr>
          <w:rFonts w:ascii="Times New Roman;serif" w:hAnsi="Times New Roman;serif"/>
          <w:b w:val="false"/>
          <w:color w:val="000000"/>
          <w:sz w:val="20"/>
        </w:rPr>
        <w:t>The OM acquisition was accounted for as a business combination. Per the terms of the sale and purchase agreement, Owen Mumford was acquired for an upfront cash payment of £126.0 million, which included a payment for estimated acquired cash and equivalents. The final purchase price is subject to a working capital adjustment to be finalized in a future period. The Company will also make a payment of up to £50.0 million upon the achievement of certain commercial milestones related to sales of the Aidaptus® next-generation auto-injector platform which was accounted for at fair value on the acquisition date. The U.S. dollar equivalents, as of the acquisition date, for the upfront cash payment and potential future milestone payments were $169.9 million and $67.4 million, respectively.</w:t>
      </w:r>
    </w:p>
    <w:tbl>
      <w:tblPr>
        <w:tblW w:w="5717" w:type="dxa"/>
        <w:jc w:val="left"/>
        <w:tblInd w:w="0" w:type="dxa"/>
        <w:tblLayout w:type="fixed"/>
        <w:tblCellMar>
          <w:top w:w="28" w:type="dxa"/>
          <w:left w:w="28" w:type="dxa"/>
          <w:bottom w:w="28" w:type="dxa"/>
          <w:right w:w="28" w:type="dxa"/>
        </w:tblCellMar>
      </w:tblPr>
      <w:tblGrid>
        <w:gridCol w:w="1623"/>
        <w:gridCol w:w="1427"/>
        <w:gridCol w:w="1434"/>
        <w:gridCol w:w="109"/>
        <w:gridCol w:w="109"/>
        <w:gridCol w:w="109"/>
        <w:gridCol w:w="196"/>
        <w:gridCol w:w="556"/>
        <w:gridCol w:w="154"/>
      </w:tblGrid>
      <w:tr>
        <w:trPr/>
        <w:tc>
          <w:tcPr>
            <w:tcW w:w="1623"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consideration paid to Owen Mumford at closing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Fair value of contingent consideration, as of acquisition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Aggregate purchase price consideration, as of acquisition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the contingent consideration recognized on the acquisition date was determined using the inputs disclosed in Note 18, Financial Instruments and Fair Value Measurements. The Company reassesses its acquisition-related contingent consideration liabilities each quarter for changes in fair value.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As of the end of the third quarter of 2026, the final allocation of the consideration transferred to the assets acquired and the liabilities assumed remains in process.</w:t>
      </w:r>
    </w:p>
    <w:p>
      <w:pPr>
        <w:pStyle w:val="TextBody"/>
        <w:bidi w:val="0"/>
        <w:spacing w:before="12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734060"/>
                <wp:effectExtent l="0" t="0" r="0" b="0"/>
                <wp:wrapNone/>
                <wp:docPr id="12" name="Frame11"/>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values of the assets acquired and liabilities assumed at the acquisition date:</w:t>
      </w:r>
    </w:p>
    <w:tbl>
      <w:tblPr>
        <w:tblW w:w="6708" w:type="dxa"/>
        <w:jc w:val="left"/>
        <w:tblInd w:w="0" w:type="dxa"/>
        <w:tblLayout w:type="fixed"/>
        <w:tblCellMar>
          <w:top w:w="28" w:type="dxa"/>
          <w:left w:w="28" w:type="dxa"/>
          <w:bottom w:w="28" w:type="dxa"/>
          <w:right w:w="28" w:type="dxa"/>
        </w:tblCellMar>
      </w:tblPr>
      <w:tblGrid>
        <w:gridCol w:w="1981"/>
        <w:gridCol w:w="1743"/>
        <w:gridCol w:w="1751"/>
        <w:gridCol w:w="109"/>
        <w:gridCol w:w="109"/>
        <w:gridCol w:w="109"/>
        <w:gridCol w:w="196"/>
        <w:gridCol w:w="556"/>
        <w:gridCol w:w="154"/>
      </w:tblGrid>
      <w:tr>
        <w:trPr/>
        <w:tc>
          <w:tcPr>
            <w:tcW w:w="198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expenses, and Salaries, wages and related items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identifiable net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208.0 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acquired carrying values of cash and cash equivalents, accounts receivable, raw materials inventory, prepaid expenses and other, and accounts payable, accrued expenses, and other liabilities represented their fair values at the date of acquisition.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of finished goods inventories was determined based on its net realizable value based on the estimated selling price adjusted for cost of the selling effort and reasonable profit allowance for the selling effort.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fair value of the identifiable intangible assets was determined primarily using the “income approach,” which requires a forecast of the expected future cash flows (including net revenue, cost of sales, operating expenses) and the appropriate discount rate. The Company is still in process of allocating fair value to the identifiable intangible asset components. The Company expects to complete this process no later than twelve months after the closing of this transaction. Preliminary useful lives for definite lived intangibles range from 12 to 13 years.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measurement of contingent consideration arising from the transaction was determined via a probability-weighted cash flow using a Monte Carlo simulation model which was then discounted to present value. Refer to Note 18, Financial Instruments and Fair Value Measurements, for further information.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excess of the consideration paid over the fair value of the net assets acquired was recorded as goodwill. The goodwill recognized upon acquisition is not deductible for income tax purposes.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associated with Owen Mumford during the period from May 15, 2026 through June 30, 2026 were $13.8 million. Operating results during the period from May 15, 2026 through June 30, 2026 were not material.</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Pro Forma Financial Information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unaudited pro forma condensed combined results of the Company and Owen Mumford for the three and nine months ended June 30, 2026 as if the OM acquisition had occurred on October 1, 2024.</w:t>
      </w:r>
    </w:p>
    <w:tbl>
      <w:tblPr>
        <w:tblW w:w="5243" w:type="dxa"/>
        <w:jc w:val="left"/>
        <w:tblInd w:w="0" w:type="dxa"/>
        <w:tblLayout w:type="fixed"/>
        <w:tblCellMar>
          <w:top w:w="28" w:type="dxa"/>
          <w:left w:w="28" w:type="dxa"/>
          <w:bottom w:w="28" w:type="dxa"/>
          <w:right w:w="28" w:type="dxa"/>
        </w:tblCellMar>
      </w:tblPr>
      <w:tblGrid>
        <w:gridCol w:w="407"/>
        <w:gridCol w:w="358"/>
        <w:gridCol w:w="360"/>
        <w:gridCol w:w="109"/>
        <w:gridCol w:w="109"/>
        <w:gridCol w:w="109"/>
        <w:gridCol w:w="399"/>
        <w:gridCol w:w="1133"/>
        <w:gridCol w:w="222"/>
        <w:gridCol w:w="109"/>
        <w:gridCol w:w="109"/>
        <w:gridCol w:w="109"/>
        <w:gridCol w:w="370"/>
        <w:gridCol w:w="1050"/>
        <w:gridCol w:w="290"/>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 2026</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282.8 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809.3 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53.0 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combined financial information was prepared using the acquisition method of accounting and was based on the historical financial information of the Company and Owen Mumford. In order to reflect the occurrence of the acquisition on October 1, 2024 as required, the unaudited pro forma financial information includes adjustments to reflect amortization expense of the identifiable intangible assets acquired, accretion expense related to contingent consideration, additional interest expense associated with the issuance of debt to finance the acquisition and the tax impact of each of the aforementioned adjustments. The unaudited pro forma financial information is not necessarily indicative of what the consolidated results of operations would have been had the OM acquisition been completed on October 1, 2024. In addition, the unaudited pro forma financial information is not a projection of future results of operations of the combined company nor does it reflect the expected realization of any synergies or cost savings associated with the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734060"/>
                <wp:effectExtent l="0" t="0" r="0" b="0"/>
                <wp:wrapNone/>
                <wp:docPr id="13" name="Frame12"/>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4 — Third Party Arrangements</w:t>
      </w:r>
    </w:p>
    <w:p>
      <w:pPr>
        <w:pStyle w:val="TextBody"/>
        <w:bidi w:val="0"/>
        <w:spacing w:lineRule="auto" w:line="276" w:before="120" w:after="120"/>
        <w:jc w:val="both"/>
        <w:rPr>
          <w:rFonts w:ascii="Times New Roman;serif" w:hAnsi="Times New Roman;serif"/>
          <w:b w:val="false"/>
          <w:color w:val="2B2A29"/>
          <w:sz w:val="20"/>
        </w:rPr>
      </w:pPr>
      <w:r>
        <w:rPr>
          <w:rFonts w:ascii="Times New Roman;serif" w:hAnsi="Times New Roman;serif"/>
          <w:b w:val="false"/>
          <w:color w:val="2B2A29"/>
          <w:sz w:val="20"/>
        </w:rPr>
        <w:t>On April 1, 2022, Embecta and Becton, Dickinson and Company ("BD") entered into a Separation and Distribution Agreement (the "Separation and Distribution Agreement"). Pursuant to the Separation and Distribution Agreement, BD agreed to spin off its diabetes care business (the "Diabetes Care Business") into Embecta, a new, publicly traded company (the "Separation").</w:t>
      </w:r>
    </w:p>
    <w:p>
      <w:pPr>
        <w:pStyle w:val="TextBody"/>
        <w:bidi w:val="0"/>
        <w:spacing w:lineRule="auto" w:line="276" w:before="0" w:after="0"/>
        <w:jc w:val="both"/>
        <w:rPr/>
      </w:pPr>
      <w:r>
        <w:rPr>
          <w:rFonts w:ascii="Times New Roman;serif" w:hAnsi="Times New Roman;serif"/>
          <w:b w:val="false"/>
          <w:color w:val="000000"/>
          <w:sz w:val="20"/>
        </w:rPr>
        <w:t xml:space="preserve">In connection with the Separation, the Company entered into the Separation and Distribution Agreement, which contains provisions that, among other things, relate to (i) assets, liabilities and contracts to be transferred, assumed and assigned to each of Embecta and BD (including certain deferred assets and liabilities) as part of the Separation, (ii) cross-indemnities principally designed to place financial responsibility for the obligations and liabilities of Embecta's business with Embecta and financial responsibility for the obligations and liabilities of BD’s remaining businesses with BD, (iii) procedures with respect to claims subject to indemnification and related matters, (iv) the allocation among Embecta and BD of rights and obligations under existing insurance policies with respect to occurrences prior to completion of the Separation, as well as the right to proceeds and the obligation to incur certain deductibles under certain insurance policies, and (v) procedures governing Embecta’s and BD’s obligations and allocations of liabilities with respect to ongoing litigation matters that may implicate each of BD’s business and Embecta’s business. In addition, the Company entered into a series of agreements with BD that govern aspects of Embecta's relationship with BD following the Separation which include, but are not limited to the Transition Services Agreements ("TSA"), </w:t>
      </w:r>
      <w:r>
        <w:rPr>
          <w:rFonts w:ascii="Times New Roman;serif" w:hAnsi="Times New Roman;serif"/>
          <w:b w:val="false"/>
          <w:color w:val="2B2A29"/>
          <w:sz w:val="20"/>
        </w:rPr>
        <w:t xml:space="preserve">Trade Receivables Factoring Agreements ("Factoring Agreements"), </w:t>
      </w:r>
      <w:r>
        <w:rPr>
          <w:rFonts w:ascii="Times New Roman;serif" w:hAnsi="Times New Roman;serif"/>
          <w:b w:val="false"/>
          <w:color w:val="000000"/>
          <w:sz w:val="20"/>
        </w:rPr>
        <w:t>Distribution Agreements, Cannula Supply Agreement, Tax Matters Agreement, Logistics Services Agreement ("LSA"), employee matters agreement, an intellectual property matters agreement, local support services agreements, certain other manufacturing arrangements and a process services agreement and lease agreement for a manufacturing facility located in Holdrege, Nebraska. Certain of these agreements have expired or terminated as disclosed in the 2025 Form 10-K.</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details on the rights and responsibilities of the parties under these agreements refer to Note 3 to the Consolidated Financial Statements in the 2025 Form 10-K. </w:t>
      </w:r>
    </w:p>
    <w:p>
      <w:pPr>
        <w:pStyle w:val="TextBody"/>
        <w:bidi w:val="0"/>
        <w:spacing w:lineRule="auto" w:line="268" w:before="0" w:after="0"/>
        <w:jc w:val="both"/>
        <w:rPr/>
      </w:pPr>
      <w:r>
        <w:rPr>
          <w:rFonts w:ascii="Times New Roman;serif" w:hAnsi="Times New Roman;serif"/>
          <w:b w:val="false"/>
          <w:color w:val="000000"/>
          <w:sz w:val="20"/>
        </w:rPr>
        <w:t xml:space="preserve">Amounts associated with the above agreements are included in the Condensed Consolidated Balance Sheets. Certain amounts previously presented within Amounts due from Becton, Dickinson and Company and Amounts due to Becton, Dickinson and Company are presented within Trade receivables, net and Accounts Payable, respectively, beginning October 1, 2025. As of June 30, 2026, $8.8 million was in </w:t>
      </w:r>
      <w:r>
        <w:rPr>
          <w:rFonts w:ascii="Times New Roman;serif" w:hAnsi="Times New Roman;serif"/>
          <w:b w:val="false"/>
          <w:i/>
          <w:color w:val="000000"/>
          <w:sz w:val="20"/>
        </w:rPr>
        <w:t>Trade receivables, net</w:t>
      </w:r>
      <w:r>
        <w:rPr>
          <w:color w:val="000000"/>
        </w:rPr>
        <w:t xml:space="preserve"> </w:t>
      </w:r>
      <w:r>
        <w:rPr>
          <w:rFonts w:ascii="Times New Roman;serif" w:hAnsi="Times New Roman;serif"/>
          <w:b w:val="false"/>
          <w:color w:val="000000"/>
          <w:sz w:val="20"/>
        </w:rPr>
        <w:t xml:space="preserve">and $20.1 million was in </w:t>
      </w:r>
      <w:r>
        <w:rPr>
          <w:rFonts w:ascii="Times New Roman;serif" w:hAnsi="Times New Roman;serif"/>
          <w:b w:val="false"/>
          <w:i/>
          <w:color w:val="000000"/>
          <w:sz w:val="20"/>
        </w:rPr>
        <w:t>Accounts payable.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734060"/>
                <wp:effectExtent l="0" t="0" r="0" b="0"/>
                <wp:wrapNone/>
                <wp:docPr id="14" name="Frame13"/>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5 — Business Restructuring Charges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November 22, 2024, the Company’s Board of Directors approved a plan to discontinue internal and external investment in the research and development of the Company's patch pump program (the "Patch Pump Restructuring Plan"). The actions under the Patch Pump Restructuring Plan were substantially complete as of September 30, 2025.</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fiscal year 2025, the Company initiated a restructuring plan (the "2025 Restructuring Plan") to streamline the organization and optimize resources. The actions under the 2025 Restructuring Plan were substantially complete as of September 30, 2025.</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Charges incurred related to the restructuring programs for the three and nine month periods ended June 30, 2026 were not material to the Company’s Condensed Consolidated Financial Statements.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charges related to the restructuring programs by type of cost for the periods ended:</w:t>
      </w:r>
    </w:p>
    <w:tbl>
      <w:tblPr>
        <w:tblW w:w="10205" w:type="dxa"/>
        <w:jc w:val="left"/>
        <w:tblInd w:w="0" w:type="dxa"/>
        <w:tblLayout w:type="fixed"/>
        <w:tblCellMar>
          <w:top w:w="28" w:type="dxa"/>
          <w:left w:w="28" w:type="dxa"/>
          <w:bottom w:w="28" w:type="dxa"/>
          <w:right w:w="28" w:type="dxa"/>
        </w:tblCellMar>
      </w:tblPr>
      <w:tblGrid>
        <w:gridCol w:w="667"/>
        <w:gridCol w:w="391"/>
        <w:gridCol w:w="359"/>
        <w:gridCol w:w="352"/>
        <w:gridCol w:w="677"/>
        <w:gridCol w:w="198"/>
        <w:gridCol w:w="110"/>
        <w:gridCol w:w="110"/>
        <w:gridCol w:w="110"/>
        <w:gridCol w:w="394"/>
        <w:gridCol w:w="757"/>
        <w:gridCol w:w="221"/>
        <w:gridCol w:w="110"/>
        <w:gridCol w:w="110"/>
        <w:gridCol w:w="110"/>
        <w:gridCol w:w="198"/>
        <w:gridCol w:w="380"/>
        <w:gridCol w:w="110"/>
        <w:gridCol w:w="109"/>
        <w:gridCol w:w="109"/>
        <w:gridCol w:w="109"/>
        <w:gridCol w:w="310"/>
        <w:gridCol w:w="741"/>
        <w:gridCol w:w="174"/>
        <w:gridCol w:w="109"/>
        <w:gridCol w:w="109"/>
        <w:gridCol w:w="109"/>
        <w:gridCol w:w="348"/>
        <w:gridCol w:w="830"/>
        <w:gridCol w:w="195"/>
        <w:gridCol w:w="109"/>
        <w:gridCol w:w="109"/>
        <w:gridCol w:w="109"/>
        <w:gridCol w:w="196"/>
        <w:gridCol w:w="466"/>
        <w:gridCol w:w="109"/>
        <w:gridCol w:w="109"/>
        <w:gridCol w:w="109"/>
        <w:gridCol w:w="109"/>
        <w:gridCol w:w="164"/>
      </w:tblGrid>
      <w:tr>
        <w:trPr/>
        <w:tc>
          <w:tcPr>
            <w:tcW w:w="66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7"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Employee Termination</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Non-Employee Related</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Employee Termination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Non-Employee Related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3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7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administrative expense</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10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2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ind w:left="0" w:right="0" w:hanging="200"/>
              <w:jc w:val="left"/>
              <w:rPr>
                <w:sz w:val="4"/>
                <w:szCs w:val="4"/>
              </w:rPr>
            </w:pPr>
            <w:r>
              <w:rPr>
                <w:sz w:val="4"/>
                <w:szCs w:val="4"/>
              </w:rPr>
            </w:r>
          </w:p>
        </w:tc>
      </w:tr>
      <w:tr>
        <w:trPr/>
        <w:tc>
          <w:tcPr>
            <w:tcW w:w="141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10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1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2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21.8 </w:t>
            </w:r>
          </w:p>
        </w:tc>
        <w:tc>
          <w:tcPr>
            <w:tcW w:w="1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1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Employee termination costs are associated with actual headcount reductions, including involuntary headcount reductions which were probable and could be reasonably estimated.</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Non-employee related costs are associated with termination of contracts and long-lived asset impairments are discussed further in Note 18.</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restructuring reserve balances as of June 30, 2026 and September 30, 2025 were not material to the Company’s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34060"/>
                <wp:effectExtent l="0" t="0" r="0" b="0"/>
                <wp:wrapNone/>
                <wp:docPr id="15" name="Frame14"/>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6 — Other Operating Expense, Net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income and expenses recorded for the three and nine months ended June 30, 2026 and 2025:</w:t>
      </w:r>
    </w:p>
    <w:tbl>
      <w:tblPr>
        <w:tblW w:w="10175" w:type="dxa"/>
        <w:jc w:val="left"/>
        <w:tblInd w:w="0" w:type="dxa"/>
        <w:tblLayout w:type="fixed"/>
        <w:tblCellMar>
          <w:top w:w="28" w:type="dxa"/>
          <w:left w:w="28" w:type="dxa"/>
          <w:bottom w:w="28" w:type="dxa"/>
          <w:right w:w="28" w:type="dxa"/>
        </w:tblCellMar>
      </w:tblPr>
      <w:tblGrid>
        <w:gridCol w:w="1856"/>
        <w:gridCol w:w="1631"/>
        <w:gridCol w:w="1642"/>
        <w:gridCol w:w="250"/>
        <w:gridCol w:w="594"/>
        <w:gridCol w:w="139"/>
        <w:gridCol w:w="139"/>
        <w:gridCol w:w="139"/>
        <w:gridCol w:w="139"/>
        <w:gridCol w:w="250"/>
        <w:gridCol w:w="594"/>
        <w:gridCol w:w="139"/>
        <w:gridCol w:w="109"/>
        <w:gridCol w:w="109"/>
        <w:gridCol w:w="109"/>
        <w:gridCol w:w="239"/>
        <w:gridCol w:w="569"/>
        <w:gridCol w:w="133"/>
        <w:gridCol w:w="133"/>
        <w:gridCol w:w="133"/>
        <w:gridCol w:w="133"/>
        <w:gridCol w:w="239"/>
        <w:gridCol w:w="569"/>
        <w:gridCol w:w="188"/>
      </w:tblGrid>
      <w:tr>
        <w:trPr/>
        <w:tc>
          <w:tcPr>
            <w:tcW w:w="185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Costs related to the Separation</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Amortization of cloud computing arrangements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Costs associated with the discontinued patch pump program</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optimization and severance related costs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certain intellectual property rights and long-lived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Separation, the Company incurred separation and stand-up costs. The costs incurred primarily consist of costs associated with accounting, auditing, legal services, marketing, supply chain, employee retention, brand transition, and certain other costs to establish certain systems and services, including but not limited to, information technology, procurement, quality and regulatory affairs, medical affairs, tax and treasury services, distribution logistics, and shared services infrastructure support for order-to-cash, source-to-pay, and record-to-report, which, for clarity, includes enterprise resource plan ("ERP") system (“Business Continuity Processes”) and stand-alone functions to assist with the transition to being a stand-alone entity.</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For both the three and nine months ended June 30, 2026 and 2025, the Company recognized costs associated with the amortization of cloud computing arrangements which is further discussed in Note 12.</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nine months ended June 30, 2026 and three and nine months ended 2025, the Company recognized costs associated with the discontinuation of the patch pump program which is further discussed in Note 5.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2026, the Company executed an agreement with a third party to sell certain intellectual property rights and long-lived assets associated with the patch pump program and recorded a gain on sale of $10.1 million.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For the three and nine months ended June 30, 2026, the Company recognized acquisition-related costs associated with the acquisition of Owen Mumford.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7 — Contingencies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June 17, 2026, a putative securities class action, Apitz-Grossman v. Embecta Corp., et al., No. 2:26-cv-07217, was filed in the United States District Court for the District of New Jersey against the Company and certain of its officers. The complaint purports to be brought on behalf of purchasers of the Company’s common stock between November 25, 2025 and May 4, 2026, and asserts claims under Sections 10(b) and 20(a) of the Securities Exchange Act of 1934, and Rule 10b-5 thereunder. The complaint alleges that the defendants made materially false and misleading statements and omissions concerning its fiscal year 2026 revenue guidance. The Company believes the claims are without merit and intends to defend the action vigorously. Given the preliminary stage of the matter, the Company cannot predict the outcome or reasonably estimate a range of potential loss, if 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Note 8 — Revenues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policies for recognizing revenue have not changed from those described in the 2025 Form 10-K. The Company sells syringes, pen needles and other products used in the management of diabetes which are primarily sold to wholesalers and distributors that sell to retail and institutional channels who in turn sell to patients or use the products to deliver insulin injections to patients. End-users of the Company’s products include healthcare institutions, physicians, life science researchers, clinical laboratories, the pharmaceutical industry, and the general public.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734060"/>
                <wp:effectExtent l="0" t="0" r="0" b="0"/>
                <wp:wrapNone/>
                <wp:docPr id="16" name="Frame15"/>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Measurement of Revenues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Payment terms extended to the Company’s customers are based upon commercially reasonable terms for the markets in which the Company’s products are sold and the Company generally expects to receive payment within one year or less from when control of a product is transferred to the customer.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Consolidated Financial Statements.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Company’s gross revenues are subject to a variety of gross-to-net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variable consideration include the quantification of inventory that is either in stock at or in transit to the Company’s distributors, as well as the estimated lag time between the sale of product and the payment of corresponding variable consideration.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liability attributed to variable consideration at June 30, 2026 and September 30, 2025 was $159.4 million and $113.7 million, respectively. Sales deductions recorded as a reduction of gross revenues for the three months ended June 30, 2026 and 2025 were $157.2 million and $143.0 million, respectively. Sales deductions recorded as a reduction of gross revenues for the nine months ended June 30, 2026 and 2025 were $473.9 million and $436.3 million, respectively.</w:t>
      </w:r>
    </w:p>
    <w:p>
      <w:pPr>
        <w:pStyle w:val="TextBody"/>
        <w:bidi w:val="0"/>
        <w:spacing w:lineRule="auto" w:line="276" w:before="12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Disaggregation of revenue by geographic region and product line is provided within Note 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9 — Segment and Geographical Data</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operations include four product lines which constitute one operating segment engaged in providing solutions to improve the health and well-being of people living with diabetes. The Company's chief operation decision maker ("CODM") is the Chief Executive Officer. The CODM assesses performance and decides how to allocate resources for the Company's one operating segment based on consolidated net income that is reported on the Condensed Consolidated Statements of Income. The Company has also evaluated the significant segment expenses incurred by our single segment that are regularly provided to the CODM. The significant expenses provided to the CODM are consistent with those reported on the Condensed Consolidated Statements of Income and include cost of products sold, selling and administrative expense, research and development, other operating income and expense, interest expense, other income and expense, and income taxes. The CODM uses these metrics to make key operating decisions which include approving the design of key commercialization strategies, decisions about key personnel, and approving annual operating and capital budgets. The CODM considers budget-to-actual variances and year over year performance when making decisions supporting resource allocation. The Company manages assets on a consolidated basis as reported on the Condensed Consolidated Balance Sheets.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Disaggregation of Revenues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key account managers that call on payers, retailers, wholesalers and institutional customers, business-to-business ("B2B") customers and field-based territory managers that call on health care providers and pharmacies. In certain markets within Europe, the Company has dedicated sales representatives and in certain regions of the Middle East and Africa, the Company has distribution agreements. In Asia, the Company has distribution agreements, and in China the Company relies on its own commercial team to support sales execution. In Latin America, the Company maintains distribution agreements and direct sales representatives.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disaggregates its revenue by geography and product line as management believes these categories best depict how the nature, amount, and timing of revenues and cash flows are affected by economic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734060"/>
                <wp:effectExtent l="0" t="0" r="0" b="0"/>
                <wp:wrapNone/>
                <wp:docPr id="17" name="Frame16"/>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Revenues by geographic region are as follows: </w:t>
      </w:r>
    </w:p>
    <w:tbl>
      <w:tblPr>
        <w:tblW w:w="6243" w:type="dxa"/>
        <w:jc w:val="left"/>
        <w:tblInd w:w="0" w:type="dxa"/>
        <w:tblLayout w:type="fixed"/>
        <w:tblCellMar>
          <w:top w:w="28" w:type="dxa"/>
          <w:left w:w="28" w:type="dxa"/>
          <w:bottom w:w="28" w:type="dxa"/>
          <w:right w:w="28" w:type="dxa"/>
        </w:tblCellMar>
      </w:tblPr>
      <w:tblGrid>
        <w:gridCol w:w="433"/>
        <w:gridCol w:w="381"/>
        <w:gridCol w:w="386"/>
        <w:gridCol w:w="228"/>
        <w:gridCol w:w="647"/>
        <w:gridCol w:w="126"/>
        <w:gridCol w:w="126"/>
        <w:gridCol w:w="126"/>
        <w:gridCol w:w="126"/>
        <w:gridCol w:w="228"/>
        <w:gridCol w:w="647"/>
        <w:gridCol w:w="126"/>
        <w:gridCol w:w="109"/>
        <w:gridCol w:w="109"/>
        <w:gridCol w:w="109"/>
        <w:gridCol w:w="219"/>
        <w:gridCol w:w="621"/>
        <w:gridCol w:w="121"/>
        <w:gridCol w:w="121"/>
        <w:gridCol w:w="121"/>
        <w:gridCol w:w="121"/>
        <w:gridCol w:w="219"/>
        <w:gridCol w:w="621"/>
        <w:gridCol w:w="172"/>
      </w:tblGrid>
      <w:tr>
        <w:trPr/>
        <w:tc>
          <w:tcPr>
            <w:tcW w:w="433"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United States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120.8 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347.1 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437.1 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18"/>
              </w:rPr>
              <w:t xml:space="preserve">International </w:t>
            </w:r>
            <w:r>
              <w:rPr>
                <w:rFonts w:ascii="Times New Roman;serif" w:hAnsi="Times New Roman;serif"/>
                <w:b w:val="false"/>
                <w:color w:val="000000"/>
                <w:sz w:val="12"/>
              </w:rPr>
              <w:t>(1)</w:t>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150.9 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135.3 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379.3 </w:t>
            </w:r>
          </w:p>
        </w:tc>
        <w:tc>
          <w:tcPr>
            <w:tcW w:w="172"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816.4 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both"/>
        <w:rPr/>
      </w:pPr>
      <w:r>
        <w:rPr>
          <w:rFonts w:ascii="Times New Roman;serif" w:hAnsi="Times New Roman;serif"/>
          <w:b w:val="false"/>
          <w:color w:val="000000"/>
          <w:sz w:val="12"/>
        </w:rPr>
        <w:t>(1)</w:t>
      </w:r>
      <w:r>
        <w:rPr>
          <w:rFonts w:ascii="Times New Roman;serif" w:hAnsi="Times New Roman;serif"/>
          <w:b w:val="false"/>
          <w:color w:val="000000"/>
          <w:sz w:val="18"/>
        </w:rPr>
        <w:t xml:space="preserve">For the three and nine months ended June 30, 2026 and 2025, no individual country outside of the United States generated net revenues that represented more than 10.0% of total revenues.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Revenues by product line are as follows:</w:t>
      </w:r>
    </w:p>
    <w:tbl>
      <w:tblPr>
        <w:tblW w:w="6858" w:type="dxa"/>
        <w:jc w:val="left"/>
        <w:tblInd w:w="0" w:type="dxa"/>
        <w:tblLayout w:type="fixed"/>
        <w:tblCellMar>
          <w:top w:w="28" w:type="dxa"/>
          <w:left w:w="28" w:type="dxa"/>
          <w:bottom w:w="28" w:type="dxa"/>
          <w:right w:w="28" w:type="dxa"/>
        </w:tblCellMar>
      </w:tblPr>
      <w:tblGrid>
        <w:gridCol w:w="749"/>
        <w:gridCol w:w="531"/>
        <w:gridCol w:w="535"/>
        <w:gridCol w:w="228"/>
        <w:gridCol w:w="647"/>
        <w:gridCol w:w="126"/>
        <w:gridCol w:w="126"/>
        <w:gridCol w:w="126"/>
        <w:gridCol w:w="126"/>
        <w:gridCol w:w="228"/>
        <w:gridCol w:w="647"/>
        <w:gridCol w:w="126"/>
        <w:gridCol w:w="109"/>
        <w:gridCol w:w="109"/>
        <w:gridCol w:w="109"/>
        <w:gridCol w:w="219"/>
        <w:gridCol w:w="621"/>
        <w:gridCol w:w="121"/>
        <w:gridCol w:w="121"/>
        <w:gridCol w:w="121"/>
        <w:gridCol w:w="121"/>
        <w:gridCol w:w="219"/>
        <w:gridCol w:w="621"/>
        <w:gridCol w:w="172"/>
      </w:tblGrid>
      <w:tr>
        <w:trPr/>
        <w:tc>
          <w:tcPr>
            <w:tcW w:w="74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101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Pen Needles</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177.5 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216.9 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517.6 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596.3 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Syringes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93.7 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92.3 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Safety</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pPr>
            <w:r>
              <w:rPr>
                <w:rFonts w:ascii="Times New Roman;serif" w:hAnsi="Times New Roman;serif"/>
                <w:b w:val="false"/>
                <w:color w:val="000000"/>
                <w:sz w:val="18"/>
              </w:rPr>
              <w:t xml:space="preserve">Other </w:t>
            </w:r>
            <w:r>
              <w:rPr>
                <w:rFonts w:ascii="Times New Roman;serif" w:hAnsi="Times New Roman;serif"/>
                <w:b w:val="false"/>
                <w:color w:val="000000"/>
                <w:sz w:val="12"/>
              </w:rPr>
              <w:t>(2)</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2"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Manufacturing</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72"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816.4 </w:t>
            </w:r>
          </w:p>
        </w:tc>
        <w:tc>
          <w:tcPr>
            <w:tcW w:w="1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both"/>
        <w:rPr/>
      </w:pPr>
      <w:r>
        <w:rPr>
          <w:rFonts w:ascii="Times New Roman;serif" w:hAnsi="Times New Roman;serif"/>
          <w:b w:val="false"/>
          <w:color w:val="000000"/>
          <w:sz w:val="12"/>
        </w:rPr>
        <w:t>(2)</w:t>
      </w:r>
      <w:r>
        <w:rPr>
          <w:rFonts w:ascii="Times New Roman;serif" w:hAnsi="Times New Roman;serif"/>
          <w:b w:val="false"/>
          <w:color w:val="000000"/>
          <w:sz w:val="18"/>
        </w:rPr>
        <w:t>Other includes product sales for Owen Mumford products, swabs and other accessories.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360" w:after="120"/>
        <w:jc w:val="left"/>
        <w:rPr>
          <w:rFonts w:ascii="Times New Roman;serif" w:hAnsi="Times New Roman;serif"/>
          <w:b/>
          <w:color w:val="000000"/>
          <w:sz w:val="20"/>
        </w:rPr>
      </w:pPr>
      <w:r>
        <w:rPr>
          <w:rFonts w:ascii="Times New Roman;serif" w:hAnsi="Times New Roman;serif"/>
          <w:b/>
          <w:color w:val="000000"/>
          <w:sz w:val="20"/>
        </w:rPr>
        <w:t>Note 10 — Stock-Based Compensation</w:t>
      </w:r>
    </w:p>
    <w:p>
      <w:pPr>
        <w:pStyle w:val="TextBody"/>
        <w:bidi w:val="0"/>
        <w:spacing w:lineRule="auto" w:line="256" w:before="180" w:after="120"/>
        <w:jc w:val="left"/>
        <w:rPr>
          <w:rFonts w:ascii="Times New Roman;serif" w:hAnsi="Times New Roman;serif"/>
          <w:b w:val="false"/>
          <w:i/>
          <w:color w:val="000000"/>
          <w:sz w:val="20"/>
        </w:rPr>
      </w:pPr>
      <w:r>
        <w:rPr>
          <w:rFonts w:ascii="Times New Roman;serif" w:hAnsi="Times New Roman;serif"/>
          <w:b w:val="false"/>
          <w:i/>
          <w:color w:val="000000"/>
          <w:sz w:val="20"/>
        </w:rPr>
        <w:t xml:space="preserve">Stock-Based Compensation Expense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Total stock-based compensation expense for the three and nine months ended June 30, 2026 and 2025 and the respective income tax benefits recognized by the Company in the Condensed Consolidated Statements of Income are as follows:</w:t>
      </w:r>
    </w:p>
    <w:tbl>
      <w:tblPr>
        <w:tblW w:w="10202" w:type="dxa"/>
        <w:jc w:val="center"/>
        <w:tblInd w:w="0" w:type="dxa"/>
        <w:tblLayout w:type="fixed"/>
        <w:tblCellMar>
          <w:top w:w="28" w:type="dxa"/>
          <w:left w:w="28" w:type="dxa"/>
          <w:bottom w:w="28" w:type="dxa"/>
          <w:right w:w="28" w:type="dxa"/>
        </w:tblCellMar>
      </w:tblPr>
      <w:tblGrid>
        <w:gridCol w:w="1865"/>
        <w:gridCol w:w="1640"/>
        <w:gridCol w:w="1655"/>
        <w:gridCol w:w="276"/>
        <w:gridCol w:w="531"/>
        <w:gridCol w:w="153"/>
        <w:gridCol w:w="153"/>
        <w:gridCol w:w="153"/>
        <w:gridCol w:w="153"/>
        <w:gridCol w:w="276"/>
        <w:gridCol w:w="531"/>
        <w:gridCol w:w="153"/>
        <w:gridCol w:w="109"/>
        <w:gridCol w:w="109"/>
        <w:gridCol w:w="109"/>
        <w:gridCol w:w="239"/>
        <w:gridCol w:w="569"/>
        <w:gridCol w:w="133"/>
        <w:gridCol w:w="133"/>
        <w:gridCol w:w="133"/>
        <w:gridCol w:w="133"/>
        <w:gridCol w:w="239"/>
        <w:gridCol w:w="569"/>
        <w:gridCol w:w="188"/>
      </w:tblGrid>
      <w:tr>
        <w:trPr/>
        <w:tc>
          <w:tcPr>
            <w:tcW w:w="1865"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165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5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administrative expense</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Stock-Based Compensation Expense</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Tax benefit associated with stock-based compensation costs recognized</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stock-based compensation expense by classification of award for the three and nine months ended June 30, 2026 and 2025:</w:t>
      </w:r>
    </w:p>
    <w:tbl>
      <w:tblPr>
        <w:tblW w:w="6420" w:type="dxa"/>
        <w:jc w:val="center"/>
        <w:tblInd w:w="0" w:type="dxa"/>
        <w:tblLayout w:type="fixed"/>
        <w:tblCellMar>
          <w:top w:w="28" w:type="dxa"/>
          <w:left w:w="28" w:type="dxa"/>
          <w:bottom w:w="28" w:type="dxa"/>
          <w:right w:w="28" w:type="dxa"/>
        </w:tblCellMar>
      </w:tblPr>
      <w:tblGrid>
        <w:gridCol w:w="477"/>
        <w:gridCol w:w="420"/>
        <w:gridCol w:w="422"/>
        <w:gridCol w:w="276"/>
        <w:gridCol w:w="531"/>
        <w:gridCol w:w="153"/>
        <w:gridCol w:w="153"/>
        <w:gridCol w:w="153"/>
        <w:gridCol w:w="153"/>
        <w:gridCol w:w="276"/>
        <w:gridCol w:w="531"/>
        <w:gridCol w:w="153"/>
        <w:gridCol w:w="109"/>
        <w:gridCol w:w="109"/>
        <w:gridCol w:w="109"/>
        <w:gridCol w:w="245"/>
        <w:gridCol w:w="584"/>
        <w:gridCol w:w="136"/>
        <w:gridCol w:w="136"/>
        <w:gridCol w:w="136"/>
        <w:gridCol w:w="136"/>
        <w:gridCol w:w="245"/>
        <w:gridCol w:w="584"/>
        <w:gridCol w:w="193"/>
      </w:tblGrid>
      <w:tr>
        <w:trPr/>
        <w:tc>
          <w:tcPr>
            <w:tcW w:w="477"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1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Equity Awards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Liability Awards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3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3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9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734060"/>
                <wp:effectExtent l="0" t="0" r="0" b="0"/>
                <wp:wrapNone/>
                <wp:docPr id="18" name="Frame17"/>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24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total stock-based compensation expense by award type for the three and nine months ended June 30, 2026 and 2025:</w:t>
      </w:r>
    </w:p>
    <w:tbl>
      <w:tblPr>
        <w:tblW w:w="8835" w:type="dxa"/>
        <w:jc w:val="center"/>
        <w:tblInd w:w="0" w:type="dxa"/>
        <w:tblLayout w:type="fixed"/>
        <w:tblCellMar>
          <w:top w:w="28" w:type="dxa"/>
          <w:left w:w="28" w:type="dxa"/>
          <w:bottom w:w="28" w:type="dxa"/>
          <w:right w:w="28" w:type="dxa"/>
        </w:tblCellMar>
      </w:tblPr>
      <w:tblGrid>
        <w:gridCol w:w="1353"/>
        <w:gridCol w:w="1188"/>
        <w:gridCol w:w="1193"/>
        <w:gridCol w:w="276"/>
        <w:gridCol w:w="531"/>
        <w:gridCol w:w="153"/>
        <w:gridCol w:w="153"/>
        <w:gridCol w:w="153"/>
        <w:gridCol w:w="153"/>
        <w:gridCol w:w="276"/>
        <w:gridCol w:w="531"/>
        <w:gridCol w:w="153"/>
        <w:gridCol w:w="109"/>
        <w:gridCol w:w="109"/>
        <w:gridCol w:w="109"/>
        <w:gridCol w:w="245"/>
        <w:gridCol w:w="584"/>
        <w:gridCol w:w="136"/>
        <w:gridCol w:w="136"/>
        <w:gridCol w:w="136"/>
        <w:gridCol w:w="136"/>
        <w:gridCol w:w="245"/>
        <w:gridCol w:w="584"/>
        <w:gridCol w:w="193"/>
      </w:tblGrid>
      <w:tr>
        <w:trPr/>
        <w:tc>
          <w:tcPr>
            <w:tcW w:w="1353"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3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Time-Vested Restricted Stock Units (TVUs)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Performance-Based Restricted Stock Units (PSUs)</w:t>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Stock Appreciation Rights (SARs)</w:t>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9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5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36"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93"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120"/>
        <w:jc w:val="left"/>
        <w:rPr>
          <w:rFonts w:ascii="Times New Roman;serif" w:hAnsi="Times New Roman;serif"/>
          <w:b w:val="false"/>
          <w:i/>
          <w:color w:val="2B2A29"/>
          <w:sz w:val="20"/>
        </w:rPr>
      </w:pPr>
      <w:r>
        <w:rPr>
          <w:rFonts w:ascii="Times New Roman;serif" w:hAnsi="Times New Roman;serif"/>
          <w:b w:val="false"/>
          <w:i/>
          <w:color w:val="2B2A29"/>
          <w:sz w:val="20"/>
        </w:rPr>
        <w:t>Time Vested Restricted Stock Units ("TVUs")</w:t>
      </w:r>
    </w:p>
    <w:p>
      <w:pPr>
        <w:pStyle w:val="TextBody"/>
        <w:bidi w:val="0"/>
        <w:spacing w:lineRule="auto" w:line="276" w:before="120" w:after="120"/>
        <w:jc w:val="both"/>
        <w:rPr/>
      </w:pPr>
      <w:r>
        <w:rPr>
          <w:rFonts w:ascii="Times New Roman;serif" w:hAnsi="Times New Roman;serif"/>
          <w:b w:val="false"/>
          <w:color w:val="2B2A29"/>
          <w:sz w:val="20"/>
        </w:rPr>
        <w:t>During the nine</w:t>
      </w:r>
      <w:r>
        <w:rPr>
          <w:color w:val="000000"/>
        </w:rPr>
        <w:t xml:space="preserve"> </w:t>
      </w:r>
      <w:r>
        <w:rPr>
          <w:rFonts w:ascii="Times New Roman;serif" w:hAnsi="Times New Roman;serif"/>
          <w:b w:val="false"/>
          <w:color w:val="000000"/>
          <w:sz w:val="20"/>
        </w:rPr>
        <w:t>months ended June 30, 2026</w:t>
      </w:r>
      <w:r>
        <w:rPr>
          <w:rFonts w:ascii="Times New Roman;serif" w:hAnsi="Times New Roman;serif"/>
          <w:b w:val="false"/>
          <w:color w:val="2B2A29"/>
          <w:sz w:val="20"/>
        </w:rPr>
        <w:t>, Embecta granted 3,430,747 restricted stock units ("RSUs") in the form of TVUs to employees. TVUs vest on a graded basis over a period of three years. The related stock-based compensation expense is recorded over the requisite service period, which is the vesting period or is based on retirement eligibility. These awards accumulate dividend equivalents, which are provided as additional units and are subject to the same vesting requirements as the underlying grant.</w:t>
      </w:r>
    </w:p>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A summary of TVUs outstanding as of June 30, 2026 and changes during the nine months ended June 30, 2026 are as follows:</w:t>
      </w:r>
    </w:p>
    <w:tbl>
      <w:tblPr>
        <w:tblW w:w="7616" w:type="dxa"/>
        <w:jc w:val="left"/>
        <w:tblInd w:w="0" w:type="dxa"/>
        <w:tblLayout w:type="fixed"/>
        <w:tblCellMar>
          <w:top w:w="28" w:type="dxa"/>
          <w:left w:w="28" w:type="dxa"/>
          <w:bottom w:w="28" w:type="dxa"/>
          <w:right w:w="28" w:type="dxa"/>
        </w:tblCellMar>
      </w:tblPr>
      <w:tblGrid>
        <w:gridCol w:w="804"/>
        <w:gridCol w:w="707"/>
        <w:gridCol w:w="709"/>
        <w:gridCol w:w="579"/>
        <w:gridCol w:w="579"/>
        <w:gridCol w:w="581"/>
        <w:gridCol w:w="109"/>
        <w:gridCol w:w="109"/>
        <w:gridCol w:w="109"/>
        <w:gridCol w:w="720"/>
        <w:gridCol w:w="2044"/>
        <w:gridCol w:w="566"/>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TVUs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at October 1</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2,055.4 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18.97 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3,430.7 </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8.61 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Distributed**</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(955.4)</w:t>
            </w:r>
          </w:p>
        </w:tc>
        <w:tc>
          <w:tcPr>
            <w:tcW w:w="5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19.62 </w:t>
            </w:r>
          </w:p>
        </w:tc>
        <w:tc>
          <w:tcPr>
            <w:tcW w:w="5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canceled or expired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(351.4)</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15.14 </w:t>
            </w:r>
          </w:p>
        </w:tc>
        <w:tc>
          <w:tcPr>
            <w:tcW w:w="56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at June 30</w:t>
            </w:r>
          </w:p>
        </w:tc>
        <w:tc>
          <w:tcPr>
            <w:tcW w:w="115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4,179.3 </w:t>
            </w:r>
          </w:p>
        </w:tc>
        <w:tc>
          <w:tcPr>
            <w:tcW w:w="5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10.74 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at June 30</w:t>
            </w:r>
          </w:p>
        </w:tc>
        <w:tc>
          <w:tcPr>
            <w:tcW w:w="115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3,957.3 </w:t>
            </w:r>
          </w:p>
        </w:tc>
        <w:tc>
          <w:tcPr>
            <w:tcW w:w="58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10.75 </w:t>
            </w:r>
          </w:p>
        </w:tc>
        <w:tc>
          <w:tcPr>
            <w:tcW w:w="5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doub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616" w:type="dxa"/>
            <w:gridSpan w:val="12"/>
            <w:tcBorders/>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*Includes accumulated nonvested dividend equivalents</w:t>
            </w:r>
          </w:p>
        </w:tc>
      </w:tr>
      <w:tr>
        <w:trPr/>
        <w:tc>
          <w:tcPr>
            <w:tcW w:w="7616" w:type="dxa"/>
            <w:gridSpan w:val="12"/>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**The TVUs distributed include shares withheld for taxes that are not formally issued to the market.</w:t>
            </w:r>
          </w:p>
        </w:tc>
      </w:tr>
    </w:tbl>
    <w:p>
      <w:pPr>
        <w:pStyle w:val="TextBody"/>
        <w:bidi w:val="0"/>
        <w:spacing w:lineRule="auto" w:line="276" w:before="120" w:after="120"/>
        <w:jc w:val="both"/>
        <w:rPr/>
      </w:pPr>
      <w:r>
        <w:rPr>
          <w:rFonts w:ascii="Times New Roman;serif" w:hAnsi="Times New Roman;serif"/>
          <w:b w:val="false"/>
          <w:color w:val="000000"/>
          <w:sz w:val="20"/>
        </w:rPr>
        <w:t xml:space="preserve">The weighted average grant date fair value of TVUs granted </w:t>
      </w:r>
      <w:r>
        <w:rPr>
          <w:rFonts w:ascii="Times New Roman;serif" w:hAnsi="Times New Roman;serif"/>
          <w:b w:val="false"/>
          <w:color w:val="000000"/>
          <w:sz w:val="20"/>
          <w:shd w:fill="FFFFFF" w:val="clear"/>
        </w:rPr>
        <w:t>during the nine months ended June 30, 2026</w:t>
      </w:r>
      <w:r>
        <w:rPr>
          <w:color w:val="000000"/>
        </w:rPr>
        <w:t xml:space="preserve"> </w:t>
      </w:r>
      <w:r>
        <w:rPr>
          <w:rFonts w:ascii="Times New Roman;serif" w:hAnsi="Times New Roman;serif"/>
          <w:b w:val="false"/>
          <w:color w:val="000000"/>
          <w:sz w:val="20"/>
        </w:rPr>
        <w:t>is $8.61 and the total fair value of TVUs vested during the nine months ended June 30, 2026 is $19.0 million.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At June 30, 2026, the weighted average remaining vesting term of TVUs is 1.8 years.</w:t>
      </w:r>
    </w:p>
    <w:p>
      <w:pPr>
        <w:pStyle w:val="TextBody"/>
        <w:bidi w:val="0"/>
        <w:spacing w:lineRule="auto" w:line="256" w:before="180" w:after="120"/>
        <w:jc w:val="left"/>
        <w:rPr>
          <w:rFonts w:ascii="Times New Roman;serif" w:hAnsi="Times New Roman;serif"/>
          <w:b w:val="false"/>
          <w:i/>
          <w:color w:val="2B2A29"/>
          <w:sz w:val="20"/>
        </w:rPr>
      </w:pPr>
      <w:r>
        <w:rPr>
          <w:rFonts w:ascii="Times New Roman;serif" w:hAnsi="Times New Roman;serif"/>
          <w:b w:val="false"/>
          <w:i/>
          <w:color w:val="2B2A29"/>
          <w:sz w:val="20"/>
        </w:rPr>
        <w:t>Performance Based Restricted Stock Units ("PSUs")</w:t>
      </w:r>
    </w:p>
    <w:p>
      <w:pPr>
        <w:pStyle w:val="TextBody"/>
        <w:bidi w:val="0"/>
        <w:spacing w:lineRule="auto" w:line="276" w:before="120" w:after="120"/>
        <w:jc w:val="both"/>
        <w:rPr/>
      </w:pPr>
      <w:r>
        <w:rPr>
          <w:rFonts w:ascii="Times New Roman;serif" w:hAnsi="Times New Roman;serif"/>
          <w:b w:val="false"/>
          <w:color w:val="2B2A29"/>
          <w:sz w:val="20"/>
        </w:rPr>
        <w:t xml:space="preserve">During the </w:t>
      </w:r>
      <w:r>
        <w:rPr>
          <w:rFonts w:ascii="Times New Roman;serif" w:hAnsi="Times New Roman;serif"/>
          <w:b w:val="false"/>
          <w:color w:val="000000"/>
          <w:sz w:val="20"/>
        </w:rPr>
        <w:t>nine months ended June 30, 2026</w:t>
      </w:r>
      <w:r>
        <w:rPr>
          <w:rFonts w:ascii="Times New Roman;serif" w:hAnsi="Times New Roman;serif"/>
          <w:b w:val="false"/>
          <w:color w:val="2B2A29"/>
          <w:sz w:val="20"/>
        </w:rPr>
        <w:t>, Embecta granted 1,297,854 RSUs in the form of PSUs to certain executive officers and employees which cliff vest after three years, subject to continued employment of the recipients and the achievement of certain performance metric targets.</w:t>
      </w:r>
    </w:p>
    <w:p>
      <w:pPr>
        <w:pStyle w:val="TextBody"/>
        <w:bidi w:val="0"/>
        <w:spacing w:lineRule="auto" w:line="276" w:before="120" w:after="120"/>
        <w:jc w:val="both"/>
        <w:rPr/>
      </w:pPr>
      <w:r>
        <w:rPr>
          <w:rFonts w:ascii="Times New Roman;serif" w:hAnsi="Times New Roman;serif"/>
          <w:b w:val="false"/>
          <w:color w:val="2B2A29"/>
          <w:sz w:val="20"/>
        </w:rPr>
        <w:t xml:space="preserve">For PSUs awarded in the prior fiscal year, certain performance metrics and targets will be fully established at a future date. The Company has determined that the service inception date precedes the grant date for these awards as (a) the awards were authorized prior to establishing an accounting grant date, (b) the recipients began providing services prior to the grant date, and (c) there are performance conditions that, if not met by the accounting grant date, will result in the forfeiture of the awards. As the service inception date precedes the accounting grant date, the Company recognizes stock-based compensation expense over the requisite service period based on the fair value at each reporting date. The requisite service period is equal to the vesting period or is based on retirement eligibility. These awards accumulate dividend equivalents, which are provided as additional units and are subject to the same vesting requirements as the underlying grant. As of </w:t>
      </w:r>
      <w:r>
        <w:rPr>
          <w:rFonts w:ascii="Times New Roman;serif" w:hAnsi="Times New Roman;serif"/>
          <w:b w:val="false"/>
          <w:color w:val="000000"/>
          <w:sz w:val="20"/>
        </w:rPr>
        <w:t>June 30, 2026</w:t>
      </w:r>
      <w:r>
        <w:rPr>
          <w:rFonts w:ascii="Times New Roman;serif" w:hAnsi="Times New Roman;serif"/>
          <w:b w:val="false"/>
          <w:color w:val="2B2A29"/>
          <w:sz w:val="20"/>
        </w:rPr>
        <w:t>, there were 428,377 RSUs in the form of PSUs that have been awarded, inclusive of accumulated dividend equivalents, for which a grant date has not yet been established.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734060"/>
                <wp:effectExtent l="0" t="0" r="0" b="0"/>
                <wp:wrapNone/>
                <wp:docPr id="19" name="Frame18"/>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PSUs outstanding as of June 30, 2026 and changes during the nine months ended June 30, 2026 are as follows:</w:t>
      </w:r>
    </w:p>
    <w:tbl>
      <w:tblPr>
        <w:tblW w:w="8051" w:type="dxa"/>
        <w:jc w:val="left"/>
        <w:tblInd w:w="0" w:type="dxa"/>
        <w:tblLayout w:type="fixed"/>
        <w:tblCellMar>
          <w:top w:w="28" w:type="dxa"/>
          <w:left w:w="28" w:type="dxa"/>
          <w:bottom w:w="28" w:type="dxa"/>
          <w:right w:w="28" w:type="dxa"/>
        </w:tblCellMar>
      </w:tblPr>
      <w:tblGrid>
        <w:gridCol w:w="804"/>
        <w:gridCol w:w="707"/>
        <w:gridCol w:w="709"/>
        <w:gridCol w:w="724"/>
        <w:gridCol w:w="724"/>
        <w:gridCol w:w="726"/>
        <w:gridCol w:w="109"/>
        <w:gridCol w:w="109"/>
        <w:gridCol w:w="109"/>
        <w:gridCol w:w="720"/>
        <w:gridCol w:w="2044"/>
        <w:gridCol w:w="566"/>
      </w:tblGrid>
      <w:tr>
        <w:trPr/>
        <w:tc>
          <w:tcPr>
            <w:tcW w:w="804"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Stock Units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Weighted Average Grant Date Fair Value</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at October 1</w:t>
            </w:r>
          </w:p>
        </w:tc>
        <w:tc>
          <w:tcPr>
            <w:tcW w:w="1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272.8 </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22.63 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1,297.9 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Distributed</w:t>
            </w:r>
          </w:p>
        </w:tc>
        <w:tc>
          <w:tcPr>
            <w:tcW w:w="144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(316.0)</w:t>
            </w:r>
          </w:p>
        </w:tc>
        <w:tc>
          <w:tcPr>
            <w:tcW w:w="7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17.84 </w:t>
            </w:r>
          </w:p>
        </w:tc>
        <w:tc>
          <w:tcPr>
            <w:tcW w:w="56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canceled or expired</w:t>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(152.5)</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Nonvested at June 30</w:t>
            </w:r>
          </w:p>
        </w:tc>
        <w:tc>
          <w:tcPr>
            <w:tcW w:w="144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1,102.2 </w:t>
            </w:r>
          </w:p>
        </w:tc>
        <w:tc>
          <w:tcPr>
            <w:tcW w:w="7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5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Expected to vest at June 30</w:t>
            </w:r>
          </w:p>
        </w:tc>
        <w:tc>
          <w:tcPr>
            <w:tcW w:w="1448"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1,064.2 </w:t>
            </w:r>
          </w:p>
        </w:tc>
        <w:tc>
          <w:tcPr>
            <w:tcW w:w="72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0"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11.78 </w:t>
            </w:r>
          </w:p>
        </w:tc>
        <w:tc>
          <w:tcPr>
            <w:tcW w:w="5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51" w:type="dxa"/>
            <w:gridSpan w:val="12"/>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6"/>
              </w:rPr>
            </w:pPr>
            <w:r>
              <w:rPr>
                <w:rFonts w:ascii="Times New Roman;serif" w:hAnsi="Times New Roman;serif"/>
                <w:b w:val="false"/>
                <w:color w:val="000000"/>
                <w:sz w:val="16"/>
              </w:rPr>
              <w:t>*Includes accumulated nonvested dividend equivalents</w:t>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At June 30, 2026, the weighted average remaining vesting term of PSUs is 1.6 years.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Appreciation Rights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 summary of stock appreciation rights ("SARs") outstanding as of June 30, 2026 and changes during the nine months ended June 30, 2026 are as follows:</w:t>
      </w:r>
    </w:p>
    <w:tbl>
      <w:tblPr>
        <w:tblW w:w="10205" w:type="dxa"/>
        <w:jc w:val="left"/>
        <w:tblInd w:w="0" w:type="dxa"/>
        <w:tblLayout w:type="fixed"/>
        <w:tblCellMar>
          <w:top w:w="28" w:type="dxa"/>
          <w:left w:w="28" w:type="dxa"/>
          <w:bottom w:w="28" w:type="dxa"/>
          <w:right w:w="28" w:type="dxa"/>
        </w:tblCellMar>
      </w:tblPr>
      <w:tblGrid>
        <w:gridCol w:w="763"/>
        <w:gridCol w:w="567"/>
        <w:gridCol w:w="569"/>
        <w:gridCol w:w="481"/>
        <w:gridCol w:w="440"/>
        <w:gridCol w:w="442"/>
        <w:gridCol w:w="109"/>
        <w:gridCol w:w="109"/>
        <w:gridCol w:w="109"/>
        <w:gridCol w:w="397"/>
        <w:gridCol w:w="1127"/>
        <w:gridCol w:w="220"/>
        <w:gridCol w:w="109"/>
        <w:gridCol w:w="109"/>
        <w:gridCol w:w="109"/>
        <w:gridCol w:w="920"/>
        <w:gridCol w:w="920"/>
        <w:gridCol w:w="923"/>
        <w:gridCol w:w="109"/>
        <w:gridCol w:w="109"/>
        <w:gridCol w:w="109"/>
        <w:gridCol w:w="375"/>
        <w:gridCol w:w="779"/>
        <w:gridCol w:w="301"/>
      </w:tblGrid>
      <w:tr>
        <w:trPr/>
        <w:tc>
          <w:tcPr>
            <w:tcW w:w="7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SARs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Aggregate Intrinsic Value</w:t>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October 1</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1,443.3 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29.23 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r>
      <w:tr>
        <w:trPr/>
        <w:tc>
          <w:tcPr>
            <w:tcW w:w="1899" w:type="dxa"/>
            <w:gridSpan w:val="3"/>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 canceled or expired</w:t>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(865.5)</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w:t>
            </w:r>
          </w:p>
        </w:tc>
        <w:tc>
          <w:tcPr>
            <w:tcW w:w="9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Vested and expected to vest at June 30</w:t>
            </w:r>
          </w:p>
        </w:tc>
        <w:tc>
          <w:tcPr>
            <w:tcW w:w="92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442"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29.11 </w:t>
            </w:r>
          </w:p>
        </w:tc>
        <w:tc>
          <w:tcPr>
            <w:tcW w:w="22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8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at June 30</w:t>
            </w:r>
          </w:p>
        </w:tc>
        <w:tc>
          <w:tcPr>
            <w:tcW w:w="92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577.8 </w:t>
            </w:r>
          </w:p>
        </w:tc>
        <w:tc>
          <w:tcPr>
            <w:tcW w:w="44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29.11 </w:t>
            </w:r>
          </w:p>
        </w:tc>
        <w:tc>
          <w:tcPr>
            <w:tcW w:w="22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0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6"/>
              </w:rPr>
            </w:pPr>
            <w:r>
              <w:rPr>
                <w:rFonts w:ascii="Times New Roman;serif" w:hAnsi="Times New Roman;serif"/>
                <w:b w:val="false"/>
                <w:color w:val="000000"/>
                <w:sz w:val="16"/>
              </w:rPr>
              <w:t>*The amounts exercised include shares withheld for taxes that are not formally issued to the market.</w:t>
            </w:r>
          </w:p>
        </w:tc>
      </w:tr>
    </w:tbl>
    <w:p>
      <w:pPr>
        <w:pStyle w:val="TextBody"/>
        <w:bidi w:val="0"/>
        <w:spacing w:lineRule="auto" w:line="276" w:before="240" w:after="120"/>
        <w:jc w:val="both"/>
        <w:rPr/>
      </w:pPr>
      <w:r>
        <w:rPr>
          <w:rFonts w:ascii="Times New Roman;serif" w:hAnsi="Times New Roman;serif"/>
          <w:b w:val="false"/>
          <w:color w:val="000000"/>
          <w:sz w:val="20"/>
        </w:rPr>
        <w:t>No</w:t>
      </w:r>
      <w:r>
        <w:rPr>
          <w:color w:val="000000"/>
          <w:shd w:fill="FFFFFF" w:val="clear"/>
        </w:rPr>
        <w:t xml:space="preserve"> </w:t>
      </w:r>
      <w:r>
        <w:rPr>
          <w:rFonts w:ascii="Times New Roman;serif" w:hAnsi="Times New Roman;serif"/>
          <w:b w:val="false"/>
          <w:color w:val="000000"/>
          <w:sz w:val="20"/>
          <w:shd w:fill="FFFFFF" w:val="clear"/>
        </w:rPr>
        <w:t xml:space="preserve">SARs </w:t>
      </w:r>
      <w:r>
        <w:rPr>
          <w:rFonts w:ascii="Times New Roman;serif" w:hAnsi="Times New Roman;serif"/>
          <w:b w:val="false"/>
          <w:color w:val="000000"/>
          <w:sz w:val="20"/>
        </w:rPr>
        <w:t>w</w:t>
      </w:r>
      <w:r>
        <w:rPr>
          <w:rFonts w:ascii="Times New Roman;serif" w:hAnsi="Times New Roman;serif"/>
          <w:b w:val="false"/>
          <w:color w:val="000000"/>
          <w:sz w:val="20"/>
          <w:shd w:fill="FFFFFF" w:val="clear"/>
        </w:rPr>
        <w:t>ere exercised during the nine months ended June 30, 2026.</w:t>
      </w:r>
    </w:p>
    <w:p>
      <w:pPr>
        <w:pStyle w:val="TextBody"/>
        <w:bidi w:val="0"/>
        <w:spacing w:lineRule="auto" w:line="276" w:before="240" w:after="180"/>
        <w:jc w:val="both"/>
        <w:rPr>
          <w:rFonts w:ascii="Times New Roman;serif" w:hAnsi="Times New Roman;serif"/>
          <w:b w:val="false"/>
          <w:i/>
          <w:color w:val="000000"/>
          <w:sz w:val="20"/>
        </w:rPr>
      </w:pPr>
      <w:r>
        <w:rPr>
          <w:rFonts w:ascii="Times New Roman;serif" w:hAnsi="Times New Roman;serif"/>
          <w:b w:val="false"/>
          <w:i/>
          <w:color w:val="000000"/>
          <w:sz w:val="20"/>
        </w:rPr>
        <w:t>Unrecognized Stock-Based Compensation Expense and Other Stock Plans</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The amount of unrecognized compensation expense for all non-vested stock-based awards granted as of June 30, 2026, is approximately $33.3 million which is expected to be recognized over a weighted-average remaining life of approximately 1.7 years. At June 30, 2026, 3.6 million shares were authorized for future grants under the Company's 2022 Employee and Director Equity Based Compensation Plan,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734060"/>
                <wp:effectExtent l="0" t="0" r="0" b="0"/>
                <wp:wrapNone/>
                <wp:docPr id="20" name="Frame19"/>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 xml:space="preserve">Note 11 — Goodwill and Intangible Assets </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Goodwill and Intangible Assets consisted of: </w:t>
      </w:r>
    </w:p>
    <w:tbl>
      <w:tblPr>
        <w:tblW w:w="7614" w:type="dxa"/>
        <w:jc w:val="left"/>
        <w:tblInd w:w="0" w:type="dxa"/>
        <w:tblLayout w:type="fixed"/>
        <w:tblCellMar>
          <w:top w:w="28" w:type="dxa"/>
          <w:left w:w="28" w:type="dxa"/>
          <w:bottom w:w="28" w:type="dxa"/>
          <w:right w:w="28" w:type="dxa"/>
        </w:tblCellMar>
      </w:tblPr>
      <w:tblGrid>
        <w:gridCol w:w="1621"/>
        <w:gridCol w:w="1426"/>
        <w:gridCol w:w="1437"/>
        <w:gridCol w:w="293"/>
        <w:gridCol w:w="698"/>
        <w:gridCol w:w="163"/>
        <w:gridCol w:w="109"/>
        <w:gridCol w:w="109"/>
        <w:gridCol w:w="109"/>
        <w:gridCol w:w="396"/>
        <w:gridCol w:w="942"/>
        <w:gridCol w:w="311"/>
      </w:tblGrid>
      <w:tr>
        <w:trPr/>
        <w:tc>
          <w:tcPr>
            <w:tcW w:w="1621"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Amortized intangible assets</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Patents – gross</w:t>
            </w:r>
          </w:p>
        </w:tc>
        <w:tc>
          <w:tcPr>
            <w:tcW w:w="29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Patents – net</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Other – gross</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Other – net</w:t>
            </w:r>
          </w:p>
        </w:tc>
        <w:tc>
          <w:tcPr>
            <w:tcW w:w="2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amortized intangible assets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definite lived intangible assets of Owen Mumford</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Acquired indefinite lived intangible assets of Owen Mumford</w:t>
            </w:r>
          </w:p>
        </w:tc>
        <w:tc>
          <w:tcPr>
            <w:tcW w:w="9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99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39.9 </w:t>
            </w:r>
          </w:p>
        </w:tc>
        <w:tc>
          <w:tcPr>
            <w:tcW w:w="16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3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Goodwill and Intangible Assets</w:t>
            </w:r>
          </w:p>
        </w:tc>
        <w:tc>
          <w:tcPr>
            <w:tcW w:w="2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3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12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recognized $24.4 million of goodwill in connection with the OM acquisition. See Note 3, Acquisition for further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Note 12 — Cloud Computing Arrangements</w:t>
      </w:r>
    </w:p>
    <w:p>
      <w:pPr>
        <w:pStyle w:val="TextBody"/>
        <w:bidi w:val="0"/>
        <w:spacing w:lineRule="auto" w:line="276" w:before="60" w:after="120"/>
        <w:jc w:val="left"/>
        <w:rPr/>
      </w:pPr>
      <w:r>
        <w:rPr>
          <w:rFonts w:ascii="Times New Roman;serif" w:hAnsi="Times New Roman;serif"/>
          <w:b w:val="false"/>
          <w:color w:val="000000"/>
          <w:sz w:val="20"/>
        </w:rPr>
        <w:t xml:space="preserve">The Company capitalizes costs associated with the development of cloud computing arrangements in a manner consistent with internally developed software. Capitalized costs are included in </w:t>
      </w:r>
      <w:r>
        <w:rPr>
          <w:rFonts w:ascii="Times New Roman;serif" w:hAnsi="Times New Roman;serif"/>
          <w:b w:val="false"/>
          <w:i/>
          <w:color w:val="000000"/>
          <w:sz w:val="20"/>
        </w:rPr>
        <w:t>Prepaid expenses and other</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 xml:space="preserve">Deferred Income Taxes and Other Assets. </w:t>
      </w:r>
      <w:r>
        <w:rPr>
          <w:rFonts w:ascii="Times New Roman;serif" w:hAnsi="Times New Roman;serif"/>
          <w:b w:val="false"/>
          <w:color w:val="000000"/>
          <w:sz w:val="20"/>
        </w:rPr>
        <w:t xml:space="preserve">Capitalized costs to implement cloud computing arrangements at cost and accumulated amortization were as follows: </w:t>
      </w:r>
    </w:p>
    <w:tbl>
      <w:tblPr>
        <w:tblW w:w="6264" w:type="dxa"/>
        <w:jc w:val="left"/>
        <w:tblInd w:w="0" w:type="dxa"/>
        <w:tblLayout w:type="fixed"/>
        <w:tblCellMar>
          <w:top w:w="28" w:type="dxa"/>
          <w:left w:w="28" w:type="dxa"/>
          <w:bottom w:w="28" w:type="dxa"/>
          <w:right w:w="28" w:type="dxa"/>
        </w:tblCellMar>
      </w:tblPr>
      <w:tblGrid>
        <w:gridCol w:w="1133"/>
        <w:gridCol w:w="995"/>
        <w:gridCol w:w="1006"/>
        <w:gridCol w:w="293"/>
        <w:gridCol w:w="698"/>
        <w:gridCol w:w="163"/>
        <w:gridCol w:w="109"/>
        <w:gridCol w:w="109"/>
        <w:gridCol w:w="109"/>
        <w:gridCol w:w="395"/>
        <w:gridCol w:w="942"/>
        <w:gridCol w:w="312"/>
      </w:tblGrid>
      <w:tr>
        <w:trPr/>
        <w:tc>
          <w:tcPr>
            <w:tcW w:w="1133"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Short-term portion</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Long-term portion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61.3 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Total Capitalized implementation costs</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amortization</w:t>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Total Capitalized implementation costs, net</w:t>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3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pPr>
      <w:r>
        <w:rPr>
          <w:rFonts w:ascii="Times New Roman;serif" w:hAnsi="Times New Roman;serif"/>
          <w:b w:val="false"/>
          <w:color w:val="000000"/>
          <w:sz w:val="20"/>
        </w:rPr>
        <w:t xml:space="preserve">Costs amortized during the </w:t>
      </w:r>
      <w:r>
        <w:rPr>
          <w:rFonts w:ascii="Times New Roman;serif" w:hAnsi="Times New Roman;serif"/>
          <w:b w:val="false"/>
          <w:color w:val="2B2A29"/>
          <w:sz w:val="20"/>
        </w:rPr>
        <w:t xml:space="preserve">three and nine months ended June 30, 2026 and </w:t>
      </w:r>
      <w:r>
        <w:rPr>
          <w:rFonts w:ascii="Times New Roman;serif" w:hAnsi="Times New Roman;serif"/>
          <w:b w:val="false"/>
          <w:color w:val="000000"/>
          <w:sz w:val="20"/>
        </w:rPr>
        <w:t>2025</w:t>
      </w:r>
      <w:r>
        <w:rPr>
          <w:color w:val="2B2A29"/>
        </w:rPr>
        <w:t xml:space="preserve"> </w:t>
      </w:r>
      <w:r>
        <w:rPr>
          <w:rFonts w:ascii="Times New Roman;serif" w:hAnsi="Times New Roman;serif"/>
          <w:b w:val="false"/>
          <w:color w:val="000000"/>
          <w:sz w:val="20"/>
        </w:rPr>
        <w:t xml:space="preserve">are included in </w:t>
      </w:r>
      <w:r>
        <w:rPr>
          <w:rFonts w:ascii="Times New Roman;serif" w:hAnsi="Times New Roman;serif"/>
          <w:b w:val="false"/>
          <w:i/>
          <w:color w:val="000000"/>
          <w:sz w:val="20"/>
        </w:rPr>
        <w:t>Other operating expense, net</w:t>
      </w:r>
      <w:r>
        <w:rPr>
          <w:color w:val="000000"/>
        </w:rPr>
        <w:t xml:space="preserve"> </w:t>
      </w:r>
      <w:r>
        <w:rPr>
          <w:rFonts w:ascii="Times New Roman;serif" w:hAnsi="Times New Roman;serif"/>
          <w:b w:val="false"/>
          <w:color w:val="000000"/>
          <w:sz w:val="20"/>
        </w:rPr>
        <w:t xml:space="preserve">and were as follows: </w:t>
      </w:r>
    </w:p>
    <w:tbl>
      <w:tblPr>
        <w:tblW w:w="8507" w:type="dxa"/>
        <w:jc w:val="left"/>
        <w:tblInd w:w="0" w:type="dxa"/>
        <w:tblLayout w:type="fixed"/>
        <w:tblCellMar>
          <w:top w:w="28" w:type="dxa"/>
          <w:left w:w="28" w:type="dxa"/>
          <w:bottom w:w="28" w:type="dxa"/>
          <w:right w:w="28" w:type="dxa"/>
        </w:tblCellMar>
      </w:tblPr>
      <w:tblGrid>
        <w:gridCol w:w="1252"/>
        <w:gridCol w:w="1104"/>
        <w:gridCol w:w="1108"/>
        <w:gridCol w:w="276"/>
        <w:gridCol w:w="531"/>
        <w:gridCol w:w="153"/>
        <w:gridCol w:w="153"/>
        <w:gridCol w:w="153"/>
        <w:gridCol w:w="153"/>
        <w:gridCol w:w="276"/>
        <w:gridCol w:w="531"/>
        <w:gridCol w:w="153"/>
        <w:gridCol w:w="109"/>
        <w:gridCol w:w="109"/>
        <w:gridCol w:w="109"/>
        <w:gridCol w:w="264"/>
        <w:gridCol w:w="507"/>
        <w:gridCol w:w="147"/>
        <w:gridCol w:w="147"/>
        <w:gridCol w:w="147"/>
        <w:gridCol w:w="147"/>
        <w:gridCol w:w="264"/>
        <w:gridCol w:w="507"/>
        <w:gridCol w:w="207"/>
      </w:tblGrid>
      <w:tr>
        <w:trPr/>
        <w:tc>
          <w:tcPr>
            <w:tcW w:w="1252"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Amortization of cloud computing arrangements</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r>
        <w:trPr/>
        <w:tc>
          <w:tcPr>
            <w:tcW w:w="346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59"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c>
          <w:tcPr>
            <w:tcW w:w="441"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As of June 30, 2026, cloud computing arrangement assets in-service have remaining useful lives of up to six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Note 13 — Long-Term Debt</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Credit Agreement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March 31, 2022, Embecta entered into a credit agreement (the “Credit Agreement”), providing for: </w:t>
      </w:r>
    </w:p>
    <w:p>
      <w:pPr>
        <w:pStyle w:val="TextBody"/>
        <w:bidi w:val="0"/>
        <w:spacing w:lineRule="auto" w:line="276" w:before="120" w:after="120"/>
        <w:ind w:left="0" w:right="0" w:hanging="630"/>
        <w:jc w:val="both"/>
        <w:rPr/>
      </w:pPr>
      <w:r>
        <w:rPr>
          <w:color w:val="2B2A29"/>
        </w:rPr>
        <w:t>•</w:t>
      </w:r>
      <w:r>
        <w:rPr>
          <w:rFonts w:ascii="Times New Roman;serif" w:hAnsi="Times New Roman;serif"/>
          <w:b w:val="false"/>
          <w:color w:val="000000"/>
          <w:sz w:val="20"/>
        </w:rPr>
        <w:t xml:space="preserve">a Term Loan B Facility (the "Term Loan") in the amount of $950.0 million, with a </w:t>
      </w:r>
      <w:r>
        <w:rPr>
          <w:rFonts w:ascii="Times New Roman;serif" w:hAnsi="Times New Roman;serif"/>
          <w:b w:val="false"/>
          <w:color w:val="2B2A29"/>
          <w:sz w:val="20"/>
        </w:rPr>
        <w:t>seven</w:t>
      </w:r>
      <w:r>
        <w:rPr>
          <w:rFonts w:ascii="Times New Roman;serif" w:hAnsi="Times New Roman;serif"/>
          <w:b w:val="false"/>
          <w:color w:val="000000"/>
          <w:sz w:val="20"/>
        </w:rPr>
        <w:t xml:space="preserve">-year </w:t>
      </w:r>
      <w:r>
        <w:rPr>
          <w:rFonts w:ascii="Times New Roman;serif" w:hAnsi="Times New Roman;serif"/>
          <w:b w:val="false"/>
          <w:color w:val="2B2A29"/>
          <w:sz w:val="20"/>
        </w:rPr>
        <w:t>term that matures in March 2029. The interest rate is 300 basis points over the secured overnight financing rate (“SOFR”), with a 0.50% SOFR floor. The Term Loan was issued at a discount of 0.50%. Principal and interest payments on the Term Loan commenced on June 30, 2022. Such quarterly principal payments are calculated as 0.25% of the initial principal amount, with the remaining balance payable upon maturity;</w:t>
      </w:r>
      <w:r>
        <w:rPr>
          <w:color w:val="000000"/>
        </w:rPr>
        <w:t xml:space="preserve"> </w:t>
      </w:r>
      <w:r>
        <w:rPr>
          <w:rFonts w:ascii="Times New Roman;serif" w:hAnsi="Times New Roman;serif"/>
          <w:b w:val="false"/>
          <w:color w:val="000000"/>
          <w:sz w:val="20"/>
        </w:rPr>
        <w:t xml:space="preserve">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734060"/>
                <wp:effectExtent l="0" t="0" r="0" b="0"/>
                <wp:wrapNone/>
                <wp:docPr id="21" name="Frame20"/>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ind w:left="0" w:right="0" w:hanging="630"/>
        <w:jc w:val="both"/>
        <w:rPr/>
      </w:pPr>
      <w:r>
        <w:rPr>
          <w:color w:val="2B2A29"/>
        </w:rPr>
        <w:t>•</w:t>
      </w:r>
      <w:r>
        <w:rPr>
          <w:rFonts w:ascii="Times New Roman;serif" w:hAnsi="Times New Roman;serif"/>
          <w:b w:val="false"/>
          <w:color w:val="000000"/>
          <w:sz w:val="20"/>
        </w:rPr>
        <w:t xml:space="preserve">a Revolving Credit Facility (the "Revolving Credit Facility") in an aggregate principal amount of up to $500.0 million, with a </w:t>
      </w:r>
      <w:r>
        <w:rPr>
          <w:rFonts w:ascii="Times New Roman;serif" w:hAnsi="Times New Roman;serif"/>
          <w:b w:val="false"/>
          <w:color w:val="2B2A29"/>
          <w:sz w:val="20"/>
        </w:rPr>
        <w:t>five</w:t>
      </w:r>
      <w:r>
        <w:rPr>
          <w:rFonts w:ascii="Times New Roman;serif" w:hAnsi="Times New Roman;serif"/>
          <w:b w:val="false"/>
          <w:color w:val="000000"/>
          <w:sz w:val="20"/>
        </w:rPr>
        <w:t xml:space="preserve">-year term that matures in March 2027. </w:t>
      </w:r>
      <w:r>
        <w:rPr>
          <w:rFonts w:ascii="Times New Roman;serif" w:hAnsi="Times New Roman;serif"/>
          <w:b w:val="false"/>
          <w:color w:val="2B2A29"/>
          <w:sz w:val="20"/>
        </w:rPr>
        <w:t xml:space="preserve">Borrowings under the Revolving Credit Facility bear interest, at Embecta’s option, at an annual rate equal to (a) in the case of loans denominated in United States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serif" w:hAnsi="Times New Roman;serif"/>
          <w:b w:val="false"/>
          <w:color w:val="000000"/>
          <w:sz w:val="20"/>
        </w:rPr>
        <w:t>As of June 30, 2026, $129.9 million has been drawn on the Revolving Credit Facility.</w:t>
      </w:r>
    </w:p>
    <w:p>
      <w:pPr>
        <w:pStyle w:val="TextBody"/>
        <w:bidi w:val="0"/>
        <w:spacing w:lineRule="auto" w:line="276" w:before="0" w:after="0"/>
        <w:ind w:left="0" w:right="0" w:hanging="630"/>
        <w:jc w:val="both"/>
        <w:rPr/>
      </w:pPr>
      <w:r>
        <w:rPr>
          <w:color w:val="000000"/>
        </w:rPr>
        <w:t>•</w:t>
      </w:r>
      <w:r>
        <w:rPr>
          <w:rFonts w:ascii="Times New Roman;serif" w:hAnsi="Times New Roman;serif"/>
          <w:b w:val="false"/>
          <w:color w:val="000000"/>
          <w:sz w:val="20"/>
        </w:rPr>
        <w:t>See Note 21 for a description of amendments to the Credit Agreement effective August 6, 2026.</w:t>
      </w:r>
    </w:p>
    <w:p>
      <w:pPr>
        <w:pStyle w:val="TextBody"/>
        <w:bidi w:val="0"/>
        <w:spacing w:lineRule="auto" w:line="276" w:before="120" w:after="120"/>
        <w:jc w:val="both"/>
        <w:rPr/>
      </w:pPr>
      <w:r>
        <w:rPr>
          <w:rFonts w:ascii="Times New Roman;serif" w:hAnsi="Times New Roman;serif"/>
          <w:b w:val="false"/>
          <w:color w:val="000000"/>
          <w:sz w:val="20"/>
        </w:rPr>
        <w:t xml:space="preserve">The Credit Agreement and the indentures for Embecta's outstanding 5.00% senior secured notes due February 2030 (the "5.00% Notes") and </w:t>
      </w:r>
      <w:r>
        <w:rPr>
          <w:rFonts w:ascii="Times New Roman;serif" w:hAnsi="Times New Roman;serif"/>
          <w:b w:val="false"/>
          <w:color w:val="2B2A29"/>
          <w:sz w:val="20"/>
        </w:rPr>
        <w:t>6.75%</w:t>
      </w:r>
      <w:r>
        <w:rPr>
          <w:color w:val="000000"/>
        </w:rPr>
        <w:t xml:space="preserve"> </w:t>
      </w:r>
      <w:r>
        <w:rPr>
          <w:rFonts w:ascii="Times New Roman;serif" w:hAnsi="Times New Roman;serif"/>
          <w:b w:val="false"/>
          <w:color w:val="000000"/>
          <w:sz w:val="20"/>
        </w:rPr>
        <w:t>senior secured notes due February 2030 (the "</w:t>
      </w:r>
      <w:r>
        <w:rPr>
          <w:rFonts w:ascii="Times New Roman;serif" w:hAnsi="Times New Roman;serif"/>
          <w:b w:val="false"/>
          <w:color w:val="2B2A29"/>
          <w:sz w:val="20"/>
        </w:rPr>
        <w:t>6.75%</w:t>
      </w:r>
      <w:r>
        <w:rPr>
          <w:color w:val="000000"/>
        </w:rPr>
        <w:t xml:space="preserve"> </w:t>
      </w:r>
      <w:r>
        <w:rPr>
          <w:rFonts w:ascii="Times New Roman;serif" w:hAnsi="Times New Roman;serif"/>
          <w:b w:val="false"/>
          <w:color w:val="000000"/>
          <w:sz w:val="20"/>
        </w:rPr>
        <w:t xml:space="preserve">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the 5.00% Notes and </w:t>
      </w:r>
      <w:r>
        <w:rPr>
          <w:rFonts w:ascii="Times New Roman;serif" w:hAnsi="Times New Roman;serif"/>
          <w:b w:val="false"/>
          <w:color w:val="2B2A29"/>
          <w:sz w:val="20"/>
        </w:rPr>
        <w:t>6.75%</w:t>
      </w:r>
      <w:r>
        <w:rPr>
          <w:color w:val="000000"/>
        </w:rPr>
        <w:t xml:space="preserve"> </w:t>
      </w:r>
      <w:r>
        <w:rPr>
          <w:rFonts w:ascii="Times New Roman;serif" w:hAnsi="Times New Roman;serif"/>
          <w:b w:val="false"/>
          <w:color w:val="000000"/>
          <w:sz w:val="20"/>
        </w:rPr>
        <w:t>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 As of June 30, 2026, the Company was in compliance with all of such covenants. The Credit Agreement and the senior secured notes are secured by substantially all assets of Embecta and each subsidiary guarantor, subject to certain exceptions.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Embecta's total debt outstanding as of June 30, 2026:</w:t>
      </w:r>
    </w:p>
    <w:tbl>
      <w:tblPr>
        <w:tblW w:w="4007" w:type="dxa"/>
        <w:jc w:val="left"/>
        <w:tblInd w:w="0" w:type="dxa"/>
        <w:tblLayout w:type="fixed"/>
        <w:tblCellMar>
          <w:top w:w="28" w:type="dxa"/>
          <w:left w:w="28" w:type="dxa"/>
          <w:bottom w:w="28" w:type="dxa"/>
          <w:right w:w="28" w:type="dxa"/>
        </w:tblCellMar>
      </w:tblPr>
      <w:tblGrid>
        <w:gridCol w:w="1129"/>
        <w:gridCol w:w="990"/>
        <w:gridCol w:w="1001"/>
        <w:gridCol w:w="196"/>
        <w:gridCol w:w="285"/>
        <w:gridCol w:w="406"/>
      </w:tblGrid>
      <w:tr>
        <w:trPr/>
        <w:tc>
          <w:tcPr>
            <w:tcW w:w="112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ind w:left="0" w:right="0" w:hanging="200"/>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due March 2029</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639.4</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both"/>
              <w:rPr>
                <w:rFonts w:ascii="Times New Roman;serif" w:hAnsi="Times New Roman;serif"/>
                <w:b w:val="false"/>
                <w:color w:val="000000"/>
                <w:sz w:val="18"/>
              </w:rPr>
            </w:pPr>
            <w:r>
              <w:rPr>
                <w:rFonts w:ascii="Times New Roman;serif" w:hAnsi="Times New Roman;serif"/>
                <w:b w:val="false"/>
                <w:color w:val="000000"/>
                <w:sz w:val="18"/>
              </w:rPr>
              <w:t>5.00% Notes due February 2030</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500.0</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120" w:after="283"/>
              <w:ind w:left="0" w:right="0" w:hanging="200"/>
              <w:jc w:val="both"/>
              <w:rPr/>
            </w:pPr>
            <w:r>
              <w:rPr>
                <w:rFonts w:ascii="Times New Roman;serif" w:hAnsi="Times New Roman;serif"/>
                <w:b w:val="false"/>
                <w:color w:val="2B2A29"/>
                <w:sz w:val="18"/>
              </w:rPr>
              <w:t>6.75%</w:t>
            </w:r>
            <w:r>
              <w:rPr>
                <w:color w:val="000000"/>
              </w:rPr>
              <w:t xml:space="preserve"> </w:t>
            </w:r>
            <w:r>
              <w:rPr>
                <w:rFonts w:ascii="Times New Roman;serif" w:hAnsi="Times New Roman;serif"/>
                <w:b w:val="false"/>
                <w:color w:val="000000"/>
                <w:sz w:val="18"/>
              </w:rPr>
              <w:t>Notes due February 2030</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200.0</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due March 2027</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129.9</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debt issued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1,469.3</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debt obligations</w:t>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(139.4)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issuance costs and discounts</w:t>
            </w:r>
          </w:p>
        </w:tc>
        <w:tc>
          <w:tcPr>
            <w:tcW w:w="88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(14.2)</w:t>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1,315.7</w:t>
            </w:r>
          </w:p>
        </w:tc>
      </w:tr>
    </w:tbl>
    <w:p>
      <w:pPr>
        <w:pStyle w:val="TextBody"/>
        <w:bidi w:val="0"/>
        <w:spacing w:lineRule="auto" w:line="276" w:before="120" w:after="120"/>
        <w:jc w:val="both"/>
        <w:rPr/>
      </w:pPr>
      <w:r>
        <w:rPr>
          <w:rFonts w:ascii="Times New Roman;serif" w:hAnsi="Times New Roman;serif"/>
          <w:b w:val="false"/>
          <w:color w:val="2B2A29"/>
          <w:sz w:val="20"/>
        </w:rPr>
        <w:t xml:space="preserve">The debt issuance costs on the Term Loan, </w:t>
      </w:r>
      <w:r>
        <w:rPr>
          <w:rFonts w:ascii="Times New Roman;serif" w:hAnsi="Times New Roman;serif"/>
          <w:b w:val="false"/>
          <w:color w:val="000000"/>
          <w:sz w:val="20"/>
        </w:rPr>
        <w:t>5.00%</w:t>
      </w:r>
      <w:r>
        <w:rPr>
          <w:color w:val="2B2A29"/>
        </w:rPr>
        <w:t xml:space="preserve"> </w:t>
      </w:r>
      <w:r>
        <w:rPr>
          <w:rFonts w:ascii="Times New Roman;serif" w:hAnsi="Times New Roman;serif"/>
          <w:b w:val="false"/>
          <w:color w:val="2B2A29"/>
          <w:sz w:val="20"/>
        </w:rPr>
        <w:t>Notes, 6.75%</w:t>
      </w:r>
      <w:r>
        <w:rPr>
          <w:color w:val="000000"/>
        </w:rPr>
        <w:t xml:space="preserve"> </w:t>
      </w:r>
      <w:r>
        <w:rPr>
          <w:rFonts w:ascii="Times New Roman;serif" w:hAnsi="Times New Roman;serif"/>
          <w:b w:val="false"/>
          <w:color w:val="000000"/>
          <w:sz w:val="20"/>
        </w:rPr>
        <w:t xml:space="preserve">Notes </w:t>
      </w:r>
      <w:r>
        <w:rPr>
          <w:rFonts w:ascii="Times New Roman;serif" w:hAnsi="Times New Roman;serif"/>
          <w:b w:val="false"/>
          <w:color w:val="2B2A29"/>
          <w:sz w:val="20"/>
        </w:rPr>
        <w:t xml:space="preserve">and the discount on the Term Loan are reported in the Condensed Consolidated Balance Sheets as a reduction of debt and are amortized as a component of </w:t>
      </w:r>
      <w:r>
        <w:rPr>
          <w:rFonts w:ascii="Times New Roman;serif" w:hAnsi="Times New Roman;serif"/>
          <w:b w:val="false"/>
          <w:i/>
          <w:color w:val="2B2A29"/>
          <w:sz w:val="20"/>
        </w:rPr>
        <w:t>Interest expense, net</w:t>
      </w:r>
      <w:r>
        <w:rPr>
          <w:color w:val="2B2A29"/>
        </w:rPr>
        <w:t xml:space="preserve"> </w:t>
      </w:r>
      <w:r>
        <w:rPr>
          <w:rFonts w:ascii="Times New Roman;serif" w:hAnsi="Times New Roman;serif"/>
          <w:b w:val="false"/>
          <w:color w:val="2B2A29"/>
          <w:sz w:val="20"/>
        </w:rPr>
        <w:t xml:space="preserve">over the term of the related debt using the effective interest method. During the </w:t>
      </w:r>
      <w:r>
        <w:rPr>
          <w:rFonts w:ascii="Times New Roman;serif" w:hAnsi="Times New Roman;serif"/>
          <w:b w:val="false"/>
          <w:color w:val="000000"/>
          <w:sz w:val="20"/>
        </w:rPr>
        <w:t>nine</w:t>
      </w:r>
      <w:r>
        <w:rPr>
          <w:color w:val="2B2A29"/>
        </w:rPr>
        <w:t xml:space="preserve"> </w:t>
      </w:r>
      <w:r>
        <w:rPr>
          <w:rFonts w:ascii="Times New Roman;serif" w:hAnsi="Times New Roman;serif"/>
          <w:b w:val="false"/>
          <w:color w:val="2B2A29"/>
          <w:sz w:val="20"/>
        </w:rPr>
        <w:t>months ended</w:t>
      </w:r>
      <w:r>
        <w:rPr>
          <w:color w:val="000000"/>
        </w:rPr>
        <w:t xml:space="preserve"> </w:t>
      </w:r>
      <w:r>
        <w:rPr>
          <w:rFonts w:ascii="Times New Roman;serif" w:hAnsi="Times New Roman;serif"/>
          <w:b w:val="false"/>
          <w:color w:val="000000"/>
          <w:sz w:val="20"/>
        </w:rPr>
        <w:t>June 30, 2026, the Company recorded approximately $5.2 million of amortization on deferred debt issuance costs and discounts.</w:t>
      </w:r>
    </w:p>
    <w:p>
      <w:pPr>
        <w:pStyle w:val="TextBody"/>
        <w:bidi w:val="0"/>
        <w:spacing w:lineRule="auto" w:line="276" w:before="120" w:after="120"/>
        <w:jc w:val="both"/>
        <w:rPr/>
      </w:pPr>
      <w:r>
        <w:rPr>
          <w:rFonts w:ascii="Times New Roman;serif" w:hAnsi="Times New Roman;serif"/>
          <w:b w:val="false"/>
          <w:color w:val="000000"/>
          <w:sz w:val="20"/>
        </w:rPr>
        <w:t xml:space="preserve">During the nine months ended </w:t>
      </w:r>
      <w:r>
        <w:rPr>
          <w:rFonts w:ascii="Times New Roman;serif" w:hAnsi="Times New Roman;serif"/>
          <w:b w:val="false"/>
          <w:color w:val="2B2A29"/>
          <w:sz w:val="20"/>
        </w:rPr>
        <w:t>June 30, 2026</w:t>
      </w:r>
      <w:r>
        <w:rPr>
          <w:rFonts w:ascii="Times New Roman;serif" w:hAnsi="Times New Roman;serif"/>
          <w:b w:val="false"/>
          <w:color w:val="000000"/>
          <w:sz w:val="20"/>
        </w:rPr>
        <w:t xml:space="preserve">, the Company made interest payments of $56.3 million on debt outstanding. </w:t>
      </w:r>
    </w:p>
    <w:p>
      <w:pPr>
        <w:pStyle w:val="TextBody"/>
        <w:bidi w:val="0"/>
        <w:spacing w:lineRule="auto" w:line="276" w:before="120" w:after="120"/>
        <w:jc w:val="both"/>
        <w:rPr/>
      </w:pPr>
      <w:r>
        <w:rPr>
          <w:rFonts w:ascii="Times New Roman;serif" w:hAnsi="Times New Roman;serif"/>
          <w:b w:val="false"/>
          <w:color w:val="000000"/>
          <w:sz w:val="20"/>
        </w:rPr>
        <w:t xml:space="preserve">The weighted-average interest rate on total borrowings as of </w:t>
      </w:r>
      <w:r>
        <w:rPr>
          <w:rFonts w:ascii="Times New Roman;serif" w:hAnsi="Times New Roman;serif"/>
          <w:b w:val="false"/>
          <w:color w:val="2B2A29"/>
          <w:sz w:val="20"/>
        </w:rPr>
        <w:t>June 30, 2026</w:t>
      </w:r>
      <w:r>
        <w:rPr>
          <w:color w:val="000000"/>
        </w:rPr>
        <w:t xml:space="preserve"> </w:t>
      </w:r>
      <w:r>
        <w:rPr>
          <w:rFonts w:ascii="Times New Roman;serif" w:hAnsi="Times New Roman;serif"/>
          <w:b w:val="false"/>
          <w:color w:val="000000"/>
          <w:sz w:val="20"/>
        </w:rPr>
        <w:t>is 6.1%.</w:t>
      </w:r>
    </w:p>
    <w:p>
      <w:pPr>
        <w:pStyle w:val="TextBody"/>
        <w:bidi w:val="0"/>
        <w:spacing w:lineRule="auto" w:line="276" w:before="120" w:after="120"/>
        <w:jc w:val="both"/>
        <w:rPr/>
      </w:pPr>
      <w:r>
        <w:rPr>
          <w:rFonts w:ascii="Times New Roman;serif" w:hAnsi="Times New Roman;serif"/>
          <w:b w:val="false"/>
          <w:color w:val="2B2A29"/>
          <w:sz w:val="20"/>
        </w:rPr>
        <w:t xml:space="preserve">During the </w:t>
      </w:r>
      <w:r>
        <w:rPr>
          <w:rFonts w:ascii="Times New Roman;serif" w:hAnsi="Times New Roman;serif"/>
          <w:b w:val="false"/>
          <w:color w:val="000000"/>
          <w:sz w:val="20"/>
        </w:rPr>
        <w:t xml:space="preserve">nine months ended </w:t>
      </w:r>
      <w:r>
        <w:rPr>
          <w:rFonts w:ascii="Times New Roman;serif" w:hAnsi="Times New Roman;serif"/>
          <w:b w:val="false"/>
          <w:color w:val="2B2A29"/>
          <w:sz w:val="20"/>
        </w:rPr>
        <w:t xml:space="preserve">June 30, 2026, the Company paid an aggregate principal amount of approximately </w:t>
      </w:r>
      <w:r>
        <w:rPr>
          <w:rFonts w:ascii="Times New Roman;serif" w:hAnsi="Times New Roman;serif"/>
          <w:b w:val="false"/>
          <w:color w:val="000000"/>
          <w:sz w:val="20"/>
        </w:rPr>
        <w:t>$77.4 million</w:t>
      </w:r>
      <w:r>
        <w:rPr>
          <w:color w:val="2B2A29"/>
        </w:rPr>
        <w:t xml:space="preserve"> </w:t>
      </w:r>
      <w:r>
        <w:rPr>
          <w:rFonts w:ascii="Times New Roman;serif" w:hAnsi="Times New Roman;serif"/>
          <w:b w:val="false"/>
          <w:color w:val="2B2A29"/>
          <w:sz w:val="20"/>
        </w:rPr>
        <w:t xml:space="preserve">on the Term Loan, of which </w:t>
      </w:r>
      <w:r>
        <w:rPr>
          <w:rFonts w:ascii="Times New Roman;serif" w:hAnsi="Times New Roman;serif"/>
          <w:b w:val="false"/>
          <w:color w:val="000000"/>
          <w:sz w:val="20"/>
        </w:rPr>
        <w:t>$70.3 million</w:t>
      </w:r>
      <w:r>
        <w:rPr>
          <w:color w:val="2B2A29"/>
        </w:rPr>
        <w:t xml:space="preserve"> </w:t>
      </w:r>
      <w:r>
        <w:rPr>
          <w:rFonts w:ascii="Times New Roman;serif" w:hAnsi="Times New Roman;serif"/>
          <w:b w:val="false"/>
          <w:color w:val="2B2A29"/>
          <w:sz w:val="20"/>
        </w:rPr>
        <w:t>was discretionary.</w:t>
      </w:r>
    </w:p>
    <w:p>
      <w:pPr>
        <w:pStyle w:val="TextBody"/>
        <w:bidi w:val="0"/>
        <w:spacing w:lineRule="auto" w:line="276" w:before="120" w:after="120"/>
        <w:jc w:val="both"/>
        <w:rPr/>
      </w:pPr>
      <w:r>
        <w:rPr>
          <w:rFonts w:ascii="Times New Roman;serif" w:hAnsi="Times New Roman;serif"/>
          <w:b w:val="false"/>
          <w:color w:val="2B2A29"/>
          <w:sz w:val="20"/>
        </w:rPr>
        <w:t xml:space="preserve">During the </w:t>
      </w:r>
      <w:r>
        <w:rPr>
          <w:rFonts w:ascii="Times New Roman;serif" w:hAnsi="Times New Roman;serif"/>
          <w:b w:val="false"/>
          <w:color w:val="000000"/>
          <w:sz w:val="20"/>
        </w:rPr>
        <w:t xml:space="preserve">nine months ended </w:t>
      </w:r>
      <w:r>
        <w:rPr>
          <w:rFonts w:ascii="Times New Roman;serif" w:hAnsi="Times New Roman;serif"/>
          <w:b w:val="false"/>
          <w:color w:val="2B2A29"/>
          <w:sz w:val="20"/>
        </w:rPr>
        <w:t xml:space="preserve">June 30, 2026, the Company drew down $180.0 million on its Revolving Credit Facility and repaid an aggregate principal amount of approximately </w:t>
      </w:r>
      <w:r>
        <w:rPr>
          <w:rFonts w:ascii="Times New Roman;serif" w:hAnsi="Times New Roman;serif"/>
          <w:b w:val="false"/>
          <w:color w:val="000000"/>
          <w:sz w:val="20"/>
        </w:rPr>
        <w:t>$50.1 million.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schedule of principal payments required on debt for the next five fiscal years and thereafter is as follows:</w:t>
      </w:r>
    </w:p>
    <w:tbl>
      <w:tblPr>
        <w:tblW w:w="1567" w:type="dxa"/>
        <w:jc w:val="center"/>
        <w:tblInd w:w="0" w:type="dxa"/>
        <w:tblLayout w:type="fixed"/>
        <w:tblCellMar>
          <w:top w:w="28" w:type="dxa"/>
          <w:left w:w="28" w:type="dxa"/>
          <w:bottom w:w="28" w:type="dxa"/>
          <w:right w:w="28" w:type="dxa"/>
        </w:tblCellMar>
      </w:tblPr>
      <w:tblGrid>
        <w:gridCol w:w="304"/>
        <w:gridCol w:w="267"/>
        <w:gridCol w:w="270"/>
        <w:gridCol w:w="196"/>
        <w:gridCol w:w="37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2B2A29"/>
          <w:sz w:val="20"/>
        </w:rPr>
      </w:pPr>
      <w:r>
        <w:rPr>
          <w:rFonts w:ascii="Times New Roman;serif" w:hAnsi="Times New Roman;serif"/>
          <w:b w:val="false"/>
          <w:color w:val="2B2A29"/>
          <w:sz w:val="20"/>
        </w:rPr>
        <w:t>The estimated fair value of debt at June 30, 2026 was $1,186.2 million compared with a carrying value (which includes a reduction for unamortized debt issuance costs and discounts) of $1,455.1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734060"/>
                <wp:effectExtent l="0" t="0" r="0" b="0"/>
                <wp:wrapNone/>
                <wp:docPr id="22" name="Frame21"/>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Note 14 — Stockholders' Equity</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Stock Repurchase Program and Common Stock Retirement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the Company announced that the Board of Directors approved a three-year $100.0 million stock repurchase authorization (the “Repurchase Program”) of common stock in accordance with applicable securities laws. The Repurchase Program does not obligate the Company to acquire any particular amount of common stock and may be suspended or terminated at any time at the Company’s discretion.</w:t>
      </w:r>
    </w:p>
    <w:p>
      <w:pPr>
        <w:pStyle w:val="TextBody"/>
        <w:bidi w:val="0"/>
        <w:spacing w:lineRule="auto" w:line="276" w:before="120" w:after="120"/>
        <w:jc w:val="both"/>
        <w:rPr>
          <w:rFonts w:ascii="Times New Roman;serif" w:hAnsi="Times New Roman;serif"/>
          <w:b w:val="false"/>
          <w:color w:val="2B2A29"/>
          <w:sz w:val="20"/>
        </w:rPr>
      </w:pPr>
      <w:r>
        <w:rPr>
          <w:rFonts w:ascii="Times New Roman;serif" w:hAnsi="Times New Roman;serif"/>
          <w:b w:val="false"/>
          <w:color w:val="2B2A29"/>
          <w:sz w:val="20"/>
        </w:rPr>
        <w:t>Pursuant to the Repurchase Program, the Company repurchased 2.7 million shares of its common stock for $8.7 million during the three and nine months ended June 30, 2026. The Company constructively retired the shares of common stock it had repurchased by recording amounts paid in excess of the $0.01 par value of each share as a reduction in additional paid-in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color w:val="000000"/>
          <w:sz w:val="20"/>
        </w:rPr>
      </w:pPr>
      <w:r>
        <w:rPr>
          <w:rFonts w:ascii="Times New Roman;serif" w:hAnsi="Times New Roman;serif"/>
          <w:b/>
          <w:color w:val="000000"/>
          <w:sz w:val="20"/>
        </w:rPr>
        <w:t>Note 15 — Earnings Per Share</w:t>
      </w:r>
    </w:p>
    <w:p>
      <w:pPr>
        <w:pStyle w:val="TextBody"/>
        <w:bidi w:val="0"/>
        <w:spacing w:lineRule="auto" w:line="276" w:before="120" w:after="180"/>
        <w:jc w:val="both"/>
        <w:rPr/>
      </w:pPr>
      <w:r>
        <w:rPr>
          <w:rFonts w:ascii="Times New Roman;serif" w:hAnsi="Times New Roman;serif"/>
          <w:b w:val="false"/>
          <w:color w:val="000000"/>
          <w:sz w:val="20"/>
        </w:rPr>
        <w:t xml:space="preserve">The calculation of Earnings per basic and diluted common share for the </w:t>
      </w:r>
      <w:r>
        <w:rPr>
          <w:rFonts w:ascii="Times New Roman;serif" w:hAnsi="Times New Roman;serif"/>
          <w:b w:val="false"/>
          <w:color w:val="2B2A29"/>
          <w:sz w:val="20"/>
        </w:rPr>
        <w:t xml:space="preserve">three and nine months ended June 30, 2026 and </w:t>
      </w:r>
      <w:r>
        <w:rPr>
          <w:rFonts w:ascii="Times New Roman;serif" w:hAnsi="Times New Roman;serif"/>
          <w:b w:val="false"/>
          <w:color w:val="000000"/>
          <w:sz w:val="20"/>
        </w:rPr>
        <w:t>2025</w:t>
      </w:r>
      <w:r>
        <w:rPr>
          <w:color w:val="2B2A29"/>
        </w:rPr>
        <w:t xml:space="preserve"> </w:t>
      </w:r>
      <w:r>
        <w:rPr>
          <w:rFonts w:ascii="Times New Roman;serif" w:hAnsi="Times New Roman;serif"/>
          <w:b w:val="false"/>
          <w:color w:val="2B2A29"/>
          <w:sz w:val="20"/>
        </w:rPr>
        <w:t>was as follows:</w:t>
      </w:r>
    </w:p>
    <w:tbl>
      <w:tblPr>
        <w:tblW w:w="8054" w:type="dxa"/>
        <w:jc w:val="center"/>
        <w:tblInd w:w="0" w:type="dxa"/>
        <w:tblLayout w:type="fixed"/>
        <w:tblCellMar>
          <w:top w:w="28" w:type="dxa"/>
          <w:left w:w="28" w:type="dxa"/>
          <w:bottom w:w="28" w:type="dxa"/>
          <w:right w:w="28" w:type="dxa"/>
        </w:tblCellMar>
      </w:tblPr>
      <w:tblGrid>
        <w:gridCol w:w="1426"/>
        <w:gridCol w:w="1256"/>
        <w:gridCol w:w="1262"/>
        <w:gridCol w:w="196"/>
        <w:gridCol w:w="466"/>
        <w:gridCol w:w="109"/>
        <w:gridCol w:w="109"/>
        <w:gridCol w:w="109"/>
        <w:gridCol w:w="109"/>
        <w:gridCol w:w="196"/>
        <w:gridCol w:w="466"/>
        <w:gridCol w:w="109"/>
        <w:gridCol w:w="109"/>
        <w:gridCol w:w="109"/>
        <w:gridCol w:w="109"/>
        <w:gridCol w:w="196"/>
        <w:gridCol w:w="466"/>
        <w:gridCol w:w="109"/>
        <w:gridCol w:w="109"/>
        <w:gridCol w:w="109"/>
        <w:gridCol w:w="109"/>
        <w:gridCol w:w="196"/>
        <w:gridCol w:w="466"/>
        <w:gridCol w:w="154"/>
      </w:tblGrid>
      <w:tr>
        <w:trPr/>
        <w:tc>
          <w:tcPr>
            <w:tcW w:w="142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w:t>
              <w:br/>
              <w:t>June 30,</w:t>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4"/>
              </w:rPr>
            </w:pPr>
            <w:r>
              <w:rPr>
                <w:rFonts w:ascii="Times New Roman;serif" w:hAnsi="Times New Roman;serif"/>
                <w:b w:val="false"/>
                <w:i/>
                <w:color w:val="000000"/>
                <w:sz w:val="14"/>
              </w:rPr>
              <w:t>($ in millions and shares in thousands, except per share amounts)</w:t>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 weighted average number of shares outstanding</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58,239</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 awards and equity units (share equivalent)</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 weighted average shares outstanding</w:t>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58,512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58,495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58,721</w:t>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 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per common share - 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Antidilutive Shares (millions)</w:t>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r>
    </w:tbl>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Earnings per diluted share is computed by giving effect to all potentially dilutive stock awards that are outstanding. The computation of Earnings per diluted share excludes the effect of the potential exercise of stock-based awards, when the effect of the potential exercise would be anti-dilutive. PSUs vest based upon achievement of performance targets and are excluded from the diluted shares outstanding unless the performance targets have been met as of the end of the applicable reporting period regardless of whether such performance targets are probable of achievement.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16 — Income Taxes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is subject to income tax in the various jurisdictions in which it operates. A significant portion of the Company's earnings are taxed in jurisdictions with tax rates that are lower than the statutory tax rate of the United States. The effective tax rate can change from quarter to quarter because of variability in global pretax income or geographical mix of the Company's earnings, changes in tax laws and matters related to tax audits.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tax rates were 23.6% and 37.0% for the three months ended June 30, 2026 and 2025, respectively. The decrease in the Company's effective tax rate compared to the prior period is primarily due to the tax impacts from changes in the level and mix of earnings and higher non-deductible costs.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effective tax rates were 36.4% and 35.7% for the nine months ended June 30, 2026 and 2025, respectively. The increase in the Company's effective tax rate compared to the prior period is primarily due to the change in mix of earnings and higher non-deductible costs.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("OECD") has developed major reform of the international tax system with respect to a global minimum 15% tax rate. European Union member states agreed to adopt the OECD’s minimum tax rules, which went into effect for tax years beginning on January 1, 2024 or later. Certain countries have enacted the law changes and other countries are considering changes to their tax laws. The impact of the changes went into effect for the Company beginning in fiscal year 2025. The global minimum tax rules did not have a material impact to the Company's provision for income taxes for the three and nine month periods ended June 30, 2026 and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734060"/>
                <wp:effectExtent l="0" t="0" r="0" b="0"/>
                <wp:wrapNone/>
                <wp:docPr id="23" name="Frame22"/>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January 5, 2026, the OECD released the Pillar 2 Side-by-Side Package, which addresses how subsidiaries of U.S. listed companies are taxed under Pillar 2, including the addition of some safe harbors. As countries adopt these rules, the Company will continue to evaluate the future impact of these changes.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July 4, 2025, the U.S. One Big Beautiful Bill Act ("OBBBA") was enacted which includes permanent extensions of certain expiring provisions of the Tax Cuts and Jobs Act and makes significant modifications to the U.S. international tax framework. The legislation has multiple effective dates, with certain provisions effective beginning in the fiscal year ended September 30, 2025 and others becoming effective through the fiscal year ending September 30, 2027. OBBBA did not have a material impact to the Company's provision for income taxes for the three and nine month periods ended June 30,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17 — Receivables Sale Agreement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connection with the Company's receivables sale agreement, $167.2 million of trade receivables were sold during the nine months ended June 30, 2026,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nine months ended June 30, 2026 is presented in changes in trade receivables, net within operating activities in the Condensed Consolidated Statement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 xml:space="preserve">Note 18 — Financial Instruments and Fair Value Measurements </w:t>
      </w:r>
    </w:p>
    <w:p>
      <w:pPr>
        <w:pStyle w:val="TextBody"/>
        <w:bidi w:val="0"/>
        <w:spacing w:lineRule="auto" w:line="276" w:before="120" w:after="120"/>
        <w:jc w:val="both"/>
        <w:rPr/>
      </w:pPr>
      <w:r>
        <w:rPr>
          <w:rFonts w:ascii="Times New Roman;serif" w:hAnsi="Times New Roman;serif"/>
          <w:b w:val="false"/>
          <w:color w:val="000000"/>
          <w:sz w:val="20"/>
        </w:rPr>
        <w:t xml:space="preserve">The following reconciles </w:t>
      </w:r>
      <w:r>
        <w:rPr>
          <w:rFonts w:ascii="Times New Roman;serif" w:hAnsi="Times New Roman;serif"/>
          <w:b w:val="false"/>
          <w:i/>
          <w:color w:val="000000"/>
          <w:sz w:val="20"/>
        </w:rPr>
        <w:t xml:space="preserve">Cash and equivalents </w:t>
      </w:r>
      <w:r>
        <w:rPr>
          <w:rFonts w:ascii="Times New Roman;serif" w:hAnsi="Times New Roman;serif"/>
          <w:b w:val="false"/>
          <w:color w:val="000000"/>
          <w:sz w:val="20"/>
        </w:rPr>
        <w:t>and</w:t>
      </w:r>
      <w:r>
        <w:rPr>
          <w:color w:val="000000"/>
        </w:rPr>
        <w:t xml:space="preserve"> </w:t>
      </w:r>
      <w:r>
        <w:rPr>
          <w:rFonts w:ascii="Times New Roman;serif" w:hAnsi="Times New Roman;serif"/>
          <w:b w:val="false"/>
          <w:i/>
          <w:color w:val="000000"/>
          <w:sz w:val="20"/>
        </w:rPr>
        <w:t>Restricted cash</w:t>
      </w:r>
      <w:r>
        <w:rPr>
          <w:color w:val="000000"/>
        </w:rPr>
        <w:t xml:space="preserve"> </w:t>
      </w:r>
      <w:r>
        <w:rPr>
          <w:rFonts w:ascii="Times New Roman;serif" w:hAnsi="Times New Roman;serif"/>
          <w:b w:val="false"/>
          <w:color w:val="000000"/>
          <w:sz w:val="20"/>
        </w:rPr>
        <w:t>reported within the Condensed Consolidated Balance Sheets as of June 30, 2026 and September 30, 2025, to the total amounts shown in the Condensed Consolidated Statements of Cash Flows:</w:t>
      </w:r>
    </w:p>
    <w:tbl>
      <w:tblPr>
        <w:tblW w:w="6101" w:type="dxa"/>
        <w:jc w:val="center"/>
        <w:tblInd w:w="0" w:type="dxa"/>
        <w:tblLayout w:type="fixed"/>
        <w:tblCellMar>
          <w:top w:w="28" w:type="dxa"/>
          <w:left w:w="28" w:type="dxa"/>
          <w:bottom w:w="28" w:type="dxa"/>
          <w:right w:w="28" w:type="dxa"/>
        </w:tblCellMar>
      </w:tblPr>
      <w:tblGrid>
        <w:gridCol w:w="1077"/>
        <w:gridCol w:w="943"/>
        <w:gridCol w:w="950"/>
        <w:gridCol w:w="263"/>
        <w:gridCol w:w="746"/>
        <w:gridCol w:w="146"/>
        <w:gridCol w:w="109"/>
        <w:gridCol w:w="109"/>
        <w:gridCol w:w="109"/>
        <w:gridCol w:w="356"/>
        <w:gridCol w:w="1011"/>
        <w:gridCol w:w="282"/>
      </w:tblGrid>
      <w:tr>
        <w:trPr/>
        <w:tc>
          <w:tcPr>
            <w:tcW w:w="1077"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equivalents</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225.5 </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Restricted cash</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equivalents and restricted cash</w:t>
            </w:r>
          </w:p>
        </w:tc>
        <w:tc>
          <w:tcPr>
            <w:tcW w:w="26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2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Cash and equivalents as of June 30, 2026 includes cash held in money market funds and other cash equivalents. All cash and equivalents are Level 1 in the fair value hierarchy. </w:t>
      </w:r>
    </w:p>
    <w:p>
      <w:pPr>
        <w:pStyle w:val="TextBody"/>
        <w:bidi w:val="0"/>
        <w:spacing w:lineRule="auto" w:line="268" w:before="120" w:after="120"/>
        <w:jc w:val="both"/>
        <w:rPr/>
      </w:pPr>
      <w:r>
        <w:rPr>
          <w:rFonts w:ascii="Times New Roman;serif" w:hAnsi="Times New Roman;serif"/>
          <w:b w:val="false"/>
          <w:color w:val="000000"/>
          <w:sz w:val="20"/>
        </w:rPr>
        <w:t xml:space="preserve">Interest income on </w:t>
      </w:r>
      <w:r>
        <w:rPr>
          <w:rFonts w:ascii="Times New Roman;serif" w:hAnsi="Times New Roman;serif"/>
          <w:b w:val="false"/>
          <w:i/>
          <w:color w:val="000000"/>
          <w:sz w:val="20"/>
        </w:rPr>
        <w:t>Cash and equivalents</w:t>
      </w:r>
      <w:r>
        <w:rPr>
          <w:color w:val="000000"/>
        </w:rPr>
        <w:t xml:space="preserve"> </w:t>
      </w:r>
      <w:r>
        <w:rPr>
          <w:rFonts w:ascii="Times New Roman;serif" w:hAnsi="Times New Roman;serif"/>
          <w:b w:val="false"/>
          <w:color w:val="000000"/>
          <w:sz w:val="20"/>
        </w:rPr>
        <w:t xml:space="preserve">during the </w:t>
      </w:r>
      <w:r>
        <w:rPr>
          <w:rFonts w:ascii="Times New Roman;serif" w:hAnsi="Times New Roman;serif"/>
          <w:b w:val="false"/>
          <w:color w:val="2B2A29"/>
          <w:sz w:val="20"/>
        </w:rPr>
        <w:t xml:space="preserve">three and nine months ended June 30, 2026 and </w:t>
      </w:r>
      <w:r>
        <w:rPr>
          <w:rFonts w:ascii="Times New Roman;serif" w:hAnsi="Times New Roman;serif"/>
          <w:b w:val="false"/>
          <w:color w:val="000000"/>
          <w:sz w:val="20"/>
        </w:rPr>
        <w:t>2025</w:t>
      </w:r>
      <w:r>
        <w:rPr>
          <w:color w:val="2B2A29"/>
        </w:rPr>
        <w:t xml:space="preserve"> </w:t>
      </w:r>
      <w:r>
        <w:rPr>
          <w:rFonts w:ascii="Times New Roman;serif" w:hAnsi="Times New Roman;serif"/>
          <w:b w:val="false"/>
          <w:color w:val="000000"/>
          <w:sz w:val="20"/>
        </w:rPr>
        <w:t xml:space="preserve">is included in </w:t>
      </w:r>
      <w:r>
        <w:rPr>
          <w:rFonts w:ascii="Times New Roman;serif" w:hAnsi="Times New Roman;serif"/>
          <w:b w:val="false"/>
          <w:i/>
          <w:color w:val="000000"/>
          <w:sz w:val="20"/>
        </w:rPr>
        <w:t>Interest expense, net</w:t>
      </w:r>
      <w:r>
        <w:rPr>
          <w:color w:val="000000"/>
        </w:rPr>
        <w:t xml:space="preserve"> </w:t>
      </w:r>
      <w:r>
        <w:rPr>
          <w:rFonts w:ascii="Times New Roman;serif" w:hAnsi="Times New Roman;serif"/>
          <w:b w:val="false"/>
          <w:color w:val="000000"/>
          <w:sz w:val="20"/>
        </w:rPr>
        <w:t xml:space="preserve">and was as follows: </w:t>
      </w:r>
    </w:p>
    <w:tbl>
      <w:tblPr>
        <w:tblW w:w="6243" w:type="dxa"/>
        <w:jc w:val="left"/>
        <w:tblInd w:w="0" w:type="dxa"/>
        <w:tblLayout w:type="fixed"/>
        <w:tblCellMar>
          <w:top w:w="28" w:type="dxa"/>
          <w:left w:w="28" w:type="dxa"/>
          <w:bottom w:w="28" w:type="dxa"/>
          <w:right w:w="28" w:type="dxa"/>
        </w:tblCellMar>
      </w:tblPr>
      <w:tblGrid>
        <w:gridCol w:w="433"/>
        <w:gridCol w:w="382"/>
        <w:gridCol w:w="385"/>
        <w:gridCol w:w="276"/>
        <w:gridCol w:w="531"/>
        <w:gridCol w:w="153"/>
        <w:gridCol w:w="153"/>
        <w:gridCol w:w="153"/>
        <w:gridCol w:w="153"/>
        <w:gridCol w:w="276"/>
        <w:gridCol w:w="531"/>
        <w:gridCol w:w="153"/>
        <w:gridCol w:w="109"/>
        <w:gridCol w:w="109"/>
        <w:gridCol w:w="109"/>
        <w:gridCol w:w="264"/>
        <w:gridCol w:w="507"/>
        <w:gridCol w:w="147"/>
        <w:gridCol w:w="147"/>
        <w:gridCol w:w="147"/>
        <w:gridCol w:w="147"/>
        <w:gridCol w:w="264"/>
        <w:gridCol w:w="507"/>
        <w:gridCol w:w="207"/>
      </w:tblGrid>
      <w:tr>
        <w:trPr/>
        <w:tc>
          <w:tcPr>
            <w:tcW w:w="43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200" w:type="dxa"/>
            <w:gridSpan w:val="3"/>
            <w:tcBorders/>
            <w:shd w:fill="CCEE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Restricted cash consists of cash not readily available for use in the Company's operating activities. The Company's restricted cash balance consists of amounts pledged as collateral for bank guarantees related to certain customer performance guarantees, international property leases, and amounts collected on behalf of the financial institution, which have yet to be remitted associated with the Company's trade receivables sale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734060"/>
                <wp:effectExtent l="0" t="0" r="0" b="0"/>
                <wp:wrapNone/>
                <wp:docPr id="24" name="Frame23"/>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80" w:after="120"/>
        <w:jc w:val="left"/>
        <w:rPr>
          <w:rFonts w:ascii="Times New Roman;serif" w:hAnsi="Times New Roman;serif"/>
          <w:b w:val="false"/>
          <w:i/>
          <w:color w:val="000000"/>
          <w:sz w:val="20"/>
        </w:rPr>
      </w:pPr>
      <w:r>
        <w:rPr>
          <w:rFonts w:ascii="Times New Roman;serif" w:hAnsi="Times New Roman;serif"/>
          <w:b w:val="false"/>
          <w:i/>
          <w:color w:val="000000"/>
          <w:sz w:val="20"/>
        </w:rPr>
        <w:t>Foreign Currency Risks and Related Strategies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 has foreign currency exposures throughout Europe, Asia, Canada and Latin America. Transactional currency exposures that arise from entering into transactions, generally on an intercompany basis, in non-hyperinflationary countries that are denominated in currencies other than the functional currency are mitigated, in part, through the use of forward contracts.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notional amounts of the Company’s foreign currency-related derivative instruments were as follows as of June 30, 2026 and September 30, 2025:</w:t>
      </w:r>
    </w:p>
    <w:tbl>
      <w:tblPr>
        <w:tblW w:w="7206" w:type="dxa"/>
        <w:jc w:val="left"/>
        <w:tblInd w:w="0" w:type="dxa"/>
        <w:tblLayout w:type="fixed"/>
        <w:tblCellMar>
          <w:top w:w="28" w:type="dxa"/>
          <w:left w:w="28" w:type="dxa"/>
          <w:bottom w:w="28" w:type="dxa"/>
          <w:right w:w="28" w:type="dxa"/>
        </w:tblCellMar>
      </w:tblPr>
      <w:tblGrid>
        <w:gridCol w:w="798"/>
        <w:gridCol w:w="701"/>
        <w:gridCol w:w="706"/>
        <w:gridCol w:w="514"/>
        <w:gridCol w:w="514"/>
        <w:gridCol w:w="516"/>
        <w:gridCol w:w="109"/>
        <w:gridCol w:w="109"/>
        <w:gridCol w:w="109"/>
        <w:gridCol w:w="293"/>
        <w:gridCol w:w="698"/>
        <w:gridCol w:w="163"/>
        <w:gridCol w:w="109"/>
        <w:gridCol w:w="109"/>
        <w:gridCol w:w="109"/>
        <w:gridCol w:w="444"/>
        <w:gridCol w:w="854"/>
        <w:gridCol w:w="351"/>
      </w:tblGrid>
      <w:tr>
        <w:trPr/>
        <w:tc>
          <w:tcPr>
            <w:tcW w:w="798"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Hedge Designation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22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Foreign exchange contracts</w:t>
            </w:r>
            <w:r>
              <w:rPr>
                <w:rFonts w:ascii="Times New Roman;serif" w:hAnsi="Times New Roman;serif"/>
                <w:b w:val="false"/>
                <w:color w:val="000000"/>
                <w:sz w:val="12"/>
              </w:rPr>
              <w:t>(a)</w:t>
            </w:r>
          </w:p>
        </w:tc>
        <w:tc>
          <w:tcPr>
            <w:tcW w:w="154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Undesignated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95.2 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hanging="360"/>
        <w:jc w:val="both"/>
        <w:rPr/>
      </w:pPr>
      <w:r>
        <w:rPr>
          <w:rFonts w:ascii="Times New Roman;serif" w:hAnsi="Times New Roman;serif"/>
          <w:b w:val="false"/>
          <w:color w:val="000000"/>
          <w:sz w:val="18"/>
        </w:rPr>
        <w:t xml:space="preserve">(a)Represents hedges of transactional foreign exchange exposures resulting primarily from intercompany payables and third-party transactions. Gains and losses on these instruments are recognized immediately in </w:t>
      </w:r>
      <w:r>
        <w:rPr>
          <w:rFonts w:ascii="Times New Roman;serif" w:hAnsi="Times New Roman;serif"/>
          <w:b w:val="false"/>
          <w:i/>
          <w:color w:val="000000"/>
          <w:sz w:val="18"/>
        </w:rPr>
        <w:t>Other income (expense), net</w:t>
      </w:r>
      <w:r>
        <w:rPr>
          <w:rFonts w:ascii="Times New Roman;serif" w:hAnsi="Times New Roman;serif"/>
          <w:b w:val="false"/>
          <w:color w:val="000000"/>
          <w:sz w:val="18"/>
        </w:rPr>
        <w:t>. These gains and losses are largely offset by gains and losses on the underlying hedged items, as well as the hedging costs associated with the derivative instruments. Gains and losses recognized to date on these instruments were not material to the Company's Condensed Consolidated Financial Statements.</w:t>
      </w:r>
    </w:p>
    <w:p>
      <w:pPr>
        <w:pStyle w:val="TextBody"/>
        <w:bidi w:val="0"/>
        <w:spacing w:lineRule="auto" w:line="276" w:before="18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Nonrecurring Fair Value Measurements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w:t>
      </w:r>
    </w:p>
    <w:p>
      <w:pPr>
        <w:pStyle w:val="TextBody"/>
        <w:bidi w:val="0"/>
        <w:spacing w:lineRule="auto" w:line="276" w:before="120" w:after="120"/>
        <w:jc w:val="both"/>
        <w:rPr/>
      </w:pPr>
      <w:r>
        <w:rPr>
          <w:rFonts w:ascii="Times New Roman;serif" w:hAnsi="Times New Roman;serif"/>
          <w:b w:val="false"/>
          <w:color w:val="000000"/>
          <w:sz w:val="20"/>
        </w:rPr>
        <w:t xml:space="preserve">In the first nine months of fiscal year 2025, the Company recorded non-cash asset impairment charges of $10.6 million to write down the carrying value of certain property and equipment as a result of the Company's plan to discontinue the patch pump program. $6.3 million was recorded to </w:t>
      </w:r>
      <w:r>
        <w:rPr>
          <w:rFonts w:ascii="Times New Roman;serif" w:hAnsi="Times New Roman;serif"/>
          <w:b w:val="false"/>
          <w:i/>
          <w:color w:val="000000"/>
          <w:sz w:val="20"/>
        </w:rPr>
        <w:t>Cost of products sold</w:t>
      </w:r>
      <w:r>
        <w:rPr>
          <w:color w:val="000000"/>
        </w:rPr>
        <w:t xml:space="preserve"> </w:t>
      </w:r>
      <w:r>
        <w:rPr>
          <w:rFonts w:ascii="Times New Roman;serif" w:hAnsi="Times New Roman;serif"/>
          <w:b w:val="false"/>
          <w:color w:val="000000"/>
          <w:sz w:val="20"/>
        </w:rPr>
        <w:t>and $4.3 million was recorded to</w:t>
      </w:r>
      <w:r>
        <w:rPr>
          <w:color w:val="000000"/>
        </w:rPr>
        <w:t xml:space="preserve"> </w:t>
      </w:r>
      <w:r>
        <w:rPr>
          <w:rFonts w:ascii="Times New Roman;serif" w:hAnsi="Times New Roman;serif"/>
          <w:b w:val="false"/>
          <w:i/>
          <w:color w:val="000000"/>
          <w:sz w:val="20"/>
        </w:rPr>
        <w:t>Research and development expense</w:t>
      </w:r>
      <w:r>
        <w:rPr>
          <w:rFonts w:ascii="Times New Roman;serif" w:hAnsi="Times New Roman;serif"/>
          <w:b w:val="false"/>
          <w:color w:val="000000"/>
          <w:sz w:val="20"/>
        </w:rPr>
        <w:t>. The amount recognized was recorded to adjust the carrying amount of assets to the assets' fair values, which were estimated, based upon a market participant's perspective, using Level 3 measurements, including values estimated using the income approach.</w:t>
      </w:r>
    </w:p>
    <w:p>
      <w:pPr>
        <w:pStyle w:val="TextBody"/>
        <w:bidi w:val="0"/>
        <w:spacing w:lineRule="auto" w:line="276"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Concentration of Credit Risk</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Two of the Company’s customers represented at least 10.0% of total gross revenues individually and, in the aggregate, represented approximately 26.0% for the three months ended June 30, 2026, and two of the Company's customers represented at least 10.0% of total gross revenues individually and, in the aggregate, represented approximately 27.1% of total revenues for the nine months ended June 30,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One of the Company's customers represented at least 10.0% of total gross trade receivables individually and represented approximately 18.1% as of June 30, 2026.</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Substantially all of the Company’s trade receivables are due from public and private entities involved in the healthcare industry. The Company does not normally require collateral from its customers. </w:t>
      </w:r>
    </w:p>
    <w:p>
      <w:pPr>
        <w:pStyle w:val="TextBody"/>
        <w:bidi w:val="0"/>
        <w:spacing w:lineRule="auto" w:line="276" w:before="180" w:after="120"/>
        <w:jc w:val="left"/>
        <w:rPr>
          <w:rFonts w:ascii="Times New Roman;serif" w:hAnsi="Times New Roman;serif"/>
          <w:b w:val="false"/>
          <w:i/>
          <w:color w:val="000000"/>
          <w:sz w:val="20"/>
        </w:rPr>
      </w:pPr>
      <w:r>
        <w:rPr>
          <w:rFonts w:ascii="Times New Roman;serif" w:hAnsi="Times New Roman;serif"/>
          <w:b w:val="false"/>
          <w:i/>
          <w:color w:val="000000"/>
          <w:sz w:val="20"/>
        </w:rPr>
        <w:t>Contingent Consideration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fair value measurement of contingent consideration arising from business combinations is determined via probability-weighted cash flows using a Monte Carlo simulation model, which are then discounted to present value. These inputs may include: (i) the estimated amount and timing of projected cash flows, (ii) the probability of the achievement of the factor(s) on which the contingency is based and (iii) the risk-adjusted discount rate used to present value the probability-weighted cash flows. Significant increases or decreases in any of those inputs in isolation could result in a significantly higher or lower fair value measurement. At June 30, 2026, the fair value measurements of acquisition-related contingent consideration were determined using a discount rate of 16.0%.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734060"/>
                <wp:effectExtent l="0" t="0" r="0" b="0"/>
                <wp:wrapNone/>
                <wp:docPr id="25" name="Frame24"/>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a reconciliation of contingent consideration measured on a recurring basis using significant unobservable inputs (Level 3):</w:t>
      </w:r>
    </w:p>
    <w:tbl>
      <w:tblPr>
        <w:tblW w:w="5786" w:type="dxa"/>
        <w:jc w:val="left"/>
        <w:tblInd w:w="0" w:type="dxa"/>
        <w:tblLayout w:type="fixed"/>
        <w:tblCellMar>
          <w:top w:w="28" w:type="dxa"/>
          <w:left w:w="28" w:type="dxa"/>
          <w:bottom w:w="28" w:type="dxa"/>
          <w:right w:w="28" w:type="dxa"/>
        </w:tblCellMar>
      </w:tblPr>
      <w:tblGrid>
        <w:gridCol w:w="1541"/>
        <w:gridCol w:w="1355"/>
        <w:gridCol w:w="1363"/>
        <w:gridCol w:w="109"/>
        <w:gridCol w:w="109"/>
        <w:gridCol w:w="109"/>
        <w:gridCol w:w="289"/>
        <w:gridCol w:w="700"/>
        <w:gridCol w:w="211"/>
      </w:tblGrid>
      <w:tr>
        <w:trPr/>
        <w:tc>
          <w:tcPr>
            <w:tcW w:w="1541"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Beginning balance as of October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Owen Mumford acquisition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Accretion and changes in fair value in interest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Ending balance</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11"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pPr>
      <w:r>
        <w:rPr>
          <w:rFonts w:ascii="Times New Roman;serif" w:hAnsi="Times New Roman;serif"/>
          <w:b w:val="false"/>
          <w:color w:val="000000"/>
          <w:sz w:val="13"/>
        </w:rPr>
        <w:t>1</w:t>
      </w:r>
      <w:r>
        <w:rPr>
          <w:rFonts w:ascii="Times New Roman;serif" w:hAnsi="Times New Roman;serif"/>
          <w:b w:val="false"/>
          <w:color w:val="000000"/>
          <w:sz w:val="20"/>
        </w:rPr>
        <w:t xml:space="preserve">As of June 30, 2026, $10.0 million and $28.9 million were recorded in </w:t>
      </w:r>
      <w:r>
        <w:rPr>
          <w:rFonts w:ascii="Times New Roman;serif" w:hAnsi="Times New Roman;serif"/>
          <w:b w:val="false"/>
          <w:i/>
          <w:color w:val="000000"/>
          <w:sz w:val="20"/>
        </w:rPr>
        <w:t>Accrued expenses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Deferred Income Taxes and Other Liabilities</w:t>
      </w:r>
      <w:r>
        <w:rPr>
          <w:rFonts w:ascii="Times New Roman;serif" w:hAnsi="Times New Roman;serif"/>
          <w:b w:val="false"/>
          <w:color w:val="000000"/>
          <w:sz w:val="20"/>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19 — Property, Plant and Equipment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Property, Plant and Equipment, Net consisted of: </w:t>
      </w:r>
    </w:p>
    <w:tbl>
      <w:tblPr>
        <w:tblW w:w="6177" w:type="dxa"/>
        <w:jc w:val="left"/>
        <w:tblInd w:w="0" w:type="dxa"/>
        <w:tblLayout w:type="fixed"/>
        <w:tblCellMar>
          <w:top w:w="28" w:type="dxa"/>
          <w:left w:w="28" w:type="dxa"/>
          <w:bottom w:w="28" w:type="dxa"/>
          <w:right w:w="28" w:type="dxa"/>
        </w:tblCellMar>
      </w:tblPr>
      <w:tblGrid>
        <w:gridCol w:w="1099"/>
        <w:gridCol w:w="965"/>
        <w:gridCol w:w="981"/>
        <w:gridCol w:w="263"/>
        <w:gridCol w:w="746"/>
        <w:gridCol w:w="146"/>
        <w:gridCol w:w="109"/>
        <w:gridCol w:w="109"/>
        <w:gridCol w:w="109"/>
        <w:gridCol w:w="357"/>
        <w:gridCol w:w="1013"/>
        <w:gridCol w:w="280"/>
      </w:tblGrid>
      <w:tr>
        <w:trPr/>
        <w:tc>
          <w:tcPr>
            <w:tcW w:w="109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26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w:t>
            </w:r>
          </w:p>
        </w:tc>
        <w:tc>
          <w:tcPr>
            <w:tcW w:w="100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176.6 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121.0 </w:t>
            </w:r>
          </w:p>
        </w:tc>
        <w:tc>
          <w:tcPr>
            <w:tcW w:w="280"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equipment and fixtures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631.9 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595.4 </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Leasehold improvements</w:t>
            </w:r>
          </w:p>
        </w:tc>
        <w:tc>
          <w:tcPr>
            <w:tcW w:w="1009"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280" w:type="dxa"/>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888.6 </w:t>
            </w:r>
          </w:p>
        </w:tc>
        <w:tc>
          <w:tcPr>
            <w:tcW w:w="146"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791.3 </w:t>
            </w:r>
          </w:p>
        </w:tc>
        <w:tc>
          <w:tcPr>
            <w:tcW w:w="280" w:type="dxa"/>
            <w:tcBorders>
              <w:top w:val="single" w:sz="8" w:space="0" w:color="000000"/>
            </w:tcBorders>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(571.8)</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(534.1)</w:t>
            </w:r>
          </w:p>
        </w:tc>
        <w:tc>
          <w:tcPr>
            <w:tcW w:w="28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26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316.8 </w:t>
            </w:r>
          </w:p>
        </w:tc>
        <w:tc>
          <w:tcPr>
            <w:tcW w:w="14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3"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257.2 </w:t>
            </w:r>
          </w:p>
        </w:tc>
        <w:tc>
          <w:tcPr>
            <w:tcW w:w="280"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20 — Leases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Finance Leases</w:t>
      </w:r>
    </w:p>
    <w:p>
      <w:pPr>
        <w:pStyle w:val="TextBody"/>
        <w:bidi w:val="0"/>
        <w:spacing w:lineRule="auto" w:line="276"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finance lease assets and liabilities are attributed to its manufacturing site in Holdrege, Nebraska, which has an initial term of ten years and an option for the Company to extend the lease term for an additional period of up to five years. This lease is classified as a finance lease because the present value of the sum of the lease payments associated with the lease exceeds substantially all of the fair value of the manufacturing site.</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Operating Leases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Company's operating leases primarily relate to its real estate leases that are not classified as finance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734060"/>
                <wp:effectExtent l="0" t="0" r="0" b="0"/>
                <wp:wrapNone/>
                <wp:docPr id="26" name="Frame25"/>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Aggregate Lease Information</w:t>
      </w:r>
    </w:p>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The Company's leases are included in its Condensed Consolidated Balance Sheets as follows:</w:t>
      </w:r>
    </w:p>
    <w:tbl>
      <w:tblPr>
        <w:tblW w:w="6566" w:type="dxa"/>
        <w:jc w:val="center"/>
        <w:tblInd w:w="0" w:type="dxa"/>
        <w:tblLayout w:type="fixed"/>
        <w:tblCellMar>
          <w:top w:w="28" w:type="dxa"/>
          <w:left w:w="28" w:type="dxa"/>
          <w:bottom w:w="28" w:type="dxa"/>
          <w:right w:w="28" w:type="dxa"/>
        </w:tblCellMar>
      </w:tblPr>
      <w:tblGrid>
        <w:gridCol w:w="1243"/>
        <w:gridCol w:w="1091"/>
        <w:gridCol w:w="1101"/>
        <w:gridCol w:w="246"/>
        <w:gridCol w:w="586"/>
        <w:gridCol w:w="322"/>
        <w:gridCol w:w="109"/>
        <w:gridCol w:w="109"/>
        <w:gridCol w:w="109"/>
        <w:gridCol w:w="336"/>
        <w:gridCol w:w="798"/>
        <w:gridCol w:w="516"/>
      </w:tblGrid>
      <w:tr>
        <w:trPr/>
        <w:tc>
          <w:tcPr>
            <w:tcW w:w="1243"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September 30, 2025</w:t>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Finance Leases</w:t>
            </w:r>
          </w:p>
        </w:tc>
        <w:tc>
          <w:tcPr>
            <w:tcW w:w="1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Assets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26.5 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Current finance lease liabilities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Non Current Finance Lease Liabilities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27.4 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Finance Lease Liabilities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11.5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5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18"/>
              </w:rPr>
            </w:pPr>
            <w:r>
              <w:rPr>
                <w:rFonts w:ascii="Times New Roman;serif" w:hAnsi="Times New Roman;serif"/>
                <w:b/>
                <w:color w:val="000000"/>
                <w:sz w:val="18"/>
              </w:rPr>
              <w:t>Operating Leases</w:t>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24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Assets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18.2 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20.2 </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24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6.9 </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 and Other Liabilities</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51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Lease Liabilities</w:t>
            </w:r>
          </w:p>
        </w:tc>
        <w:tc>
          <w:tcPr>
            <w:tcW w:w="24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3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5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w:t>
            </w:r>
          </w:p>
        </w:tc>
        <w:tc>
          <w:tcPr>
            <w:tcW w:w="115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5.6</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w:t>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3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51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34060"/>
                <wp:effectExtent l="0" t="0" r="0" b="0"/>
                <wp:wrapNone/>
                <wp:docPr id="27" name="Frame26"/>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Lease costs incurred are as follows:</w:t>
      </w:r>
    </w:p>
    <w:tbl>
      <w:tblPr>
        <w:tblW w:w="9281" w:type="dxa"/>
        <w:jc w:val="left"/>
        <w:tblInd w:w="0" w:type="dxa"/>
        <w:tblLayout w:type="fixed"/>
        <w:tblCellMar>
          <w:top w:w="28" w:type="dxa"/>
          <w:left w:w="28" w:type="dxa"/>
          <w:bottom w:w="28" w:type="dxa"/>
          <w:right w:w="28" w:type="dxa"/>
        </w:tblCellMar>
      </w:tblPr>
      <w:tblGrid>
        <w:gridCol w:w="749"/>
        <w:gridCol w:w="659"/>
        <w:gridCol w:w="662"/>
        <w:gridCol w:w="1623"/>
        <w:gridCol w:w="1623"/>
        <w:gridCol w:w="1628"/>
        <w:gridCol w:w="264"/>
        <w:gridCol w:w="507"/>
        <w:gridCol w:w="147"/>
        <w:gridCol w:w="147"/>
        <w:gridCol w:w="147"/>
        <w:gridCol w:w="147"/>
        <w:gridCol w:w="264"/>
        <w:gridCol w:w="507"/>
        <w:gridCol w:w="207"/>
      </w:tblGrid>
      <w:tr>
        <w:trPr/>
        <w:tc>
          <w:tcPr>
            <w:tcW w:w="74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7"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48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Classification</w:t>
            </w:r>
          </w:p>
        </w:tc>
        <w:tc>
          <w:tcPr>
            <w:tcW w:w="91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07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expense</w:t>
            </w:r>
          </w:p>
        </w:tc>
        <w:tc>
          <w:tcPr>
            <w:tcW w:w="4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Selling and administrative and Research and Development expense </w:t>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48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of lease assets</w:t>
            </w:r>
          </w:p>
        </w:tc>
        <w:tc>
          <w:tcPr>
            <w:tcW w:w="4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on lease liabilities</w:t>
            </w:r>
          </w:p>
        </w:tc>
        <w:tc>
          <w:tcPr>
            <w:tcW w:w="4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7.9 </w:t>
            </w:r>
          </w:p>
        </w:tc>
        <w:tc>
          <w:tcPr>
            <w:tcW w:w="2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for the nine months ended June 30, 2026 and 2025 were as follows:</w:t>
      </w:r>
    </w:p>
    <w:tbl>
      <w:tblPr>
        <w:tblW w:w="8186" w:type="dxa"/>
        <w:jc w:val="left"/>
        <w:tblInd w:w="0" w:type="dxa"/>
        <w:tblLayout w:type="fixed"/>
        <w:tblCellMar>
          <w:top w:w="28" w:type="dxa"/>
          <w:left w:w="28" w:type="dxa"/>
          <w:bottom w:w="28" w:type="dxa"/>
          <w:right w:w="28" w:type="dxa"/>
        </w:tblCellMar>
      </w:tblPr>
      <w:tblGrid>
        <w:gridCol w:w="1992"/>
        <w:gridCol w:w="1750"/>
        <w:gridCol w:w="1762"/>
        <w:gridCol w:w="332"/>
        <w:gridCol w:w="638"/>
        <w:gridCol w:w="185"/>
        <w:gridCol w:w="109"/>
        <w:gridCol w:w="109"/>
        <w:gridCol w:w="109"/>
        <w:gridCol w:w="324"/>
        <w:gridCol w:w="622"/>
        <w:gridCol w:w="254"/>
      </w:tblGrid>
      <w:tr>
        <w:trPr/>
        <w:tc>
          <w:tcPr>
            <w:tcW w:w="1992" w:type="dxa"/>
            <w:tcBorders/>
            <w:vAlign w:val="center"/>
          </w:tcPr>
          <w:p>
            <w:pPr>
              <w:pStyle w:val="TableContents"/>
              <w:bidi w:val="0"/>
              <w:spacing w:before="0" w:after="283"/>
              <w:jc w:val="left"/>
              <w:rPr>
                <w:sz w:val="4"/>
                <w:szCs w:val="4"/>
              </w:rPr>
            </w:pPr>
            <w:r>
              <w:rPr>
                <w:sz w:val="4"/>
                <w:szCs w:val="4"/>
              </w:rPr>
            </w:r>
          </w:p>
        </w:tc>
        <w:tc>
          <w:tcPr>
            <w:tcW w:w="1750"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 2025</w:t>
            </w:r>
          </w:p>
        </w:tc>
      </w:tr>
      <w:tr>
        <w:trPr/>
        <w:tc>
          <w:tcPr>
            <w:tcW w:w="5504" w:type="dxa"/>
            <w:gridSpan w:val="3"/>
            <w:tcBorders/>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color w:val="000000"/>
                <w:sz w:val="18"/>
              </w:rPr>
            </w:pPr>
            <w:r>
              <w:rPr>
                <w:rFonts w:ascii="Times New Roman;serif" w:hAnsi="Times New Roman;serif"/>
                <w:b/>
                <w:color w:val="000000"/>
                <w:sz w:val="18"/>
              </w:rPr>
              <w:t>Cash used for amounts included in the measurement of lease liabilities</w:t>
            </w:r>
          </w:p>
        </w:tc>
        <w:tc>
          <w:tcPr>
            <w:tcW w:w="11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 cash flows from Operating Leases</w:t>
            </w:r>
          </w:p>
        </w:tc>
        <w:tc>
          <w:tcPr>
            <w:tcW w:w="33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Financing cash flows from Finance Lease</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Operating cash flows from Finance Lease</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For both the three and nine months ended June 30, 2026 and 2025, right of use assets obtained in exchange for lease liabilities were not material.</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Maturities of the Company's finance and operating lease liabilities as of June 30, 2026 by fiscal year are as follows:</w:t>
      </w:r>
    </w:p>
    <w:tbl>
      <w:tblPr>
        <w:tblW w:w="6704" w:type="dxa"/>
        <w:jc w:val="center"/>
        <w:tblInd w:w="0" w:type="dxa"/>
        <w:tblLayout w:type="fixed"/>
        <w:tblCellMar>
          <w:top w:w="28" w:type="dxa"/>
          <w:left w:w="28" w:type="dxa"/>
          <w:bottom w:w="28" w:type="dxa"/>
          <w:right w:w="28" w:type="dxa"/>
        </w:tblCellMar>
      </w:tblPr>
      <w:tblGrid>
        <w:gridCol w:w="917"/>
        <w:gridCol w:w="805"/>
        <w:gridCol w:w="813"/>
        <w:gridCol w:w="320"/>
        <w:gridCol w:w="762"/>
        <w:gridCol w:w="178"/>
        <w:gridCol w:w="109"/>
        <w:gridCol w:w="109"/>
        <w:gridCol w:w="109"/>
        <w:gridCol w:w="365"/>
        <w:gridCol w:w="870"/>
        <w:gridCol w:w="204"/>
        <w:gridCol w:w="109"/>
        <w:gridCol w:w="109"/>
        <w:gridCol w:w="109"/>
        <w:gridCol w:w="196"/>
        <w:gridCol w:w="46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7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 representing interest</w:t>
            </w:r>
          </w:p>
        </w:tc>
        <w:tc>
          <w:tcPr>
            <w:tcW w:w="10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7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2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Present value of lease liabilities</w:t>
            </w:r>
          </w:p>
        </w:tc>
        <w:tc>
          <w:tcPr>
            <w:tcW w:w="3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30.9 </w:t>
            </w:r>
          </w:p>
        </w:tc>
        <w:tc>
          <w:tcPr>
            <w:tcW w:w="1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2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Note 21 — Subsequent Events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August 6, 2026, the Company entered into the First Amendment to First Lien Credit Agreement (the “First Amendment”), which amends the Credit Agreement. The First Amendment, among other things, reduced the aggregate revolving credit commitments from $500 million to $310 million and extended the maturity of $210 million of the revolving credit commitments from March 31, 2027 to December 30, 2028, with the remaining $100 million of revolving credit commitments continuing to mature on March 31, 2027. The amended Credit Agreement contains revised financial covenants and certain additional restrictions on the Company and its subsidiaries that are more restrictive than those contained in the existing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734060"/>
                <wp:effectExtent l="0" t="0" r="0" b="0"/>
                <wp:wrapNone/>
                <wp:docPr id="28" name="Frame27"/>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 xml:space="preserve">Certain Factors Affecting Forward-Looking Statements </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should be read in conjunction with the Condensed Consolidated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 xml:space="preserve">Company Overview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We are a leading global medical device company focused on providing solutions to improve the health and well-being of people living with diabetes. In the over 100-year history of our business, we believe that our products have become some of the most widely recognized and respected brands in diabetes management in the world. We estimate that our products are used by approximately 30 million people in over 100 countries for insulin administration and to aid with the daily management of diabetes. Our business traces its origins to 1924, when BD developed the first dedicated insulin syringe. Since then, we have built a world-class organization with a unique manufacturing, supply chain and commercial footprint.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we completed the acquisition of Owen Mumford which accelerated our strategic transformation into a broad-based medical supplies company which provides drug delivery platforms to pharmaceutical companies and serves chronic care patients in the obesity, diabetes, autoimmune diseases and anaphylaxis markets. The strategic opportunity for us is the following:</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1.Accelerate growth of our B2B business in the fast-growing drug-delivery market with the Aidaptus auto-injector platform;</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2.Globalize Owen Mumford’s existing medical-device portfolio using embecta’s commercial infrastructure in more than 100 countries; and</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3.Capture operational and commercial synergies through integration, cross-selling, channel expansion, and manufacturing optimization.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have a broad portfolio of marketed medical devices, including a variety of pen needles, syringes and safety injection devices. With the acquisition of Owen Mumford, we now have a diversified portfolio that also includes auto-injector technology (notably the Aidaptus platform), safety lancets, and other chronic-care and pharmaceutical-services products. Our pen needles are sterile, single-use, medical devices, designed to be used in conjunction with pen injectors that inject insulin or other diabetes medications. We also sell safety pen needles, which have shields on both ends of the cannula that automatically deploy after the injection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have a sliding safety shield that can be activated with one-hand after the injection to help prevent needlestick exposure and injury during injection and disposal.</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We primarily sell our products to wholesalers and distributors that sell to retail and institutional channels who in turn sell to patients or use the products to deliver insulin injections to patients.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Key Trends Affecting Our Results of Operations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Competition. The regions in which we conduct our business and the medical devices industry in general are highly competitive. We face significant competition from a wide range of companies in a highly regulated industry. These include large companies with multiple product lines, some of which may have greater financial and marketing resources than us, as well as smaller more specialized companies. Non-traditional entrants, such as technology companies, are also entering into the diabetes care industry and its adjacent markets, some of which may have greater financial and marketing resources than us.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Pricing and Volume Pressures. We face significant pricing pressures from competitors in the pen needle and insulin syringe categories who not only can provide competitive products at lower costs, but also provide payors and customers with more choices for formulary partners in these categories. As a result, select distributors and retailers, especially in the United States, can exercise substantial pricing pressure power in view of the competitive nature of our business which can significantly affect sales volume and market share. In addition, the increased scrutiny by regulators on healthcare spending, which accelerated in light of the COVID-19 pandemic, along with a shift towards volume-based procurement and group purchasing organizations, which generally values lower cost over product features, benefits and quality, have placed significant pressure on Embecta to lower price in both developed and emerging markets. These trends may reduce our operating margins, which are only partially offset by our ability to differentiate our products and sell at higher prices.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34060"/>
                <wp:effectExtent l="0" t="0" r="0" b="0"/>
                <wp:wrapNone/>
                <wp:docPr id="29" name="Frame28"/>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Commoditization of Injection Devices. Given the growing demand for medical devices to assist in the treatment of diabetes and difficulties around access to diabetes care due to complex and costly insurance plans, patient care is increasingly focused on providing more affordable products, which has led to the commoditization of more traditional injection delivery devices, such as insulin syringes and pen needles. Existing and new local and regional low-cost providers, in combination with a shift from insulin vials to insulin pens, have made the pen needle category highly competitive.</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Global Trade. The current global economic environment has been recently influenced by rapidly changing tariff policies instituted by the United States government and foreign governments. As a global company that both imports raw materials and products into the U.S. and distributes raw materials and products originating from the U.S. to global manufacturing sites and markets, these tariffs may have a financial impact on our cost of goods, our profit margins, our business generally and our global distribution strategy. These tariffs may cause foreign governments and private purchasers to consider transitioning away from products originating from certain countries (including the U.S.) in favor of buying “local” products resulting in the additional possibility that local manufacturers, brands and other competitors may engage in aggressive competitive pricing to take advantage of the uncertain global trade environment and transition customers away from global manufacturers, all of which may impact the Company’s business and operations.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Clinical Practice. Introduction of new drugs and increased penetration of oral and once-weekly anti-diabetic drugs (e.g., SGLT-2s, once-weekly insulin, GLP-1s and GLP-1 combination products) have delayed initiation of insulin therapy and contributed to less demand for our products. New drug therapies, including weekly insulin, are targeted to challenge the current diabetes treatment paradigm, including the frequency insulin is dosed (weekly vs. daily injections) and amount of insulin used. Additionally, insulin therapy in developed markets continues to transition to infusion pumps.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Decentralization of Chronic Care. Many countries are facing an aging population and a rapidly growing number of people living with diabetes. While healthcare investments in certain regions continue to grow, there is an increased burden on physicians and longer wait times for patients. Healthcare delivery for non-emergency diabetes care is expected to continue shifting outside of hospitals to primary care providers, which could have a material impact on our results of operations.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Political and Economic Instability in Emerging Markets. We operate in a number of emerging markets, many of which are subject from time to time to significant political and economic disruptions. However, the number of countries we provide products to and our proactive channel management strategies help us manage this variability.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continue to face increases in the cost and disrupted availability of raw materials, components, and other inputs necessary to manufacture and distribute our products due to constraints and inflation within the global supply chain, as well as increases in the cost and time to distribute our products. To date we have been able to successfully mitigate this disruption and provide uninterrupted supply to our customers by increasing our inventory levels and taking other measures. Given our global business, we expect tariffs announced over the past year will result in additional cost for us and our suppliers, and there is the potential that such tariffs may influence future decisions by foreign governments and private purchasers to source non-U.S., “locally” manufactured products instead of products originating from certain countries (including the U.S.) and that local manufacturers, brands and other competitors may engage in aggressive competitive pricing or other strategies to take advantage of the uncertain global trade environment and transition customers away from global manufacturers. We will continue to monitor the evolving tariff environment and we will focus on optimizing operations and leveraging existing strategies to reduce the impact from tariffs.</w:t>
      </w:r>
    </w:p>
    <w:p>
      <w:pPr>
        <w:pStyle w:val="TextBody"/>
        <w:bidi w:val="0"/>
        <w:spacing w:lineRule="auto" w:line="276" w:before="120" w:after="120"/>
        <w:jc w:val="both"/>
        <w:rPr/>
      </w:pPr>
      <w:r>
        <w:rPr>
          <w:rFonts w:ascii="Times New Roman;serif" w:hAnsi="Times New Roman;serif"/>
          <w:b w:val="false"/>
          <w:color w:val="000000"/>
          <w:sz w:val="20"/>
          <w:shd w:fill="FFFFFF" w:val="clear"/>
        </w:rPr>
        <w:t xml:space="preserve">We continue to monitor global conflicts, including activity in the Middle East and Houthi attacks on commercial shipping vessels and other naval vessels, and the associated sanctions and other restrictions. As of </w:t>
      </w:r>
      <w:r>
        <w:rPr>
          <w:rFonts w:ascii="Times New Roman;serif" w:hAnsi="Times New Roman;serif"/>
          <w:b w:val="false"/>
          <w:color w:val="000000"/>
          <w:sz w:val="20"/>
        </w:rPr>
        <w:t>August 7, 2026</w:t>
      </w:r>
      <w:r>
        <w:rPr>
          <w:rFonts w:ascii="Times New Roman;serif" w:hAnsi="Times New Roman;serif"/>
          <w:b w:val="false"/>
          <w:color w:val="000000"/>
          <w:sz w:val="20"/>
          <w:shd w:fill="FFFFFF" w:val="clear"/>
        </w:rPr>
        <w:t>, there is no material impact to our business operations and financial performance as a result of the aforementioned conflicts. However, the full impact of the conflicts on our business operations and financial performance remains uncertain and will depend on future developments, including the severity and duration of the conflicts and their impact on regional and global economic conditions. We will continue to monitor these conflicts and assess the related restrictions and other effects on our business.</w:t>
      </w:r>
    </w:p>
    <w:p>
      <w:pPr>
        <w:pStyle w:val="TextBody"/>
        <w:bidi w:val="0"/>
        <w:spacing w:lineRule="auto" w:line="276" w:before="120" w:after="12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addition, our revenues and results of operations have been affected by various fluctuations in macroeconomic conditions and regulatory and policy changes, both on a global level and in particular markets, which include inflation and slowing economic growth and contractions, a changing interest rate environment, supply chain interruptions, tariff policy changes, volatility in capital markets and the availability of credit, tax rates and the rate of exchange between the United States dollar and foreign currencies. The nature and extent of the impact of these factors among others varies by region and remains uncertain and unpredictable and may affect our business.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34060"/>
                <wp:effectExtent l="0" t="0" r="0" b="0"/>
                <wp:wrapNone/>
                <wp:docPr id="30" name="Frame29"/>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15, 2026, we acquired Owen Mumford, a UK-based innovator and manufacturer of medical devices and drug-delivery technologies for an upfront cash payment of £126.0 million, which included a payment for estimated acquired cash and equivalents. The final purchase price is subject to a working capital adjustment to be finalized in a future period. We will also make a payment of up to £50.0 million upon the achievement of certain commercial milestones related to sales of the Aidaptus® next-generation auto-injector platform. The U.S. dollar equivalents, as of the acquisition date, for the upfront cash payment and potential future milestone payments were $169.9 million and $67.4 million, respectively.</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we announced that our Board of Directors approved a three-year $100.0 million stock repurchase authorization (the “Repurchase Program”) of common stock in accordance with applicable securities laws. The Repurchase Program does not obligate us to acquire any particular amount of common stock and may be suspended or terminated at any time at our discretion.</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the Board of Directors approved a reduction in the quarterly cash dividend from $0.15 to $0.01 per share of common stock. The dividend was paid on June 15, 2026 to stockholders of record as of May 28, 2026.</w:t>
      </w:r>
    </w:p>
    <w:p>
      <w:pPr>
        <w:pStyle w:val="TextBody"/>
        <w:bidi w:val="0"/>
        <w:spacing w:lineRule="auto" w:line="26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 May 2026, we initiated a review of our cost structure and organizational footprint which entails aligning company wide commercial activities, exploring opportunities to expand the global reach of the Owen Mumford product portfolio, and taking advantage of scale to negotiate reduced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Our unaudited Condensed Consolidated Statements of Income are as follows: </w:t>
      </w:r>
    </w:p>
    <w:tbl>
      <w:tblPr>
        <w:tblW w:w="9430" w:type="dxa"/>
        <w:jc w:val="left"/>
        <w:tblInd w:w="0" w:type="dxa"/>
        <w:tblLayout w:type="fixed"/>
        <w:tblCellMar>
          <w:top w:w="28" w:type="dxa"/>
          <w:left w:w="28" w:type="dxa"/>
          <w:bottom w:w="28" w:type="dxa"/>
          <w:right w:w="28" w:type="dxa"/>
        </w:tblCellMar>
      </w:tblPr>
      <w:tblGrid>
        <w:gridCol w:w="951"/>
        <w:gridCol w:w="835"/>
        <w:gridCol w:w="838"/>
        <w:gridCol w:w="196"/>
        <w:gridCol w:w="556"/>
        <w:gridCol w:w="109"/>
        <w:gridCol w:w="109"/>
        <w:gridCol w:w="109"/>
        <w:gridCol w:w="109"/>
        <w:gridCol w:w="196"/>
        <w:gridCol w:w="556"/>
        <w:gridCol w:w="109"/>
        <w:gridCol w:w="109"/>
        <w:gridCol w:w="109"/>
        <w:gridCol w:w="109"/>
        <w:gridCol w:w="268"/>
        <w:gridCol w:w="272"/>
        <w:gridCol w:w="256"/>
        <w:gridCol w:w="109"/>
        <w:gridCol w:w="109"/>
        <w:gridCol w:w="109"/>
        <w:gridCol w:w="196"/>
        <w:gridCol w:w="556"/>
        <w:gridCol w:w="109"/>
        <w:gridCol w:w="109"/>
        <w:gridCol w:w="109"/>
        <w:gridCol w:w="109"/>
        <w:gridCol w:w="196"/>
        <w:gridCol w:w="556"/>
        <w:gridCol w:w="109"/>
        <w:gridCol w:w="109"/>
        <w:gridCol w:w="109"/>
        <w:gridCol w:w="109"/>
        <w:gridCol w:w="312"/>
        <w:gridCol w:w="318"/>
        <w:gridCol w:w="301"/>
      </w:tblGrid>
      <w:tr>
        <w:trPr/>
        <w:tc>
          <w:tcPr>
            <w:tcW w:w="951"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ind w:left="0" w:right="0" w:hanging="200"/>
              <w:jc w:val="center"/>
              <w:rPr/>
            </w:pPr>
            <w:r>
              <w:rPr>
                <w:rFonts w:ascii="Times New Roman;serif" w:hAnsi="Times New Roman;serif"/>
                <w:b/>
                <w:color w:val="000000"/>
                <w:sz w:val="18"/>
              </w:rPr>
              <w:t>%</w:t>
            </w:r>
            <w:r>
              <w:rPr>
                <w:color w:val="000000"/>
              </w:rPr>
              <w:t xml:space="preserve"> </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(7.6)</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 of products sold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Gross Profit</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153.3 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197.1 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518.3 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(14.6)</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Selling and administrative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(52.3)</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(49.5)</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332.7 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(17.1)</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Income</w:t>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(48.2)</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167.0 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(10.0)</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30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(41.7)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(113.8)</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Before Income Taxes</w:t>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107.3 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30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(11.4)</w:t>
            </w:r>
          </w:p>
        </w:tc>
        <w:tc>
          <w:tcPr>
            <w:tcW w:w="3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(11.9)</w:t>
            </w:r>
          </w:p>
        </w:tc>
        <w:tc>
          <w:tcPr>
            <w:tcW w:w="301"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(12.7)</w:t>
            </w:r>
          </w:p>
        </w:tc>
        <w:tc>
          <w:tcPr>
            <w:tcW w:w="30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420" w:after="120"/>
        <w:jc w:val="both"/>
        <w:rPr>
          <w:rFonts w:ascii="Times New Roman;serif" w:hAnsi="Times New Roman;serif"/>
          <w:b/>
          <w:i/>
          <w:color w:val="000000"/>
          <w:sz w:val="20"/>
        </w:rPr>
      </w:pPr>
      <w:r>
        <w:rPr>
          <w:rFonts w:ascii="Times New Roman;serif" w:hAnsi="Times New Roman;serif"/>
          <w:b/>
          <w:i/>
          <w:color w:val="000000"/>
          <w:sz w:val="20"/>
        </w:rPr>
        <w:t>Three Months Ended June 30, 2026 Summary (on a comparative basis)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Key financial results for the three months ended June 30, 2026 were as follows: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Revenue decreased by $23.8 million to $271.7 million from $295.5 million;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Gross profit decreased by $43.8 million to $153.3 million from $197.1 million. Gross profit as a percent of revenue was 56.4%, as compared to 66.7% in the prior year comparative period;</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Operating income decreased by $45.3 million to $48.7 million from $94.0 million; and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Net income decreased by $24.4 million to $21.1 million from $45.5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34060"/>
                <wp:effectExtent l="0" t="0" r="0" b="0"/>
                <wp:wrapNone/>
                <wp:docPr id="31" name="Frame30"/>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Nine Months Ended June 30, 2026 Summary (on a comparative basis)</w:t>
      </w:r>
    </w:p>
    <w:p>
      <w:pPr>
        <w:pStyle w:val="TextBody"/>
        <w:bidi w:val="0"/>
        <w:spacing w:lineRule="auto" w:line="276"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Key financial results for the nine months ended June 30, 2026 were as follows: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Revenue decreased by $61.7 million to $754.7 million from $816.4 million;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Gross profit decreased by $75.5 million to $442.8 million, from $518.3 million. Gross profit as a percent of revenue was 58.7%, as compared to 63.5% in the prior year comparative period;</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Operating income decreased by $18.6 million to $167.0 million from $185.6 million; and </w:t>
      </w:r>
    </w:p>
    <w:p>
      <w:pPr>
        <w:pStyle w:val="TextBody"/>
        <w:bidi w:val="0"/>
        <w:spacing w:lineRule="auto" w:line="276" w:before="160" w:after="120"/>
        <w:ind w:left="0" w:right="0" w:hanging="360"/>
        <w:jc w:val="both"/>
        <w:rPr/>
      </w:pPr>
      <w:r>
        <w:rPr>
          <w:color w:val="000000"/>
        </w:rPr>
        <w:t>•</w:t>
      </w:r>
      <w:r>
        <w:rPr>
          <w:rFonts w:ascii="Times New Roman;serif" w:hAnsi="Times New Roman;serif"/>
          <w:b w:val="false"/>
          <w:color w:val="000000"/>
          <w:sz w:val="20"/>
        </w:rPr>
        <w:t xml:space="preserve">Net income decreased by $7.9 million to $61.1 million from $69.0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i/>
          <w:color w:val="000000"/>
          <w:sz w:val="20"/>
        </w:rPr>
      </w:pPr>
      <w:r>
        <w:rPr>
          <w:rFonts w:ascii="Times New Roman;serif" w:hAnsi="Times New Roman;serif"/>
          <w:b/>
          <w:i/>
          <w:color w:val="000000"/>
          <w:sz w:val="20"/>
        </w:rPr>
        <w:t>Revenues</w:t>
      </w:r>
    </w:p>
    <w:p>
      <w:pPr>
        <w:pStyle w:val="TextBody"/>
        <w:bidi w:val="0"/>
        <w:spacing w:lineRule="auto" w:line="268" w:before="60" w:after="180"/>
        <w:jc w:val="both"/>
        <w:rPr>
          <w:rFonts w:ascii="Times New Roman;serif" w:hAnsi="Times New Roman;serif"/>
          <w:b w:val="false"/>
          <w:color w:val="000000"/>
          <w:sz w:val="19"/>
        </w:rPr>
      </w:pPr>
      <w:r>
        <w:rPr>
          <w:rFonts w:ascii="Times New Roman;serif" w:hAnsi="Times New Roman;serif"/>
          <w:b w:val="false"/>
          <w:color w:val="000000"/>
          <w:sz w:val="19"/>
        </w:rPr>
        <w:t>Our revenues decreased by $23.8 million, or 8.1%, to $271.7 million for the three months ended June 30, 2026 as compared to revenues of $295.5 million for the three months ended June 30, 2025. Changes in revenues are driven by the volume of goods that we sell, the prices it negotiates with customers, and changes in foreign exchange rates. The decrease in revenues was primarily driven by $20.1 million of unfavorable changes in price, $19.9 million of unfavorable changes in volume and a $0.1 million decrease in contract manufacturing revenue. This was partially offset by the $13.8 million of contribution of Owen Mumford revenues and $2.5 million associated with the positive impact of foreign currency translation primarily due to the weakening of the U.S. dollar.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60" w:after="180"/>
        <w:jc w:val="both"/>
        <w:rPr>
          <w:rFonts w:ascii="Times New Roman;serif" w:hAnsi="Times New Roman;serif"/>
          <w:b w:val="false"/>
          <w:color w:val="000000"/>
          <w:sz w:val="19"/>
        </w:rPr>
      </w:pPr>
      <w:r>
        <w:rPr>
          <w:rFonts w:ascii="Times New Roman;serif" w:hAnsi="Times New Roman;serif"/>
          <w:b w:val="false"/>
          <w:color w:val="000000"/>
          <w:sz w:val="19"/>
        </w:rPr>
        <w:t>Our revenues decreased by $61.7 million, or 7.6%, to $754.7 million for the nine months ended June 30, 2026 as compared to revenues of $816.4 million for the nine months ended June 30, 2025. The decrease in revenues was primarily driven by $60.0 million of unfavorable changes in volume, $27.4 million of unfavorable changes in price, and a $2.9 million decrease in contract manufacturing revenue. This was partially offset by $14.8 million associated with the positive impact of foreign currency translation primarily due to the weakening of the U.S. dollar and by the $13.8 million contribution of Owen Mumford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Cost of products sold</w:t>
      </w:r>
    </w:p>
    <w:p>
      <w:pPr>
        <w:pStyle w:val="TextBody"/>
        <w:bidi w:val="0"/>
        <w:spacing w:lineRule="auto" w:line="276" w:before="0" w:after="180"/>
        <w:jc w:val="both"/>
        <w:rPr>
          <w:rFonts w:ascii="Times New Roman;serif" w:hAnsi="Times New Roman;serif"/>
          <w:b w:val="false"/>
          <w:color w:val="000000"/>
          <w:sz w:val="20"/>
        </w:rPr>
      </w:pPr>
      <w:r>
        <w:rPr>
          <w:rFonts w:ascii="Times New Roman;serif" w:hAnsi="Times New Roman;serif"/>
          <w:b w:val="false"/>
          <w:color w:val="000000"/>
          <w:sz w:val="20"/>
        </w:rPr>
        <w:t>Cost of products sold increased by $20.0 million, or 20.3%, to $118.4 million for the three months ended June 30, 2026 as compared to $98.4 million for the three months ended June 30, 2025. Cost of products sold as a percentage of revenues was 43.6% for the three months ended June 30, 2026 as compared to 33.3% for the three months ended June 30, 2025. The increase in cost of products sold for the three month comparative period was primarily driven by additional cost of products sold from Owen Mumford during the third quarter, as well as the impact of net changes from profit in inventory adjustments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Cost of products sold increased by $13.8 million, or 4.6%, to $311.9 million for the nine months ended June 30, 2026 as compared to $298.1 million for the nine months ended June 30, 2025. Cost of products sold as a percentage of revenues was 41.3% for the nine months ended June 30, 2026 as compared to 36.5% in the nine months ended June 30, 2025. The increase in cost of products sold for the nine month comparative period was primarily driven by additional cost of products sold from Owen Mumford during the third quarter, as well as the impact of net changes from profit in inventory adjustments period over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both"/>
        <w:rPr>
          <w:rFonts w:ascii="Times New Roman;serif" w:hAnsi="Times New Roman;serif"/>
          <w:b/>
          <w:i/>
          <w:color w:val="000000"/>
          <w:sz w:val="20"/>
        </w:rPr>
      </w:pPr>
      <w:r>
        <w:rPr>
          <w:rFonts w:ascii="Times New Roman;serif" w:hAnsi="Times New Roman;serif"/>
          <w:b/>
          <w:i/>
          <w:color w:val="000000"/>
          <w:sz w:val="20"/>
        </w:rPr>
        <w:t>Selling and administrative expenses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Selling and administrative expenses decreased by $5.8 million, or 6.9%, to $78.6 million for the three months ended June 30, 2026 as compared to $84.4 million for the three months ended June 30, 2025. Selling and administrative expenses decreased by $12.7 million, or 5.2%, to $232.4 million for the nine months ended June 30, 2026 as compared to $245.1 million for the nine months ended June 30, 2025. The decrease for both the three and nine month comparative periods was primarily driven by lower compensation expense in the applicable current periods, partially offset by additional selling and administrative expenses from Owen Mumford in the current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34060"/>
                <wp:effectExtent l="0" t="0" r="0" b="0"/>
                <wp:wrapNone/>
                <wp:docPr id="32" name="Frame31"/>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expenses increased by $1.2 million, or 27.3%, to $5.6 million for the three months ended June 30, 2026 as compared to $4.4 million for the three months ended June 30, 2025. Research and development expenses decreased by $17.1 million, or 52.3%, to $15.6 million for the nine months ended June 30, 2026 as compared to $32.7 million for the nine months ended June 30, 2025. The increase for the three month comparative period was primarily driven by additional research and development expenses from Owen Mumford during the third quarter. The decrease for the nine month comparative period was primarily driven by expenses incurred in connection with the development and subsequent discontinuance of our insulin patch pump program in the prior year, partially offset by additional research and development expenses from Owen Mumford in the current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Other operating expense, net</w:t>
      </w:r>
    </w:p>
    <w:p>
      <w:pPr>
        <w:pStyle w:val="TextBody"/>
        <w:bidi w:val="0"/>
        <w:spacing w:lineRule="auto" w:line="273" w:before="0" w:after="0"/>
        <w:jc w:val="left"/>
        <w:rPr>
          <w:rFonts w:ascii="Times New Roman;serif" w:hAnsi="Times New Roman;serif"/>
          <w:b w:val="false"/>
          <w:color w:val="000000"/>
          <w:sz w:val="20"/>
        </w:rPr>
      </w:pPr>
      <w:r>
        <w:rPr>
          <w:rFonts w:ascii="Times New Roman;serif" w:hAnsi="Times New Roman;serif"/>
          <w:b w:val="false"/>
          <w:color w:val="000000"/>
          <w:sz w:val="20"/>
        </w:rPr>
        <w:t>Other operating expense, net are as follows:</w:t>
      </w:r>
    </w:p>
    <w:tbl>
      <w:tblPr>
        <w:tblW w:w="9848" w:type="dxa"/>
        <w:jc w:val="left"/>
        <w:tblInd w:w="0" w:type="dxa"/>
        <w:tblLayout w:type="fixed"/>
        <w:tblCellMar>
          <w:top w:w="28" w:type="dxa"/>
          <w:left w:w="28" w:type="dxa"/>
          <w:bottom w:w="28" w:type="dxa"/>
          <w:right w:w="28" w:type="dxa"/>
        </w:tblCellMar>
      </w:tblPr>
      <w:tblGrid>
        <w:gridCol w:w="1856"/>
        <w:gridCol w:w="1631"/>
        <w:gridCol w:w="1642"/>
        <w:gridCol w:w="250"/>
        <w:gridCol w:w="594"/>
        <w:gridCol w:w="139"/>
        <w:gridCol w:w="139"/>
        <w:gridCol w:w="139"/>
        <w:gridCol w:w="139"/>
        <w:gridCol w:w="250"/>
        <w:gridCol w:w="594"/>
        <w:gridCol w:w="139"/>
        <w:gridCol w:w="239"/>
        <w:gridCol w:w="569"/>
        <w:gridCol w:w="133"/>
        <w:gridCol w:w="133"/>
        <w:gridCol w:w="133"/>
        <w:gridCol w:w="133"/>
        <w:gridCol w:w="239"/>
        <w:gridCol w:w="569"/>
        <w:gridCol w:w="188"/>
      </w:tblGrid>
      <w:tr>
        <w:trPr/>
        <w:tc>
          <w:tcPr>
            <w:tcW w:w="1856"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64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3"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2336" w:type="dxa"/>
            <w:gridSpan w:val="9"/>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Nine months ended June 30,</w:t>
            </w:r>
          </w:p>
        </w:tc>
      </w:tr>
      <w:tr>
        <w:trPr/>
        <w:tc>
          <w:tcPr>
            <w:tcW w:w="5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9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Costs related to the Separation</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8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0"/>
              <w:ind w:left="0" w:right="0" w:hanging="200"/>
              <w:jc w:val="left"/>
              <w:rPr>
                <w:rFonts w:ascii="Times New Roman;serif" w:hAnsi="Times New Roman;serif"/>
                <w:b w:val="false"/>
                <w:color w:val="000000"/>
                <w:sz w:val="18"/>
              </w:rPr>
            </w:pPr>
            <w:r>
              <w:rPr>
                <w:rFonts w:ascii="Times New Roman;serif" w:hAnsi="Times New Roman;serif"/>
                <w:b w:val="false"/>
                <w:color w:val="000000"/>
                <w:sz w:val="18"/>
              </w:rPr>
              <w:t>Amortization of cloud computing arrangements</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9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7.8</w:t>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7.8</w:t>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Costs associated with the discontinued patch pump program</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Business optimization and severance related costs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sale of certain intellectual property rights and long-lived assets</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Acquisition-related costs</w:t>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8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1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54.9 </w:t>
            </w:r>
          </w:p>
        </w:tc>
        <w:tc>
          <w:tcPr>
            <w:tcW w:w="1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3" w:before="120" w:after="120"/>
        <w:jc w:val="left"/>
        <w:rPr>
          <w:rFonts w:ascii="Times New Roman;serif" w:hAnsi="Times New Roman;serif"/>
          <w:b w:val="false"/>
          <w:color w:val="000000"/>
          <w:sz w:val="20"/>
        </w:rPr>
      </w:pPr>
      <w:r>
        <w:rPr>
          <w:rFonts w:ascii="Times New Roman;serif" w:hAnsi="Times New Roman;serif"/>
          <w:b w:val="false"/>
          <w:color w:val="000000"/>
          <w:sz w:val="20"/>
        </w:rPr>
        <w:t>Other operating expense, net incurred primarily consist of the following:</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Accounting, auditing, legal services, marketing, supply chain, employee retention, costs associated with the implementation of our new ERP system and other Business Continuity Processes, costs associated with brand transition, and certain other costs to establish certain stand-alone functions to assist with the transition to being a stand-alone entity;</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Severance and contract termination costs associated with the discontinued patch pump program;</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Costs recognized associated with the amortization of cloud computing arrangements; and</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A gain on the sale of certain intellectual property rights and long-lived assets associated with the patch pump program.</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Acquisition-related costs associated with the acquisition of Owen Mumford.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Interest expense, net</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Interest expense, net decreased by $2.7 million to $23.9 million for the three months ended June 30, 2026 as compared to $26.6 million for the three months ended June 30, 2025. Interest expense, net decreased by $10.6 million to $70.6 million for the nine months ended June 30, 2026 as compared to $81.2 million for the nine months ended June 30, 2025. The decrease for both the three and nine month comparative periods was primarily driven by lower debt levels and lower short-term interest rates in the current period as compared to the prior periods. It remains unclear whether the United States Federal Reserve will increase or decrease the benchmark interest rate during the remainder of fiscal 2026. An increase in the benchmark interest rate would result in an increase in interest expense on our variable rate debt and a decrease in the benchmark interest rate would result in a decrease in interest expense on our variable rate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Other income (expense), net was $2.8 million and $4.8 million for the three months ended June 30, 2026 and 2025, respectively. Other income (expense), net was $(0.4) million and $2.9 million for the nine months ended June 30, 2026 and 2025, respectively. The decrease for both the three and nine month comparative periods was primarily attributed to unfavorable impacts from foreign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34060"/>
                <wp:effectExtent l="0" t="0" r="0" b="0"/>
                <wp:wrapNone/>
                <wp:docPr id="33" name="Frame32"/>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360" w:after="120"/>
        <w:jc w:val="left"/>
        <w:rPr>
          <w:rFonts w:ascii="Times New Roman;serif" w:hAnsi="Times New Roman;serif"/>
          <w:b/>
          <w:i/>
          <w:color w:val="000000"/>
          <w:sz w:val="20"/>
        </w:rPr>
      </w:pPr>
      <w:r>
        <w:rPr>
          <w:rFonts w:ascii="Times New Roman;serif" w:hAnsi="Times New Roman;serif"/>
          <w:b/>
          <w:i/>
          <w:color w:val="000000"/>
          <w:sz w:val="20"/>
        </w:rPr>
        <w:t>Income tax provision</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effective tax rates were 23.6% and 37.0% for the three months ended June 30, 2026 and 2025, respectively. The decrease in the Company's effective tax rate compared to the prior period is primarily due to the tax impacts from changes in level and mix of earnings and higher non-deductible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effective tax rates were 36.4% and 35.7% for the nine months ended June 30, 2026 and 2025, respectively. The increase in the Company's effective tax rate compared to the prior period is primarily due to the change in mix of earnings and higher non-deductible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We believe that our cash and our cash equivalents and cash from operations, together with our borrowing capacity under our Revolving Credit Facility, will provide sufficient financial flexibility to fund seasonal and other working capital requirements, capital expenditures, debt service requirements and other obligations, cash dividends on common shares and additional growth opportunities for the foreseeable future. We have also initiated a review of our cost structure and organizational footprint. However, should it become necessary, we believe that our credit profile should provide us with access to additional financing in order to fund normal business operations, make interest payments, fund growth opportunities and satisfy upcoming debt maturities.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Embecta's total debt outstanding as of June 30, 2026:</w:t>
      </w:r>
    </w:p>
    <w:tbl>
      <w:tblPr>
        <w:tblW w:w="4042" w:type="dxa"/>
        <w:jc w:val="left"/>
        <w:tblInd w:w="0" w:type="dxa"/>
        <w:tblLayout w:type="fixed"/>
        <w:tblCellMar>
          <w:top w:w="28" w:type="dxa"/>
          <w:left w:w="28" w:type="dxa"/>
          <w:bottom w:w="28" w:type="dxa"/>
          <w:right w:w="28" w:type="dxa"/>
        </w:tblCellMar>
      </w:tblPr>
      <w:tblGrid>
        <w:gridCol w:w="1129"/>
        <w:gridCol w:w="990"/>
        <w:gridCol w:w="1000"/>
        <w:gridCol w:w="196"/>
        <w:gridCol w:w="322"/>
        <w:gridCol w:w="405"/>
      </w:tblGrid>
      <w:tr>
        <w:trPr/>
        <w:tc>
          <w:tcPr>
            <w:tcW w:w="112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ind w:left="0" w:right="0" w:hanging="200"/>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Term Loan due March 2029</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639.4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5.00% Notes due February 2030</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500.0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6.75% Notes due February 2030</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200.0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Revolving Credit Facility due March 2027</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129.9</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principal debt issued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1,469.3</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current debt obligations</w:t>
            </w:r>
          </w:p>
        </w:tc>
        <w:tc>
          <w:tcPr>
            <w:tcW w:w="923"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(139.4)</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Less: debt issuance costs and discounts</w:t>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(14.2)</w:t>
            </w:r>
          </w:p>
        </w:tc>
      </w:tr>
      <w:tr>
        <w:trPr/>
        <w:tc>
          <w:tcPr>
            <w:tcW w:w="311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96" w:type="dxa"/>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gridSpan w:val="2"/>
            <w:tcBorders>
              <w:top w:val="single" w:sz="8" w:space="0" w:color="000000"/>
              <w:bottom w:val="double" w:sz="8" w:space="0" w:color="000000"/>
            </w:tcBorders>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1,315.7</w:t>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schedule of principal payments required on debt for the next five years and thereafter is as follows:</w:t>
      </w:r>
    </w:p>
    <w:tbl>
      <w:tblPr>
        <w:tblW w:w="1567" w:type="dxa"/>
        <w:jc w:val="center"/>
        <w:tblInd w:w="0" w:type="dxa"/>
        <w:tblLayout w:type="fixed"/>
        <w:tblCellMar>
          <w:top w:w="28" w:type="dxa"/>
          <w:left w:w="28" w:type="dxa"/>
          <w:bottom w:w="28" w:type="dxa"/>
          <w:right w:w="28" w:type="dxa"/>
        </w:tblCellMar>
      </w:tblPr>
      <w:tblGrid>
        <w:gridCol w:w="304"/>
        <w:gridCol w:w="267"/>
        <w:gridCol w:w="270"/>
        <w:gridCol w:w="196"/>
        <w:gridCol w:w="376"/>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618.0 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5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measures relating to our total debt outstanding as of June 30, 2026 were as follows:</w:t>
      </w:r>
    </w:p>
    <w:tbl>
      <w:tblPr>
        <w:tblW w:w="4413" w:type="dxa"/>
        <w:jc w:val="left"/>
        <w:tblInd w:w="0" w:type="dxa"/>
        <w:tblLayout w:type="fixed"/>
        <w:tblCellMar>
          <w:top w:w="28" w:type="dxa"/>
          <w:left w:w="28" w:type="dxa"/>
          <w:bottom w:w="28" w:type="dxa"/>
          <w:right w:w="28" w:type="dxa"/>
        </w:tblCellMar>
      </w:tblPr>
      <w:tblGrid>
        <w:gridCol w:w="1165"/>
        <w:gridCol w:w="1023"/>
        <w:gridCol w:w="1037"/>
        <w:gridCol w:w="196"/>
        <w:gridCol w:w="691"/>
        <w:gridCol w:w="301"/>
      </w:tblGrid>
      <w:tr>
        <w:trPr/>
        <w:tc>
          <w:tcPr>
            <w:tcW w:w="1165"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ind w:left="0" w:right="0" w:hanging="200"/>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debt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1,455.1 </w:t>
            </w:r>
          </w:p>
        </w:tc>
        <w:tc>
          <w:tcPr>
            <w:tcW w:w="3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2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 as a percentage of total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00"/>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cost of total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225"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Credit Agreement and the indentures for the 5.00% Notes and the 6.75%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indentures governing the 5.00% Notes and the 6.75% Notes. In addition, the Credit Agreement contains covenants that limit, among other things, our ability to prepay, redeem or repurchase our subordinated and junior lien debt, incur additional debt, make acquisitions, merge with other entities, pay dividends or distributions, redeem or repurchase equity interests, and create or become subject to liens. As of June 30, 2026, we were in compliance with all of such covenants. The Credit Agreement and the senior secured notes are secured by substantially all assets of Embecta and each subsidiary guarantor, subject to certain exceptions.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34060"/>
                <wp:effectExtent l="0" t="0" r="0" b="0"/>
                <wp:wrapNone/>
                <wp:docPr id="34" name="Frame33"/>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0" w:after="0"/>
        <w:jc w:val="both"/>
        <w:rPr/>
      </w:pPr>
      <w:r>
        <w:rPr>
          <w:rFonts w:ascii="Times New Roman;serif" w:hAnsi="Times New Roman;serif"/>
          <w:b w:val="false"/>
          <w:color w:val="000000"/>
          <w:sz w:val="20"/>
        </w:rPr>
        <w:t>As discussed in Part II, Item 5. Other Information within this Form 10-Q, on August 6, 2026, we entered into the First Amendment to our Credit Agreement</w:t>
      </w:r>
      <w:r>
        <w:rPr>
          <w:color w:val="000000"/>
        </w:rPr>
        <w:t xml:space="preserve"> </w:t>
      </w:r>
      <w:r>
        <w:rPr>
          <w:rFonts w:ascii="Times New Roman;serif" w:hAnsi="Times New Roman;serif"/>
          <w:b w:val="false"/>
          <w:color w:val="000000"/>
          <w:sz w:val="20"/>
        </w:rPr>
        <w:t>which, among other things, reduced the aggregate revolving credit commitments from $500 million to $310 million and extended the maturity of $210 million of the revolving credit commitments to December 30, 2028. The more stringent covenants contained in the amended Credit Agreement may make it more difficult for us to successfully execute our business strategy, invest in our growth strategy, and compete against companies that are not subject to such restrictions.</w:t>
      </w:r>
    </w:p>
    <w:p>
      <w:pPr>
        <w:pStyle w:val="TextBody"/>
        <w:bidi w:val="0"/>
        <w:spacing w:lineRule="auto" w:line="276" w:before="120" w:after="120"/>
        <w:jc w:val="both"/>
        <w:rPr/>
      </w:pPr>
      <w:r>
        <w:rPr>
          <w:rFonts w:ascii="Times New Roman;serif" w:hAnsi="Times New Roman;serif"/>
          <w:b w:val="false"/>
          <w:color w:val="2B2A29"/>
          <w:sz w:val="20"/>
        </w:rPr>
        <w:t xml:space="preserve">During the </w:t>
      </w:r>
      <w:r>
        <w:rPr>
          <w:rFonts w:ascii="Times New Roman;serif" w:hAnsi="Times New Roman;serif"/>
          <w:b w:val="false"/>
          <w:color w:val="000000"/>
          <w:sz w:val="20"/>
        </w:rPr>
        <w:t xml:space="preserve">nine months ended </w:t>
      </w:r>
      <w:r>
        <w:rPr>
          <w:rFonts w:ascii="Times New Roman;serif" w:hAnsi="Times New Roman;serif"/>
          <w:b w:val="false"/>
          <w:color w:val="2B2A29"/>
          <w:sz w:val="20"/>
        </w:rPr>
        <w:t xml:space="preserve">June 30, 2026, we paid an aggregate principal amount of approximately </w:t>
      </w:r>
      <w:r>
        <w:rPr>
          <w:rFonts w:ascii="Times New Roman;serif" w:hAnsi="Times New Roman;serif"/>
          <w:b w:val="false"/>
          <w:color w:val="000000"/>
          <w:sz w:val="20"/>
        </w:rPr>
        <w:t>$77.4 million</w:t>
      </w:r>
      <w:r>
        <w:rPr>
          <w:color w:val="2B2A29"/>
        </w:rPr>
        <w:t xml:space="preserve"> </w:t>
      </w:r>
      <w:r>
        <w:rPr>
          <w:rFonts w:ascii="Times New Roman;serif" w:hAnsi="Times New Roman;serif"/>
          <w:b w:val="false"/>
          <w:color w:val="2B2A29"/>
          <w:sz w:val="20"/>
        </w:rPr>
        <w:t xml:space="preserve">on the Term Loan, of which </w:t>
      </w:r>
      <w:r>
        <w:rPr>
          <w:rFonts w:ascii="Times New Roman;serif" w:hAnsi="Times New Roman;serif"/>
          <w:b w:val="false"/>
          <w:color w:val="000000"/>
          <w:sz w:val="20"/>
        </w:rPr>
        <w:t>$70.3 million</w:t>
      </w:r>
      <w:r>
        <w:rPr>
          <w:color w:val="2B2A29"/>
        </w:rPr>
        <w:t xml:space="preserve"> </w:t>
      </w:r>
      <w:r>
        <w:rPr>
          <w:rFonts w:ascii="Times New Roman;serif" w:hAnsi="Times New Roman;serif"/>
          <w:b w:val="false"/>
          <w:color w:val="2B2A29"/>
          <w:sz w:val="20"/>
        </w:rPr>
        <w:t>was discretionary.</w:t>
      </w:r>
    </w:p>
    <w:p>
      <w:pPr>
        <w:pStyle w:val="TextBody"/>
        <w:bidi w:val="0"/>
        <w:spacing w:lineRule="auto" w:line="276" w:before="120" w:after="120"/>
        <w:jc w:val="both"/>
        <w:rPr/>
      </w:pPr>
      <w:r>
        <w:rPr>
          <w:rFonts w:ascii="Times New Roman;serif" w:hAnsi="Times New Roman;serif"/>
          <w:b w:val="false"/>
          <w:color w:val="2B2A29"/>
          <w:sz w:val="20"/>
        </w:rPr>
        <w:t xml:space="preserve">During the </w:t>
      </w:r>
      <w:r>
        <w:rPr>
          <w:rFonts w:ascii="Times New Roman;serif" w:hAnsi="Times New Roman;serif"/>
          <w:b w:val="false"/>
          <w:color w:val="000000"/>
          <w:sz w:val="20"/>
        </w:rPr>
        <w:t xml:space="preserve">nine months ended </w:t>
      </w:r>
      <w:r>
        <w:rPr>
          <w:rFonts w:ascii="Times New Roman;serif" w:hAnsi="Times New Roman;serif"/>
          <w:b w:val="false"/>
          <w:color w:val="2B2A29"/>
          <w:sz w:val="20"/>
        </w:rPr>
        <w:t xml:space="preserve">June 30, 2026, we drew down $180.0 million on its Revolving Credit facility and repaid an aggregate principal amount of approximately </w:t>
      </w:r>
      <w:r>
        <w:rPr>
          <w:rFonts w:ascii="Times New Roman;serif" w:hAnsi="Times New Roman;serif"/>
          <w:b w:val="false"/>
          <w:color w:val="000000"/>
          <w:sz w:val="20"/>
        </w:rPr>
        <w:t>$50.1 million.</w:t>
      </w:r>
    </w:p>
    <w:p>
      <w:pPr>
        <w:pStyle w:val="TextBody"/>
        <w:bidi w:val="0"/>
        <w:spacing w:lineRule="auto" w:line="276" w:before="120" w:after="120"/>
        <w:jc w:val="both"/>
        <w:rPr/>
      </w:pPr>
      <w:r>
        <w:rPr>
          <w:rFonts w:ascii="Times New Roman;serif" w:hAnsi="Times New Roman;serif"/>
          <w:b w:val="false"/>
          <w:color w:val="000000"/>
          <w:sz w:val="20"/>
        </w:rPr>
        <w:t xml:space="preserve">During the nine months ended </w:t>
      </w:r>
      <w:r>
        <w:rPr>
          <w:rFonts w:ascii="Times New Roman;serif" w:hAnsi="Times New Roman;serif"/>
          <w:b w:val="false"/>
          <w:color w:val="2B2A29"/>
          <w:sz w:val="20"/>
        </w:rPr>
        <w:t>June 30, 2026</w:t>
      </w:r>
      <w:r>
        <w:rPr>
          <w:rFonts w:ascii="Times New Roman;serif" w:hAnsi="Times New Roman;serif"/>
          <w:b w:val="false"/>
          <w:color w:val="000000"/>
          <w:sz w:val="20"/>
        </w:rPr>
        <w:t>, we made interest payments of $56.3 million on debt outstanding.</w:t>
      </w:r>
    </w:p>
    <w:p>
      <w:pPr>
        <w:pStyle w:val="TextBody"/>
        <w:bidi w:val="0"/>
        <w:spacing w:lineRule="auto" w:line="276" w:before="120" w:after="120"/>
        <w:jc w:val="both"/>
        <w:rPr/>
      </w:pPr>
      <w:r>
        <w:rPr>
          <w:rFonts w:ascii="Times New Roman;serif" w:hAnsi="Times New Roman;serif"/>
          <w:b w:val="false"/>
          <w:color w:val="000000"/>
          <w:sz w:val="20"/>
        </w:rPr>
        <w:t>We</w:t>
      </w:r>
      <w:r>
        <w:rPr>
          <w:color w:val="FF0000"/>
        </w:rPr>
        <w:t xml:space="preserve"> </w:t>
      </w:r>
      <w:r>
        <w:rPr>
          <w:rFonts w:ascii="Times New Roman;serif" w:hAnsi="Times New Roman;serif"/>
          <w:b w:val="false"/>
          <w:color w:val="000000"/>
          <w:sz w:val="20"/>
        </w:rPr>
        <w:t>may, from time to time, seek to retire or repurchase our outstanding debt through cash purchases and/or exchanges for equity or debt, in open-market purchase, or privately negotiated transactions, or otherwise may redeem some or all of our debt pursuant to its terms. Such repurchases or exchanges, if any, will depend upon various factors existing at the time, including</w:t>
      </w:r>
      <w:r>
        <w:rPr>
          <w:color w:val="000000"/>
        </w:rPr>
        <w:t xml:space="preserve"> </w:t>
      </w:r>
      <w:r>
        <w:rPr>
          <w:rFonts w:ascii="Times New Roman;serif" w:hAnsi="Times New Roman;serif"/>
          <w:b w:val="false"/>
          <w:color w:val="000000"/>
          <w:sz w:val="20"/>
        </w:rPr>
        <w:t>prevailing market conditions, our liquidity requirements, contractual restrictions and other factors</w:t>
      </w:r>
      <w:r>
        <w:rPr>
          <w:rFonts w:ascii="Times New Roman;serif" w:hAnsi="Times New Roman;serif"/>
          <w:b/>
          <w:color w:val="000000"/>
          <w:sz w:val="20"/>
        </w:rPr>
        <w:t>,</w:t>
      </w:r>
      <w:r>
        <w:rPr>
          <w:color w:val="000000"/>
        </w:rPr>
        <w:t xml:space="preserve"> </w:t>
      </w:r>
      <w:r>
        <w:rPr>
          <w:rFonts w:ascii="Times New Roman;serif" w:hAnsi="Times New Roman;serif"/>
          <w:b w:val="false"/>
          <w:color w:val="000000"/>
          <w:sz w:val="20"/>
        </w:rPr>
        <w:t>and there can be no assurance as to which, if any, of these alternatives, or combination thereof, we may choose to pursue in the future.</w:t>
      </w:r>
    </w:p>
    <w:p>
      <w:pPr>
        <w:pStyle w:val="TextBody"/>
        <w:bidi w:val="0"/>
        <w:spacing w:lineRule="auto" w:line="268" w:before="120" w:after="120"/>
        <w:jc w:val="both"/>
        <w:rPr/>
      </w:pPr>
      <w:r>
        <w:rPr>
          <w:rFonts w:ascii="Times New Roman;serif" w:hAnsi="Times New Roman;serif"/>
          <w:b w:val="false"/>
          <w:color w:val="000000"/>
          <w:sz w:val="20"/>
        </w:rPr>
        <w:t xml:space="preserve">For additional information related to the Company's debt related activities, refer to Note 13, Long-Term Debt within the </w:t>
      </w:r>
      <w:r>
        <w:rPr>
          <w:rFonts w:ascii="Times New Roman;serif" w:hAnsi="Times New Roman;serif"/>
          <w:b w:val="false"/>
          <w:i/>
          <w:color w:val="000000"/>
          <w:sz w:val="20"/>
        </w:rPr>
        <w:t>Notes to</w:t>
      </w:r>
      <w:r>
        <w:rPr>
          <w:color w:val="000000"/>
        </w:rPr>
        <w:t xml:space="preserve"> </w:t>
      </w:r>
      <w:r>
        <w:rPr>
          <w:rFonts w:ascii="Times New Roman;serif" w:hAnsi="Times New Roman;serif"/>
          <w:b w:val="false"/>
          <w:i/>
          <w:color w:val="000000"/>
          <w:sz w:val="20"/>
        </w:rPr>
        <w:t>Condensed Consolidated Financial Statements</w:t>
      </w:r>
      <w:r>
        <w:rPr>
          <w:color w:val="000000"/>
        </w:rPr>
        <w:t xml:space="preserve"> </w:t>
      </w:r>
      <w:r>
        <w:rPr>
          <w:rFonts w:ascii="Times New Roman;serif" w:hAnsi="Times New Roman;serif"/>
          <w:b w:val="false"/>
          <w:color w:val="000000"/>
          <w:sz w:val="20"/>
        </w:rPr>
        <w:t>within this Form 10-Q.</w:t>
      </w:r>
    </w:p>
    <w:p>
      <w:pPr>
        <w:pStyle w:val="TextBody"/>
        <w:bidi w:val="0"/>
        <w:spacing w:lineRule="auto" w:line="268" w:before="120" w:after="120"/>
        <w:jc w:val="both"/>
        <w:rPr/>
      </w:pPr>
      <w:r>
        <w:rPr>
          <w:rFonts w:ascii="Times New Roman;serif" w:hAnsi="Times New Roman;serif"/>
          <w:b w:val="false"/>
          <w:color w:val="000000"/>
          <w:sz w:val="20"/>
        </w:rPr>
        <w:t xml:space="preserve">In May 2026, we announced that our Board of Directors approved a three-year $100.0 million stock repurchase authorization of common stock in accordance with applicable securities laws. The Repurchase Program does not obligate us to acquire any particular amount of common stock and may be suspended or terminated at any time at our discretion. </w:t>
      </w:r>
      <w:r>
        <w:rPr>
          <w:rFonts w:ascii="Times New Roman;serif" w:hAnsi="Times New Roman;serif"/>
          <w:b w:val="false"/>
          <w:color w:val="2B2A29"/>
          <w:sz w:val="20"/>
        </w:rPr>
        <w:t>Pursuant to the Repurchase Program, we repurchased 2.7 million shares of our common stock for $8.7 million during the three and nine months ended June 30, 2026. We constructively retired the shares of common stock we had repurchased by recording amounts paid in excess of the $0.01 par value of each share as a reduction in additional paid-in capital.</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the Board of Directors approved a reduction in the quarterly cash dividend from $0.15 to $0.01 per share of common stock. The dividend was paid on June 15, 2026 to stockholders of record as of May 28, 2026.</w:t>
      </w:r>
    </w:p>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76" w:before="180" w:after="120"/>
        <w:jc w:val="both"/>
        <w:rPr>
          <w:rFonts w:ascii="Times New Roman;serif" w:hAnsi="Times New Roman;serif"/>
          <w:b w:val="false"/>
          <w:color w:val="000000"/>
          <w:sz w:val="20"/>
        </w:rPr>
      </w:pPr>
      <w:r>
        <w:rPr>
          <w:rFonts w:ascii="Times New Roman;serif" w:hAnsi="Times New Roman;serif"/>
          <w:b w:val="false"/>
          <w:color w:val="000000"/>
          <w:sz w:val="20"/>
        </w:rPr>
        <w:t>Maturities of our finance lease and operating lease liabilities as of June 30, 2026 by fiscal year are as follows:</w:t>
      </w:r>
    </w:p>
    <w:tbl>
      <w:tblPr>
        <w:tblW w:w="5683" w:type="dxa"/>
        <w:jc w:val="center"/>
        <w:tblInd w:w="0" w:type="dxa"/>
        <w:tblLayout w:type="fixed"/>
        <w:tblCellMar>
          <w:top w:w="28" w:type="dxa"/>
          <w:left w:w="28" w:type="dxa"/>
          <w:bottom w:w="28" w:type="dxa"/>
          <w:right w:w="28" w:type="dxa"/>
        </w:tblCellMar>
      </w:tblPr>
      <w:tblGrid>
        <w:gridCol w:w="575"/>
        <w:gridCol w:w="505"/>
        <w:gridCol w:w="510"/>
        <w:gridCol w:w="301"/>
        <w:gridCol w:w="716"/>
        <w:gridCol w:w="167"/>
        <w:gridCol w:w="109"/>
        <w:gridCol w:w="109"/>
        <w:gridCol w:w="109"/>
        <w:gridCol w:w="365"/>
        <w:gridCol w:w="870"/>
        <w:gridCol w:w="204"/>
        <w:gridCol w:w="109"/>
        <w:gridCol w:w="109"/>
        <w:gridCol w:w="109"/>
        <w:gridCol w:w="196"/>
        <w:gridCol w:w="466"/>
        <w:gridCol w:w="154"/>
      </w:tblGrid>
      <w:tr>
        <w:trPr/>
        <w:tc>
          <w:tcPr>
            <w:tcW w:w="57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Finance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2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34.0 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payments</w:t>
            </w:r>
          </w:p>
        </w:tc>
        <w:tc>
          <w:tcPr>
            <w:tcW w:w="30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67"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18.5 </w:t>
            </w:r>
          </w:p>
        </w:tc>
        <w:tc>
          <w:tcPr>
            <w:tcW w:w="20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73" w:before="0" w:after="283"/>
              <w:jc w:val="right"/>
              <w:rPr>
                <w:rFonts w:ascii="Times New Roman;serif" w:hAnsi="Times New Roman;serif"/>
                <w:b w:val="false"/>
                <w:color w:val="000000"/>
                <w:sz w:val="18"/>
              </w:rPr>
            </w:pPr>
            <w:r>
              <w:rPr>
                <w:rFonts w:ascii="Times New Roman;serif" w:hAnsi="Times New Roman;serif"/>
                <w:b w:val="false"/>
                <w:color w:val="000000"/>
                <w:sz w:val="18"/>
              </w:rPr>
              <w:t>63.3 </w:t>
            </w:r>
          </w:p>
        </w:tc>
        <w:tc>
          <w:tcPr>
            <w:tcW w:w="154"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159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pPr>
      <w:r>
        <w:rPr>
          <w:rFonts w:ascii="Times New Roman;serif" w:hAnsi="Times New Roman;serif"/>
          <w:b w:val="false"/>
          <w:color w:val="000000"/>
          <w:sz w:val="20"/>
        </w:rPr>
        <w:t xml:space="preserve">For additional information related to our leases, refer to Note 20, Leases within the </w:t>
      </w:r>
      <w:r>
        <w:rPr>
          <w:rFonts w:ascii="Times New Roman;serif" w:hAnsi="Times New Roman;serif"/>
          <w:b w:val="false"/>
          <w:i/>
          <w:color w:val="000000"/>
          <w:sz w:val="20"/>
        </w:rPr>
        <w:t>Notes to</w:t>
      </w:r>
      <w:r>
        <w:rPr>
          <w:color w:val="000000"/>
        </w:rPr>
        <w:t xml:space="preserve"> </w:t>
      </w:r>
      <w:r>
        <w:rPr>
          <w:rFonts w:ascii="Times New Roman;serif" w:hAnsi="Times New Roman;serif"/>
          <w:b w:val="false"/>
          <w:i/>
          <w:color w:val="000000"/>
          <w:sz w:val="20"/>
        </w:rPr>
        <w:t xml:space="preserve">Condensed Consolidated Financial Statements </w:t>
      </w:r>
      <w:r>
        <w:rPr>
          <w:rFonts w:ascii="Times New Roman;serif" w:hAnsi="Times New Roman;serif"/>
          <w:b w:val="false"/>
          <w:color w:val="000000"/>
          <w:sz w:val="20"/>
        </w:rPr>
        <w:t>of this Form 10-Q.</w:t>
      </w:r>
    </w:p>
    <w:p>
      <w:pPr>
        <w:pStyle w:val="TextBody"/>
        <w:bidi w:val="0"/>
        <w:spacing w:lineRule="auto" w:line="276" w:before="180" w:after="120"/>
        <w:jc w:val="left"/>
        <w:rPr>
          <w:rFonts w:ascii="Times New Roman;serif" w:hAnsi="Times New Roman;serif"/>
          <w:b/>
          <w:i/>
          <w:color w:val="000000"/>
          <w:sz w:val="20"/>
        </w:rPr>
      </w:pPr>
      <w:r>
        <w:rPr>
          <w:rFonts w:ascii="Times New Roman;serif" w:hAnsi="Times New Roman;serif"/>
          <w:b/>
          <w:i/>
          <w:color w:val="000000"/>
          <w:sz w:val="20"/>
        </w:rPr>
        <w:t>Receivables Sale Agreement</w:t>
      </w:r>
    </w:p>
    <w:p>
      <w:pPr>
        <w:pStyle w:val="TextBody"/>
        <w:bidi w:val="0"/>
        <w:spacing w:lineRule="auto" w:line="276" w:before="120" w:after="283"/>
        <w:jc w:val="both"/>
        <w:rPr>
          <w:rFonts w:ascii="Times New Roman;serif" w:hAnsi="Times New Roman;serif"/>
          <w:b w:val="false"/>
          <w:color w:val="000000"/>
          <w:sz w:val="20"/>
        </w:rPr>
      </w:pPr>
      <w:r>
        <w:rPr>
          <w:rFonts w:ascii="Times New Roman;serif" w:hAnsi="Times New Roman;serif"/>
          <w:b w:val="false"/>
          <w:color w:val="000000"/>
          <w:sz w:val="20"/>
        </w:rPr>
        <w:t>The Company has established a trade receivables sale agreement with a third-party financial institution to sell certain trade receivables of the Company at a discount on an uncommitted basis. These trade receivable sales are accounted for as a sale of assets, as the Company's continuing involvement is limited to servicing the accounts receivables. The Company receives the sales price, equal to the trade receivable less the applicable discount, at the time of sale.</w:t>
      </w:r>
    </w:p>
    <w:p>
      <w:pPr>
        <w:pStyle w:val="TextBody"/>
        <w:bidi w:val="0"/>
        <w:spacing w:lineRule="auto" w:line="276" w:before="120" w:after="120"/>
        <w:jc w:val="both"/>
        <w:rPr/>
      </w:pPr>
      <w:r>
        <w:rPr>
          <w:rFonts w:ascii="Times New Roman;serif" w:hAnsi="Times New Roman;serif"/>
          <w:b w:val="false"/>
          <w:color w:val="000000"/>
          <w:sz w:val="20"/>
        </w:rPr>
        <w:t xml:space="preserve">In connection with the Company's receivables sale agreement, $167.2 million of trade receivables were sold during the nine months ended June 30, 2025, resulting in derecognition of the receivables from the Company's Condensed Consolidated Balance Sheets. Discounts recognized on the sale of trade receivables were not material to the Company's Condensed Consolidated Statements of Income. The cash received on the sale of trade receivables during the nine months ended June 30, 2025 is presented in changes in trade receivables, net within operating activities in the Condensed Consolidated Statement of Cash Flows. For additional information related to the trade receivables sale agreement, refer to Note 17, Receivables Sale Agreement within the </w:t>
      </w:r>
      <w:r>
        <w:rPr>
          <w:rFonts w:ascii="Times New Roman;serif" w:hAnsi="Times New Roman;serif"/>
          <w:b w:val="false"/>
          <w:i/>
          <w:color w:val="000000"/>
          <w:sz w:val="20"/>
        </w:rPr>
        <w:t>Notes to</w:t>
      </w:r>
      <w:r>
        <w:rPr>
          <w:color w:val="000000"/>
        </w:rPr>
        <w:t xml:space="preserve"> </w:t>
      </w:r>
      <w:r>
        <w:rPr>
          <w:rFonts w:ascii="Times New Roman;serif" w:hAnsi="Times New Roman;serif"/>
          <w:b w:val="false"/>
          <w:i/>
          <w:color w:val="000000"/>
          <w:sz w:val="20"/>
        </w:rPr>
        <w:t xml:space="preserve">Condensed Consolidated Financial Statements </w:t>
      </w:r>
      <w:r>
        <w:rPr>
          <w:rFonts w:ascii="Times New Roman;serif" w:hAnsi="Times New Roman;serif"/>
          <w:b w:val="false"/>
          <w:color w:val="000000"/>
          <w:sz w:val="20"/>
        </w:rPr>
        <w:t>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34060"/>
                <wp:effectExtent l="0" t="0" r="0" b="0"/>
                <wp:wrapNone/>
                <wp:docPr id="35" name="Frame34"/>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Owen Mumford Acquisition</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On May 15, 2026, we acquired Owen Mumford, a UK-based innovator and manufacturer of medical devices and drug-delivery technologies for an upfront cash payment of £126.0 million, which included a payment for estimated acquired cash and equivalents. The final purchase price is subject to a working capital adjustment to be finalized in a future period. We will also make a payment of up to £50.0 million upon the achievement of certain commercial milestones related to sales of the Aidaptus® next-generation auto-injector platform. The U.S. dollar equivalents, as of the acquisition date, for the upfront cash payment and potential future milestone payments were $169.9 million and $67.4 million, respectively.</w:t>
      </w:r>
    </w:p>
    <w:p>
      <w:pPr>
        <w:pStyle w:val="TextBody"/>
        <w:bidi w:val="0"/>
        <w:spacing w:lineRule="auto" w:line="276" w:before="180" w:after="120"/>
        <w:jc w:val="left"/>
        <w:rPr>
          <w:rFonts w:ascii="Times New Roman;serif" w:hAnsi="Times New Roman;serif"/>
          <w:b/>
          <w:i/>
          <w:color w:val="000000"/>
          <w:sz w:val="20"/>
        </w:rPr>
      </w:pPr>
      <w:r>
        <w:rPr>
          <w:rFonts w:ascii="Times New Roman;serif" w:hAnsi="Times New Roman;serif"/>
          <w:b/>
          <w:i/>
          <w:color w:val="000000"/>
          <w:sz w:val="20"/>
        </w:rPr>
        <w:t xml:space="preserve">Access to Capital and Credit Ratings </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In May 2026, Moody’s Investor Services and Standard &amp; Poor’s Ratings Services published updates to our credit ratings. Our current Moody's Investors Services credit rating is B3 and our Standard &amp; Poor's Rating Services credit rating is B.</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Cash and equivalents and restricted cash were $218.2 million as of June 30, 2026 as compared to $228.6 million as of September 30, 2025.</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primary uses of cash that contributed to the $10.4 million decrease were:</w:t>
      </w:r>
    </w:p>
    <w:tbl>
      <w:tblPr>
        <w:tblW w:w="6335" w:type="dxa"/>
        <w:jc w:val="left"/>
        <w:tblInd w:w="0" w:type="dxa"/>
        <w:tblLayout w:type="fixed"/>
        <w:tblCellMar>
          <w:top w:w="28" w:type="dxa"/>
          <w:left w:w="28" w:type="dxa"/>
          <w:bottom w:w="28" w:type="dxa"/>
          <w:right w:w="28" w:type="dxa"/>
        </w:tblCellMar>
      </w:tblPr>
      <w:tblGrid>
        <w:gridCol w:w="1968"/>
        <w:gridCol w:w="1725"/>
        <w:gridCol w:w="1736"/>
        <w:gridCol w:w="196"/>
        <w:gridCol w:w="556"/>
        <w:gridCol w:w="154"/>
      </w:tblGrid>
      <w:tr>
        <w:trPr/>
        <w:tc>
          <w:tcPr>
            <w:tcW w:w="1968"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September 30, 2025 Cash and equivalents and restricted cash balance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for investing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financing activities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equivalents and restricted cash</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 Cash and equivalents and restricted cash balance</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218.2 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was primarily attributable to:</w:t>
      </w:r>
    </w:p>
    <w:tbl>
      <w:tblPr>
        <w:tblW w:w="10205" w:type="dxa"/>
        <w:jc w:val="left"/>
        <w:tblInd w:w="0" w:type="dxa"/>
        <w:tblLayout w:type="fixed"/>
        <w:tblCellMar>
          <w:top w:w="28" w:type="dxa"/>
          <w:left w:w="28" w:type="dxa"/>
          <w:bottom w:w="28" w:type="dxa"/>
          <w:right w:w="28" w:type="dxa"/>
        </w:tblCellMar>
      </w:tblPr>
      <w:tblGrid>
        <w:gridCol w:w="3398"/>
        <w:gridCol w:w="2978"/>
        <w:gridCol w:w="3011"/>
        <w:gridCol w:w="196"/>
        <w:gridCol w:w="466"/>
        <w:gridCol w:w="156"/>
      </w:tblGrid>
      <w:tr>
        <w:trPr/>
        <w:tc>
          <w:tcPr>
            <w:tcW w:w="3398" w:type="dxa"/>
            <w:tcBorders/>
            <w:vAlign w:val="center"/>
          </w:tcPr>
          <w:p>
            <w:pPr>
              <w:pStyle w:val="TableContents"/>
              <w:bidi w:val="0"/>
              <w:spacing w:before="0" w:after="283"/>
              <w:jc w:val="left"/>
              <w:rPr>
                <w:sz w:val="4"/>
                <w:szCs w:val="4"/>
              </w:rPr>
            </w:pPr>
            <w:r>
              <w:rPr>
                <w:sz w:val="4"/>
                <w:szCs w:val="4"/>
              </w:rPr>
            </w:r>
          </w:p>
        </w:tc>
        <w:tc>
          <w:tcPr>
            <w:tcW w:w="2978" w:type="dxa"/>
            <w:tcBorders/>
            <w:vAlign w:val="center"/>
          </w:tcPr>
          <w:p>
            <w:pPr>
              <w:pStyle w:val="TableContents"/>
              <w:bidi w:val="0"/>
              <w:spacing w:before="0" w:after="283"/>
              <w:jc w:val="left"/>
              <w:rPr>
                <w:sz w:val="4"/>
                <w:szCs w:val="4"/>
              </w:rPr>
            </w:pPr>
            <w:r>
              <w:rPr>
                <w:sz w:val="4"/>
                <w:szCs w:val="4"/>
              </w:rPr>
            </w:r>
          </w:p>
        </w:tc>
        <w:tc>
          <w:tcPr>
            <w:tcW w:w="30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related to depreciation and amortization, impairment of property, plant and equipment, gain on sale of certain intellectual property rights and long-lived assets, stock-based compensation, and deferred income taxes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accounts payable and accrued expenses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trade receivables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inventories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vAlign w:val="center"/>
          </w:tcPr>
          <w:p>
            <w:pPr>
              <w:pStyle w:val="TableContents"/>
              <w:bidi w:val="0"/>
              <w:spacing w:before="0" w:after="283"/>
              <w:jc w:val="left"/>
              <w:rPr>
                <w:sz w:val="4"/>
                <w:szCs w:val="4"/>
              </w:rPr>
            </w:pPr>
            <w:r>
              <w:rPr>
                <w:sz w:val="4"/>
                <w:szCs w:val="4"/>
              </w:rPr>
            </w:r>
          </w:p>
        </w:tc>
        <w:tc>
          <w:tcPr>
            <w:tcW w:w="818" w:type="dxa"/>
            <w:gridSpan w:val="3"/>
            <w:tcBorders/>
            <w:vAlign w:val="center"/>
          </w:tcPr>
          <w:p>
            <w:pPr>
              <w:pStyle w:val="TableContents"/>
              <w:bidi w:val="0"/>
              <w:spacing w:before="0" w:after="283"/>
              <w:jc w:val="left"/>
              <w:rPr>
                <w:sz w:val="4"/>
                <w:szCs w:val="4"/>
              </w:rPr>
            </w:pPr>
            <w:r>
              <w:rPr>
                <w:sz w:val="4"/>
                <w:szCs w:val="4"/>
              </w:rPr>
            </w:r>
          </w:p>
        </w:tc>
      </w:tr>
      <w:tr>
        <w:trPr/>
        <w:tc>
          <w:tcPr>
            <w:tcW w:w="9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prepaid expenses and other</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income and other net taxes payable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 in other assets and liabilities, net</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90.1 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accounts payable and accrued expenses is primarily attributed to timing of payments to vendors and annual bonus payments.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trade receivables is primarily attributed to the timing of sales and receivables factored.</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 change in inventories is primarily attributed to timing of purchases, production, and sales of our inventories.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Certain amounts previously presented within Amounts due from Becton, Dickinson and Company and Amounts due to Becton, Dickinson and Company are presented within Trade receivables, net and Accounts Payable, respectively, beginning October 1, 2025 within the Condensed Consolidated Balance Sheets. Changes in working capital associated with the agreements referenced in Note 4 to the Condensed Consolidated Financial Statements are reflected within the change in trade receivables and accounts payable and accrued expenses, respectively.</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prepaid expenses and other is primarily attributed to timing of payments to vendors.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34060"/>
                <wp:effectExtent l="0" t="0" r="0" b="0"/>
                <wp:wrapNone/>
                <wp:docPr id="36" name="Frame35"/>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income and other net taxes payable is primarily attributed to timing of required tax payments.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change in other assets and liabilities, net is primarily attributed to costs capitalized attributed to cloud computing arrangements.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All other movements related to working capital were due to timing of payments and receipts of cash in the ordinary course of business.</w:t>
      </w:r>
    </w:p>
    <w:p>
      <w:pPr>
        <w:pStyle w:val="TextBody"/>
        <w:bidi w:val="0"/>
        <w:spacing w:lineRule="auto" w:line="268" w:before="120" w:after="12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for the nine months ended June 30, 2026 was driven by cash paid, net of cash acquired, of $128.4 million to consummate the acquisition of Owen Mumford and capital expenditures of $2.2 million to support our business and operations. This was offset by proceeds from the sale of certain intellectual property rights and long-lived assets of $10.1 million.</w:t>
      </w:r>
    </w:p>
    <w:p>
      <w:pPr>
        <w:pStyle w:val="TextBody"/>
        <w:bidi w:val="0"/>
        <w:spacing w:lineRule="auto" w:line="268" w:before="240" w:after="120"/>
        <w:jc w:val="both"/>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 was primarily attributable to:</w:t>
      </w:r>
    </w:p>
    <w:tbl>
      <w:tblPr>
        <w:tblW w:w="5705" w:type="dxa"/>
        <w:jc w:val="left"/>
        <w:tblInd w:w="0" w:type="dxa"/>
        <w:tblLayout w:type="fixed"/>
        <w:tblCellMar>
          <w:top w:w="28" w:type="dxa"/>
          <w:left w:w="28" w:type="dxa"/>
          <w:bottom w:w="28" w:type="dxa"/>
          <w:right w:w="28" w:type="dxa"/>
        </w:tblCellMar>
      </w:tblPr>
      <w:tblGrid>
        <w:gridCol w:w="1742"/>
        <w:gridCol w:w="1530"/>
        <w:gridCol w:w="1542"/>
        <w:gridCol w:w="196"/>
        <w:gridCol w:w="541"/>
        <w:gridCol w:w="154"/>
      </w:tblGrid>
      <w:tr>
        <w:trPr/>
        <w:tc>
          <w:tcPr>
            <w:tcW w:w="1742" w:type="dxa"/>
            <w:tcBorders/>
            <w:vAlign w:val="center"/>
          </w:tcPr>
          <w:p>
            <w:pPr>
              <w:pStyle w:val="TableContents"/>
              <w:bidi w:val="0"/>
              <w:spacing w:before="0" w:after="283"/>
              <w:jc w:val="left"/>
              <w:rPr>
                <w:sz w:val="4"/>
                <w:szCs w:val="4"/>
              </w:rPr>
            </w:pPr>
            <w:r>
              <w:rPr>
                <w:sz w:val="4"/>
                <w:szCs w:val="4"/>
              </w:rPr>
            </w:r>
          </w:p>
        </w:tc>
        <w:tc>
          <w:tcPr>
            <w:tcW w:w="1530"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payments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long-term debt</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on drawdown of revolving credit facility</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revolving credit facility</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related to tax withholding for stock-based compensation</w:t>
            </w:r>
          </w:p>
        </w:tc>
        <w:tc>
          <w:tcPr>
            <w:tcW w:w="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finance lease</w:t>
            </w:r>
          </w:p>
        </w:tc>
        <w:tc>
          <w:tcPr>
            <w:tcW w:w="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financing activities</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120"/>
        <w:jc w:val="both"/>
        <w:rPr>
          <w:rFonts w:ascii="Times New Roman;serif" w:hAnsi="Times New Roman;serif"/>
          <w:b/>
          <w:i/>
          <w:color w:val="000000"/>
          <w:sz w:val="20"/>
        </w:rPr>
      </w:pPr>
      <w:r>
        <w:rPr>
          <w:rFonts w:ascii="Times New Roman;serif" w:hAnsi="Times New Roman;serif"/>
          <w:b/>
          <w:i/>
          <w:color w:val="000000"/>
          <w:sz w:val="20"/>
        </w:rPr>
        <w:t>Contractual Obligations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contractual obligations as of June 30, 2026, which require material cash requirements in the future, consist of purchase obligations and lease obligations. Purchase obligations are enforceable and legally binding obligations for purchases of goods and services which include inventory purchase commitments. Over the next several years, we expect to incur material costs associated with operating and maintaining our information technology infrastructure. Lease obligations include lease agreements for which a contract has been signed even if the lease has not yet commenced. Refer to "Item 7. Management's Discussion and Analysis of Financial Condition and Results of Operations" in the 2025 Form 10-K for further details. As of June 30, 2026, there have been no material changes to our contractual obligations outside the ordinary course of business.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Our significant accounting policies, which include management’s best estimates and judgments, are included in Note 2 to the Consolidated Financial Statements included in the 2025 Form 10-K. A discussion of accounting estimates considered critical because of the potential for a significant impact on the financial statements due to the inherent uncertainty in such estimates are disclosed in the Critical Accounting Policies section of Management’s Discussion and Analysis of Financial Condition and Results of Operations included in the 2025 Form 10-K. There have been no changes to our critical accounting policies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 xml:space="preserve">Cautionary Statements Regarding Forward-Looking Statements </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This Quarterly Report on Form 10-Q contains statements that constitute forward-looking statements under the Private Securities Litigation Reform Act of 1995 and other securities laws. Forward-looking statements include those containing such words as “anticipates,” “believes,” "can," “could,” “estimates,” “expects,” “forecasts,” “goal,” “guidance,” “intends,” “may,” “outlook,” “plans,” "possible,"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Embecta's stock repurchase plan, the impact of the OM acquisition, expectations related to the impact of incremental tariffs, brand transition, future product development, anticipated product and regulatory clearances, approvals, and launches, competitive position and expenditures. Forward-looking statements are based upon our present intent, beliefs or expectations, are not guarantees of future performance and are subject to numerous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34060"/>
                <wp:effectExtent l="0" t="0" r="0" b="0"/>
                <wp:wrapNone/>
                <wp:docPr id="37" name="Frame36"/>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Competitive factors that could adversely affect Embecta’s operations, including adoption of new drug therapies for treatment of diabetes, new product introductions by Embecta’s competitors, the development of new technologies, lower cost producers that create pricing pressure, and consolidation resulting in companies with greater scale and market presence than Embecta.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The risk that Embecta is unable to replace the services, including the Business Continuity Processes, that BD currently provides to it on substantially similar terms as the terms on which BD is providing these services under the transaction agreements or that BD terminates such services.</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Any failure by BD to perform its obligations under the various separation agreements entered into in connection with the Separation and distribution, including the cannula supply agreement.</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Any events that adversely affect the sale or profitability of Embecta’s products or the revenue delivered from sales to its customers, including if these customers reduce the amount of product that they purchase from Embecta, reduce the amount that they are willing to pay for such products, or increase charges to distribute such products.</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Increases in operating costs, including costs incurred from the tariffs instituted by the U.S. government and certain foreign governments on raw materials and products, fluctuations in the cost and availability of oil-based resins, other raw materials, and energy as well as certain components, used in its products, the ability to maintain favorable supplier arrangements and relationships, and the potential adverse effects of any disruption in the availability of such items.</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The risk that as a result of the global trade environment from tariffs, certain foreign governments, private purchasers and other customers in certain countries may consider transitioning away from products originating from certain countries (including the U.S.) in favor of buying “local” products and local manufacturers and competitors may attempt to capitalize on these sentiments and participate in aggressive competitive pricing or other strategies to transition, or divert, current and potential customers away Embecta.</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Embecta’s ability to obtain clearance from the U.S. Food and Drug Administration of any product, to market and sell such products successfully, to anticipate the needs of people with diabetes, and future business decisions by Embecta and its competitors.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Changes in reimbursement practices of governments or private payers or other cost containment measures.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The adverse financial impact resulting from unfavorable changes in foreign currency exchange rates, as well as regional, national and foreign economic factors, including inflation, deflation, and fluctuations in interest rates, and their potential effect on its operating performance.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The impact of changes in United States, federal laws and policy that could affect fiscal and tax policies, healthcare and international trade, including import and export regulation, tariffs and international trade agreements. In particular, tariffs or other trade barriers imposed by the United States or other countries could adversely impact its supply chain costs or otherwise adversely impact its results of operations.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Any future impact of pandemics or geopolitical instability, including conflicts in the Middle East, on Embecta’s business, including disruptions in its operations and supply chains.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The expected benefits of the Separation from BD.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Risks associated with indebtedness and our use of indebtedness available to us, including risks due to restrictions contained in our amended Credit Agreement.</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 xml:space="preserve">The risk that ongoing dis-synergy costs, costs of restructuring and other costs incurred in connection with the Separation will exceed Embecta's estimates. </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The impact of the Separation on Embecta's businesses and the risk that the Separation, including brand transition timelines and efforts, may be more difficult, time-consuming or costly than expected, the impact on its resources, systems, including ERP, procedures and controls, diversion of management’s attention and the impact on relationships with customers, suppliers, employees and other business counterparties.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34060"/>
                <wp:effectExtent l="0" t="0" r="0" b="0"/>
                <wp:wrapNone/>
                <wp:docPr id="38" name="Frame37"/>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Embecta’s ability to timely and successfully complete the brand transition, including any resulting regulatory delays of transferring or obtaining registrations and licenses in the “Embecta” name, interruptions in, or customer confusion from, the replacement and transfer of the rebranded product into the current commercialization, supply and distribution networks, or other issues arising out of system, supply chain logistics, administrative and adjudicative operations transitions in the end-to-end product flow and end-user access.</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Potential actions resulting from our review of our cost structure and organizational footprint.</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Embecta's ability to continue to return capital to our stockholders through the payment of cash dividends and/or the repurchase of our common stock.</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Embecta's ability to integrate the acquired Owen Mumford business successfully into our business and achieve the expected benefits of the acquisition.</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Risks associated with the putative securities class action filed in June 2026 or any other litigation.</w:t>
      </w:r>
    </w:p>
    <w:p>
      <w:pPr>
        <w:pStyle w:val="TextBody"/>
        <w:bidi w:val="0"/>
        <w:spacing w:lineRule="auto" w:line="276" w:before="120" w:after="120"/>
        <w:ind w:left="0" w:right="0" w:hanging="360"/>
        <w:jc w:val="both"/>
        <w:rPr/>
      </w:pPr>
      <w:r>
        <w:rPr>
          <w:color w:val="000000"/>
        </w:rPr>
        <w:t>•</w:t>
      </w:r>
      <w:r>
        <w:rPr>
          <w:rFonts w:ascii="Times New Roman;serif" w:hAnsi="Times New Roman;serif"/>
          <w:b w:val="false"/>
          <w:color w:val="000000"/>
          <w:sz w:val="20"/>
        </w:rPr>
        <w:t>The risk that we may not complete strategic collaborative partnerships and acquisition opportunities, in the expected time frames and in a way that enable us to accelerate our growth or strategic collaborative opportunities that give us access to innovative technologies, complementary product lines, and new markets.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There can be no assurance that the transactions or uncertainties described above will in fact be consummated or occur in the manner described or at all. As a result, you should not place undue reliance upon our forward-looking statements. The above list of factors is not exhaustive or necessarily in order of importance. For additional information on identifying factors that may cause actual results to vary materially from those stated in forward-looking statements, see the discussions under “Risk Factors,” both in Part II, Item 1A below and included within the 2025 Form 10-K. Any forward-looking statement speaks only as of the date on which it is made, and Embecta expressly disclaims and assumes no obligation to update or revise such statement, whether as a result of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34060"/>
                <wp:effectExtent l="0" t="0" r="0" b="0"/>
                <wp:wrapNone/>
                <wp:docPr id="39" name="Frame38"/>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information reported since the filing of the 2025 Form 10-K except as follows: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Foreign Currency Exchange and Other Rate Risks</w:t>
      </w:r>
    </w:p>
    <w:p>
      <w:pPr>
        <w:pStyle w:val="TextBody"/>
        <w:bidi w:val="0"/>
        <w:spacing w:lineRule="auto" w:line="276" w:before="60" w:after="60"/>
        <w:jc w:val="both"/>
        <w:rPr>
          <w:rFonts w:ascii="Times New Roman;serif" w:hAnsi="Times New Roman;serif"/>
          <w:b w:val="false"/>
          <w:color w:val="000000"/>
          <w:sz w:val="20"/>
        </w:rPr>
      </w:pPr>
      <w:r>
        <w:rPr>
          <w:rFonts w:ascii="Times New Roman;serif" w:hAnsi="Times New Roman;serif"/>
          <w:b w:val="false"/>
          <w:color w:val="000000"/>
          <w:sz w:val="20"/>
        </w:rPr>
        <w:t>We operate on a global basis and are exposed to the risk that changes in foreign currency exchange rates could adversely affect our financial condition, results of operations and cash flows.</w:t>
      </w:r>
    </w:p>
    <w:p>
      <w:pPr>
        <w:pStyle w:val="TextBody"/>
        <w:bidi w:val="0"/>
        <w:spacing w:lineRule="auto" w:line="276" w:before="60" w:after="60"/>
        <w:jc w:val="both"/>
        <w:rPr/>
      </w:pPr>
      <w:r>
        <w:rPr>
          <w:rFonts w:ascii="Times New Roman;serif" w:hAnsi="Times New Roman;serif"/>
          <w:b w:val="false"/>
          <w:color w:val="000000"/>
          <w:sz w:val="20"/>
        </w:rPr>
        <w:t xml:space="preserve">From time to time, we enter into foreign currency forward exchange contracts with major financial institutions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 Refer to Note 18, </w:t>
      </w:r>
      <w:r>
        <w:rPr>
          <w:rFonts w:ascii="Times New Roman;serif" w:hAnsi="Times New Roman;serif"/>
          <w:b w:val="false"/>
          <w:i/>
          <w:color w:val="000000"/>
          <w:sz w:val="20"/>
        </w:rPr>
        <w:t xml:space="preserve">Financial Instruments and Fair Value Measurements </w:t>
      </w:r>
      <w:r>
        <w:rPr>
          <w:rFonts w:ascii="Times New Roman;serif" w:hAnsi="Times New Roman;serif"/>
          <w:b w:val="false"/>
          <w:color w:val="000000"/>
          <w:sz w:val="20"/>
        </w:rPr>
        <w:t>of the Notes to Condensed Consolidated Financial Statements for further information.</w:t>
      </w:r>
    </w:p>
    <w:p>
      <w:pPr>
        <w:pStyle w:val="TextBody"/>
        <w:bidi w:val="0"/>
        <w:spacing w:lineRule="auto" w:line="276" w:before="60" w:after="60"/>
        <w:jc w:val="both"/>
        <w:rPr>
          <w:rFonts w:ascii="Times New Roman;serif" w:hAnsi="Times New Roman;serif"/>
          <w:b w:val="false"/>
          <w:color w:val="000000"/>
          <w:sz w:val="20"/>
        </w:rPr>
      </w:pPr>
      <w:r>
        <w:rPr>
          <w:rFonts w:ascii="Times New Roman;serif" w:hAnsi="Times New Roman;serif"/>
          <w:b w:val="false"/>
          <w:color w:val="000000"/>
          <w:sz w:val="20"/>
        </w:rPr>
        <w:t xml:space="preserve">Consequently, foreign currency exchange contracts would not subject us to material risk due to exchange rate movements, because gains and losses on these contracts offset gains and losses on the assets, liabilities or transactions being hedged. </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76" w:before="120" w:after="120"/>
        <w:jc w:val="both"/>
        <w:rPr/>
      </w:pP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 Our interest rate risk relates primarily to our Term Loan and Revolving Credit Facility. The interest rate is set at 300 basis points over SOFR, with a 0.50% SOFR floor. Based on our outstanding borrowings at June 30, 2026, a 100 basis points change in interest rates would have impacted interest expense on the Term Loan and Revolving Credit Facility by $7.7 million on an annualized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34060"/>
                <wp:effectExtent l="0" t="0" r="0" b="0"/>
                <wp:wrapNone/>
                <wp:docPr id="40" name="Frame39"/>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240" w:after="120"/>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An evaluation was carried out by Embecta's management, with the participation of the Company's Chief Executive Officer and Chief Financial Officer, of the effectiveness of the design and operation of Embecta's disclosure controls and procedures (as defined in Rule 13a-15(e) under the Securities Exchange Act of 1934, as amended). Based upon that evaluation as of June 30, 2026, the Company's Chief Executive Officer and Chief Financial Officer each concluded that the design and operation of these disclosure controls and procedures were, as of the end of the period covered by this report, effective and ensure that material information relating to Embecta and its consolidated subsidiaries would be made known to them by others within these entities.</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changes in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34060"/>
                <wp:effectExtent l="0" t="0" r="0" b="0"/>
                <wp:wrapNone/>
                <wp:docPr id="41" name="Frame40"/>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PART II. OTHER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to Embecta’s risk factors from those described in “Risk Factors” included within the 2025 Form 10-K and Embecta's Quarterly Report on Form 10-Q for the quarter ended March 31, 2026 filed with the Securities and Exchange Commission on May 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 xml:space="preserve">Item 2. Unregistered Sales of Equity Securities and Use of Proceeds. </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 xml:space="preserve">Recent Sales of Unregistered Securities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There were no unregistered sales of equity securities during the period covered by this report. </w:t>
      </w:r>
    </w:p>
    <w:p>
      <w:pPr>
        <w:pStyle w:val="TextBody"/>
        <w:bidi w:val="0"/>
        <w:spacing w:lineRule="auto" w:line="276" w:before="240" w:after="120"/>
        <w:jc w:val="left"/>
        <w:rPr>
          <w:rFonts w:ascii="Times New Roman;serif" w:hAnsi="Times New Roman;serif"/>
          <w:b/>
          <w:color w:val="000000"/>
          <w:sz w:val="20"/>
        </w:rPr>
      </w:pPr>
      <w:r>
        <w:rPr>
          <w:rFonts w:ascii="Times New Roman;serif" w:hAnsi="Times New Roman;serif"/>
          <w:b/>
          <w:color w:val="000000"/>
          <w:sz w:val="20"/>
        </w:rPr>
        <w:t xml:space="preserve">Issuer Purchases of Equity Securities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following discloses our stock repurchase activity for the three months ended June 30, 2026:</w:t>
      </w:r>
    </w:p>
    <w:tbl>
      <w:tblPr>
        <w:tblW w:w="10205" w:type="dxa"/>
        <w:jc w:val="left"/>
        <w:tblInd w:w="0" w:type="dxa"/>
        <w:tblLayout w:type="fixed"/>
        <w:tblCellMar>
          <w:top w:w="28" w:type="dxa"/>
          <w:left w:w="28" w:type="dxa"/>
          <w:bottom w:w="28" w:type="dxa"/>
          <w:right w:w="28" w:type="dxa"/>
        </w:tblCellMar>
      </w:tblPr>
      <w:tblGrid>
        <w:gridCol w:w="421"/>
        <w:gridCol w:w="371"/>
        <w:gridCol w:w="374"/>
        <w:gridCol w:w="109"/>
        <w:gridCol w:w="109"/>
        <w:gridCol w:w="109"/>
        <w:gridCol w:w="453"/>
        <w:gridCol w:w="453"/>
        <w:gridCol w:w="454"/>
        <w:gridCol w:w="109"/>
        <w:gridCol w:w="109"/>
        <w:gridCol w:w="109"/>
        <w:gridCol w:w="289"/>
        <w:gridCol w:w="688"/>
        <w:gridCol w:w="160"/>
        <w:gridCol w:w="109"/>
        <w:gridCol w:w="109"/>
        <w:gridCol w:w="109"/>
        <w:gridCol w:w="792"/>
        <w:gridCol w:w="792"/>
        <w:gridCol w:w="794"/>
        <w:gridCol w:w="109"/>
        <w:gridCol w:w="109"/>
        <w:gridCol w:w="109"/>
        <w:gridCol w:w="722"/>
        <w:gridCol w:w="1555"/>
        <w:gridCol w:w="579"/>
      </w:tblGrid>
      <w:tr>
        <w:trPr/>
        <w:tc>
          <w:tcPr>
            <w:tcW w:w="42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r>
      <w:tr>
        <w:trPr/>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Total Number of Shares Purchased as Part of Publicly Announced Plans or Programs </w:t>
            </w:r>
            <w:r>
              <w:rPr>
                <w:rFonts w:ascii="Times New Roman;serif" w:hAnsi="Times New Roman;serif"/>
                <w:b/>
                <w:color w:val="000000"/>
                <w:sz w:val="12"/>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Approximate Dollar Value of Shares that May Yet Be Purchased under the Plans or Programs (in millions)</w:t>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1,327,938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5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1,356,644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5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2,684,582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In May 2026, the Company announced that the Board of Directors approved a three-year $100.0 million stock repurchase plan. Repurchases may be made from time to time over the three year period at management's discretion through open market transactions, privately negotiated transactions, or pursuant to a trading plan adopted in accordance with Rule 10b5-1 under the Securities Exchange Act of 1934, as amended (the "Exchange Act"), or otherwise in compliance with Rule 10b-18 under the Exchange Act. The manner, timing, and amount of any repurchases will depend on market conditions, share price, applicable legal requirements, and other factors. The program does not obligate the Company to repurchase any specific dollar amount or number of shares and may be modified, suspended, or discontinued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360" w:after="120"/>
        <w:jc w:val="left"/>
        <w:rPr>
          <w:rFonts w:ascii="Times New Roman;serif" w:hAnsi="Times New Roman;serif"/>
          <w:b/>
          <w:color w:val="000000"/>
          <w:sz w:val="20"/>
        </w:rPr>
      </w:pPr>
      <w:r>
        <w:rPr>
          <w:rFonts w:ascii="Times New Roman;serif" w:hAnsi="Times New Roman;serif"/>
          <w:b/>
          <w:color w:val="000000"/>
          <w:sz w:val="20"/>
        </w:rPr>
        <w:t xml:space="preserve">Item 5. Other Information. </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Entry into a Material Definitive Agreement.</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6, 2026, the Company, the other co-borrowers party thereto, the guarantors party thereto, the lenders party thereto, each L/C Issuer party thereto, and Morgan Stanley Senior Funding, Inc. (“Morgan Stanley”), as administrative agent and collateral agent, entered into the First Amendment to First Lien Credit Agreement (the “First Amendment”), which amends that certain First Lien Credit Agreement, dated as of March 31, 2022 (as amended, restated, supplemented or modified prior to the date of the First Amendment, the “Existing Credit Agreement” and, as amended by the First Amendment, the “Amended Credit Agreement”), among, among others, the Company, the lenders from time to time party thereto, and Morgan Stanley, as administrative agent, collateral agent and an L/C Issuer. </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First Amendment effects an extension of a portion of the revolving credit commitments under the Existing Credit Agreement. In connection therewith, the First Amendment provides for, among other things:</w:t>
      </w:r>
    </w:p>
    <w:p>
      <w:pPr>
        <w:pStyle w:val="TextBody"/>
        <w:bidi w:val="0"/>
        <w:spacing w:lineRule="auto" w:line="276" w:before="120" w:after="120"/>
        <w:jc w:val="both"/>
        <w:rPr/>
      </w:pPr>
      <w:r>
        <w:rPr>
          <w:rFonts w:ascii="Times New Roman;serif" w:hAnsi="Times New Roman;serif"/>
          <w:b w:val="false"/>
          <w:i/>
          <w:color w:val="000000"/>
          <w:sz w:val="20"/>
        </w:rPr>
        <w:t>Reduction of Revolving Credit Commitments.</w:t>
      </w:r>
      <w:r>
        <w:rPr>
          <w:color w:val="000000"/>
        </w:rPr>
        <w:t xml:space="preserve"> </w:t>
      </w:r>
      <w:r>
        <w:rPr>
          <w:rFonts w:ascii="Times New Roman;serif" w:hAnsi="Times New Roman;serif"/>
          <w:b w:val="false"/>
          <w:color w:val="000000"/>
          <w:sz w:val="20"/>
        </w:rPr>
        <w:t>Following the effectiveness of the First Amendment, the aggregate revolving credit commitments under the Amended Credit Agreement have been reduced from $500 million to $310 million.</w:t>
      </w:r>
    </w:p>
    <w:p>
      <w:pPr>
        <w:pStyle w:val="TextBody"/>
        <w:bidi w:val="0"/>
        <w:spacing w:lineRule="auto" w:line="276" w:before="120" w:after="120"/>
        <w:jc w:val="both"/>
        <w:rPr/>
      </w:pPr>
      <w:r>
        <w:rPr>
          <w:rFonts w:ascii="Times New Roman;serif" w:hAnsi="Times New Roman;serif"/>
          <w:b w:val="false"/>
          <w:i/>
          <w:color w:val="000000"/>
          <w:sz w:val="20"/>
        </w:rPr>
        <w:t>Extension of a Portion of the Revolving Commitments.</w:t>
      </w:r>
      <w:r>
        <w:rPr>
          <w:color w:val="000000"/>
        </w:rPr>
        <w:t xml:space="preserve"> </w:t>
      </w:r>
      <w:r>
        <w:rPr>
          <w:rFonts w:ascii="Times New Roman;serif" w:hAnsi="Times New Roman;serif"/>
          <w:b w:val="false"/>
          <w:color w:val="000000"/>
          <w:sz w:val="20"/>
        </w:rPr>
        <w:t>Following the effectiveness of the First Amendment, $210 million of the revolving credit commitments will mature on December 30, 2028 and $100 million of the revolving credit commitments will continue to mature on March 31, 2027.</w:t>
      </w:r>
    </w:p>
    <w:p>
      <w:pPr>
        <w:pStyle w:val="TextBody"/>
        <w:bidi w:val="0"/>
        <w:spacing w:lineRule="auto" w:line="276" w:before="120" w:after="120"/>
        <w:jc w:val="both"/>
        <w:rPr/>
      </w:pPr>
      <w:r>
        <w:rPr>
          <w:rFonts w:ascii="Times New Roman;serif" w:hAnsi="Times New Roman;serif"/>
          <w:b w:val="false"/>
          <w:i/>
          <w:color w:val="000000"/>
          <w:sz w:val="20"/>
        </w:rPr>
        <w:t>Interest Rates and Fees.</w:t>
      </w:r>
      <w:r>
        <w:rPr>
          <w:color w:val="000000"/>
        </w:rPr>
        <w:t xml:space="preserve"> </w:t>
      </w:r>
      <w:r>
        <w:rPr>
          <w:rFonts w:ascii="Times New Roman;serif" w:hAnsi="Times New Roman;serif"/>
          <w:b w:val="false"/>
          <w:color w:val="000000"/>
          <w:sz w:val="20"/>
        </w:rPr>
        <w:t xml:space="preserve">Revolving credit loans under the extended tranche of revolving credit commitments will bear interest at a rate per annum equal to, at the Company’s option, (a) Term SOFR plus 3.50% for SOFR Loans or (b) the Alternate Base Rate plus 2.50% for ABR Loans (compared to interest at a rate per annum equal to, at the Company’s option, (i) Term SOFR plus 3.00% for SOFR Loans or (ii) the Alternate Base Rate plus 2.00% for ABR Loans for revolving credit loans under the non-extended tranche of revolving credit commitments).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34060"/>
                <wp:effectExtent l="0" t="0" r="0" b="0"/>
                <wp:wrapNone/>
                <wp:docPr id="42" name="Frame41"/>
                <a:graphic xmlns:a="http://schemas.openxmlformats.org/drawingml/2006/main">
                  <a:graphicData uri="http://schemas.microsoft.com/office/word/2010/wordprocessingShape">
                    <wps:wsp>
                      <wps:cNvSpPr txBox="1"/>
                      <wps:spPr>
                        <a:xfrm>
                          <a:off x="0" y="0"/>
                          <a:ext cx="6480175" cy="7340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both"/>
        <w:rPr/>
      </w:pPr>
      <w:r>
        <w:rPr>
          <w:rFonts w:ascii="Times New Roman;serif" w:hAnsi="Times New Roman;serif"/>
          <w:b w:val="false"/>
          <w:i/>
          <w:color w:val="000000"/>
          <w:sz w:val="20"/>
        </w:rPr>
        <w:t>Financial Covenants.</w:t>
      </w:r>
      <w:r>
        <w:rPr>
          <w:color w:val="000000"/>
        </w:rPr>
        <w:t xml:space="preserve"> </w:t>
      </w:r>
      <w:r>
        <w:rPr>
          <w:rFonts w:ascii="Times New Roman;serif" w:hAnsi="Times New Roman;serif"/>
          <w:b w:val="false"/>
          <w:color w:val="000000"/>
          <w:sz w:val="20"/>
        </w:rPr>
        <w:t>The Amended Credit Agreement includes, with respect to the revolving credit facility, (a) a maximum Consolidated First Lien Net Leverage Ratio covenant, stepping down from 4.75 to 1.00 through June 30, 2027 to 3.75 to 1.00 on and after April 1, 2028, and (b) a minimum Consolidated Interest Coverage Ratio covenant, stepping up from 2.50 to 1.00 through September 30, 2027 to 3.00 to 1.00 on and after January 1, 2028. The Company is also required to deliver monthly liquidity forecasts and account balance reports to the revolving lenders until the maturity date of the extended revolving credit commitments.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Pursuant to the First Amendment, the Amended Credit Agreement contains negative covenants and obligations on the Company and its subsidiaries that are more restrictive on them than those contained in the Existing Credit Agreement. Accordingly, the more stringent covenants contained in the Amended Credit Agreement may make it more difficult for the Company to successfully execute its business strategy, invest in its growth strategy, and compete against companies that are not subject to such restrictions.</w:t>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The foregoing description of the First Amendment and the Amended Credit Agreement does not purport to be complete and is qualified in its entirety by reference to the First Amendment, a copy of which is filed as Exhibit 10.2 to this Quarterly Report on Form 10-Q and is incorporated herein by reference. Capitalized terms used in this Quarterly Report on Form 10-Q without definition have the meanings assigned thereto in the Amended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 xml:space="preserve">Item 6. Exhibits. </w:t>
      </w:r>
    </w:p>
    <w:tbl>
      <w:tblPr>
        <w:tblW w:w="10205" w:type="dxa"/>
        <w:jc w:val="center"/>
        <w:tblInd w:w="0" w:type="dxa"/>
        <w:tblLayout w:type="fixed"/>
        <w:tblCellMar>
          <w:top w:w="28" w:type="dxa"/>
          <w:left w:w="28" w:type="dxa"/>
          <w:bottom w:w="28" w:type="dxa"/>
          <w:right w:w="28" w:type="dxa"/>
        </w:tblCellMar>
      </w:tblPr>
      <w:tblGrid>
        <w:gridCol w:w="255"/>
        <w:gridCol w:w="225"/>
        <w:gridCol w:w="226"/>
        <w:gridCol w:w="109"/>
        <w:gridCol w:w="109"/>
        <w:gridCol w:w="109"/>
        <w:gridCol w:w="2928"/>
        <w:gridCol w:w="2573"/>
        <w:gridCol w:w="3671"/>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8"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3671"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6" w:before="0" w:after="10"/>
              <w:jc w:val="left"/>
              <w:rPr>
                <w:rFonts w:ascii="Times New Roman;serif" w:hAnsi="Times New Roman;serif"/>
                <w:b/>
                <w:color w:val="000000"/>
                <w:sz w:val="16"/>
              </w:rPr>
            </w:pPr>
            <w:r>
              <w:rPr>
                <w:rFonts w:ascii="Times New Roman;serif" w:hAnsi="Times New Roman;serif"/>
                <w:b/>
                <w:color w:val="000000"/>
                <w:sz w:val="16"/>
              </w:rPr>
              <w:t xml:space="preserve">Exhibit </w:t>
            </w:r>
          </w:p>
          <w:p>
            <w:pPr>
              <w:pStyle w:val="TableContents"/>
              <w:bidi w:val="0"/>
              <w:spacing w:lineRule="auto" w:line="276" w:before="0" w:after="10"/>
              <w:jc w:val="left"/>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Exhibit Description</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101.htm">
              <w:r>
                <w:rPr>
                  <w:rStyle w:val="InternetLink"/>
                  <w:rFonts w:ascii="Times New Roman;serif" w:hAnsi="Times New Roman;serif"/>
                  <w:b w:val="false"/>
                  <w:color w:val="0000FF"/>
                  <w:sz w:val="20"/>
                  <w:u w:val="single"/>
                </w:rPr>
                <w:t>Amendment No. 1 to the Embecta Corp. Directors' Deferral Plan</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102.htm">
              <w:r>
                <w:rPr>
                  <w:rStyle w:val="InternetLink"/>
                  <w:rFonts w:ascii="Times New Roman;serif" w:hAnsi="Times New Roman;serif"/>
                  <w:b w:val="false"/>
                  <w:color w:val="0000FF"/>
                  <w:sz w:val="20"/>
                  <w:u w:val="single"/>
                </w:rPr>
                <w:t>Amendment No. 1 to the Credit Agreement dated as of March 31, 2022, by and among the Company, the lenders and other parties from time to time party thereto and Morgan Stanley Senior Funding, Inc., as administrative agent, collateral agent and L/C issuer, dated as of August 6, 2026.</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311.htm">
              <w:r>
                <w:rPr>
                  <w:rStyle w:val="InternetLink"/>
                  <w:rFonts w:ascii="Times New Roman;serif" w:hAnsi="Times New Roman;serif"/>
                  <w:b w:val="false"/>
                  <w:color w:val="0000FF"/>
                  <w:sz w:val="20"/>
                  <w:u w:val="single"/>
                </w:rPr>
                <w:t>Certification of Chief Executive Officer, pursuant to SEC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312.htm">
              <w:r>
                <w:rPr>
                  <w:rStyle w:val="InternetLink"/>
                  <w:rFonts w:ascii="Times New Roman;serif" w:hAnsi="Times New Roman;serif"/>
                  <w:b w:val="false"/>
                  <w:color w:val="0000FF"/>
                  <w:sz w:val="20"/>
                  <w:u w:val="single"/>
                </w:rPr>
                <w:t>Certification of Chief Financial Officer, pursuant to SEC Rule 13a–14(a)</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321.htm">
              <w:r>
                <w:rPr>
                  <w:rStyle w:val="InternetLink"/>
                  <w:rFonts w:ascii="Times New Roman;serif" w:hAnsi="Times New Roman;serif"/>
                  <w:b w:val="false"/>
                  <w:color w:val="0000FF"/>
                  <w:sz w:val="20"/>
                  <w:u w:val="single"/>
                </w:rPr>
                <w:t>Certification of Chief Executive Officer, pursuant to Rule 13a–14(b) and Section 1350 of Chapter 63 of Title 18 of the U.S. Code</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q3202610qexhibit322.htm">
              <w:r>
                <w:rPr>
                  <w:rStyle w:val="InternetLink"/>
                  <w:rFonts w:ascii="Times New Roman;serif" w:hAnsi="Times New Roman;serif"/>
                  <w:b w:val="false"/>
                  <w:color w:val="0000FF"/>
                  <w:sz w:val="20"/>
                  <w:u w:val="single"/>
                </w:rPr>
                <w:t>Certification of Chief Financial Officer, pursuant to Rule 13a–14(b) and Section 1350 of Chapter 63 of Title 18 of the U.S. Code</w:t>
              </w:r>
            </w:hyperlink>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The following materials from this report, formatted in iXBRL (Inline eXtensible Business Reporting Language): (i) the Condensed Consolidated Statements of Income, (ii) the Condensed Consolidated Statements of Comprehensive Income, (iii) the Condensed Consolidated Balance Sheets, (iv) the Condensed Consolidated Statements of Equity, (v) the Condensed Consolidated Statements of Cash Flows, and (vi) Notes to Condensed Consolidated Financial Statements.</w:t>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2052" w:type="dxa"/>
        <w:jc w:val="left"/>
        <w:tblInd w:w="0" w:type="dxa"/>
        <w:tblLayout w:type="fixed"/>
        <w:tblCellMar>
          <w:top w:w="28" w:type="dxa"/>
          <w:left w:w="28" w:type="dxa"/>
          <w:bottom w:w="28" w:type="dxa"/>
          <w:right w:w="28" w:type="dxa"/>
        </w:tblCellMar>
      </w:tblPr>
      <w:tblGrid>
        <w:gridCol w:w="124"/>
        <w:gridCol w:w="109"/>
        <w:gridCol w:w="109"/>
        <w:gridCol w:w="499"/>
        <w:gridCol w:w="499"/>
        <w:gridCol w:w="71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Filed herewith </w:t>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71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657860"/>
                <wp:effectExtent l="0" t="0" r="0" b="0"/>
                <wp:wrapNone/>
                <wp:docPr id="43" name="Frame42"/>
                <a:graphic xmlns:a="http://schemas.openxmlformats.org/drawingml/2006/main">
                  <a:graphicData uri="http://schemas.microsoft.com/office/word/2010/wordprocessingShape">
                    <wps:wsp>
                      <wps:cNvSpPr txBox="1"/>
                      <wps:spPr>
                        <a:xfrm>
                          <a:off x="0" y="0"/>
                          <a:ext cx="6480175" cy="657860"/>
                        </a:xfrm>
                        <a:prstGeom prst="rect"/>
                        <a:solidFill>
                          <a:srgbClr val="FFFFFF"/>
                        </a:solidFill>
                      </wps:spPr>
                      <wps:txb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Layout w:type="fixed"/>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Dollar amounts are in millions except per share amounts or as otherwise specified.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76" w:before="120" w:after="340"/>
        <w:jc w:val="both"/>
        <w:rPr/>
      </w:pPr>
      <w:hyperlink w:anchor="ifb1f1ab38f974d7ea35a273a762ba045_7">
        <w:r>
          <w:rPr>
            <w:rStyle w:val="InternetLink"/>
            <w:rFonts w:ascii="Times New Roman;serif" w:hAnsi="Times New Roman;serif"/>
            <w:b/>
            <w:color w:val="000000"/>
            <w:sz w:val="20"/>
            <w:u w:val="single"/>
          </w:rPr>
          <w:t>Table of Contents</w:t>
        </w:r>
      </w:hyperlink>
    </w:p>
    <w:p>
      <w:pPr>
        <w:pStyle w:val="TextBody"/>
        <w:bidi w:val="0"/>
        <w:spacing w:lineRule="auto" w:line="276" w:before="120" w:after="120"/>
        <w:jc w:val="center"/>
        <w:rPr>
          <w:rFonts w:ascii="Times New Roman;serif" w:hAnsi="Times New Roman;serif"/>
          <w:b/>
          <w:color w:val="000000"/>
          <w:sz w:val="20"/>
        </w:rPr>
      </w:pPr>
      <w:r>
        <w:rPr>
          <w:rFonts w:ascii="Times New Roman;serif" w:hAnsi="Times New Roman;serif"/>
          <w:b/>
          <w:color w:val="000000"/>
          <w:sz w:val="20"/>
        </w:rPr>
        <w:t xml:space="preserve">SIGNATURE </w:t>
      </w:r>
    </w:p>
    <w:p>
      <w:pPr>
        <w:pStyle w:val="TextBody"/>
        <w:bidi w:val="0"/>
        <w:spacing w:lineRule="auto" w:line="276" w:before="24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265" w:type="dxa"/>
        <w:jc w:val="left"/>
        <w:tblInd w:w="0" w:type="dxa"/>
        <w:tblLayout w:type="fixed"/>
        <w:tblCellMar>
          <w:top w:w="28" w:type="dxa"/>
          <w:left w:w="28" w:type="dxa"/>
          <w:bottom w:w="28" w:type="dxa"/>
          <w:right w:w="28" w:type="dxa"/>
        </w:tblCellMar>
      </w:tblPr>
      <w:tblGrid>
        <w:gridCol w:w="683"/>
        <w:gridCol w:w="601"/>
        <w:gridCol w:w="605"/>
        <w:gridCol w:w="209"/>
        <w:gridCol w:w="209"/>
        <w:gridCol w:w="211"/>
        <w:gridCol w:w="179"/>
        <w:gridCol w:w="179"/>
        <w:gridCol w:w="179"/>
        <w:gridCol w:w="929"/>
        <w:gridCol w:w="929"/>
        <w:gridCol w:w="1352"/>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9"/>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EMBECTA CORP.</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Devdatt Kurdikar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Devdatt Kurdikar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240" w:after="120"/>
        <w:jc w:val="left"/>
        <w:rPr/>
      </w:pPr>
      <w:r>
        <w:rPr/>
      </w:r>
    </w:p>
    <w:tbl>
      <w:tblPr>
        <w:tblW w:w="6639"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109"/>
        <w:gridCol w:w="109"/>
        <w:gridCol w:w="109"/>
        <w:gridCol w:w="1124"/>
        <w:gridCol w:w="1124"/>
        <w:gridCol w:w="1591"/>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591"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Jacob Elguicze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Jacob Elguicze</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240" w:after="120"/>
        <w:jc w:val="left"/>
        <w:rPr/>
      </w:pPr>
      <w:r>
        <w:rPr/>
      </w:r>
    </w:p>
    <w:tbl>
      <w:tblPr>
        <w:tblW w:w="7494" w:type="dxa"/>
        <w:jc w:val="left"/>
        <w:tblInd w:w="0" w:type="dxa"/>
        <w:tblLayout w:type="fixed"/>
        <w:tblCellMar>
          <w:top w:w="28" w:type="dxa"/>
          <w:left w:w="28" w:type="dxa"/>
          <w:bottom w:w="28" w:type="dxa"/>
          <w:right w:w="28" w:type="dxa"/>
        </w:tblCellMar>
      </w:tblPr>
      <w:tblGrid>
        <w:gridCol w:w="667"/>
        <w:gridCol w:w="587"/>
        <w:gridCol w:w="590"/>
        <w:gridCol w:w="208"/>
        <w:gridCol w:w="208"/>
        <w:gridCol w:w="213"/>
        <w:gridCol w:w="109"/>
        <w:gridCol w:w="109"/>
        <w:gridCol w:w="109"/>
        <w:gridCol w:w="1367"/>
        <w:gridCol w:w="1367"/>
        <w:gridCol w:w="1960"/>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960"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73"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Roth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Anthony Roth</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240" w:after="120"/>
        <w:jc w:val="left"/>
        <w:rPr/>
      </w:pPr>
      <w:r>
        <w:rPr/>
      </w:r>
    </w:p>
    <w:p>
      <w:pPr>
        <w:pStyle w:val="TextBody"/>
        <w:bidi w:val="0"/>
        <w:spacing w:before="240" w:after="120"/>
        <w:jc w:val="both"/>
        <w:rPr/>
      </w:pPr>
      <w:r>
        <w:rPr/>
      </w:r>
    </w:p>
    <w:p>
      <w:pPr>
        <w:pStyle w:val="TextBody"/>
        <w:bidi w:val="0"/>
        <w:spacing w:before="24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pPr>
      <w:r>
        <w:rPr/>
        <w:drawing>
          <wp:inline distT="0" distB="0" distL="0" distR="0">
            <wp:extent cx="1095375" cy="428625"/>
            <wp:effectExtent l="0" t="0" r="0" b="0"/>
            <wp:docPr id="4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2" descr=""/>
                    <pic:cNvPicPr>
                      <a:picLocks noChangeAspect="1" noChangeArrowheads="1"/>
                    </pic:cNvPicPr>
                  </pic:nvPicPr>
                  <pic:blipFill>
                    <a:blip r:embed="rId3"/>
                    <a:stretch>
                      <a:fillRect/>
                    </a:stretch>
                  </pic:blipFill>
                  <pic:spPr bwMode="auto">
                    <a:xfrm>
                      <a:off x="0" y="0"/>
                      <a:ext cx="1095375" cy="428625"/>
                    </a:xfrm>
                    <a:prstGeom prst="rect">
                      <a:avLst/>
                    </a:prstGeom>
                  </pic:spPr>
                </pic:pic>
              </a:graphicData>
            </a:graphic>
          </wp:inline>
        </w:drawing>
      </w:r>
      <w:r>
        <w:rPr>
          <w:color w:val="000000"/>
        </w:rPr>
        <w:t xml:space="preserve"> </w:t>
      </w:r>
      <w:r>
        <w:rPr>
          <w:rFonts w:ascii="Arial;sans-serif" w:hAnsi="Arial;sans-serif"/>
          <w:b/>
          <w:color w:val="000000"/>
          <w:sz w:val="24"/>
        </w:rPr>
        <w:t>Ex. 10.1</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93040"/>
                <wp:effectExtent l="0" t="0" r="0" b="0"/>
                <wp:wrapNone/>
                <wp:docPr id="45" name="Frame43"/>
                <a:graphic xmlns:a="http://schemas.openxmlformats.org/drawingml/2006/main">
                  <a:graphicData uri="http://schemas.microsoft.com/office/word/2010/wordprocessingShape">
                    <wps:wsp>
                      <wps:cNvSpPr txBox="1"/>
                      <wps:spPr>
                        <a:xfrm>
                          <a:off x="0" y="0"/>
                          <a:ext cx="6480175" cy="193040"/>
                        </a:xfrm>
                        <a:prstGeom prst="rect"/>
                        <a:solidFill>
                          <a:srgbClr val="FFFFFF"/>
                        </a:solidFill>
                      </wps:spPr>
                      <wps:txbx>
                        <w:txbxContent>
                          <w:p>
                            <w:pPr>
                              <w:pStyle w:val="TextBody"/>
                              <w:bidi w:val="0"/>
                              <w:spacing w:lineRule="auto" w:line="276" w:before="120" w:after="120"/>
                              <w:jc w:val="right"/>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pt;mso-wrap-distance-left:0pt;mso-wrap-distance-right:0pt;mso-wrap-distance-top:0pt;mso-wrap-distance-bottom:0pt;margin-top:0pt;mso-position-vertical:top;mso-position-vertical-relative:text;margin-left:-348.05pt;mso-position-horizontal:left;mso-position-horizontal-relative:text">
                <v:textbox>
                  <w:txbxContent>
                    <w:p>
                      <w:pPr>
                        <w:pStyle w:val="TextBody"/>
                        <w:bidi w:val="0"/>
                        <w:spacing w:lineRule="auto" w:line="276" w:before="120" w:after="120"/>
                        <w:jc w:val="right"/>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FIRST AMENDMENT TO THE</w:t>
      </w:r>
    </w:p>
    <w:p>
      <w:pPr>
        <w:pStyle w:val="TextBody"/>
        <w:bidi w:val="0"/>
        <w:spacing w:lineRule="auto" w:line="288" w:before="0" w:after="0"/>
        <w:ind w:left="0" w:right="0" w:hanging="2"/>
        <w:jc w:val="center"/>
        <w:rPr>
          <w:rFonts w:ascii="Times New Roman;serif" w:hAnsi="Times New Roman;serif"/>
          <w:b/>
          <w:color w:val="000000"/>
          <w:sz w:val="24"/>
        </w:rPr>
      </w:pPr>
      <w:r>
        <w:rPr>
          <w:rFonts w:ascii="Times New Roman;serif" w:hAnsi="Times New Roman;serif"/>
          <w:b/>
          <w:color w:val="000000"/>
          <w:sz w:val="24"/>
        </w:rPr>
        <w:t>EMBECTA CORP. DIRECTORS’ DEFERRAL PLAN</w:t>
      </w:r>
    </w:p>
    <w:p>
      <w:pPr>
        <w:pStyle w:val="TextBody"/>
        <w:bidi w:val="0"/>
        <w:spacing w:before="0" w:after="0"/>
        <w:ind w:left="0" w:right="0" w:hanging="2"/>
        <w:jc w:val="center"/>
        <w:rPr/>
      </w:pPr>
      <w:r>
        <w:rPr/>
      </w:r>
    </w:p>
    <w:p>
      <w:pPr>
        <w:pStyle w:val="TextBody"/>
        <w:bidi w:val="0"/>
        <w:spacing w:lineRule="auto" w:line="288" w:before="0" w:after="0"/>
        <w:jc w:val="left"/>
        <w:rPr/>
      </w:pPr>
      <w:r>
        <w:rPr>
          <w:rFonts w:ascii="Times New Roman;serif" w:hAnsi="Times New Roman;serif"/>
          <w:b w:val="false"/>
          <w:color w:val="000000"/>
          <w:sz w:val="24"/>
        </w:rPr>
        <w:t>This Amendment (the “</w:t>
      </w:r>
      <w:r>
        <w:rPr>
          <w:rFonts w:ascii="Times New Roman;serif" w:hAnsi="Times New Roman;serif"/>
          <w:b w:val="false"/>
          <w:color w:val="000000"/>
          <w:sz w:val="24"/>
          <w:u w:val="single"/>
        </w:rPr>
        <w:t>Amendment</w:t>
      </w:r>
      <w:r>
        <w:rPr>
          <w:color w:val="000000"/>
        </w:rPr>
        <w:t>”</w:t>
      </w:r>
      <w:r>
        <w:rPr>
          <w:rFonts w:ascii="Times New Roman;serif" w:hAnsi="Times New Roman;serif"/>
          <w:b w:val="false"/>
          <w:color w:val="000000"/>
          <w:sz w:val="24"/>
        </w:rPr>
        <w:t>) to the Embecta Corp. Directors’ Deferral Plan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4"/>
        </w:rPr>
        <w:t>) is made effective, as of August 4, 2026, in accordance with Section 5.1 of the Plan. Capitalized terms not otherwise defined herein shall have the meanings ascribed thereto in Plan. Notwithstanding this amendment, no payment shall be made under this Plan in violation of Internal Revenue Code section 409A.</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1.Article I shall be amended by adding the following new definitions: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Section 1.26     </w:t>
      </w:r>
      <w:r>
        <w:rPr>
          <w:color w:val="000000"/>
          <w:u w:val="single"/>
        </w:rPr>
        <w:t>“</w:t>
      </w:r>
      <w:r>
        <w:rPr>
          <w:rFonts w:ascii="Times New Roman;serif" w:hAnsi="Times New Roman;serif"/>
          <w:b w:val="false"/>
          <w:color w:val="000000"/>
          <w:sz w:val="24"/>
          <w:u w:val="single"/>
        </w:rPr>
        <w:t>Deferred Restricted Stock Units</w:t>
      </w:r>
      <w:r>
        <w:rPr>
          <w:color w:val="000000"/>
        </w:rPr>
        <w:t xml:space="preserve">” </w:t>
      </w:r>
      <w:r>
        <w:rPr>
          <w:rFonts w:ascii="Times New Roman;serif" w:hAnsi="Times New Roman;serif"/>
          <w:b w:val="false"/>
          <w:color w:val="000000"/>
          <w:sz w:val="24"/>
        </w:rPr>
        <w:t xml:space="preserve">or “DRSU” means a restricted stock unit, deferred stock unit, or other stock-denominated equity award granted to a Director under a Company equity compensation program that the Committee designates as eligible for deferral under the Plan.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For purpose of administering the Plan, each reference in the Plan to “Deferred Retainer”, “Deferred Fees”, “Deferred Retainer Account”, “Deferred Fees Account”, or any related Deferral Election, distribution election, Change-of -Form Election, Additional Deferral Election, account, distribution, payment, beneficiary, investment election, or other administrative provision shall, to the extent applicable, be deemed also to refer to Deferred Restricted Stock Units and any bookkeeping account established with respect thereto, unless the context clearly requires otherwise. </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2.Section 3.1 shall be renamed and amended as follows:</w:t>
      </w:r>
    </w:p>
    <w:p>
      <w:pPr>
        <w:pStyle w:val="TextBody"/>
        <w:bidi w:val="0"/>
        <w:spacing w:lineRule="auto" w:line="288" w:before="120" w:after="120"/>
        <w:jc w:val="left"/>
        <w:rPr/>
      </w:pPr>
      <w:r>
        <w:rPr>
          <w:color w:val="000000"/>
        </w:rPr>
        <w:t>“</w:t>
      </w:r>
      <w:r>
        <w:rPr>
          <w:rFonts w:ascii="Times New Roman;serif" w:hAnsi="Times New Roman;serif"/>
          <w:b w:val="false"/>
          <w:color w:val="000000"/>
          <w:sz w:val="24"/>
        </w:rPr>
        <w:t>Section 3.1    </w:t>
      </w:r>
      <w:r>
        <w:rPr>
          <w:rFonts w:ascii="Times New Roman;serif" w:hAnsi="Times New Roman;serif"/>
          <w:b w:val="false"/>
          <w:color w:val="000000"/>
          <w:sz w:val="24"/>
          <w:u w:val="single"/>
        </w:rPr>
        <w:t>Deferred Retainer Elections, Deferred Fees Elections and Deferred Restricted Stock Units Election.</w:t>
      </w:r>
      <w:r>
        <w:rPr>
          <w:color w:val="000000"/>
        </w:rPr>
        <w:t>”</w:t>
      </w:r>
      <w:r>
        <w:rPr>
          <w:color w:val="000000"/>
          <w:u w:val="single"/>
        </w:rPr>
        <w:t xml:space="preserve"> </w:t>
      </w:r>
    </w:p>
    <w:p>
      <w:pPr>
        <w:pStyle w:val="TextBody"/>
        <w:bidi w:val="0"/>
        <w:spacing w:lineRule="auto" w:line="288" w:before="120" w:after="12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(e)     “In accordance with procedures established by the Committee, a Participant may elect to defer the settlement or payment of Deferred Restricted Stock Units. Any such deferral election, account crediting, investment treatment, distribution election, payment timing, beneficiary designation, administrative procedure, amendment and other term applicable to Deferred Restricted Stock Units shall be governed by the same rules applicable to Deferred Retainers and Deferred Fees under the Plan, except as otherwise determined by the Committee or required by applicable law. A Participant may elect to defer either 0% or 100% of his or her annual retainer. Partial deferrals are not permitted.”</w: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3.Section 3.3(a) is amended to add the paragraph at the end of the Section:</w:t>
      </w:r>
    </w:p>
    <w:p>
      <w:pPr>
        <w:pStyle w:val="TextBody"/>
        <w:bidi w:val="0"/>
        <w:spacing w:lineRule="auto" w:line="300" w:before="0" w:after="160"/>
        <w:jc w:val="left"/>
        <w:rPr>
          <w:color w:val="000000"/>
        </w:rPr>
      </w:pPr>
      <w:r>
        <w:rPr>
          <w:color w:val="000000"/>
        </w:rPr>
        <w:t>“</w:t>
      </w:r>
      <w:r>
        <w:rPr>
          <w:rFonts w:ascii="Times New Roman;serif" w:hAnsi="Times New Roman;serif"/>
          <w:b w:val="false"/>
          <w:color w:val="000000"/>
          <w:sz w:val="24"/>
        </w:rPr>
        <w:t>Notwithstanding the foregoing, any Deferred Restricted Stock Units credited to a Participant’s account, and any related dividend equivalent amounts, shall remain credited to and deemed invested in Company stock and shall not be eligible for any Investment Election, transfer, reallocation, diversification, or other investment direction by the Participant prior to settlement or distribution pursuant to the terms of the Plan.”</w:t>
      </w:r>
    </w:p>
    <w:p>
      <w:pPr>
        <w:pStyle w:val="TextBody"/>
        <w:bidi w:val="0"/>
        <w:spacing w:lineRule="auto" w:line="288" w:before="0" w:after="0"/>
        <w:jc w:val="right"/>
        <w:rPr/>
      </w:pPr>
      <w:r>
        <w:rPr/>
        <w:drawing>
          <wp:inline distT="0" distB="0" distL="0" distR="0">
            <wp:extent cx="1095375" cy="428625"/>
            <wp:effectExtent l="0" t="0" r="0" b="0"/>
            <wp:docPr id="4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 descr=""/>
                    <pic:cNvPicPr>
                      <a:picLocks noChangeAspect="1" noChangeArrowheads="1"/>
                    </pic:cNvPicPr>
                  </pic:nvPicPr>
                  <pic:blipFill>
                    <a:blip r:embed="rId4"/>
                    <a:stretch>
                      <a:fillRect/>
                    </a:stretch>
                  </pic:blipFill>
                  <pic:spPr bwMode="auto">
                    <a:xfrm>
                      <a:off x="0" y="0"/>
                      <a:ext cx="1095375" cy="428625"/>
                    </a:xfrm>
                    <a:prstGeom prst="rect">
                      <a:avLst/>
                    </a:prstGeom>
                  </pic:spPr>
                </pic:pic>
              </a:graphicData>
            </a:graphic>
          </wp:inline>
        </w:drawing>
      </w:r>
      <w:r>
        <w:rPr>
          <w:color w:val="000000"/>
        </w:rPr>
        <w:t xml:space="preserve"> </w:t>
      </w:r>
      <w:r>
        <w:rPr>
          <w:rFonts w:ascii="Arial;sans-serif" w:hAnsi="Arial;sans-serif"/>
          <w:b/>
          <w:color w:val="000000"/>
          <w:sz w:val="24"/>
        </w:rPr>
        <w:t>Ex. 10.1</w:t>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47"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8.0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120"/>
        <w:ind w:left="0" w:right="0" w:hanging="360"/>
        <w:jc w:val="left"/>
        <w:rPr>
          <w:rFonts w:ascii="Times New Roman;serif" w:hAnsi="Times New Roman;serif"/>
          <w:b w:val="false"/>
          <w:color w:val="000000"/>
          <w:sz w:val="24"/>
        </w:rPr>
      </w:pPr>
      <w:r>
        <w:rPr>
          <w:rFonts w:ascii="Times New Roman;serif" w:hAnsi="Times New Roman;serif"/>
          <w:b w:val="false"/>
          <w:color w:val="000000"/>
          <w:sz w:val="24"/>
        </w:rPr>
        <w:t>4.Section 3.4(a) is amended in its entirety as follows:</w:t>
      </w:r>
    </w:p>
    <w:p>
      <w:pPr>
        <w:pStyle w:val="TextBody"/>
        <w:bidi w:val="0"/>
        <w:spacing w:lineRule="auto" w:line="288" w:before="120" w:after="120"/>
        <w:jc w:val="left"/>
        <w:rPr>
          <w:color w:val="000000"/>
        </w:rPr>
      </w:pPr>
      <w:r>
        <w:rPr>
          <w:color w:val="000000"/>
        </w:rPr>
        <w:t>“</w:t>
      </w:r>
      <w:r>
        <w:rPr>
          <w:rFonts w:ascii="Times New Roman;serif" w:hAnsi="Times New Roman;serif"/>
          <w:b w:val="false"/>
          <w:color w:val="000000"/>
          <w:sz w:val="24"/>
        </w:rPr>
        <w:t>Upon occurrence of an event specified in the Participant’s Deferred Election, as modified by any Change-of-Form Election, the amount of a Participant’s Deferred Retainer Account and/or Deferred Fees Account shall be paid in cash, in each case to the Participant or his or her beneficiary, as applicable. Any Deferred Restricted Stock Units shall be settled in shares of Company stock equal to the number of Deferred Restricted Stock Units credited to the Participant’s account (together with any related dividend equivalent units, if applicable). Such payment(s) and settlement(s) shall be made from the general assets of the Company in accordance with Section 3.5.”</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Except as modified by this Amendment, the Plan shall remain unchanged and shall remain in full force and effect.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erif" w:hAnsi="Times New Roman;serif"/>
          <w:b/>
          <w:color w:val="000000"/>
          <w:sz w:val="20"/>
        </w:rPr>
      </w:pPr>
      <w:r>
        <w:rPr>
          <w:rFonts w:ascii="Times New Roman;serif" w:hAnsi="Times New Roman;serif"/>
          <w:b/>
          <w:color w:val="000000"/>
          <w:sz w:val="20"/>
        </w:rPr>
        <w:t xml:space="preserve">Execution Version </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FIRST AMENDMENT TO FIRST LIEN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FIRST AMENDMENT TO FIRST LIEN CREDIT AGREEMENT (this “</w:t>
      </w:r>
      <w:r>
        <w:rPr>
          <w:rFonts w:ascii="Times New Roman;serif" w:hAnsi="Times New Roman;serif"/>
          <w:b w:val="false"/>
          <w:color w:val="000000"/>
          <w:sz w:val="22"/>
          <w:u w:val="single"/>
        </w:rPr>
        <w:t>Amendment</w:t>
      </w:r>
      <w:r>
        <w:rPr>
          <w:color w:val="000000"/>
        </w:rPr>
        <w:t>”</w:t>
      </w:r>
      <w:r>
        <w:rPr>
          <w:rFonts w:ascii="Times New Roman;serif" w:hAnsi="Times New Roman;serif"/>
          <w:b w:val="false"/>
          <w:color w:val="000000"/>
          <w:sz w:val="22"/>
        </w:rPr>
        <w:t>), dated as of August 6, 2026, among EMBECTA CORP., a Delaware corporation (the “</w:t>
      </w:r>
      <w:r>
        <w:rPr>
          <w:rFonts w:ascii="Times New Roman;serif" w:hAnsi="Times New Roman;serif"/>
          <w:b w:val="false"/>
          <w:color w:val="000000"/>
          <w:sz w:val="22"/>
          <w:u w:val="single"/>
        </w:rPr>
        <w:t>Company</w:t>
      </w:r>
      <w:r>
        <w:rPr>
          <w:color w:val="000000"/>
        </w:rPr>
        <w:t>”</w:t>
      </w:r>
      <w:r>
        <w:rPr>
          <w:rFonts w:ascii="Times New Roman;serif" w:hAnsi="Times New Roman;serif"/>
          <w:b w:val="false"/>
          <w:color w:val="000000"/>
          <w:sz w:val="22"/>
        </w:rPr>
        <w:t>), the other CO-BORROWERS party hereto (the “</w:t>
      </w:r>
      <w:r>
        <w:rPr>
          <w:rFonts w:ascii="Times New Roman;serif" w:hAnsi="Times New Roman;serif"/>
          <w:b w:val="false"/>
          <w:color w:val="000000"/>
          <w:sz w:val="22"/>
          <w:u w:val="single"/>
        </w:rPr>
        <w:t>Co-Borrowers</w:t>
      </w:r>
      <w:r>
        <w:rPr>
          <w:color w:val="000000"/>
        </w:rPr>
        <w:t xml:space="preserve">” </w:t>
      </w:r>
      <w:r>
        <w:rPr>
          <w:rFonts w:ascii="Times New Roman;serif" w:hAnsi="Times New Roman;serif"/>
          <w:b w:val="false"/>
          <w:color w:val="000000"/>
          <w:sz w:val="22"/>
        </w:rPr>
        <w:t>and, together with the Company, the “</w:t>
      </w:r>
      <w:r>
        <w:rPr>
          <w:rFonts w:ascii="Times New Roman;serif" w:hAnsi="Times New Roman;serif"/>
          <w:b w:val="false"/>
          <w:color w:val="000000"/>
          <w:sz w:val="22"/>
          <w:u w:val="single"/>
        </w:rPr>
        <w:t>Borrowers</w:t>
      </w:r>
      <w:r>
        <w:rPr>
          <w:color w:val="000000"/>
        </w:rPr>
        <w:t>”</w:t>
      </w:r>
      <w:r>
        <w:rPr>
          <w:rFonts w:ascii="Times New Roman;serif" w:hAnsi="Times New Roman;serif"/>
          <w:b w:val="false"/>
          <w:color w:val="000000"/>
          <w:sz w:val="22"/>
        </w:rPr>
        <w:t>), the Guarantors party hereto (the “</w:t>
      </w:r>
      <w:r>
        <w:rPr>
          <w:rFonts w:ascii="Times New Roman;serif" w:hAnsi="Times New Roman;serif"/>
          <w:b w:val="false"/>
          <w:color w:val="000000"/>
          <w:sz w:val="22"/>
          <w:u w:val="single"/>
        </w:rPr>
        <w:t>Guarantors</w:t>
      </w:r>
      <w:r>
        <w:rPr>
          <w:color w:val="000000"/>
        </w:rPr>
        <w:t xml:space="preserve">” </w:t>
      </w:r>
      <w:r>
        <w:rPr>
          <w:rFonts w:ascii="Times New Roman;serif" w:hAnsi="Times New Roman;serif"/>
          <w:b w:val="false"/>
          <w:color w:val="000000"/>
          <w:sz w:val="22"/>
        </w:rPr>
        <w:t>and, together with the Borrowers, the “</w:t>
      </w:r>
      <w:r>
        <w:rPr>
          <w:rFonts w:ascii="Times New Roman;serif" w:hAnsi="Times New Roman;serif"/>
          <w:b w:val="false"/>
          <w:color w:val="000000"/>
          <w:sz w:val="22"/>
          <w:u w:val="single"/>
        </w:rPr>
        <w:t>Loan Parties</w:t>
      </w:r>
      <w:r>
        <w:rPr>
          <w:color w:val="000000"/>
        </w:rPr>
        <w:t>”</w:t>
      </w:r>
      <w:r>
        <w:rPr>
          <w:rFonts w:ascii="Times New Roman;serif" w:hAnsi="Times New Roman;serif"/>
          <w:b w:val="false"/>
          <w:color w:val="000000"/>
          <w:sz w:val="22"/>
        </w:rPr>
        <w:t>), the Lenders party hereto, each L/C Issuer party hereto, and MORGAN STANLEY SENIOR FUNDING, INC., solely in its capacity as Administrative Agent and Collateral Agent (“</w:t>
      </w:r>
      <w:r>
        <w:rPr>
          <w:rFonts w:ascii="Times New Roman;serif" w:hAnsi="Times New Roman;serif"/>
          <w:b w:val="false"/>
          <w:color w:val="000000"/>
          <w:sz w:val="22"/>
          <w:u w:val="single"/>
        </w:rPr>
        <w:t>MS</w:t>
      </w:r>
      <w:r>
        <w:rPr>
          <w:color w:val="000000"/>
        </w:rPr>
        <w:t>”</w:t>
      </w:r>
      <w:r>
        <w:rPr>
          <w:rFonts w:ascii="Times New Roman;serif" w:hAnsi="Times New Roman;serif"/>
          <w:b w:val="false"/>
          <w:color w:val="000000"/>
          <w:sz w:val="22"/>
        </w:rPr>
        <w:t>). Unless otherwise indicated, all capitalized terms used herein and not otherwise defined herein shall have the respective meanings provided such terms in the Credit Agreement referred to below.</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W I T N E S S E T H:</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the Borrowers, the Lenders party thereto, as Lenders, the L/C Issuers party thereto, as L/C Issuers, and MS, as Administrative Agent, Collateral Agent and an L/C Issuer, have entered into that certain First Lien Credit Agreement, dated as of March 31, 2022 (as amended, restated, supplemented or modified prior to the date hereof, the “</w:t>
      </w:r>
      <w:r>
        <w:rPr>
          <w:rFonts w:ascii="Times New Roman;serif" w:hAnsi="Times New Roman;serif"/>
          <w:b w:val="false"/>
          <w:color w:val="000000"/>
          <w:sz w:val="22"/>
          <w:u w:val="single"/>
        </w:rPr>
        <w:t>Existing Credit Agreement</w:t>
      </w:r>
      <w:r>
        <w:rPr>
          <w:color w:val="000000"/>
        </w:rPr>
        <w:t xml:space="preserve">” </w:t>
      </w:r>
      <w:r>
        <w:rPr>
          <w:rFonts w:ascii="Times New Roman;serif" w:hAnsi="Times New Roman;serif"/>
          <w:b w:val="false"/>
          <w:color w:val="000000"/>
          <w:sz w:val="22"/>
        </w:rPr>
        <w:t>and the Existing Credit Agreement, as amended by this Amendment, the “</w:t>
      </w:r>
      <w:r>
        <w:rPr>
          <w:rFonts w:ascii="Times New Roman;serif" w:hAnsi="Times New Roman;serif"/>
          <w:b w:val="false"/>
          <w:color w:val="000000"/>
          <w:sz w:val="22"/>
          <w:u w:val="single"/>
        </w:rPr>
        <w:t>Credit Agreement</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pursuant to </w:t>
      </w:r>
      <w:r>
        <w:rPr>
          <w:rFonts w:ascii="Times New Roman;serif" w:hAnsi="Times New Roman;serif"/>
          <w:b w:val="false"/>
          <w:color w:val="000000"/>
          <w:sz w:val="22"/>
          <w:u w:val="single"/>
        </w:rPr>
        <w:t>Sections 2.19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10.01</w:t>
      </w:r>
      <w:r>
        <w:rPr>
          <w:color w:val="000000"/>
        </w:rPr>
        <w:t xml:space="preserve"> </w:t>
      </w:r>
      <w:r>
        <w:rPr>
          <w:rFonts w:ascii="Times New Roman;serif" w:hAnsi="Times New Roman;serif"/>
          <w:b w:val="false"/>
          <w:color w:val="000000"/>
          <w:sz w:val="22"/>
        </w:rPr>
        <w:t>of the Existing Credit Agreement, (a) the Borrowers have requested an extension of the maturity date of Initial Revolving Tranche pursuant to an Extension Request to all Lenders with Initial Revolving Credit Commitments (such extension, the “</w:t>
      </w:r>
      <w:r>
        <w:rPr>
          <w:rFonts w:ascii="Times New Roman;serif" w:hAnsi="Times New Roman;serif"/>
          <w:b w:val="false"/>
          <w:color w:val="000000"/>
          <w:sz w:val="22"/>
          <w:u w:val="single"/>
        </w:rPr>
        <w:t>Initial Revolving Tranche Extension</w:t>
      </w:r>
      <w:r>
        <w:rPr>
          <w:color w:val="000000"/>
        </w:rPr>
        <w:t>”</w:t>
      </w:r>
      <w:r>
        <w:rPr>
          <w:rFonts w:ascii="Times New Roman;serif" w:hAnsi="Times New Roman;serif"/>
          <w:b w:val="false"/>
          <w:color w:val="000000"/>
          <w:sz w:val="22"/>
        </w:rPr>
        <w:t>) and (b) the Existing Credit Agreement and the other Loan Documents may be amended to the extent necessary to (i) reflect the existence and terms of any such Initial Revolving Credit Commitments so extended (the “</w:t>
      </w:r>
      <w:r>
        <w:rPr>
          <w:rFonts w:ascii="Times New Roman;serif" w:hAnsi="Times New Roman;serif"/>
          <w:b w:val="false"/>
          <w:color w:val="000000"/>
          <w:sz w:val="22"/>
          <w:u w:val="single"/>
        </w:rPr>
        <w:t>Initial Revolving-2 Credit Commitments</w:t>
      </w:r>
      <w:r>
        <w:rPr>
          <w:color w:val="000000"/>
        </w:rPr>
        <w:t>”</w:t>
      </w:r>
      <w:r>
        <w:rPr>
          <w:rFonts w:ascii="Times New Roman;serif" w:hAnsi="Times New Roman;serif"/>
          <w:b w:val="false"/>
          <w:color w:val="000000"/>
          <w:sz w:val="22"/>
        </w:rPr>
        <w:t xml:space="preserve">) and (ii) make such other amendments to the Existing Credit Agreement and the other Loan Documents, including any technical amendments, as may be necessary or appropriate, in the reasonable opinion of the Administrative Agent (acting solely at the direction of the Lenders party hereto) and the Company, to effect the provisions of </w:t>
      </w:r>
      <w:r>
        <w:rPr>
          <w:rFonts w:ascii="Times New Roman;serif" w:hAnsi="Times New Roman;serif"/>
          <w:b w:val="false"/>
          <w:color w:val="000000"/>
          <w:sz w:val="22"/>
          <w:u w:val="single"/>
        </w:rPr>
        <w:t>Sections 2.19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10.01</w:t>
      </w:r>
      <w:r>
        <w:rPr>
          <w:color w:val="000000"/>
        </w:rPr>
        <w:t xml:space="preserve"> </w:t>
      </w:r>
      <w:r>
        <w:rPr>
          <w:rFonts w:ascii="Times New Roman;serif" w:hAnsi="Times New Roman;serif"/>
          <w:b w:val="false"/>
          <w:color w:val="000000"/>
          <w:sz w:val="22"/>
        </w:rPr>
        <w:t>of the Existing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subject to the terms and conditions set forth herein, the Lenders party thereto holding an Initial Revolving-2 Credit Commitment (such Lenders, the “</w:t>
      </w:r>
      <w:r>
        <w:rPr>
          <w:rFonts w:ascii="Times New Roman;serif" w:hAnsi="Times New Roman;serif"/>
          <w:b w:val="false"/>
          <w:color w:val="000000"/>
          <w:sz w:val="22"/>
          <w:u w:val="single"/>
        </w:rPr>
        <w:t>Initial Revolving-2 Tranche Lenders</w:t>
      </w:r>
      <w:r>
        <w:rPr>
          <w:color w:val="000000"/>
        </w:rPr>
        <w:t>”</w:t>
      </w:r>
      <w:r>
        <w:rPr>
          <w:rFonts w:ascii="Times New Roman;serif" w:hAnsi="Times New Roman;serif"/>
          <w:b w:val="false"/>
          <w:color w:val="000000"/>
          <w:sz w:val="22"/>
        </w:rPr>
        <w:t>) have agreed to extend their Initial Revolving Credit Commitments to the Maturity Date with respect to the Initial Revolving-2 Tranche, in each case, by their execution of a signature page hereto;</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pursuant to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of the Existing Credit Agreement, concurrently with the execution of this Amendment, the Borrowers have elected to reduce the Initial Revolving-2 Credit Commitments from $400,000,000 to $210,000,000 (such reduction, the “</w:t>
      </w:r>
      <w:r>
        <w:rPr>
          <w:rFonts w:ascii="Times New Roman;serif" w:hAnsi="Times New Roman;serif"/>
          <w:b w:val="false"/>
          <w:color w:val="000000"/>
          <w:sz w:val="22"/>
          <w:u w:val="single"/>
        </w:rPr>
        <w:t>Initial Revolving-2 Credit Commitment Reduction</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WHEREAS, pursuant to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of the Existing Credit Agreement, concurrently with the execution of this Amendment, U.S. Bank National Association (the “</w:t>
      </w:r>
      <w:r>
        <w:rPr>
          <w:rFonts w:ascii="Times New Roman;serif" w:hAnsi="Times New Roman;serif"/>
          <w:b w:val="false"/>
          <w:color w:val="000000"/>
          <w:sz w:val="22"/>
          <w:u w:val="single"/>
        </w:rPr>
        <w:t>Assignor Lender</w:t>
      </w:r>
      <w:r>
        <w:rPr>
          <w:color w:val="000000"/>
        </w:rPr>
        <w:t>”</w:t>
      </w:r>
      <w:r>
        <w:rPr>
          <w:rFonts w:ascii="Times New Roman;serif" w:hAnsi="Times New Roman;serif"/>
          <w:b w:val="false"/>
          <w:color w:val="000000"/>
          <w:sz w:val="22"/>
        </w:rPr>
        <w:t>) shall sell and assign a portion of its Initial Revolving-2 Credit Commitment (such assignment, the “</w:t>
      </w:r>
      <w:r>
        <w:rPr>
          <w:rFonts w:ascii="Times New Roman;serif" w:hAnsi="Times New Roman;serif"/>
          <w:b w:val="false"/>
          <w:color w:val="000000"/>
          <w:sz w:val="22"/>
          <w:u w:val="single"/>
        </w:rPr>
        <w:t>Initial Revolving-2 Credit Commitment Assignment</w:t>
      </w:r>
      <w:r>
        <w:rPr>
          <w:color w:val="000000"/>
        </w:rPr>
        <w:t>”</w:t>
      </w:r>
      <w:r>
        <w:rPr>
          <w:rFonts w:ascii="Times New Roman;serif" w:hAnsi="Times New Roman;serif"/>
          <w:b w:val="false"/>
          <w:color w:val="000000"/>
          <w:sz w:val="22"/>
        </w:rPr>
        <w:t>) to the other Initial Revolving-2 Tranche Lenders (collectively, the “</w:t>
      </w:r>
      <w:r>
        <w:rPr>
          <w:rFonts w:ascii="Times New Roman;serif" w:hAnsi="Times New Roman;serif"/>
          <w:b w:val="false"/>
          <w:color w:val="000000"/>
          <w:sz w:val="22"/>
          <w:u w:val="single"/>
        </w:rPr>
        <w:t>Assignee Lenders</w:t>
      </w:r>
      <w:r>
        <w:rPr>
          <w:color w:val="000000"/>
        </w:rPr>
        <w:t>”</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WHEREAS, Wells Fargo Securities, LLC (the “</w:t>
      </w:r>
      <w:r>
        <w:rPr>
          <w:rFonts w:ascii="Times New Roman;serif" w:hAnsi="Times New Roman;serif"/>
          <w:b w:val="false"/>
          <w:color w:val="000000"/>
          <w:sz w:val="22"/>
          <w:u w:val="single"/>
        </w:rPr>
        <w:t>Left Lead Arranger</w:t>
      </w:r>
      <w:r>
        <w:rPr>
          <w:color w:val="000000"/>
        </w:rPr>
        <w:t>”</w:t>
      </w:r>
      <w:r>
        <w:rPr>
          <w:rFonts w:ascii="Times New Roman;serif" w:hAnsi="Times New Roman;serif"/>
          <w:b w:val="false"/>
          <w:color w:val="000000"/>
          <w:sz w:val="22"/>
        </w:rPr>
        <w:t>), Citigroup Global Markets Inc., Citizens Bank, N.A., JPMorgan Chase Bank, N.A., Santander Bank, N.A., MUFG Bank, Ltd. and U.S. Bank National Association (collectively, with the Left Lead Arranger, the “</w:t>
      </w:r>
      <w:r>
        <w:rPr>
          <w:rFonts w:ascii="Times New Roman;serif" w:hAnsi="Times New Roman;serif"/>
          <w:b w:val="false"/>
          <w:color w:val="000000"/>
          <w:sz w:val="22"/>
          <w:u w:val="single"/>
        </w:rPr>
        <w:t>Lead Arrangers</w:t>
      </w:r>
      <w:r>
        <w:rPr>
          <w:color w:val="000000"/>
        </w:rPr>
        <w:t>”</w:t>
      </w:r>
      <w:r>
        <w:rPr>
          <w:rFonts w:ascii="Times New Roman;serif" w:hAnsi="Times New Roman;serif"/>
          <w:b w:val="false"/>
          <w:color w:val="000000"/>
          <w:sz w:val="22"/>
        </w:rPr>
        <w:t xml:space="preserve">) will act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in their respective capacities as joint lead arrangers and bookrunners for this Amendment and the credit facilities contemplated by the Initial Revolving Tranche Extension.</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NOW, THEREFORE, in consideration of the foregoing and for other good and valuable consideration, the receipt and sufficiency of which are hereby acknowledged, it is agreed as follows: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    </w:t>
      </w:r>
      <w:r>
        <w:rPr>
          <w:rFonts w:ascii="Times New Roman;serif" w:hAnsi="Times New Roman;serif"/>
          <w:b w:val="false"/>
          <w:color w:val="000000"/>
          <w:sz w:val="22"/>
          <w:u w:val="single"/>
        </w:rPr>
        <w:t>Amendments to Credit Agreement</w:t>
      </w:r>
      <w:r>
        <w:rPr>
          <w:rFonts w:ascii="Times New Roman;serif" w:hAnsi="Times New Roman;serif"/>
          <w:b w:val="false"/>
          <w:color w:val="000000"/>
          <w:sz w:val="22"/>
        </w:rPr>
        <w:t>. Effective as of the Amendment Effective Date and subject to the terms and conditions set forth herein and in reliance upon the representations and warranties set forth herein, the Existing Credit Agreement is hereby amended as follows:</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(a)the body of the Existing Credit Agreement is hereby amended (i) to delete red or green stricken text (indicated textually in the same manner as the following examples: </w:t>
      </w:r>
      <w:r>
        <w:rPr>
          <w:rFonts w:ascii="Times New Roman;serif" w:hAnsi="Times New Roman;serif"/>
          <w:b w:val="false"/>
          <w:strike/>
          <w:color w:val="FF0000"/>
          <w:sz w:val="22"/>
        </w:rPr>
        <w:t>stricken text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strike/>
          <w:color w:val="00B050"/>
          <w:sz w:val="22"/>
        </w:rPr>
        <w:t>stricken text</w:t>
      </w:r>
      <w:r>
        <w:rPr>
          <w:rFonts w:ascii="Times New Roman;serif" w:hAnsi="Times New Roman;serif"/>
          <w:b w:val="false"/>
          <w:color w:val="000000"/>
          <w:sz w:val="22"/>
        </w:rPr>
        <w:t xml:space="preserve">) and (ii) to add the blue or green double-underlined text (indicated textually in the same manner as the following examples: </w:t>
      </w:r>
      <w:r>
        <w:rPr>
          <w:rFonts w:ascii="Times New Roman;serif" w:hAnsi="Times New Roman;serif"/>
          <w:b w:val="false"/>
          <w:color w:val="4472C4"/>
          <w:sz w:val="22"/>
          <w:u w:val="single"/>
        </w:rPr>
        <w:t>double-underlined text</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B050"/>
          <w:sz w:val="22"/>
          <w:u w:val="single"/>
        </w:rPr>
        <w:t>double-underlined text</w:t>
      </w:r>
      <w:r>
        <w:rPr>
          <w:rFonts w:ascii="Times New Roman;serif" w:hAnsi="Times New Roman;serif"/>
          <w:b w:val="false"/>
          <w:color w:val="000000"/>
          <w:sz w:val="22"/>
        </w:rPr>
        <w:t xml:space="preserve">), in each case, as set forth in the copy of the Credit Agreement attached hereto as </w:t>
      </w:r>
      <w:r>
        <w:rPr>
          <w:rFonts w:ascii="Times New Roman;serif" w:hAnsi="Times New Roman;serif"/>
          <w:b w:val="false"/>
          <w:color w:val="000000"/>
          <w:sz w:val="22"/>
          <w:u w:val="single"/>
        </w:rPr>
        <w:t>Annex A</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(b)Exhibit C (Compliance Certificate) and Exhibit D-1 (Assignment and Assumption) to the Existing Credit Agreement are hereby amended and restated in their entirety as attached hereto as </w:t>
      </w:r>
      <w:r>
        <w:rPr>
          <w:rFonts w:ascii="Times New Roman;serif" w:hAnsi="Times New Roman;serif"/>
          <w:b w:val="false"/>
          <w:color w:val="000000"/>
          <w:sz w:val="22"/>
          <w:u w:val="single"/>
        </w:rPr>
        <w:t>Annex B</w:t>
      </w:r>
      <w:r>
        <w:rPr>
          <w:rFonts w:ascii="Times New Roman;serif" w:hAnsi="Times New Roman;serif"/>
          <w:b w:val="false"/>
          <w:color w:val="000000"/>
          <w:sz w:val="22"/>
        </w:rPr>
        <w:t>; and</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(c)The Initial Revolving-1 Credit Commitment of each Revolving Credit Lender, the Initial Revolving-2 Credit Commitment of each Revolving Credit Lender and the Initial Revolving Credit Commitment and the Pro Rata Share of each Revolving Credit Lender, in each case as of the Amendment Effective Date and after giving effect to the Initial Revolving Tranche Extension, the Initial Revolving-2 Credit Commitment Reduction and the Initial Revolving-2 Credit Commitment Assignment, are set forth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attached hereto as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(which, for the avoidance of doubt, shall not address any Initial Term Commitment).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2.    </w:t>
      </w:r>
      <w:r>
        <w:rPr>
          <w:rFonts w:ascii="Times New Roman;serif" w:hAnsi="Times New Roman;serif"/>
          <w:b w:val="false"/>
          <w:color w:val="000000"/>
          <w:sz w:val="22"/>
          <w:u w:val="single"/>
        </w:rPr>
        <w:t>Initial Revolving-2 Tranche; Initial Revolving-2 Credit Commitment Reduction</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Initial Revolving-2 Tranche</w:t>
      </w:r>
      <w:r>
        <w:rPr>
          <w:rFonts w:ascii="Times New Roman;serif" w:hAnsi="Times New Roman;serif"/>
          <w:b w:val="false"/>
          <w:color w:val="000000"/>
          <w:sz w:val="22"/>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Primary Terms</w:t>
      </w:r>
      <w:r>
        <w:rPr>
          <w:rFonts w:ascii="Times New Roman;serif" w:hAnsi="Times New Roman;serif"/>
          <w:b w:val="false"/>
          <w:color w:val="000000"/>
          <w:sz w:val="22"/>
        </w:rPr>
        <w:t xml:space="preserve">. As of the Amendment Effective Date and after giving effect to this Amendment, the Initial Revolving-2 Tranche shall be subject to the terms and conditions set forth in the Credit Agreement attached hereto as </w:t>
      </w:r>
      <w:r>
        <w:rPr>
          <w:rFonts w:ascii="Times New Roman;serif" w:hAnsi="Times New Roman;serif"/>
          <w:b w:val="false"/>
          <w:color w:val="000000"/>
          <w:sz w:val="22"/>
          <w:u w:val="single"/>
        </w:rPr>
        <w:t>Annex A</w:t>
      </w:r>
      <w:r>
        <w:rPr>
          <w:rFonts w:ascii="Times New Roman;serif" w:hAnsi="Times New Roman;serif"/>
          <w:b w:val="false"/>
          <w:color w:val="000000"/>
          <w:sz w:val="22"/>
        </w:rPr>
        <w: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(ii)</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Borrowers shall use the proceeds of the Initial Revolving-2 Tranche to finance the working capital needs of any Restricted Group Member, for general corporate purposes of any Restricted Group Member (including acquisitions, restricted payments and other Investments permitted hereunder) and/or for any other purpose not prohibited by the Credit Agreement.</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(iii)</w:t>
      </w:r>
      <w:r>
        <w:rPr>
          <w:rFonts w:ascii="Times New Roman;serif" w:hAnsi="Times New Roman;serif"/>
          <w:b w:val="false"/>
          <w:color w:val="000000"/>
          <w:sz w:val="22"/>
          <w:u w:val="single"/>
        </w:rPr>
        <w:t>General Matters</w:t>
      </w:r>
      <w:r>
        <w:rPr>
          <w:rFonts w:ascii="Times New Roman;serif" w:hAnsi="Times New Roman;serif"/>
          <w:b w:val="false"/>
          <w:color w:val="000000"/>
          <w:sz w:val="22"/>
        </w:rPr>
        <w:t>. The parties hereto hereby agree that:</w:t>
      </w:r>
    </w:p>
    <w:p>
      <w:pPr>
        <w:pStyle w:val="TextBody"/>
        <w:bidi w:val="0"/>
        <w:spacing w:before="0" w:after="0"/>
        <w:jc w:val="left"/>
        <w:rPr/>
      </w:pPr>
      <w:r>
        <w:rPr/>
      </w:r>
    </w:p>
    <w:p>
      <w:pPr>
        <w:pStyle w:val="TextBody"/>
        <w:bidi w:val="0"/>
        <w:spacing w:lineRule="auto" w:line="288"/>
        <w:ind w:left="0" w:right="0" w:firstLine="720"/>
        <w:jc w:val="both"/>
        <w:rPr/>
      </w:pPr>
      <w:r>
        <w:rPr>
          <w:rFonts w:ascii="Times New Roman;serif" w:hAnsi="Times New Roman;serif"/>
          <w:b w:val="false"/>
          <w:color w:val="000000"/>
          <w:sz w:val="22"/>
        </w:rPr>
        <w:t xml:space="preserve">(A)(1) this Amendment constitutes an Extension Request, an Extension Election and an Extension pursuant to, and in accordance with,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of the Existing Credit Agreement and the parties hereto hereby waive any prior notice and procedural requirements required thereby, (2) the Initial Revolving-2 Tranche is being effected pursuant to, and in accordance with,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of the Credit Agreement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67665"/>
                <wp:effectExtent l="0" t="0" r="0" b="0"/>
                <wp:wrapNone/>
                <wp:docPr id="50" name="Frame47"/>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(3) this Amendment shall be deemed to be an “Extension Amendment” pursuant to, and in accordance with,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of the Credit Agreement and shall constitute a “Loan Document” for all purposes of the Credit Agreement and the other Loan Documents;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(B)each Initial Revolving-2 Tranche Lender shall be deemed to be an “Extending Lender”, a “Revolving Credit Lender” and a “Lender” under the Credit Agreement and the other Loan Documents and shall be subject to the obligations and entitled to the benefits, rights and remedies as such set forth therein; and</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(C)each L/C Issuer agrees, by its execution of this Amendment, that its commitment to issue or maintain Letters of Credit shall be extended to the maturity date of the Initial Revolving-2 Credit Commitments.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Initial Revolving-2 Credit Commitment Reduction</w:t>
      </w:r>
      <w:r>
        <w:rPr>
          <w:rFonts w:ascii="Times New Roman;serif" w:hAnsi="Times New Roman;serif"/>
          <w:b w:val="false"/>
          <w:color w:val="000000"/>
          <w:sz w:val="22"/>
        </w:rPr>
        <w:t xml:space="preserve">. </w:t>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(i)The Borrowers have elected to effect the Initial Revolving-2 Credit Commitment Reduction pursuant to, and in accordance with,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 xml:space="preserve">of the Credit Agreement. In connection therewith, the Borrowers shall make all payments and prepayments required to be made pursuant to, and in accordance with, the Credit Agreement, including, without limitation,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of the Credit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 xml:space="preserve">(ii)The parties hereto hereby agree that this Amendment constitutes a notice to effect the Initial Revolving-2 Credit Commitment Reduction pursuant to, and in accordance with,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of the Credit Agreement and the parties hereto hereby waive any prior notice and procedural requirements required thereby.</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3.    </w:t>
      </w:r>
      <w:r>
        <w:rPr>
          <w:rFonts w:ascii="Times New Roman;serif" w:hAnsi="Times New Roman;serif"/>
          <w:b w:val="false"/>
          <w:color w:val="000000"/>
          <w:sz w:val="22"/>
          <w:u w:val="single"/>
        </w:rPr>
        <w:t>Initial Revolving-2 Credit Commitment Assignment</w:t>
      </w:r>
      <w:r>
        <w:rPr>
          <w:rFonts w:ascii="Times New Roman;serif" w:hAnsi="Times New Roman;serif"/>
          <w:b w:val="false"/>
          <w:color w:val="000000"/>
          <w:sz w:val="22"/>
        </w:rPr>
        <w:t>.</w:t>
      </w:r>
    </w:p>
    <w:p>
      <w:pPr>
        <w:pStyle w:val="TextBody"/>
        <w:bidi w:val="0"/>
        <w:spacing w:lineRule="auto" w:line="288" w:before="0" w:after="0"/>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 xml:space="preserve">As of the Amendment Effective Date, the Assignor Lender hereby irrevocably sells and assigns to each Assignee Lender, and each Assignee Lender hereby irrevocably purchases and assumes from the Assignor Lender, a portion of its Initial Revolving-2 Credit Commitment such that the Initial Revolving-2 Credit Commitment of each Initial Revolving-2 Tranche Lender, in each case as of the Amendment Effective Date and after giving effect to the Initial Revolving Tranche Extension, the Initial Revolving-2 Credit Commitment Reduction and the Initial Revolving-2 Credit Commitment Assignment, are set forth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 xml:space="preserve">attached hereto as </w:t>
      </w:r>
      <w:r>
        <w:rPr>
          <w:rFonts w:ascii="Times New Roman;serif" w:hAnsi="Times New Roman;serif"/>
          <w:b w:val="false"/>
          <w:color w:val="000000"/>
          <w:sz w:val="22"/>
          <w:u w:val="single"/>
        </w:rPr>
        <w:t>Annex C</w:t>
      </w:r>
      <w:r>
        <w:rPr>
          <w:color w:val="000000"/>
        </w:rPr>
        <w:t xml:space="preserve"> </w:t>
      </w:r>
      <w:r>
        <w:rPr>
          <w:rFonts w:ascii="Times New Roman;serif" w:hAnsi="Times New Roman;serif"/>
          <w:b w:val="false"/>
          <w:color w:val="000000"/>
          <w:sz w:val="22"/>
        </w:rPr>
        <w:t xml:space="preserve">(as described in </w:t>
      </w:r>
      <w:r>
        <w:rPr>
          <w:rFonts w:ascii="Times New Roman;serif" w:hAnsi="Times New Roman;serif"/>
          <w:b w:val="false"/>
          <w:color w:val="000000"/>
          <w:sz w:val="22"/>
          <w:u w:val="single"/>
        </w:rPr>
        <w:t>Section 1(c)</w:t>
      </w:r>
      <w:r>
        <w:rPr>
          <w:color w:val="000000"/>
        </w:rPr>
        <w:t xml:space="preserve"> </w:t>
      </w:r>
      <w:r>
        <w:rPr>
          <w:rFonts w:ascii="Times New Roman;serif" w:hAnsi="Times New Roman;serif"/>
          <w:b w:val="false"/>
          <w:color w:val="000000"/>
          <w:sz w:val="22"/>
        </w:rPr>
        <w:t>hereof).</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On and as of the Amendment Effective Date and after giving effect to the Initial Revolving Tranche Extension, the Initial Revolving-2 Credit Commitment Reduction and the Initial Revolving-2 Credit Commitment Assignment, (i) there shall be an automatic adjustment to the Pro Rata Share of each Revolving Credit Lender (including each Lender with an Initial Revolving-1 Credit Commitment and each Lender with an Initial Revolving-2 Credit Commitment), (ii) the outstanding Revolving Credit Loans and the Pro Rata Shares of the LC Obligations shall be reallocated by the Administrative Agent among the Revolving Credit Lenders in accordance with their adjusted Pro Rata Shares and (iii) the Revolving Credit Lenders agree to make all payments and adjustments necessary to effect such reallocation and the Borrowers shall pay any and all costs required pursuant to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in connection with such reallocation as if such reallocation were a repayment. </w:t>
      </w:r>
    </w:p>
    <w:p>
      <w:pPr>
        <w:pStyle w:val="TextBody"/>
        <w:bidi w:val="0"/>
        <w:spacing w:before="0" w:after="0"/>
        <w:jc w:val="both"/>
        <w:rPr/>
      </w:pPr>
      <w:r>
        <w:rPr/>
      </w:r>
    </w:p>
    <w:p>
      <w:pPr>
        <w:pStyle w:val="TextBody"/>
        <w:bidi w:val="0"/>
        <w:spacing w:lineRule="auto" w:line="288"/>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 xml:space="preserve">Notwithstanding the terms to the contrary in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 xml:space="preserve">of the Credit Agreement, the parties hereto hereby agree that, in connection with the Initial Revolving-2 Credit Commitment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67665"/>
                <wp:effectExtent l="0" t="0" r="0" b="0"/>
                <wp:wrapNone/>
                <wp:docPr id="51" name="Frame48"/>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2"/>
        </w:rPr>
        <w:t xml:space="preserve">Assignment (together with the Initial Revolving Tranche Extension and the Initial Revolving-2 Credit Commitment Reduction), (i) this Amendment shall be deemed to be an Assignment and Assumption under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 xml:space="preserve">of the Credit Agreement, (ii) the Administrative Agent may use this Amendment to reflect the Initial Revolving-2 Credit Commitment Assignment in the Register and (iii) the Standard Terms and Conditions (as defined in the form of Assignment and Assumption attached to the Credit Agreement as </w:t>
      </w:r>
      <w:r>
        <w:rPr>
          <w:rFonts w:ascii="Times New Roman;serif" w:hAnsi="Times New Roman;serif"/>
          <w:b w:val="false"/>
          <w:color w:val="000000"/>
          <w:sz w:val="22"/>
          <w:u w:val="single"/>
        </w:rPr>
        <w:t>Exhibit D-1</w:t>
      </w:r>
      <w:r>
        <w:rPr>
          <w:rFonts w:ascii="Times New Roman;serif" w:hAnsi="Times New Roman;serif"/>
          <w:b w:val="false"/>
          <w:color w:val="000000"/>
          <w:sz w:val="22"/>
        </w:rPr>
        <w:t xml:space="preserve">) shall apply to interests assigned pursuant to the Initial Revolving-2 Credit Commitment Assignment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as though fully set forth herein.</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The Assignor Lender and each Assignee Lender hereby agrees that it will provide any additional documentation (including, without limitation, a duly executed Assignment and Assumption) to evidence the Initial Revolving-2 Credit Commitment Assignment to the extent requested by the Administrative Agent.</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4.    </w:t>
      </w:r>
      <w:r>
        <w:rPr>
          <w:rFonts w:ascii="Times New Roman;serif" w:hAnsi="Times New Roman;serif"/>
          <w:b w:val="false"/>
          <w:color w:val="000000"/>
          <w:sz w:val="22"/>
          <w:u w:val="single"/>
        </w:rPr>
        <w:t>Conditions of Effectiveness of this Amendment</w:t>
      </w:r>
      <w:r>
        <w:rPr>
          <w:rFonts w:ascii="Times New Roman;serif" w:hAnsi="Times New Roman;serif"/>
          <w:b w:val="false"/>
          <w:color w:val="000000"/>
          <w:sz w:val="22"/>
        </w:rPr>
        <w:t>. This Amendment shall become effective on the date when the following conditions shall have been satisfied, waived or as otherwise agreed between the Company, the Left Lead Arranger, the Administrative Agent and the Lenders party hereto (such date, the “</w:t>
      </w:r>
      <w:r>
        <w:rPr>
          <w:rFonts w:ascii="Times New Roman;serif" w:hAnsi="Times New Roman;serif"/>
          <w:b w:val="false"/>
          <w:color w:val="000000"/>
          <w:sz w:val="22"/>
          <w:u w:val="single"/>
        </w:rPr>
        <w:t>Amendment Effective Date</w:t>
      </w:r>
      <w:r>
        <w:rPr>
          <w:color w:val="000000"/>
        </w:rPr>
        <w:t>”</w:t>
      </w:r>
      <w:r>
        <w:rPr>
          <w:rFonts w:ascii="Times New Roman;serif" w:hAnsi="Times New Roman;serif"/>
          <w:b w:val="false"/>
          <w:color w:val="000000"/>
          <w:sz w:val="22"/>
        </w:rPr>
        <w: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(a)The Left Lead Arranger and the Administrative Agent shall have received all of the following, each of which shall be originals or facsimiles or “pdf” files unless otherwise specified, each properly executed by a Responsible Officer of the signing Loan Party, as applicable, each dated as of the Amendment Effective Date (or, in the case of certificates of governmental officials, as of a recent date before the Amendment Effective Date), and each accompanied by their respective required schedules and other attachments (and set forth thereon shall be all required information with respect to the Company and its Subsidiaries after giving effect to the transactions contemplated by this Amendment):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(i)this Amendment executed by each Loan Party, each Lender party hereto, which constitute Required Revolving Lenders, each L/C Issuer and MS, in its capacity as Administrative Agent and Collateral Agent;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(ii)a Note executed by the Borrowers in favor of each Lender with an Initial Revolving-2 Credit Commitment requesting a Note at least three Business Days prior to the Amendment Effective Date;</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(iii)such customary documents and certifications (including Organization Documents, authorizing resolutions and, if applicable, good standing certificates or certificates of status) as the Left Lead Arranger may reasonably require to evidence (A) the identity, authority and capacity of each Responsible Officer of each Loan Party acting as such in connection with this Amendment and the other Loan Documents and (B) that each Loan Party is duly organized or formed, validly existing and in good standing, except to the extent that failure to be so qualified could not reasonably be expected to have a Material Adverse Effect;</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(iv)the results of the Uniform Commercial Code (or equivalent) lien searches and other applicable searches as reasonably required by the Left Lead Arranger with respect to the Loan Parties;</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(v)an opinion of Allen Overy Shearman &amp; Sterling US LLP, special counsel to the Loan Parties, in form and substance reasonably satisfactory to the Left Lead Arranger;</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(vi)a solvency certificate executed by a senior financial officer (or an officer serving the equivalent function) of the Company (after giving effect to the transactions to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67665"/>
                <wp:effectExtent l="0" t="0" r="0" b="0"/>
                <wp:wrapNone/>
                <wp:docPr id="52" name="Frame49"/>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240"/>
        <w:jc w:val="both"/>
        <w:rPr/>
      </w:pPr>
      <w:r>
        <w:rPr>
          <w:rFonts w:ascii="Times New Roman;serif" w:hAnsi="Times New Roman;serif"/>
          <w:b w:val="false"/>
          <w:color w:val="000000"/>
          <w:sz w:val="22"/>
        </w:rPr>
        <w:t xml:space="preserve">occur on the Amendment Effective Date) substantially in the form attached to the Credit Agreement as </w:t>
      </w:r>
      <w:r>
        <w:rPr>
          <w:rFonts w:ascii="Times New Roman;serif" w:hAnsi="Times New Roman;serif"/>
          <w:b w:val="false"/>
          <w:color w:val="000000"/>
          <w:sz w:val="22"/>
          <w:u w:val="single"/>
        </w:rPr>
        <w:t>Exhibit K</w:t>
      </w:r>
      <w:r>
        <w:rPr>
          <w:rFonts w:ascii="Times New Roman;serif" w:hAnsi="Times New Roman;serif"/>
          <w:b w:val="false"/>
          <w:color w:val="000000"/>
          <w:sz w:val="22"/>
        </w:rPr>
        <w:t>; and</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(vii)a certificate of a Responsible Officer of the Company certifying that the conditions set forth in </w:t>
      </w:r>
      <w:r>
        <w:rPr>
          <w:rFonts w:ascii="Times New Roman;serif" w:hAnsi="Times New Roman;serif"/>
          <w:b w:val="false"/>
          <w:color w:val="000000"/>
          <w:sz w:val="22"/>
          <w:u w:val="single"/>
        </w:rPr>
        <w:t>Sections 4(b)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have been satisfied.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(a)Since September 30, 2025, a Material Adverse Effect shall not have occurred.</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(b)The Company shall have provided at least three Business Days prior to the Amendment Effective Date (x) all documentation and other information about the Company and the other Loan Parties as has been reasonably requested in writing at least ten Business Days prior to the Amendment Effective Date by any Lender that such Lender reasonably determines is required by regulatory authorities under applicable “know your customer” requirements and applicable anti-money-laundering laws, including the PATRIOT Act and (y) if any Borrower qualifies as a “legal entity customer” under the Beneficial Ownership Regulation, such Borrower shall have delivered to each Lender that so requests a Beneficial Ownership Certification in relation to such Borrower.</w:t>
      </w:r>
    </w:p>
    <w:p>
      <w:pPr>
        <w:pStyle w:val="TextBody"/>
        <w:bidi w:val="0"/>
        <w:spacing w:lineRule="auto" w:line="240" w:before="0" w:after="240"/>
        <w:ind w:left="0" w:right="0" w:firstLine="720"/>
        <w:jc w:val="both"/>
        <w:rPr/>
      </w:pPr>
      <w:r>
        <w:rPr>
          <w:rFonts w:ascii="Times New Roman;serif" w:hAnsi="Times New Roman;serif"/>
          <w:b w:val="false"/>
          <w:color w:val="000000"/>
          <w:sz w:val="22"/>
        </w:rPr>
        <w:t xml:space="preserve">(c)(i)     The representations and warranties of each of the Company and each other Loan Party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of the Credit Agreement or any other Loan Document, including, without limitation, this Amendment, shall be true and correct in all material respects (and in all respects if any such representation or warranty is already qualified by materiality) on and as of the Amendment Effective Date, both before and after giving effect to this Amendment and the transactions contemplated hereby,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serif" w:hAnsi="Times New Roman;serif"/>
          <w:b w:val="false"/>
          <w:color w:val="000000"/>
          <w:sz w:val="22"/>
          <w:u w:val="single"/>
        </w:rPr>
        <w:t>Section 4(d)</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Sections 5.05(a)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the Credit Agreement shall be deemed to refer to the most recent financial statements furnished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 of the Credit Agreement prior to the Amendment Effective Date; and</w:t>
      </w:r>
    </w:p>
    <w:p>
      <w:pPr>
        <w:pStyle w:val="TextBody"/>
        <w:bidi w:val="0"/>
        <w:spacing w:lineRule="auto" w:line="288" w:before="0" w:after="240"/>
        <w:ind w:left="0" w:right="0" w:firstLine="1440"/>
        <w:jc w:val="both"/>
        <w:rPr>
          <w:rFonts w:ascii="Times New Roman;serif" w:hAnsi="Times New Roman;serif"/>
          <w:b w:val="false"/>
          <w:color w:val="000000"/>
          <w:sz w:val="22"/>
        </w:rPr>
      </w:pPr>
      <w:r>
        <w:rPr>
          <w:rFonts w:ascii="Times New Roman;serif" w:hAnsi="Times New Roman;serif"/>
          <w:b w:val="false"/>
          <w:color w:val="000000"/>
          <w:sz w:val="22"/>
        </w:rPr>
        <w:t>(d)(ii)    No Default or Event of Default shall exist at the time of or immediately after giving effect to this Amendment and the transactions contemplated hereby.</w:t>
      </w:r>
    </w:p>
    <w:p>
      <w:pPr>
        <w:pStyle w:val="TextBody"/>
        <w:bidi w:val="0"/>
        <w:spacing w:lineRule="auto" w:line="240"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(e)The Borrowers shall have paid (i) to the Left Lead Arranger, for the account of itself, each other Lead Arranger and each Lender with an Initial Revolving-2 Credit Commitment, as applicable, all of the respective fees due to them on the Amendment Effective Date and any other accrued and unpaid fees or commissions due on the Amendment Effective Date and (ii) all of the reasonable out-of-pocket fees and expenses of the Left Lead Arranger, the Administrative Agent and their respective affiliates, including without limitation, all reasonable and invoiced fees, charges and disbursements of counsel to each of the Left Lead Arranger and the Administrative Agent (directly to such counsel if requested by the Left Lead Arranger or the Administrative Agent, as applicable) to the extent accrued and unpaid prior to or on the Amendment Effective Date, plus such estimate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Borrowers and, as applicable, the Left Lead Arranger or the Administrative Agent).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9.03</w:t>
      </w:r>
      <w:r>
        <w:rPr>
          <w:color w:val="000000"/>
        </w:rPr>
        <w:t xml:space="preserve"> </w:t>
      </w:r>
      <w:r>
        <w:rPr>
          <w:rFonts w:ascii="Times New Roman;serif" w:hAnsi="Times New Roman;serif"/>
          <w:b w:val="false"/>
          <w:color w:val="000000"/>
          <w:sz w:val="22"/>
        </w:rPr>
        <w:t xml:space="preserve">of the Credit Agreement, for purposes of determining compliance with the conditions specified in this </w:t>
      </w:r>
      <w:r>
        <w:rPr>
          <w:rFonts w:ascii="Times New Roman;serif" w:hAnsi="Times New Roman;serif"/>
          <w:b w:val="false"/>
          <w:color w:val="000000"/>
          <w:sz w:val="22"/>
          <w:u w:val="single"/>
        </w:rPr>
        <w:t>Section 4</w:t>
      </w:r>
      <w:r>
        <w:rPr>
          <w:rFonts w:ascii="Times New Roman;serif" w:hAnsi="Times New Roman;serif"/>
          <w:b w:val="false"/>
          <w:color w:val="000000"/>
          <w:sz w:val="22"/>
        </w:rPr>
        <w:t>, each Lender that has signed this Amendment shall be deemed to have consented to, approved or accepted or to be satisfied with, each document or other matter required hereunder to be consented to or approved by or acceptable or satisfactory to a Lender unless the Left Lead Arranger shall have received written notice from such Lender prior to the Amendment Effective Date specifying its objection thereto.</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67665"/>
                <wp:effectExtent l="0" t="0" r="0" b="0"/>
                <wp:wrapNone/>
                <wp:docPr id="53" name="Frame50"/>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(f)</w:t>
      </w:r>
      <w:r>
        <w:rPr>
          <w:rFonts w:ascii="Times New Roman;serif" w:hAnsi="Times New Roman;serif"/>
          <w:b w:val="false"/>
          <w:color w:val="000000"/>
          <w:sz w:val="22"/>
        </w:rPr>
        <w:t>SECTION 5.    </w:t>
      </w:r>
      <w:r>
        <w:rPr>
          <w:rFonts w:ascii="Times New Roman;serif" w:hAnsi="Times New Roman;serif"/>
          <w:b w:val="false"/>
          <w:color w:val="000000"/>
          <w:sz w:val="22"/>
          <w:u w:val="single"/>
        </w:rPr>
        <w:t>Reaffirmation</w:t>
      </w:r>
      <w:r>
        <w:rPr>
          <w:rFonts w:ascii="Times New Roman;serif" w:hAnsi="Times New Roman;serif"/>
          <w:b w:val="false"/>
          <w:color w:val="000000"/>
          <w:sz w:val="22"/>
        </w:rPr>
        <w:t>. By its execution hereof, each Borrower and each Guarantor hereby expressly (a) acknowledges that the covenants, representations and warranties and other obligations set forth in the Credit Agreement and the other Loan Documents to which it is a party remain in full force and effect; (b) affirms that each of the Liens and security interests granted in or pursuant to the Loan Documents are valid and subsisting and (c) agrees that this Amendment shall in no manner impair or otherwise adversely affect any of the Liens and security interests granted in or pursuant to the Loan Documents and that such Liens and security interests continue as security for the “Obligations” and the “Secured Obligations” under the Credit Agreement and the other Loan Documents.</w:t>
      </w:r>
    </w:p>
    <w:p>
      <w:pPr>
        <w:pStyle w:val="TextBody"/>
        <w:bidi w:val="0"/>
        <w:spacing w:lineRule="auto" w:line="288" w:before="0" w:after="240"/>
        <w:ind w:left="0" w:right="0" w:firstLine="720"/>
        <w:jc w:val="both"/>
        <w:rPr/>
      </w:pPr>
      <w:r>
        <w:rPr>
          <w:rFonts w:ascii="Times New Roman;serif" w:hAnsi="Times New Roman;serif"/>
          <w:b w:val="false"/>
          <w:color w:val="000000"/>
          <w:sz w:val="22"/>
        </w:rPr>
        <w:t>(g)</w:t>
      </w:r>
      <w:r>
        <w:rPr>
          <w:rFonts w:ascii="Times New Roman;serif" w:hAnsi="Times New Roman;serif"/>
          <w:b w:val="false"/>
          <w:color w:val="000000"/>
          <w:sz w:val="22"/>
        </w:rPr>
        <w:t>SECTION 6.    </w:t>
      </w:r>
      <w:r>
        <w:rPr>
          <w:rFonts w:ascii="Times New Roman;serif" w:hAnsi="Times New Roman;serif"/>
          <w:b w:val="false"/>
          <w:color w:val="000000"/>
          <w:sz w:val="22"/>
          <w:u w:val="single"/>
        </w:rPr>
        <w:t>Costs and Expenses</w:t>
      </w:r>
      <w:r>
        <w:rPr>
          <w:rFonts w:ascii="Times New Roman;serif" w:hAnsi="Times New Roman;serif"/>
          <w:b w:val="false"/>
          <w:color w:val="000000"/>
          <w:sz w:val="22"/>
        </w:rPr>
        <w:t xml:space="preserve">. The Loan Parties hereby reconfirm their obligations (i) to pay and reimburse the Administrative Agent pursuant to, and in accordance with,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of the Credit Agreement and (ii) to pay and reimburse the Left Lead Arranger pursuant to, and in accordance with, the Engagement Letter dated as of June 30, 2026 between the Company, on behalf the Borrowers, and the Left Lead Arranger.</w:t>
      </w:r>
    </w:p>
    <w:p>
      <w:pPr>
        <w:pStyle w:val="TextBody"/>
        <w:bidi w:val="0"/>
        <w:spacing w:lineRule="auto" w:line="288" w:before="0" w:after="0"/>
        <w:ind w:left="0" w:right="0" w:firstLine="720"/>
        <w:jc w:val="both"/>
        <w:rPr/>
      </w:pPr>
      <w:r>
        <w:rPr>
          <w:rFonts w:ascii="Times New Roman;serif" w:hAnsi="Times New Roman;serif"/>
          <w:b w:val="false"/>
          <w:color w:val="000000"/>
          <w:sz w:val="22"/>
        </w:rPr>
        <w:t>SECTION 7.    </w:t>
      </w:r>
      <w:r>
        <w:rPr>
          <w:rFonts w:ascii="Times New Roman;serif" w:hAnsi="Times New Roman;serif"/>
          <w:b w:val="false"/>
          <w:color w:val="000000"/>
          <w:sz w:val="22"/>
          <w:u w:val="single"/>
        </w:rPr>
        <w:t>Limited Effect</w:t>
      </w:r>
      <w:r>
        <w:rPr>
          <w:rFonts w:ascii="Times New Roman;serif" w:hAnsi="Times New Roman;serif"/>
          <w:b w:val="false"/>
          <w:color w:val="000000"/>
          <w:sz w:val="22"/>
        </w:rPr>
        <w:t xml:space="preserve">. Except as expressly provided herein, the Loan Documents shall remain unmodified and in full force and effect. This Amendment shall not be deemed (a) to be a waiver of, consent to, or a modification or amendment of any other term or condition of any Loan Document, (b) to prejudice any right or rights which the Administrative Agent, the Arrangers, Lead Arrangers or the Lenders may now have or may have in the future under or in connection with the Existing Credit Agreement, the Credit Agreement or the other Loan Documents or any of the instruments or agreements referred to therein, as the same may be amended, restated, supplemented or modified from time to time, (c) to be a commitment or any other undertaking or expression of any willingness to engage in any further discussion with any Borrower or any of its Subsidiaries or any other Person with respect to any other waiver, amendment, modification or any other change to any of the Loan Documents or any rights or remedies arising in favor of the Administrative Agent, the Arrangers, Lead Arrangers or the Lenders, or any of them, under or with respect to any such documents or (d) to be a waiver of, or consent to, or a modification or amendment of, any other term or condition of any other agreement by and among the Loan Parties, on the one hand, and the Administrative Agent, any Arranger, any Lead Arranger or any Lender, on the other hand. References in the Existing Credit Agreement or the Credit Agreement to “this Agreement” (and indirect references such as “hereunder”, “hereby”, “herein”, “hereof” or other words of like import) and in any other Loan Document to the “Credit Agreement” shall be deemed to be references to the Credit Agreement as amended by this Amendment.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2"/>
        </w:rPr>
        <w:t>SECTION 8.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By its execution hereof, each Loan Party hereby certifies, represents and warrants that:</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 xml:space="preserve">(a)     (i) it has the corporate or other organizational power and authority to execute, deliver and perform this Amendment and the other Loan Documents entered into in connection with this Amendment, (ii) it has taken all necessary corporate or other organizational action to authorize the execution, delivery and performance of this Amendment and the other Loan Documents entered into in connection with this Amendment, (iii) this Amendment and each of the Loan Documents executed in connection herewith has been duly executed and delivered on behalf of each Loan Party party hereto or thereto and (iv) this Amendment and the other Loan Documents entered into in connection with this Amendment each constitutes a legal, valid and binding obligation of each Loan Party party hereto or thereto, enforceable against it in accordance with its terms, except as enforceability may be limited by applicable bankruptcy, insolvency, reorganization, moratorium or similar laws affecting the enforcement of creditors’ rights </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67665"/>
                <wp:effectExtent l="0" t="0" r="0" b="0"/>
                <wp:wrapNone/>
                <wp:docPr id="54" name="Frame51"/>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6</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generally and by general equitable principles (whether enforcement is sought by proceedings in equity or at law); and</w:t>
      </w:r>
    </w:p>
    <w:p>
      <w:pPr>
        <w:pStyle w:val="TextBody"/>
        <w:bidi w:val="0"/>
        <w:spacing w:before="0" w:after="0"/>
        <w:ind w:left="0" w:right="0" w:firstLine="72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(b)(b)    each of the conditions and other requirements set forth in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of the Existing Credit Agreement with respect to an Extended Revolving Tranche and an Extended Revolving Commitment are satisfied with respect to the Initial Revolving-2 Credit Commitments and the Initial Revolving-2 Tranche set forth in this Amendment.</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9.    </w:t>
      </w:r>
      <w:r>
        <w:rPr>
          <w:rFonts w:ascii="Times New Roman;serif" w:hAnsi="Times New Roman;serif"/>
          <w:b w:val="false"/>
          <w:color w:val="000000"/>
          <w:sz w:val="22"/>
          <w:u w:val="single"/>
        </w:rPr>
        <w:t>Execution in Counterparts</w:t>
      </w:r>
      <w:r>
        <w:rPr>
          <w:rFonts w:ascii="Times New Roman;serif" w:hAnsi="Times New Roman;serif"/>
          <w:b w:val="false"/>
          <w:color w:val="000000"/>
          <w:sz w:val="22"/>
        </w:rPr>
        <w:t>. This Amendment may be executed by one or more of the parties to this Amendment on any number of separate counterparts, and all of said counterparts taken together shall be deemed to constitute one and the same instrument. Delivery of an executed counterpart of a signature page of this Amendment by facsimile or other electronic imaging means (e.g., “pdf” or “tif”) shall be effective as delivery of an original executed counterpart 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10.    </w:t>
      </w:r>
      <w:r>
        <w:rPr>
          <w:rFonts w:ascii="Times New Roman;serif" w:hAnsi="Times New Roman;serif"/>
          <w:b w:val="false"/>
          <w:color w:val="000000"/>
          <w:sz w:val="22"/>
          <w:u w:val="single"/>
        </w:rPr>
        <w:t>Governing Law</w:t>
      </w:r>
      <w:r>
        <w:rPr>
          <w:rFonts w:ascii="Times New Roman;serif" w:hAnsi="Times New Roman;serif"/>
          <w:b w:val="false"/>
          <w:color w:val="000000"/>
          <w:sz w:val="22"/>
        </w:rPr>
        <w:t>. THIS AMENDMENT AND ANY CLAIM, CONTROVERSY, DISPUTE OR CAUSE OF ACTION (WHETHER IN CONTRACT OR TORT OR OTHERWISE) BASED UPON, ARISING OUT OF OR RELATING TO THIS AMENDMENT AND THE TRANSACTIONS CONTEMPLATED HEREBY SHALL BE GOVERNED BY, AND CONSTRUED IN ACCORDANCE WITH, THE LAW OF THE STATE OF NEW YORK WITHOUT GIVING EFFECT TO THE CONFLICTS OF LAWS PRINCIPLES THEREOF, BUT INCLUDING SECTION 5-1401 OF THE NEW YORK GENERAL OBLIGATIONS LAW.</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11.    </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This Amendment is the entire agreement, and supersedes any prior agreements and contemporaneous oral agreements, of the parties concerning its subject matter.</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12.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 This Amendment shall be binding on and inure to the benefit of the parties and their heirs, beneficiaries, successors and permitted assigns.</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13.    </w:t>
      </w:r>
      <w:r>
        <w:rPr>
          <w:rFonts w:ascii="Times New Roman;serif" w:hAnsi="Times New Roman;serif"/>
          <w:b w:val="false"/>
          <w:color w:val="000000"/>
          <w:sz w:val="22"/>
          <w:u w:val="single"/>
        </w:rPr>
        <w:t>General Release</w:t>
      </w:r>
      <w:r>
        <w:rPr>
          <w:rFonts w:ascii="Times New Roman;serif" w:hAnsi="Times New Roman;serif"/>
          <w:b w:val="false"/>
          <w:color w:val="000000"/>
          <w:sz w:val="22"/>
        </w:rPr>
        <w:t>.</w:t>
      </w:r>
    </w:p>
    <w:p>
      <w:pPr>
        <w:pStyle w:val="TextBody"/>
        <w:bidi w:val="0"/>
        <w:spacing w:lineRule="auto" w:line="288" w:before="0" w:after="240"/>
        <w:ind w:left="0" w:right="0" w:firstLine="720"/>
        <w:jc w:val="both"/>
        <w:rPr/>
      </w:pPr>
      <w:r>
        <w:rPr>
          <w:rFonts w:ascii="Times New Roman;serif" w:hAnsi="Times New Roman;serif"/>
          <w:b w:val="false"/>
          <w:color w:val="000000"/>
          <w:sz w:val="22"/>
        </w:rPr>
        <w:t>(a)    In consideration of, among other things, the Administrative Agent’s, the Collateral Agent’s and the Lenders’ execution and delivery of this Amendment, the Company and each other Loan Party, on behalf of itself and its Related Parties, successors and assigns (collectively, the “</w:t>
      </w:r>
      <w:r>
        <w:rPr>
          <w:rFonts w:ascii="Times New Roman;serif" w:hAnsi="Times New Roman;serif"/>
          <w:b w:val="false"/>
          <w:color w:val="000000"/>
          <w:sz w:val="22"/>
          <w:u w:val="single"/>
        </w:rPr>
        <w:t>Releasors</w:t>
      </w:r>
      <w:r>
        <w:rPr>
          <w:color w:val="000000"/>
        </w:rPr>
        <w:t>”</w:t>
      </w:r>
      <w:r>
        <w:rPr>
          <w:rFonts w:ascii="Times New Roman;serif" w:hAnsi="Times New Roman;serif"/>
          <w:b w:val="false"/>
          <w:color w:val="000000"/>
          <w:sz w:val="22"/>
        </w:rPr>
        <w:t>), hereby forever agrees and covenants not to sue or prosecute against any Releasee (as hereinafter defined) and hereby forever waives, releases and discharges, to the fullest extent permitted by law, each Releasee from any and all claims (including, without limitation, crossclaims, counterclaims, rights of set-off and recoupment), actions, causes of action, suits, debts, accounts, interests, liens, promises, warranties, damages and consequential damages, demands, agreements, bonds, bills, specialties, covenants, controversies, variances, trespasses, judgments, executions, costs, expenses or claims whatsoever, that such Releasor now has or hereafter may have, of whatsoever nature and kind, whether known or unknown, whether now existing or hereafter arising, whether arising at law or in equity (collectively, the “</w:t>
      </w:r>
      <w:r>
        <w:rPr>
          <w:rFonts w:ascii="Times New Roman;serif" w:hAnsi="Times New Roman;serif"/>
          <w:b w:val="false"/>
          <w:color w:val="000000"/>
          <w:sz w:val="22"/>
          <w:u w:val="single"/>
        </w:rPr>
        <w:t>Claims</w:t>
      </w:r>
      <w:r>
        <w:rPr>
          <w:color w:val="000000"/>
        </w:rPr>
        <w:t>”</w:t>
      </w:r>
      <w:r>
        <w:rPr>
          <w:rFonts w:ascii="Times New Roman;serif" w:hAnsi="Times New Roman;serif"/>
          <w:b w:val="false"/>
          <w:color w:val="000000"/>
          <w:sz w:val="22"/>
        </w:rPr>
        <w:t>), against the Administrative Agent (and any sub-agent thereof), the Collateral Agent (and any sub-agent thereof), each Lender and each L/C Issuer and their respective Related Parties, and their respective successors and assigns (collectively, the “</w:t>
      </w:r>
      <w:r>
        <w:rPr>
          <w:rFonts w:ascii="Times New Roman;serif" w:hAnsi="Times New Roman;serif"/>
          <w:b w:val="false"/>
          <w:color w:val="000000"/>
          <w:sz w:val="22"/>
          <w:u w:val="single"/>
        </w:rPr>
        <w:t>Releasees</w:t>
      </w:r>
      <w:r>
        <w:rPr>
          <w:color w:val="000000"/>
        </w:rPr>
        <w:t>”</w:t>
      </w:r>
      <w:r>
        <w:rPr>
          <w:rFonts w:ascii="Times New Roman;serif" w:hAnsi="Times New Roman;serif"/>
          <w:b w:val="false"/>
          <w:color w:val="000000"/>
          <w:sz w:val="22"/>
        </w:rPr>
        <w:t xml:space="preserve">), based in whole or in part on facts, whether or not now known, existing on or before the Amendment Effective Date, that relate to, arise out of or otherwise are in connection with any or all of the Loan Documents or transactions contemplated thereby or any actions or omissions in connection therewith. In entering into this Amendment, the Company and each other Loan Party consulted with, and has been represented by, legal counsel and expressly disclaims any reliance on any representations, acts or omissions by any of the Releasees and </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67665"/>
                <wp:effectExtent l="0" t="0" r="0" b="0"/>
                <wp:wrapNone/>
                <wp:docPr id="55" name="Frame52"/>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2"/>
        </w:rPr>
      </w:pPr>
      <w:r>
        <w:rPr>
          <w:rFonts w:ascii="Times New Roman;serif" w:hAnsi="Times New Roman;serif"/>
          <w:b w:val="false"/>
          <w:color w:val="000000"/>
          <w:sz w:val="22"/>
        </w:rPr>
        <w:t>hereby agrees and acknowledges that the validity and effectiveness of the releases set forth above do not depend in any way on any such representations, acts and/or omissions or the accuracy, completeness or validity thereof.</w:t>
      </w:r>
    </w:p>
    <w:p>
      <w:pPr>
        <w:pStyle w:val="TextBody"/>
        <w:bidi w:val="0"/>
        <w:spacing w:lineRule="auto" w:line="288" w:before="0" w:after="240"/>
        <w:ind w:left="0" w:right="0" w:firstLine="720"/>
        <w:jc w:val="both"/>
        <w:rPr/>
      </w:pPr>
      <w:r>
        <w:rPr>
          <w:rFonts w:ascii="Times New Roman;serif" w:hAnsi="Times New Roman;serif"/>
          <w:b w:val="false"/>
          <w:color w:val="000000"/>
          <w:sz w:val="22"/>
        </w:rPr>
        <w:t xml:space="preserve">(b)    The Company and each other Loan Party, on behalf of itself and its Related Parties and its successors and assigns, hereby absolutely, unconditionally and irrevocably, covenants and agrees with and in favor of each Releasee that it will not sue (at law, in equity, in any regulatory proceeding or otherwise) any Releasee on the basis of any Claim released, remised and discharged by the Company or any other Loan Party pursuant to </w:t>
      </w:r>
      <w:r>
        <w:rPr>
          <w:rFonts w:ascii="Times New Roman;serif" w:hAnsi="Times New Roman;serif"/>
          <w:b w:val="false"/>
          <w:color w:val="000000"/>
          <w:sz w:val="22"/>
          <w:u w:val="single"/>
        </w:rPr>
        <w:t>Section 13(a)</w:t>
      </w:r>
      <w:r>
        <w:rPr>
          <w:color w:val="000000"/>
        </w:rPr>
        <w:t xml:space="preserve"> </w:t>
      </w:r>
      <w:r>
        <w:rPr>
          <w:rFonts w:ascii="Times New Roman;serif" w:hAnsi="Times New Roman;serif"/>
          <w:b w:val="false"/>
          <w:color w:val="000000"/>
          <w:sz w:val="22"/>
        </w:rPr>
        <w:t>hereof.</w:t>
      </w:r>
    </w:p>
    <w:p>
      <w:pPr>
        <w:pStyle w:val="TextBody"/>
        <w:bidi w:val="0"/>
        <w:spacing w:lineRule="auto" w:line="288" w:before="0" w:after="24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(c)    Each party’s obligations under this Section shall survive the termination of the Loan Documents and payment of the obligations thereunder.</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14.    </w:t>
      </w:r>
      <w:r>
        <w:rPr>
          <w:rFonts w:ascii="Times New Roman;serif" w:hAnsi="Times New Roman;serif"/>
          <w:b w:val="false"/>
          <w:color w:val="000000"/>
          <w:sz w:val="22"/>
          <w:u w:val="single"/>
        </w:rPr>
        <w:t>Direction to the Administrative Agent</w:t>
      </w:r>
      <w:r>
        <w:rPr>
          <w:rFonts w:ascii="Times New Roman;serif" w:hAnsi="Times New Roman;serif"/>
          <w:b w:val="false"/>
          <w:color w:val="000000"/>
          <w:sz w:val="22"/>
        </w:rPr>
        <w:t xml:space="preserve">. Execution of this Amendment constitutes a direction by each of the Lenders party hereto that MS act in accordance with the terms of this Amendment. In executing this Amendment, MS is relying on the accuracy of the statements made by the Loan Parties and the Lenders party hereto in </w:t>
      </w:r>
      <w:r>
        <w:rPr>
          <w:rFonts w:ascii="Times New Roman;serif" w:hAnsi="Times New Roman;serif"/>
          <w:b w:val="false"/>
          <w:color w:val="000000"/>
          <w:sz w:val="22"/>
          <w:u w:val="single"/>
        </w:rPr>
        <w:t>Section 2</w:t>
      </w:r>
      <w:r>
        <w:rPr>
          <w:color w:val="000000"/>
        </w:rPr>
        <w:t xml:space="preserve"> </w:t>
      </w:r>
      <w:r>
        <w:rPr>
          <w:rFonts w:ascii="Times New Roman;serif" w:hAnsi="Times New Roman;serif"/>
          <w:b w:val="false"/>
          <w:color w:val="000000"/>
          <w:sz w:val="22"/>
        </w:rPr>
        <w:t xml:space="preserve">of this Amendment. Moreover, MS is entering into this Amendment in reliance on, and having the benefit of, the exculpation and indemnification provisions in </w:t>
      </w:r>
      <w:r>
        <w:rPr>
          <w:rFonts w:ascii="Times New Roman;serif" w:hAnsi="Times New Roman;serif"/>
          <w:b w:val="false"/>
          <w:color w:val="000000"/>
          <w:sz w:val="22"/>
          <w:u w:val="single"/>
        </w:rPr>
        <w:t>Sections 9.03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9.07</w:t>
      </w:r>
      <w:r>
        <w:rPr>
          <w:color w:val="000000"/>
        </w:rPr>
        <w:t xml:space="preserve"> </w:t>
      </w:r>
      <w:r>
        <w:rPr>
          <w:rFonts w:ascii="Times New Roman;serif" w:hAnsi="Times New Roman;serif"/>
          <w:b w:val="false"/>
          <w:color w:val="000000"/>
          <w:sz w:val="22"/>
        </w:rPr>
        <w:t xml:space="preserve">of the Credit Agreement. MS shall not, and shall not be required to, act against any of the Loan Parties, or any of their respective Subsidiaries or any property or assets of any of the foregoing if such action is contrary to the terms of this Amendment or any other Loan Document. Further, by execution of this Amendment each of the Lenders party hereto agree and acknowledge (i) that such Lender has, independently and without reliance upon the Administrative Agent, made its own decision to enter into this Amendment and (ii) that the terms of </w:t>
      </w:r>
      <w:r>
        <w:rPr>
          <w:rFonts w:ascii="Times New Roman;serif" w:hAnsi="Times New Roman;serif"/>
          <w:b w:val="false"/>
          <w:color w:val="000000"/>
          <w:sz w:val="22"/>
          <w:u w:val="single"/>
        </w:rPr>
        <w:t>Section 9.06</w:t>
      </w:r>
      <w:r>
        <w:rPr>
          <w:color w:val="000000"/>
        </w:rPr>
        <w:t xml:space="preserve"> </w:t>
      </w:r>
      <w:r>
        <w:rPr>
          <w:rFonts w:ascii="Times New Roman;serif" w:hAnsi="Times New Roman;serif"/>
          <w:b w:val="false"/>
          <w:color w:val="000000"/>
          <w:sz w:val="22"/>
        </w:rPr>
        <w:t xml:space="preserve">of the Credit Agreement shall apply </w:t>
      </w:r>
      <w:r>
        <w:rPr>
          <w:rFonts w:ascii="Times New Roman;serif" w:hAnsi="Times New Roman;serif"/>
          <w:b w:val="false"/>
          <w:i/>
          <w:color w:val="000000"/>
          <w:sz w:val="22"/>
        </w:rPr>
        <w:t>mutatis mutandis</w:t>
      </w:r>
      <w:r>
        <w:rPr>
          <w:color w:val="000000"/>
        </w:rPr>
        <w:t xml:space="preserve"> </w:t>
      </w:r>
      <w:r>
        <w:rPr>
          <w:rFonts w:ascii="Times New Roman;serif" w:hAnsi="Times New Roman;serif"/>
          <w:b w:val="false"/>
          <w:color w:val="000000"/>
          <w:sz w:val="22"/>
        </w:rPr>
        <w:t xml:space="preserve">to this Amendment and each Lender party hereto.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15.    </w:t>
      </w:r>
      <w:r>
        <w:rPr>
          <w:rFonts w:ascii="Times New Roman;serif" w:hAnsi="Times New Roman;serif"/>
          <w:b w:val="false"/>
          <w:color w:val="000000"/>
          <w:sz w:val="22"/>
          <w:u w:val="single"/>
        </w:rPr>
        <w:t>Post-Closing Matters</w:t>
      </w:r>
      <w:r>
        <w:rPr>
          <w:rFonts w:ascii="Times New Roman;serif" w:hAnsi="Times New Roman;serif"/>
          <w:b w:val="false"/>
          <w:color w:val="000000"/>
          <w:sz w:val="22"/>
        </w:rPr>
        <w:t xml:space="preserve">. Notwithstanding anything to the contrary in any Loan Document, the Company shall, and shall cause each applicable Restricted Subsidiary to, execute and deliver the documents, take the actions and complete the tasks set forth on </w:t>
      </w:r>
      <w:r>
        <w:rPr>
          <w:rFonts w:ascii="Times New Roman;serif" w:hAnsi="Times New Roman;serif"/>
          <w:b w:val="false"/>
          <w:color w:val="000000"/>
          <w:sz w:val="22"/>
          <w:u w:val="single"/>
        </w:rPr>
        <w:t>Annex D</w:t>
      </w:r>
      <w:r>
        <w:rPr>
          <w:rFonts w:ascii="Times New Roman;serif" w:hAnsi="Times New Roman;serif"/>
          <w:b w:val="false"/>
          <w:color w:val="000000"/>
          <w:sz w:val="22"/>
        </w:rPr>
        <w:t xml:space="preserve">, in each case within the applicable corresponding time limits specified on such schedule (or such later date as may be agreed to by the Administrative Agent and the Left Lead Arranger in their sole discretion). </w:t>
      </w:r>
    </w:p>
    <w:p>
      <w:pPr>
        <w:pStyle w:val="TextBody"/>
        <w:bidi w:val="0"/>
        <w:spacing w:lineRule="auto" w:line="288" w:before="0" w:after="240"/>
        <w:ind w:left="0" w:right="0" w:firstLine="720"/>
        <w:jc w:val="both"/>
        <w:rPr/>
      </w:pPr>
      <w:r>
        <w:rPr>
          <w:rFonts w:ascii="Times New Roman;serif" w:hAnsi="Times New Roman;serif"/>
          <w:b w:val="false"/>
          <w:color w:val="000000"/>
          <w:sz w:val="22"/>
        </w:rPr>
        <w:t>SECTION 16.    </w:t>
      </w:r>
      <w:r>
        <w:rPr>
          <w:rFonts w:ascii="Times New Roman;serif" w:hAnsi="Times New Roman;serif"/>
          <w:b w:val="false"/>
          <w:color w:val="000000"/>
          <w:sz w:val="22"/>
          <w:u w:val="single"/>
        </w:rPr>
        <w:t>Transfer of Administrative Agency</w:t>
      </w:r>
      <w:r>
        <w:rPr>
          <w:rFonts w:ascii="Times New Roman;serif" w:hAnsi="Times New Roman;serif"/>
          <w:b w:val="false"/>
          <w:color w:val="000000"/>
          <w:sz w:val="22"/>
        </w:rPr>
        <w:t>. Wells Fargo Bank, National Association (“</w:t>
      </w:r>
      <w:r>
        <w:rPr>
          <w:rFonts w:ascii="Times New Roman;serif" w:hAnsi="Times New Roman;serif"/>
          <w:b w:val="false"/>
          <w:color w:val="000000"/>
          <w:sz w:val="22"/>
          <w:u w:val="single"/>
        </w:rPr>
        <w:t>Wells Fargo</w:t>
      </w:r>
      <w:r>
        <w:rPr>
          <w:color w:val="000000"/>
        </w:rPr>
        <w:t>”</w:t>
      </w:r>
      <w:r>
        <w:rPr>
          <w:rFonts w:ascii="Times New Roman;serif" w:hAnsi="Times New Roman;serif"/>
          <w:b w:val="false"/>
          <w:color w:val="000000"/>
          <w:sz w:val="22"/>
        </w:rPr>
        <w:t xml:space="preserve">), and MS, in its capacity as the Administrative Agent and as the Collateral Agent, agree to each use their commercially reasonable efforts to effect a transfer of the roles of the Administrative Agent and the Collateral Agent from MS to Wells Fargo by no later than September 30, 2026 (as such date may be extended by them in their sole mutual discretion).  The parties hereto hereby agree that this </w:t>
      </w:r>
      <w:r>
        <w:rPr>
          <w:rFonts w:ascii="Times New Roman;serif" w:hAnsi="Times New Roman;serif"/>
          <w:b w:val="false"/>
          <w:color w:val="000000"/>
          <w:sz w:val="22"/>
          <w:u w:val="single"/>
        </w:rPr>
        <w:t>Section 16</w:t>
      </w:r>
      <w:r>
        <w:rPr>
          <w:color w:val="000000"/>
        </w:rPr>
        <w:t xml:space="preserve"> </w:t>
      </w:r>
      <w:r>
        <w:rPr>
          <w:rFonts w:ascii="Times New Roman;serif" w:hAnsi="Times New Roman;serif"/>
          <w:b w:val="false"/>
          <w:color w:val="000000"/>
          <w:sz w:val="22"/>
        </w:rPr>
        <w:t xml:space="preserve">shall not affect any rights of the Administrative Agent or the Collateral Agent pursuant to the Credit Agreement, including, without limitation, the right of MS, in its capacity as the Administrative Agent and as the Collateral Agent, to resign as the Administrative Agent and as the Collateral Agent pursuant to </w:t>
      </w:r>
      <w:r>
        <w:rPr>
          <w:rFonts w:ascii="Times New Roman;serif" w:hAnsi="Times New Roman;serif"/>
          <w:b w:val="false"/>
          <w:color w:val="000000"/>
          <w:sz w:val="22"/>
          <w:u w:val="single"/>
        </w:rPr>
        <w:t>Section 11.09</w:t>
      </w:r>
      <w:r>
        <w:rPr>
          <w:color w:val="000000"/>
        </w:rPr>
        <w:t xml:space="preserve"> </w:t>
      </w:r>
      <w:r>
        <w:rPr>
          <w:rFonts w:ascii="Times New Roman;serif" w:hAnsi="Times New Roman;serif"/>
          <w:b w:val="false"/>
          <w:color w:val="000000"/>
          <w:sz w:val="22"/>
        </w:rPr>
        <w:t>of the Credit Agreement.</w:t>
      </w:r>
    </w:p>
    <w:p>
      <w:pPr>
        <w:pStyle w:val="TextBody"/>
        <w:bidi w:val="0"/>
        <w:spacing w:lineRule="auto" w:line="288" w:before="0" w:after="240"/>
        <w:jc w:val="center"/>
        <w:rPr>
          <w:rFonts w:ascii="Times New Roman;serif" w:hAnsi="Times New Roman;serif"/>
          <w:b w:val="false"/>
          <w:color w:val="000000"/>
          <w:sz w:val="22"/>
        </w:rPr>
      </w:pPr>
      <w:r>
        <w:rPr>
          <w:rFonts w:ascii="Times New Roman;serif" w:hAnsi="Times New Roman;serif"/>
          <w:b w:val="false"/>
          <w:color w:val="000000"/>
          <w:sz w:val="22"/>
        </w:rPr>
        <w:t>[The remainder of this page is intentionally left blank.]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IN WITNESS WHEREOF, the parties hereto have caused their duly authorized officers to execute and deliver this Amendment as of the date first above written.</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67665"/>
                <wp:effectExtent l="0" t="0" r="0" b="0"/>
                <wp:wrapNone/>
                <wp:docPr id="56" name="Frame53"/>
                <a:graphic xmlns:a="http://schemas.openxmlformats.org/drawingml/2006/main">
                  <a:graphicData uri="http://schemas.microsoft.com/office/word/2010/wordprocessingShape">
                    <wps:wsp>
                      <wps:cNvSpPr txBox="1"/>
                      <wps:spPr>
                        <a:xfrm>
                          <a:off x="0" y="0"/>
                          <a:ext cx="6480175" cy="36766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8.95pt;mso-wrap-distance-left:0pt;mso-wrap-distance-right:0pt;mso-wrap-distance-top:0pt;mso-wrap-distance-bottom:0pt;margin-top:0pt;mso-position-vertical:top;mso-position-vertical-relative:text;margin-left:-7.7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8</w:t>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both"/>
        <w:rPr/>
      </w:pPr>
      <w:r>
        <w:rPr/>
      </w:r>
    </w:p>
    <w:p>
      <w:pPr>
        <w:pStyle w:val="TextBody"/>
        <w:bidi w:val="0"/>
        <w:spacing w:lineRule="auto" w:line="288" w:before="240" w:after="283"/>
        <w:jc w:val="left"/>
        <w:rPr/>
      </w:pPr>
      <w:r>
        <w:rPr>
          <w:color w:val="000000"/>
        </w:rPr>
        <w:t>    </w:t>
      </w:r>
      <w:r>
        <w:rPr>
          <w:rFonts w:ascii="Times New Roman;serif" w:hAnsi="Times New Roman;serif"/>
          <w:b/>
          <w:color w:val="000000"/>
          <w:sz w:val="22"/>
        </w:rPr>
        <w:t>EMBECTA CORP.</w:t>
      </w:r>
      <w:r>
        <w:rPr>
          <w:rFonts w:ascii="Times New Roman;serif" w:hAnsi="Times New Roman;serif"/>
          <w:b w:val="false"/>
          <w:color w:val="000000"/>
          <w:sz w:val="22"/>
        </w:rPr>
        <w:t>, as Borrower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Jacob Elguicze</w:t>
      </w:r>
      <w:r>
        <w:rPr>
          <w:rFonts w:ascii="Times New Roman;serif" w:hAnsi="Times New Roman;serif"/>
          <w:b w:val="false"/>
          <w:color w:val="000000"/>
          <w:sz w:val="22"/>
        </w:rPr>
        <w:br/>
        <w:t>Name: Jacob Elguicze</w:t>
        <w:br/>
        <w:t xml:space="preserve">Title: SVP, Chief Financial Officer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color w:val="000000"/>
          <w:sz w:val="22"/>
        </w:rPr>
        <w:t>EMBECTA MEDICAL I LLC</w:t>
      </w:r>
      <w:r>
        <w:rPr>
          <w:rFonts w:ascii="Times New Roman;serif" w:hAnsi="Times New Roman;serif"/>
          <w:b w:val="false"/>
          <w:color w:val="000000"/>
          <w:sz w:val="22"/>
        </w:rPr>
        <w:t>, as Guarantor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Jeffrey Zimmermann Mann</w:t>
      </w:r>
      <w:r>
        <w:rPr>
          <w:color w:val="000000"/>
        </w:rPr>
        <w:t xml:space="preserve"> </w:t>
      </w:r>
      <w:r>
        <w:rPr>
          <w:rFonts w:ascii="Times New Roman;serif" w:hAnsi="Times New Roman;serif"/>
          <w:b w:val="false"/>
          <w:color w:val="000000"/>
          <w:sz w:val="22"/>
        </w:rPr>
        <w:br/>
        <w:t>Name: Jeffrey Zimmerman Mann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480"/>
        <w:jc w:val="left"/>
        <w:rPr/>
      </w:pPr>
      <w:r>
        <w:rPr>
          <w:rFonts w:ascii="Times New Roman;serif" w:hAnsi="Times New Roman;serif"/>
          <w:b/>
          <w:color w:val="000000"/>
          <w:sz w:val="22"/>
        </w:rPr>
        <w:t>EMBECTA MEDICAL II LLC</w:t>
      </w:r>
      <w:r>
        <w:rPr>
          <w:rFonts w:ascii="Times New Roman;serif" w:hAnsi="Times New Roman;serif"/>
          <w:b w:val="false"/>
          <w:color w:val="000000"/>
          <w:sz w:val="22"/>
        </w:rPr>
        <w:t>, as Guarantor</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Jeffrey Zimmermann Mann</w:t>
      </w:r>
      <w:r>
        <w:rPr>
          <w:color w:val="000000"/>
        </w:rPr>
        <w:t xml:space="preserve"> </w:t>
      </w:r>
      <w:r>
        <w:rPr>
          <w:rFonts w:ascii="Times New Roman;serif" w:hAnsi="Times New Roman;serif"/>
          <w:b w:val="false"/>
          <w:color w:val="000000"/>
          <w:sz w:val="22"/>
        </w:rPr>
        <w:br/>
        <w:t>Name: Jeffrey Zimmerman Mann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Title: Director</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EMBECTA US HOLDINGS I LLC</w:t>
      </w:r>
      <w:r>
        <w:rPr>
          <w:rFonts w:ascii="Times New Roman;serif" w:hAnsi="Times New Roman;serif"/>
          <w:b w:val="false"/>
          <w:color w:val="000000"/>
          <w:sz w:val="22"/>
        </w:rPr>
        <w:t>, as Guarantor</w:t>
      </w:r>
    </w:p>
    <w:p>
      <w:pPr>
        <w:pStyle w:val="TextBody"/>
        <w:bidi w:val="0"/>
        <w:spacing w:lineRule="auto" w:line="288" w:before="0" w:after="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Jeffrey Zimmermann Mann</w:t>
      </w:r>
      <w:r>
        <w:rPr>
          <w:color w:val="000000"/>
        </w:rPr>
        <w:t xml:space="preserve"> </w:t>
      </w:r>
      <w:r>
        <w:rPr>
          <w:rFonts w:ascii="Times New Roman;serif" w:hAnsi="Times New Roman;serif"/>
          <w:b w:val="false"/>
          <w:color w:val="000000"/>
          <w:sz w:val="22"/>
        </w:rPr>
        <w:br/>
        <w:t>Name: Jeffrey Zimmerman Mann</w:t>
      </w:r>
    </w:p>
    <w:p>
      <w:pPr>
        <w:pStyle w:val="TextBody"/>
        <w:bidi w:val="0"/>
        <w:spacing w:lineRule="auto" w:line="288"/>
        <w:jc w:val="left"/>
        <w:rPr>
          <w:rFonts w:ascii="Times New Roman;serif" w:hAnsi="Times New Roman;serif"/>
          <w:b w:val="false"/>
          <w:color w:val="000000"/>
          <w:sz w:val="22"/>
        </w:rPr>
      </w:pPr>
      <w:r>
        <w:rPr>
          <w:rFonts w:ascii="Times New Roman;serif" w:hAnsi="Times New Roman;serif"/>
          <w:b w:val="false"/>
          <w:color w:val="000000"/>
          <w:sz w:val="22"/>
        </w:rPr>
        <w:t>Title: Manager</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498475"/>
                <wp:effectExtent l="0" t="0" r="0" b="0"/>
                <wp:wrapNone/>
                <wp:docPr id="57" name="Frame54"/>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ind w:left="0" w:right="0" w:hanging="3600"/>
        <w:jc w:val="left"/>
        <w:rPr/>
      </w:pPr>
      <w:r>
        <w:rPr>
          <w:color w:val="000000"/>
        </w:rPr>
        <w:t>        </w:t>
      </w:r>
      <w:r>
        <w:rPr>
          <w:rFonts w:ascii="Times New Roman;serif" w:hAnsi="Times New Roman;serif"/>
          <w:b/>
          <w:color w:val="000000"/>
          <w:sz w:val="22"/>
        </w:rPr>
        <w:t>MORGAN STANLEY SENIOR FUNDING, INC.</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 the Administrative Agent and the Collateral Agent</w:t>
      </w:r>
    </w:p>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/s/Jennifer DeFazio</w:t>
        <w:br/>
      </w:r>
      <w:r>
        <w:rPr>
          <w:rFonts w:ascii="Times New Roman;serif" w:hAnsi="Times New Roman;serif"/>
          <w:b w:val="false"/>
          <w:color w:val="000000"/>
          <w:sz w:val="22"/>
        </w:rPr>
        <w:t>Name: Jennifer DeFazio</w:t>
        <w:br/>
        <w:t>Title: Authorized Signatory</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498475"/>
                <wp:effectExtent l="0" t="0" r="0" b="0"/>
                <wp:wrapNone/>
                <wp:docPr id="58" name="Frame55"/>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ind w:left="0" w:right="0" w:hanging="3600"/>
        <w:jc w:val="left"/>
        <w:rPr/>
      </w:pPr>
      <w:r>
        <w:rPr>
          <w:color w:val="000000"/>
        </w:rPr>
        <w:t>    </w:t>
      </w:r>
      <w:r>
        <w:rPr>
          <w:rFonts w:ascii="Times New Roman;serif" w:hAnsi="Times New Roman;serif"/>
          <w:b/>
          <w:color w:val="000000"/>
          <w:sz w:val="22"/>
        </w:rPr>
        <w:t>WELLS FARGO BANK, NATIONAL ASSOCIATION</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Andrea Chen    </w:t>
      </w:r>
      <w:r>
        <w:rPr>
          <w:rFonts w:ascii="Times New Roman;serif" w:hAnsi="Times New Roman;serif"/>
          <w:b w:val="false"/>
          <w:color w:val="000000"/>
          <w:sz w:val="22"/>
        </w:rPr>
        <w:br/>
        <w:t>Name: Andrea Chen</w:t>
        <w:br/>
        <w:t>Title: Managing Director</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498475"/>
                <wp:effectExtent l="0" t="0" r="0" b="0"/>
                <wp:wrapNone/>
                <wp:docPr id="59" name="Frame56"/>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0"/>
        <w:jc w:val="left"/>
        <w:rPr/>
      </w:pPr>
      <w:r>
        <w:rPr>
          <w:rFonts w:ascii="Times New Roman;serif" w:hAnsi="Times New Roman;serif"/>
          <w:b/>
          <w:color w:val="000000"/>
          <w:sz w:val="22"/>
        </w:rPr>
        <w:t>CITIBANK, N.A.</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Nicholas Bancroft</w:t>
      </w:r>
      <w:r>
        <w:rPr>
          <w:rFonts w:ascii="Times New Roman;serif" w:hAnsi="Times New Roman;serif"/>
          <w:b w:val="false"/>
          <w:color w:val="000000"/>
          <w:sz w:val="22"/>
        </w:rPr>
        <w:br/>
        <w:t>Name: Nicholas Bancroft</w:t>
        <w:br/>
        <w:t>Title: Authorized Signatory</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498475"/>
                <wp:effectExtent l="0" t="0" r="0" b="0"/>
                <wp:wrapNone/>
                <wp:docPr id="60" name="Frame57"/>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CITIZENS BANK, N.A.</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William J. O’Meara_</w:t>
      </w:r>
      <w:r>
        <w:rPr>
          <w:rFonts w:ascii="Times New Roman;serif" w:hAnsi="Times New Roman;serif"/>
          <w:b w:val="false"/>
          <w:color w:val="000000"/>
          <w:sz w:val="22"/>
        </w:rPr>
        <w:br/>
        <w:t>Name: William J. O’Meara</w:t>
        <w:br/>
        <w:t>Title: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498475"/>
                <wp:effectExtent l="0" t="0" r="0" b="0"/>
                <wp:wrapNone/>
                <wp:docPr id="61" name="Frame58"/>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JPMORGAN CHASE BANK, N.A.</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Yonas Zewdie</w:t>
      </w:r>
      <w:r>
        <w:rPr>
          <w:rFonts w:ascii="Times New Roman;serif" w:hAnsi="Times New Roman;serif"/>
          <w:b w:val="false"/>
          <w:color w:val="000000"/>
          <w:sz w:val="22"/>
        </w:rPr>
        <w:br/>
        <w:t>Name: Yonas Zewdie</w:t>
        <w:br/>
        <w:t>Title: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498475"/>
                <wp:effectExtent l="0" t="0" r="0" b="0"/>
                <wp:wrapNone/>
                <wp:docPr id="62" name="Frame59"/>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SANTANDER BANK, N.A.</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Guillermo Fernandez Lopez</w:t>
      </w:r>
      <w:r>
        <w:rPr>
          <w:rFonts w:ascii="Times New Roman;serif" w:hAnsi="Times New Roman;serif"/>
          <w:b w:val="false"/>
          <w:color w:val="000000"/>
          <w:sz w:val="22"/>
        </w:rPr>
        <w:br/>
        <w:t>Name: Guillermo Fernandez Lopez</w:t>
        <w:br/>
        <w:t>Title: SVP</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98475"/>
                <wp:effectExtent l="0" t="0" r="0" b="0"/>
                <wp:wrapNone/>
                <wp:docPr id="63" name="Frame60"/>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MUFG BANK, LTD.</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Andrew Moore</w:t>
      </w:r>
      <w:r>
        <w:rPr>
          <w:rFonts w:ascii="Times New Roman;serif" w:hAnsi="Times New Roman;serif"/>
          <w:b w:val="false"/>
          <w:color w:val="000000"/>
          <w:sz w:val="22"/>
        </w:rPr>
        <w:br/>
        <w:t>Name: Andrew Moore</w:t>
        <w:br/>
        <w:t>Title: 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98475"/>
                <wp:effectExtent l="0" t="0" r="0" b="0"/>
                <wp:wrapNone/>
                <wp:docPr id="64" name="Frame61"/>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U.S. BANK NATIONAL ASSOCIATION</w:t>
      </w:r>
      <w:r>
        <w:rPr>
          <w:rFonts w:ascii="Times New Roman;serif" w:hAnsi="Times New Roman;serif"/>
          <w:b w:val="false"/>
          <w:color w:val="000000"/>
          <w:sz w:val="22"/>
        </w:rPr>
        <w:t>, as a Revolving Credit Lender under the Initial Revolving-2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color w:val="000000"/>
          <w:u w:val="single"/>
        </w:rPr>
        <w:t xml:space="preserve"> </w:t>
      </w:r>
      <w:r>
        <w:rPr>
          <w:rFonts w:ascii="Times New Roman;serif" w:hAnsi="Times New Roman;serif"/>
          <w:b w:val="false"/>
          <w:color w:val="000000"/>
          <w:sz w:val="22"/>
          <w:u w:val="single"/>
        </w:rPr>
        <w:t>/s/ Andrew Stredde</w:t>
      </w:r>
      <w:r>
        <w:rPr>
          <w:rFonts w:ascii="Times New Roman;serif" w:hAnsi="Times New Roman;serif"/>
          <w:b w:val="false"/>
          <w:color w:val="000000"/>
          <w:sz w:val="22"/>
        </w:rPr>
        <w:br/>
        <w:t>Name: Andrew Stredde</w:t>
        <w:br/>
        <w:t xml:space="preserve">Title: Senior Vice President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98475"/>
                <wp:effectExtent l="0" t="0" r="0" b="0"/>
                <wp:wrapNone/>
                <wp:docPr id="65" name="Frame62"/>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color w:val="000000"/>
          <w:sz w:val="22"/>
        </w:rPr>
        <w:t>PNC BANK, NATIONAL ASSOCIATION</w:t>
      </w:r>
      <w:r>
        <w:rPr>
          <w:rFonts w:ascii="Times New Roman;serif" w:hAnsi="Times New Roman;serif"/>
          <w:b w:val="false"/>
          <w:color w:val="000000"/>
          <w:sz w:val="22"/>
        </w:rPr>
        <w:t>, as a Revolving Credit Lender under the Initial Revolving-1 Tranche</w:t>
      </w:r>
    </w:p>
    <w:p>
      <w:pPr>
        <w:pStyle w:val="TextBody"/>
        <w:bidi w:val="0"/>
        <w:spacing w:before="0" w:after="0"/>
        <w:ind w:left="0" w:right="0" w:hanging="3600"/>
        <w:jc w:val="left"/>
        <w:rPr/>
      </w:pPr>
      <w:r>
        <w:rPr/>
      </w:r>
    </w:p>
    <w:p>
      <w:pPr>
        <w:pStyle w:val="TextBody"/>
        <w:bidi w:val="0"/>
        <w:spacing w:lineRule="auto" w:line="288" w:before="0" w:after="240"/>
        <w:jc w:val="left"/>
        <w:rPr/>
      </w:pPr>
      <w:r>
        <w:rPr>
          <w:rFonts w:ascii="Times New Roman;serif" w:hAnsi="Times New Roman;serif"/>
          <w:b w:val="false"/>
          <w:color w:val="000000"/>
          <w:sz w:val="22"/>
        </w:rPr>
        <w:t>By:</w:t>
      </w:r>
      <w:r>
        <w:rPr>
          <w:rFonts w:ascii="Times New Roman;serif" w:hAnsi="Times New Roman;serif"/>
          <w:b w:val="false"/>
          <w:color w:val="000000"/>
          <w:sz w:val="22"/>
          <w:u w:val="single"/>
        </w:rPr>
        <w:t>/s/ Domenic D’Ginto</w:t>
      </w:r>
      <w:r>
        <w:rPr>
          <w:rFonts w:ascii="Times New Roman;serif" w:hAnsi="Times New Roman;serif"/>
          <w:b w:val="false"/>
          <w:color w:val="000000"/>
          <w:sz w:val="22"/>
        </w:rPr>
        <w:br/>
        <w:t>Name: Domenic D’Ginto</w:t>
        <w:br/>
        <w:t>Title: Managing Director</w:t>
      </w:r>
    </w:p>
    <w:p>
      <w:pPr>
        <w:pStyle w:val="TextBody"/>
        <w:bidi w:val="0"/>
        <w:spacing w:lineRule="auto" w:line="288" w:before="0" w:after="0"/>
        <w:ind w:left="0" w:right="0" w:hanging="3600"/>
        <w:jc w:val="left"/>
        <w:rPr>
          <w:color w:val="000000"/>
        </w:rPr>
      </w:pPr>
      <w:r>
        <w:rPr>
          <w:color w:val="000000"/>
        </w:rPr>
        <w:t>    </w:t>
      </w:r>
    </w:p>
    <w:p>
      <w:pPr>
        <w:pStyle w:val="TextBody"/>
        <w:bidi w:val="0"/>
        <w:spacing w:before="0" w:after="0"/>
        <w:ind w:left="0" w:right="0" w:hanging="36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98475"/>
                <wp:effectExtent l="0" t="0" r="0" b="0"/>
                <wp:wrapNone/>
                <wp:docPr id="66" name="Frame63"/>
                <a:graphic xmlns:a="http://schemas.openxmlformats.org/drawingml/2006/main">
                  <a:graphicData uri="http://schemas.microsoft.com/office/word/2010/wordprocessingShape">
                    <wps:wsp>
                      <wps:cNvSpPr txBox="1"/>
                      <wps:spPr>
                        <a:xfrm>
                          <a:off x="0" y="0"/>
                          <a:ext cx="6480175" cy="49847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Embecta Corp.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First Amendment to First Lien Credit Agreement</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Signature Page</w:t>
                      </w:r>
                    </w:p>
                  </w:txbxContent>
                </v:textbox>
                <w10:wrap type="none"/>
              </v:rect>
            </w:pict>
          </mc:Fallback>
        </mc:AlternateContent>
      </w:r>
    </w:p>
    <w:p>
      <w:pPr>
        <w:pStyle w:val="TextBody"/>
        <w:bidi w:val="0"/>
        <w:spacing w:lineRule="auto" w:line="288" w:before="0" w:after="0"/>
        <w:ind w:left="0" w:right="0" w:hanging="360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ANNEX A</w:t>
      </w:r>
    </w:p>
    <w:p>
      <w:pPr>
        <w:pStyle w:val="TextBody"/>
        <w:bidi w:val="0"/>
        <w:spacing w:before="0" w:after="0"/>
        <w:ind w:left="0" w:right="0" w:hanging="360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CREDIT AGREEMENT</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See attached</w:t>
      </w:r>
      <w:r>
        <w:rPr>
          <w:rFonts w:ascii="Times New Roman;serif" w:hAnsi="Times New Roman;serif"/>
          <w:b w:val="false"/>
          <w:color w:val="000000"/>
          <w:sz w:val="22"/>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FF"/>
          <w:sz w:val="22"/>
          <w:u w:val="single"/>
        </w:rPr>
      </w:pPr>
      <w:r>
        <w:rPr>
          <w:rFonts w:ascii="Times New Roman;serif" w:hAnsi="Times New Roman;serif"/>
          <w:b/>
          <w:color w:val="0000FF"/>
          <w:sz w:val="22"/>
          <w:u w:val="single"/>
        </w:rPr>
        <w:t>Annex A to First Amendment</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67"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42.6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LIEN CREDIT AGREEMENT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DATED AS OF MARCH 31, 2022</w:t>
      </w:r>
    </w:p>
    <w:p>
      <w:pPr>
        <w:pStyle w:val="TextBody"/>
        <w:bidi w:val="0"/>
        <w:spacing w:lineRule="auto" w:line="288" w:before="0" w:after="720"/>
        <w:jc w:val="center"/>
        <w:rPr>
          <w:rFonts w:ascii="Times New Roman;serif" w:hAnsi="Times New Roman;serif"/>
          <w:b/>
          <w:color w:val="0000FF"/>
          <w:sz w:val="22"/>
          <w:u w:val="single"/>
        </w:rPr>
      </w:pPr>
      <w:r>
        <w:rPr>
          <w:rFonts w:ascii="Times New Roman;serif" w:hAnsi="Times New Roman;serif"/>
          <w:b/>
          <w:color w:val="0000FF"/>
          <w:sz w:val="22"/>
          <w:u w:val="single"/>
        </w:rPr>
        <w:t>(as amended by First Amendment to First Lien Credit Agreement dated as of August 6, 2026)</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AMONG</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EMBECTA CORP.,</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AS THE COMPANY,</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MORGAN STANLEY SENIOR FUNDING, INC.,</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AS ADMINISTRATIVE AGENT, COLLATERAL AGENT AND AN L/C ISSUER,</w:t>
      </w:r>
    </w:p>
    <w:p>
      <w:pPr>
        <w:pStyle w:val="TextBody"/>
        <w:bidi w:val="0"/>
        <w:spacing w:lineRule="auto" w:line="288" w:before="0" w:after="480"/>
        <w:jc w:val="center"/>
        <w:rPr>
          <w:rFonts w:ascii="Times New Roman;serif" w:hAnsi="Times New Roman;serif"/>
          <w:b/>
          <w:color w:val="000000"/>
          <w:sz w:val="22"/>
        </w:rPr>
      </w:pPr>
      <w:r>
        <w:rPr>
          <w:rFonts w:ascii="Times New Roman;serif" w:hAnsi="Times New Roman;serif"/>
          <w:b/>
          <w:color w:val="000000"/>
          <w:sz w:val="22"/>
        </w:rPr>
        <w:t>THE OTHER LENDERS AND L/C ISSUERS PARTY HERETO 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MORGAN STANLEY SENIOR FUNDING,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BNP PARIBAS SECURITIES CORP.,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CITIGROUP GLOBAL MARKETS INC.,</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JPMORGAN CHASE 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MUFG BANK, LTD.,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U.S. BANK NATIONAL ASSOCIATION 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WELLS FARGO BANK, N.A.,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 JOINT LEAD ARRANGERS AND JOINT BOOKRUNNERS</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CITIZENS 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PNC CAPITAL MARKETS LLC and </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SANTANDER BANK, N.A.,</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AS CO-DOCUMENTATION AGENTS</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and</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JPMORGAN CHASE BANK, N.A.,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AS SYNDICATION AGENT</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68"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TABLE OF CONTENTS</w:t>
      </w:r>
    </w:p>
    <w:p>
      <w:pPr>
        <w:pStyle w:val="TextBody"/>
        <w:bidi w:val="0"/>
        <w:spacing w:lineRule="auto" w:line="288" w:before="0" w:after="120"/>
        <w:jc w:val="left"/>
        <w:rPr>
          <w:rFonts w:ascii="Times New Roman;serif" w:hAnsi="Times New Roman;serif"/>
          <w:b/>
          <w:color w:val="000000"/>
          <w:sz w:val="22"/>
        </w:rPr>
      </w:pPr>
      <w:r>
        <w:rPr>
          <w:rFonts w:ascii="Times New Roman;serif" w:hAnsi="Times New Roman;serif"/>
          <w:b/>
          <w:color w:val="000000"/>
          <w:sz w:val="22"/>
        </w:rPr>
        <w:t>Page</w:t>
      </w:r>
    </w:p>
    <w:p>
      <w:pPr>
        <w:pStyle w:val="TextBody"/>
        <w:bidi w:val="0"/>
        <w:spacing w:lineRule="auto" w:line="288" w:before="0" w:after="100"/>
        <w:jc w:val="left"/>
        <w:rPr>
          <w:rFonts w:ascii="Times New Roman;serif" w:hAnsi="Times New Roman;serif"/>
          <w:b w:val="false"/>
          <w:color w:val="000000"/>
          <w:sz w:val="22"/>
        </w:rPr>
      </w:pPr>
      <w:r>
        <w:rPr>
          <w:rFonts w:ascii="Times New Roman;serif" w:hAnsi="Times New Roman;serif"/>
          <w:b w:val="false"/>
          <w:color w:val="000000"/>
          <w:sz w:val="22"/>
        </w:rPr>
        <w:t>ARTICLE I DEFINITIONS AND ACCOUNTING TERMS    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w:t>
      </w:r>
      <w:r>
        <w:rPr>
          <w:color w:val="000000"/>
        </w:rPr>
        <w:t>    </w:t>
      </w:r>
      <w:r>
        <w:rPr>
          <w:rFonts w:ascii="Times New Roman;serif" w:hAnsi="Times New Roman;serif"/>
          <w:b w:val="false"/>
          <w:color w:val="000000"/>
          <w:sz w:val="22"/>
        </w:rPr>
        <w:t>Defined Terms    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w:t>
      </w:r>
      <w:r>
        <w:rPr>
          <w:color w:val="000000"/>
        </w:rPr>
        <w:t>    </w:t>
      </w:r>
      <w:r>
        <w:rPr>
          <w:rFonts w:ascii="Times New Roman;serif" w:hAnsi="Times New Roman;serif"/>
          <w:b w:val="false"/>
          <w:color w:val="000000"/>
          <w:sz w:val="22"/>
        </w:rPr>
        <w:t>Other Interpretive Provisions    </w:t>
      </w:r>
      <w:r>
        <w:rPr>
          <w:rFonts w:ascii="Times New Roman;serif" w:hAnsi="Times New Roman;serif"/>
          <w:b w:val="false"/>
          <w:strike/>
          <w:color w:val="FF0000"/>
          <w:sz w:val="22"/>
        </w:rPr>
        <w:t>118</w:t>
      </w:r>
      <w:r>
        <w:rPr>
          <w:rFonts w:ascii="Times New Roman;serif" w:hAnsi="Times New Roman;serif"/>
          <w:b w:val="false"/>
          <w:color w:val="0000FF"/>
          <w:sz w:val="22"/>
          <w:u w:val="single"/>
        </w:rPr>
        <w:t>103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1.03</w:t>
      </w:r>
      <w:r>
        <w:rPr>
          <w:color w:val="000000"/>
        </w:rPr>
        <w:t>    </w:t>
      </w:r>
      <w:r>
        <w:rPr>
          <w:rFonts w:ascii="Times New Roman;serif" w:hAnsi="Times New Roman;serif"/>
          <w:b w:val="false"/>
          <w:color w:val="000000"/>
          <w:sz w:val="22"/>
        </w:rPr>
        <w:t>Accounting Term    </w:t>
      </w:r>
      <w:r>
        <w:rPr>
          <w:rFonts w:ascii="Times New Roman;serif" w:hAnsi="Times New Roman;serif"/>
          <w:b w:val="false"/>
          <w:strike/>
          <w:color w:val="FF0000"/>
          <w:sz w:val="22"/>
        </w:rPr>
        <w:t>121</w:t>
      </w:r>
      <w:r>
        <w:rPr>
          <w:rFonts w:ascii="Times New Roman;serif" w:hAnsi="Times New Roman;serif"/>
          <w:b w:val="false"/>
          <w:color w:val="0000FF"/>
          <w:sz w:val="22"/>
          <w:u w:val="single"/>
        </w:rPr>
        <w:t>106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1.04</w:t>
      </w:r>
      <w:r>
        <w:rPr>
          <w:color w:val="000000"/>
        </w:rPr>
        <w:t>    </w:t>
      </w:r>
      <w:r>
        <w:rPr>
          <w:rFonts w:ascii="Times New Roman;serif" w:hAnsi="Times New Roman;serif"/>
          <w:b w:val="false"/>
          <w:color w:val="000000"/>
          <w:sz w:val="22"/>
        </w:rPr>
        <w:t>Rounding    </w:t>
      </w:r>
      <w:r>
        <w:rPr>
          <w:rFonts w:ascii="Times New Roman;serif" w:hAnsi="Times New Roman;serif"/>
          <w:b w:val="false"/>
          <w:strike/>
          <w:color w:val="FF0000"/>
          <w:sz w:val="22"/>
        </w:rPr>
        <w:t>122</w:t>
      </w:r>
      <w:r>
        <w:rPr>
          <w:rFonts w:ascii="Times New Roman;serif" w:hAnsi="Times New Roman;serif"/>
          <w:b w:val="false"/>
          <w:color w:val="0000FF"/>
          <w:sz w:val="22"/>
          <w:u w:val="single"/>
        </w:rPr>
        <w:t>107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1.05</w:t>
      </w:r>
      <w:r>
        <w:rPr>
          <w:color w:val="000000"/>
        </w:rPr>
        <w:t>    </w:t>
      </w:r>
      <w:r>
        <w:rPr>
          <w:rFonts w:ascii="Times New Roman;serif" w:hAnsi="Times New Roman;serif"/>
          <w:b w:val="false"/>
          <w:color w:val="000000"/>
          <w:sz w:val="22"/>
        </w:rPr>
        <w:t>References to Agreements and Laws    </w:t>
      </w:r>
      <w:r>
        <w:rPr>
          <w:rFonts w:ascii="Times New Roman;serif" w:hAnsi="Times New Roman;serif"/>
          <w:b w:val="false"/>
          <w:strike/>
          <w:color w:val="FF0000"/>
          <w:sz w:val="22"/>
        </w:rPr>
        <w:t>122</w:t>
      </w:r>
      <w:r>
        <w:rPr>
          <w:rFonts w:ascii="Times New Roman;serif" w:hAnsi="Times New Roman;serif"/>
          <w:b w:val="false"/>
          <w:color w:val="0000FF"/>
          <w:sz w:val="22"/>
          <w:u w:val="single"/>
        </w:rPr>
        <w:t>107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1.06</w:t>
      </w:r>
      <w:r>
        <w:rPr>
          <w:color w:val="000000"/>
        </w:rPr>
        <w:t>    </w:t>
      </w:r>
      <w:r>
        <w:rPr>
          <w:rFonts w:ascii="Times New Roman;serif" w:hAnsi="Times New Roman;serif"/>
          <w:b w:val="false"/>
          <w:color w:val="000000"/>
          <w:sz w:val="22"/>
        </w:rPr>
        <w:t>Times of Day    </w:t>
      </w:r>
      <w:r>
        <w:rPr>
          <w:rFonts w:ascii="Times New Roman;serif" w:hAnsi="Times New Roman;serif"/>
          <w:b w:val="false"/>
          <w:strike/>
          <w:color w:val="FF0000"/>
          <w:sz w:val="22"/>
        </w:rPr>
        <w:t>122</w:t>
      </w:r>
      <w:r>
        <w:rPr>
          <w:rFonts w:ascii="Times New Roman;serif" w:hAnsi="Times New Roman;serif"/>
          <w:b w:val="false"/>
          <w:color w:val="0000FF"/>
          <w:sz w:val="22"/>
          <w:u w:val="single"/>
        </w:rPr>
        <w:t>107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1.07</w:t>
      </w:r>
      <w:r>
        <w:rPr>
          <w:color w:val="000000"/>
        </w:rPr>
        <w:t>    </w:t>
      </w:r>
      <w:r>
        <w:rPr>
          <w:rFonts w:ascii="Times New Roman;serif" w:hAnsi="Times New Roman;serif"/>
          <w:b w:val="false"/>
          <w:color w:val="000000"/>
          <w:sz w:val="22"/>
        </w:rPr>
        <w:t>Timing of Payment or Performance    </w:t>
      </w:r>
      <w:r>
        <w:rPr>
          <w:rFonts w:ascii="Times New Roman;serif" w:hAnsi="Times New Roman;serif"/>
          <w:b w:val="false"/>
          <w:strike/>
          <w:color w:val="FF0000"/>
          <w:sz w:val="22"/>
        </w:rPr>
        <w:t>122</w:t>
      </w:r>
      <w:r>
        <w:rPr>
          <w:rFonts w:ascii="Times New Roman;serif" w:hAnsi="Times New Roman;serif"/>
          <w:b w:val="false"/>
          <w:color w:val="0000FF"/>
          <w:sz w:val="22"/>
          <w:u w:val="single"/>
        </w:rPr>
        <w:t>107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1.08</w:t>
      </w:r>
      <w:r>
        <w:rPr>
          <w:color w:val="000000"/>
        </w:rPr>
        <w:t>    </w:t>
      </w:r>
      <w:r>
        <w:rPr>
          <w:rFonts w:ascii="Times New Roman;serif" w:hAnsi="Times New Roman;serif"/>
          <w:b w:val="false"/>
          <w:color w:val="000000"/>
          <w:sz w:val="22"/>
        </w:rPr>
        <w:t>Currency Equivalents Generally    </w:t>
      </w:r>
      <w:r>
        <w:rPr>
          <w:rFonts w:ascii="Times New Roman;serif" w:hAnsi="Times New Roman;serif"/>
          <w:b w:val="false"/>
          <w:strike/>
          <w:color w:val="FF0000"/>
          <w:sz w:val="22"/>
        </w:rPr>
        <w:t>122</w:t>
      </w:r>
      <w:r>
        <w:rPr>
          <w:rFonts w:ascii="Times New Roman;serif" w:hAnsi="Times New Roman;serif"/>
          <w:b w:val="false"/>
          <w:color w:val="0000FF"/>
          <w:sz w:val="22"/>
          <w:u w:val="single"/>
        </w:rPr>
        <w:t>107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1.09</w:t>
      </w:r>
      <w:r>
        <w:rPr>
          <w:color w:val="000000"/>
        </w:rPr>
        <w:t>    </w:t>
      </w:r>
      <w:r>
        <w:rPr>
          <w:rFonts w:ascii="Times New Roman;serif" w:hAnsi="Times New Roman;serif"/>
          <w:b w:val="false"/>
          <w:color w:val="000000"/>
          <w:sz w:val="22"/>
        </w:rPr>
        <w:t>Letter of Credit Amounts    </w:t>
      </w:r>
      <w:r>
        <w:rPr>
          <w:rFonts w:ascii="Times New Roman;serif" w:hAnsi="Times New Roman;serif"/>
          <w:b w:val="false"/>
          <w:strike/>
          <w:color w:val="FF0000"/>
          <w:sz w:val="22"/>
        </w:rPr>
        <w:t>124</w:t>
      </w:r>
      <w:r>
        <w:rPr>
          <w:rFonts w:ascii="Times New Roman;serif" w:hAnsi="Times New Roman;serif"/>
          <w:b w:val="false"/>
          <w:color w:val="0000FF"/>
          <w:sz w:val="22"/>
          <w:u w:val="single"/>
        </w:rPr>
        <w:t>109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1.10</w:t>
      </w:r>
      <w:r>
        <w:rPr>
          <w:color w:val="000000"/>
        </w:rPr>
        <w:t>    </w:t>
      </w:r>
      <w:r>
        <w:rPr>
          <w:rFonts w:ascii="Times New Roman;serif" w:hAnsi="Times New Roman;serif"/>
          <w:b w:val="false"/>
          <w:color w:val="000000"/>
          <w:sz w:val="22"/>
        </w:rPr>
        <w:t>Pro Forma Calculations    </w:t>
      </w:r>
      <w:r>
        <w:rPr>
          <w:rFonts w:ascii="Times New Roman;serif" w:hAnsi="Times New Roman;serif"/>
          <w:b w:val="false"/>
          <w:strike/>
          <w:color w:val="FF0000"/>
          <w:sz w:val="22"/>
        </w:rPr>
        <w:t>124</w:t>
      </w:r>
      <w:r>
        <w:rPr>
          <w:rFonts w:ascii="Times New Roman;serif" w:hAnsi="Times New Roman;serif"/>
          <w:b w:val="false"/>
          <w:color w:val="0000FF"/>
          <w:sz w:val="22"/>
          <w:u w:val="single"/>
        </w:rPr>
        <w:t>109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1.11</w:t>
      </w:r>
      <w:r>
        <w:rPr>
          <w:color w:val="000000"/>
        </w:rPr>
        <w:t>    </w:t>
      </w:r>
      <w:r>
        <w:rPr>
          <w:rFonts w:ascii="Times New Roman;serif" w:hAnsi="Times New Roman;serif"/>
          <w:b w:val="false"/>
          <w:color w:val="000000"/>
          <w:sz w:val="22"/>
        </w:rPr>
        <w:t>Calculation of Baskets    </w:t>
      </w:r>
      <w:r>
        <w:rPr>
          <w:rFonts w:ascii="Times New Roman;serif" w:hAnsi="Times New Roman;serif"/>
          <w:b w:val="false"/>
          <w:strike/>
          <w:color w:val="FF0000"/>
          <w:sz w:val="22"/>
        </w:rPr>
        <w:t>126</w:t>
      </w:r>
      <w:r>
        <w:rPr>
          <w:rFonts w:ascii="Times New Roman;serif" w:hAnsi="Times New Roman;serif"/>
          <w:b w:val="false"/>
          <w:color w:val="0000FF"/>
          <w:sz w:val="22"/>
          <w:u w:val="single"/>
        </w:rPr>
        <w:t>110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1.12</w:t>
      </w:r>
      <w:r>
        <w:rPr>
          <w:color w:val="000000"/>
        </w:rPr>
        <w:t>    </w:t>
      </w:r>
      <w:r>
        <w:rPr>
          <w:rFonts w:ascii="Times New Roman;serif" w:hAnsi="Times New Roman;serif"/>
          <w:b w:val="false"/>
          <w:color w:val="000000"/>
          <w:sz w:val="22"/>
        </w:rPr>
        <w:t>Calculation of Ratios.    </w:t>
      </w:r>
      <w:r>
        <w:rPr>
          <w:rFonts w:ascii="Times New Roman;serif" w:hAnsi="Times New Roman;serif"/>
          <w:b w:val="false"/>
          <w:strike/>
          <w:color w:val="FF0000"/>
          <w:sz w:val="22"/>
        </w:rPr>
        <w:t>126</w:t>
      </w:r>
      <w:r>
        <w:rPr>
          <w:rFonts w:ascii="Times New Roman;serif" w:hAnsi="Times New Roman;serif"/>
          <w:b w:val="false"/>
          <w:color w:val="0000FF"/>
          <w:sz w:val="22"/>
          <w:u w:val="single"/>
        </w:rPr>
        <w:t>110</w:t>
      </w:r>
    </w:p>
    <w:p>
      <w:pPr>
        <w:pStyle w:val="TextBody"/>
        <w:bidi w:val="0"/>
        <w:spacing w:lineRule="auto" w:line="288" w:before="0" w:after="100"/>
        <w:jc w:val="left"/>
        <w:rPr/>
      </w:pPr>
      <w:r>
        <w:rPr>
          <w:rFonts w:ascii="Times New Roman;serif" w:hAnsi="Times New Roman;serif"/>
          <w:b w:val="false"/>
          <w:color w:val="000000"/>
          <w:sz w:val="22"/>
        </w:rPr>
        <w:t>ARTICLE II THE COMMITMENTS AND CREDIT EXTENSIONS    </w:t>
      </w:r>
      <w:r>
        <w:rPr>
          <w:rFonts w:ascii="Times New Roman;serif" w:hAnsi="Times New Roman;serif"/>
          <w:b w:val="false"/>
          <w:strike/>
          <w:color w:val="FF0000"/>
          <w:sz w:val="22"/>
        </w:rPr>
        <w:t>126</w:t>
      </w:r>
      <w:r>
        <w:rPr>
          <w:rFonts w:ascii="Times New Roman;serif" w:hAnsi="Times New Roman;serif"/>
          <w:b w:val="false"/>
          <w:color w:val="0000FF"/>
          <w:sz w:val="22"/>
          <w:u w:val="single"/>
        </w:rPr>
        <w:t>110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2.01</w:t>
      </w:r>
      <w:r>
        <w:rPr>
          <w:color w:val="000000"/>
        </w:rPr>
        <w:t>    </w:t>
      </w:r>
      <w:r>
        <w:rPr>
          <w:rFonts w:ascii="Times New Roman;serif" w:hAnsi="Times New Roman;serif"/>
          <w:b w:val="false"/>
          <w:color w:val="000000"/>
          <w:sz w:val="22"/>
        </w:rPr>
        <w:t>The Loans    </w:t>
      </w:r>
      <w:r>
        <w:rPr>
          <w:rFonts w:ascii="Times New Roman;serif" w:hAnsi="Times New Roman;serif"/>
          <w:b w:val="false"/>
          <w:strike/>
          <w:color w:val="FF0000"/>
          <w:sz w:val="22"/>
        </w:rPr>
        <w:t>126</w:t>
      </w:r>
      <w:r>
        <w:rPr>
          <w:rFonts w:ascii="Times New Roman;serif" w:hAnsi="Times New Roman;serif"/>
          <w:b w:val="false"/>
          <w:color w:val="0000FF"/>
          <w:sz w:val="22"/>
          <w:u w:val="single"/>
        </w:rPr>
        <w:t>110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2.02</w:t>
      </w:r>
      <w:r>
        <w:rPr>
          <w:color w:val="000000"/>
        </w:rPr>
        <w:t>    </w:t>
      </w:r>
      <w:r>
        <w:rPr>
          <w:rFonts w:ascii="Times New Roman;serif" w:hAnsi="Times New Roman;serif"/>
          <w:b w:val="false"/>
          <w:color w:val="000000"/>
          <w:sz w:val="22"/>
        </w:rPr>
        <w:t>Borrowings, Conversions and Continuations of Loans    </w:t>
      </w:r>
      <w:r>
        <w:rPr>
          <w:rFonts w:ascii="Times New Roman;serif" w:hAnsi="Times New Roman;serif"/>
          <w:b w:val="false"/>
          <w:strike/>
          <w:color w:val="FF0000"/>
          <w:sz w:val="22"/>
        </w:rPr>
        <w:t>127</w:t>
      </w:r>
      <w:r>
        <w:rPr>
          <w:rFonts w:ascii="Times New Roman;serif" w:hAnsi="Times New Roman;serif"/>
          <w:b w:val="false"/>
          <w:color w:val="0000FF"/>
          <w:sz w:val="22"/>
          <w:u w:val="single"/>
        </w:rPr>
        <w:t>111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2.03</w:t>
      </w:r>
      <w:r>
        <w:rPr>
          <w:color w:val="000000"/>
        </w:rPr>
        <w:t>    </w:t>
      </w:r>
      <w:r>
        <w:rPr>
          <w:rFonts w:ascii="Times New Roman;serif" w:hAnsi="Times New Roman;serif"/>
          <w:b w:val="false"/>
          <w:color w:val="000000"/>
          <w:sz w:val="22"/>
        </w:rPr>
        <w:t>Letters of Credit    </w:t>
      </w:r>
      <w:r>
        <w:rPr>
          <w:rFonts w:ascii="Times New Roman;serif" w:hAnsi="Times New Roman;serif"/>
          <w:b w:val="false"/>
          <w:strike/>
          <w:color w:val="FF0000"/>
          <w:sz w:val="22"/>
        </w:rPr>
        <w:t>129</w:t>
      </w:r>
      <w:r>
        <w:rPr>
          <w:rFonts w:ascii="Times New Roman;serif" w:hAnsi="Times New Roman;serif"/>
          <w:b w:val="false"/>
          <w:color w:val="0000FF"/>
          <w:sz w:val="22"/>
          <w:u w:val="single"/>
        </w:rPr>
        <w:t>113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2.04</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140</w:t>
      </w:r>
      <w:r>
        <w:rPr>
          <w:rFonts w:ascii="Times New Roman;serif" w:hAnsi="Times New Roman;serif"/>
          <w:b w:val="false"/>
          <w:color w:val="0000FF"/>
          <w:sz w:val="22"/>
          <w:u w:val="single"/>
        </w:rPr>
        <w:t>123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2.05</w:t>
      </w:r>
      <w:r>
        <w:rPr>
          <w:color w:val="000000"/>
        </w:rPr>
        <w:t>    </w:t>
      </w:r>
      <w:r>
        <w:rPr>
          <w:rFonts w:ascii="Times New Roman;serif" w:hAnsi="Times New Roman;serif"/>
          <w:b w:val="false"/>
          <w:color w:val="000000"/>
          <w:sz w:val="22"/>
        </w:rPr>
        <w:t>Prepayments    </w:t>
      </w:r>
      <w:r>
        <w:rPr>
          <w:rFonts w:ascii="Times New Roman;serif" w:hAnsi="Times New Roman;serif"/>
          <w:b w:val="false"/>
          <w:strike/>
          <w:color w:val="FF0000"/>
          <w:sz w:val="22"/>
        </w:rPr>
        <w:t>140</w:t>
      </w:r>
      <w:r>
        <w:rPr>
          <w:rFonts w:ascii="Times New Roman;serif" w:hAnsi="Times New Roman;serif"/>
          <w:b w:val="false"/>
          <w:color w:val="0000FF"/>
          <w:sz w:val="22"/>
          <w:u w:val="single"/>
        </w:rPr>
        <w:t>123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2.06</w:t>
      </w:r>
      <w:r>
        <w:rPr>
          <w:color w:val="000000"/>
        </w:rPr>
        <w:t>    </w:t>
      </w:r>
      <w:r>
        <w:rPr>
          <w:rFonts w:ascii="Times New Roman;serif" w:hAnsi="Times New Roman;serif"/>
          <w:b w:val="false"/>
          <w:color w:val="000000"/>
          <w:sz w:val="22"/>
        </w:rPr>
        <w:t>Termination or Reduction of Commitments    </w:t>
      </w:r>
      <w:r>
        <w:rPr>
          <w:rFonts w:ascii="Times New Roman;serif" w:hAnsi="Times New Roman;serif"/>
          <w:b w:val="false"/>
          <w:strike/>
          <w:color w:val="FF0000"/>
          <w:sz w:val="22"/>
        </w:rPr>
        <w:t>148</w:t>
      </w:r>
      <w:r>
        <w:rPr>
          <w:rFonts w:ascii="Times New Roman;serif" w:hAnsi="Times New Roman;serif"/>
          <w:b w:val="false"/>
          <w:color w:val="0000FF"/>
          <w:sz w:val="22"/>
          <w:u w:val="single"/>
        </w:rPr>
        <w:t>130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2.07</w:t>
      </w:r>
      <w:r>
        <w:rPr>
          <w:color w:val="000000"/>
        </w:rPr>
        <w:t>    </w:t>
      </w:r>
      <w:r>
        <w:rPr>
          <w:rFonts w:ascii="Times New Roman;serif" w:hAnsi="Times New Roman;serif"/>
          <w:b w:val="false"/>
          <w:color w:val="000000"/>
          <w:sz w:val="22"/>
        </w:rPr>
        <w:t>Repayment of Loans    </w:t>
      </w:r>
      <w:r>
        <w:rPr>
          <w:rFonts w:ascii="Times New Roman;serif" w:hAnsi="Times New Roman;serif"/>
          <w:b w:val="false"/>
          <w:strike/>
          <w:color w:val="FF0000"/>
          <w:sz w:val="22"/>
        </w:rPr>
        <w:t>150</w:t>
      </w:r>
      <w:r>
        <w:rPr>
          <w:rFonts w:ascii="Times New Roman;serif" w:hAnsi="Times New Roman;serif"/>
          <w:b w:val="false"/>
          <w:color w:val="0000FF"/>
          <w:sz w:val="22"/>
          <w:u w:val="single"/>
        </w:rPr>
        <w:t>132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2.08</w:t>
      </w:r>
      <w:r>
        <w:rPr>
          <w:color w:val="000000"/>
        </w:rPr>
        <w:t>    </w:t>
      </w:r>
      <w:r>
        <w:rPr>
          <w:rFonts w:ascii="Times New Roman;serif" w:hAnsi="Times New Roman;serif"/>
          <w:b w:val="false"/>
          <w:color w:val="000000"/>
          <w:sz w:val="22"/>
        </w:rPr>
        <w:t>Interest    </w:t>
      </w:r>
      <w:r>
        <w:rPr>
          <w:rFonts w:ascii="Times New Roman;serif" w:hAnsi="Times New Roman;serif"/>
          <w:b w:val="false"/>
          <w:strike/>
          <w:color w:val="FF0000"/>
          <w:sz w:val="22"/>
        </w:rPr>
        <w:t>151</w:t>
      </w:r>
      <w:r>
        <w:rPr>
          <w:rFonts w:ascii="Times New Roman;serif" w:hAnsi="Times New Roman;serif"/>
          <w:b w:val="false"/>
          <w:color w:val="0000FF"/>
          <w:sz w:val="22"/>
          <w:u w:val="single"/>
        </w:rPr>
        <w:t>132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2.09</w:t>
      </w:r>
      <w:r>
        <w:rPr>
          <w:color w:val="000000"/>
        </w:rPr>
        <w:t>    </w:t>
      </w:r>
      <w:r>
        <w:rPr>
          <w:rFonts w:ascii="Times New Roman;serif" w:hAnsi="Times New Roman;serif"/>
          <w:b w:val="false"/>
          <w:color w:val="000000"/>
          <w:sz w:val="22"/>
        </w:rPr>
        <w:t>Fees    </w:t>
      </w:r>
      <w:r>
        <w:rPr>
          <w:rFonts w:ascii="Times New Roman;serif" w:hAnsi="Times New Roman;serif"/>
          <w:b w:val="false"/>
          <w:strike/>
          <w:color w:val="FF0000"/>
          <w:sz w:val="22"/>
        </w:rPr>
        <w:t>152</w:t>
      </w:r>
      <w:r>
        <w:rPr>
          <w:rFonts w:ascii="Times New Roman;serif" w:hAnsi="Times New Roman;serif"/>
          <w:b w:val="false"/>
          <w:color w:val="0000FF"/>
          <w:sz w:val="22"/>
          <w:u w:val="single"/>
        </w:rPr>
        <w:t>133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2.10</w:t>
      </w:r>
      <w:r>
        <w:rPr>
          <w:color w:val="000000"/>
        </w:rPr>
        <w:t>    </w:t>
      </w:r>
      <w:r>
        <w:rPr>
          <w:rFonts w:ascii="Times New Roman;serif" w:hAnsi="Times New Roman;serif"/>
          <w:b w:val="false"/>
          <w:color w:val="000000"/>
          <w:sz w:val="22"/>
        </w:rPr>
        <w:t>Computation of Interest and Fees; Retroactive Adjustments of Applicable Rate    </w:t>
      </w:r>
      <w:r>
        <w:rPr>
          <w:rFonts w:ascii="Times New Roman;serif" w:hAnsi="Times New Roman;serif"/>
          <w:b w:val="false"/>
          <w:strike/>
          <w:color w:val="FF0000"/>
          <w:sz w:val="22"/>
        </w:rPr>
        <w:t>152</w:t>
      </w:r>
      <w:r>
        <w:rPr>
          <w:rFonts w:ascii="Times New Roman;serif" w:hAnsi="Times New Roman;serif"/>
          <w:b w:val="false"/>
          <w:color w:val="0000FF"/>
          <w:sz w:val="22"/>
          <w:u w:val="single"/>
        </w:rPr>
        <w:t>133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2.11</w:t>
      </w:r>
      <w:r>
        <w:rPr>
          <w:color w:val="000000"/>
        </w:rPr>
        <w:t>    </w:t>
      </w:r>
      <w:r>
        <w:rPr>
          <w:rFonts w:ascii="Times New Roman;serif" w:hAnsi="Times New Roman;serif"/>
          <w:b w:val="false"/>
          <w:color w:val="000000"/>
          <w:sz w:val="22"/>
        </w:rPr>
        <w:t>Evidence of Indebtedness    </w:t>
      </w:r>
      <w:r>
        <w:rPr>
          <w:rFonts w:ascii="Times New Roman;serif" w:hAnsi="Times New Roman;serif"/>
          <w:b w:val="false"/>
          <w:strike/>
          <w:color w:val="FF0000"/>
          <w:sz w:val="22"/>
        </w:rPr>
        <w:t>153</w:t>
      </w:r>
      <w:r>
        <w:rPr>
          <w:rFonts w:ascii="Times New Roman;serif" w:hAnsi="Times New Roman;serif"/>
          <w:b w:val="false"/>
          <w:color w:val="0000FF"/>
          <w:sz w:val="22"/>
          <w:u w:val="single"/>
        </w:rPr>
        <w:t>134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2.12</w:t>
      </w:r>
      <w:r>
        <w:rPr>
          <w:color w:val="000000"/>
        </w:rPr>
        <w:t>    </w:t>
      </w:r>
      <w:r>
        <w:rPr>
          <w:rFonts w:ascii="Times New Roman;serif" w:hAnsi="Times New Roman;serif"/>
          <w:b w:val="false"/>
          <w:color w:val="000000"/>
          <w:sz w:val="22"/>
        </w:rPr>
        <w:t>Payments Generally; Administrative Agent’s Clawback    </w:t>
      </w:r>
      <w:r>
        <w:rPr>
          <w:rFonts w:ascii="Times New Roman;serif" w:hAnsi="Times New Roman;serif"/>
          <w:b w:val="false"/>
          <w:strike/>
          <w:color w:val="FF0000"/>
          <w:sz w:val="22"/>
        </w:rPr>
        <w:t>154</w:t>
      </w:r>
      <w:r>
        <w:rPr>
          <w:rFonts w:ascii="Times New Roman;serif" w:hAnsi="Times New Roman;serif"/>
          <w:b w:val="false"/>
          <w:color w:val="0000FF"/>
          <w:sz w:val="22"/>
          <w:u w:val="single"/>
        </w:rPr>
        <w:t>135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2.13</w:t>
      </w:r>
      <w:r>
        <w:rPr>
          <w:color w:val="000000"/>
        </w:rPr>
        <w:t>    </w:t>
      </w:r>
      <w:r>
        <w:rPr>
          <w:rFonts w:ascii="Times New Roman;serif" w:hAnsi="Times New Roman;serif"/>
          <w:b w:val="false"/>
          <w:color w:val="000000"/>
          <w:sz w:val="22"/>
        </w:rPr>
        <w:t>Sharing of Payments    </w:t>
      </w:r>
      <w:r>
        <w:rPr>
          <w:rFonts w:ascii="Times New Roman;serif" w:hAnsi="Times New Roman;serif"/>
          <w:b w:val="false"/>
          <w:strike/>
          <w:color w:val="FF0000"/>
          <w:sz w:val="22"/>
        </w:rPr>
        <w:t>156</w:t>
      </w:r>
      <w:r>
        <w:rPr>
          <w:rFonts w:ascii="Times New Roman;serif" w:hAnsi="Times New Roman;serif"/>
          <w:b w:val="false"/>
          <w:color w:val="0000FF"/>
          <w:sz w:val="22"/>
          <w:u w:val="single"/>
        </w:rPr>
        <w:t>137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2.14</w:t>
      </w:r>
      <w:r>
        <w:rPr>
          <w:color w:val="000000"/>
        </w:rPr>
        <w:t>    </w:t>
      </w:r>
      <w:r>
        <w:rPr>
          <w:rFonts w:ascii="Times New Roman;serif" w:hAnsi="Times New Roman;serif"/>
          <w:b w:val="false"/>
          <w:color w:val="000000"/>
          <w:sz w:val="22"/>
        </w:rPr>
        <w:t>Incremental Facilities    </w:t>
      </w:r>
      <w:r>
        <w:rPr>
          <w:rFonts w:ascii="Times New Roman;serif" w:hAnsi="Times New Roman;serif"/>
          <w:b w:val="false"/>
          <w:strike/>
          <w:color w:val="FF0000"/>
          <w:sz w:val="22"/>
        </w:rPr>
        <w:t>157</w:t>
      </w:r>
      <w:r>
        <w:rPr>
          <w:rFonts w:ascii="Times New Roman;serif" w:hAnsi="Times New Roman;serif"/>
          <w:b w:val="false"/>
          <w:color w:val="0000FF"/>
          <w:sz w:val="22"/>
          <w:u w:val="single"/>
        </w:rPr>
        <w:t>138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2.15</w:t>
      </w:r>
      <w:r>
        <w:rPr>
          <w:color w:val="000000"/>
        </w:rPr>
        <w:t>    </w:t>
      </w:r>
      <w:r>
        <w:rPr>
          <w:rFonts w:ascii="Times New Roman;serif" w:hAnsi="Times New Roman;serif"/>
          <w:b w:val="false"/>
          <w:color w:val="000000"/>
          <w:sz w:val="22"/>
        </w:rPr>
        <w:t>Incremental Equivalent Debt    </w:t>
      </w:r>
      <w:r>
        <w:rPr>
          <w:rFonts w:ascii="Times New Roman;serif" w:hAnsi="Times New Roman;serif"/>
          <w:b w:val="false"/>
          <w:strike/>
          <w:color w:val="FF0000"/>
          <w:sz w:val="22"/>
        </w:rPr>
        <w:t>166</w:t>
      </w:r>
      <w:r>
        <w:rPr>
          <w:rFonts w:ascii="Times New Roman;serif" w:hAnsi="Times New Roman;serif"/>
          <w:b w:val="false"/>
          <w:color w:val="0000FF"/>
          <w:sz w:val="22"/>
          <w:u w:val="single"/>
        </w:rPr>
        <w:t>145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2.16</w:t>
      </w:r>
      <w:r>
        <w:rPr>
          <w:color w:val="000000"/>
        </w:rPr>
        <w:t>    </w:t>
      </w:r>
      <w:r>
        <w:rPr>
          <w:rFonts w:ascii="Times New Roman;serif" w:hAnsi="Times New Roman;serif"/>
          <w:b w:val="false"/>
          <w:color w:val="000000"/>
          <w:sz w:val="22"/>
        </w:rPr>
        <w:t>Cash Collateral    </w:t>
      </w:r>
      <w:r>
        <w:rPr>
          <w:rFonts w:ascii="Times New Roman;serif" w:hAnsi="Times New Roman;serif"/>
          <w:b w:val="false"/>
          <w:strike/>
          <w:color w:val="FF0000"/>
          <w:sz w:val="22"/>
        </w:rPr>
        <w:t>168</w:t>
      </w:r>
      <w:r>
        <w:rPr>
          <w:rFonts w:ascii="Times New Roman;serif" w:hAnsi="Times New Roman;serif"/>
          <w:b w:val="false"/>
          <w:color w:val="0000FF"/>
          <w:sz w:val="22"/>
          <w:u w:val="single"/>
        </w:rPr>
        <w:t>147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2.17</w:t>
      </w:r>
      <w:r>
        <w:rPr>
          <w:color w:val="000000"/>
        </w:rPr>
        <w:t>    </w:t>
      </w:r>
      <w:r>
        <w:rPr>
          <w:rFonts w:ascii="Times New Roman;serif" w:hAnsi="Times New Roman;serif"/>
          <w:b w:val="false"/>
          <w:color w:val="000000"/>
          <w:sz w:val="22"/>
        </w:rPr>
        <w:t>Defaulting Lenders    </w:t>
      </w:r>
      <w:r>
        <w:rPr>
          <w:rFonts w:ascii="Times New Roman;serif" w:hAnsi="Times New Roman;serif"/>
          <w:b w:val="false"/>
          <w:strike/>
          <w:color w:val="FF0000"/>
          <w:sz w:val="22"/>
        </w:rPr>
        <w:t>169</w:t>
      </w:r>
      <w:r>
        <w:rPr>
          <w:rFonts w:ascii="Times New Roman;serif" w:hAnsi="Times New Roman;serif"/>
          <w:b w:val="false"/>
          <w:color w:val="0000FF"/>
          <w:sz w:val="22"/>
          <w:u w:val="single"/>
        </w:rPr>
        <w:t>148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2.18</w:t>
      </w:r>
      <w:r>
        <w:rPr>
          <w:color w:val="000000"/>
        </w:rPr>
        <w:t>    </w:t>
      </w:r>
      <w:r>
        <w:rPr>
          <w:rFonts w:ascii="Times New Roman;serif" w:hAnsi="Times New Roman;serif"/>
          <w:b w:val="false"/>
          <w:color w:val="000000"/>
          <w:sz w:val="22"/>
        </w:rPr>
        <w:t>Specified Refinancing Debt    </w:t>
      </w:r>
      <w:r>
        <w:rPr>
          <w:rFonts w:ascii="Times New Roman;serif" w:hAnsi="Times New Roman;serif"/>
          <w:b w:val="false"/>
          <w:strike/>
          <w:color w:val="FF0000"/>
          <w:sz w:val="22"/>
        </w:rPr>
        <w:t>171</w:t>
      </w:r>
      <w:r>
        <w:rPr>
          <w:rFonts w:ascii="Times New Roman;serif" w:hAnsi="Times New Roman;serif"/>
          <w:b w:val="false"/>
          <w:color w:val="0000FF"/>
          <w:sz w:val="22"/>
          <w:u w:val="single"/>
        </w:rPr>
        <w:t>150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2.19</w:t>
      </w:r>
      <w:r>
        <w:rPr>
          <w:color w:val="000000"/>
        </w:rPr>
        <w:t>    </w:t>
      </w:r>
      <w:r>
        <w:rPr>
          <w:rFonts w:ascii="Times New Roman;serif" w:hAnsi="Times New Roman;serif"/>
          <w:b w:val="false"/>
          <w:color w:val="000000"/>
          <w:sz w:val="22"/>
        </w:rPr>
        <w:t>Extension of Term Loans and Revolving Credit Commitments    </w:t>
      </w:r>
      <w:r>
        <w:rPr>
          <w:rFonts w:ascii="Times New Roman;serif" w:hAnsi="Times New Roman;serif"/>
          <w:b w:val="false"/>
          <w:strike/>
          <w:color w:val="FF0000"/>
          <w:sz w:val="22"/>
        </w:rPr>
        <w:t>174</w:t>
      </w:r>
      <w:r>
        <w:rPr>
          <w:rFonts w:ascii="Times New Roman;serif" w:hAnsi="Times New Roman;serif"/>
          <w:b w:val="false"/>
          <w:color w:val="0000FF"/>
          <w:sz w:val="22"/>
          <w:u w:val="single"/>
        </w:rPr>
        <w:t>152</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69"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2.20</w:t>
      </w:r>
      <w:r>
        <w:rPr>
          <w:color w:val="000000"/>
        </w:rPr>
        <w:t>    </w:t>
      </w:r>
      <w:r>
        <w:rPr>
          <w:rFonts w:ascii="Times New Roman;serif" w:hAnsi="Times New Roman;serif"/>
          <w:b w:val="false"/>
          <w:color w:val="000000"/>
          <w:sz w:val="22"/>
        </w:rPr>
        <w:t>Permitted Debt Exchanges    </w:t>
      </w:r>
      <w:r>
        <w:rPr>
          <w:rFonts w:ascii="Times New Roman;serif" w:hAnsi="Times New Roman;serif"/>
          <w:b w:val="false"/>
          <w:strike/>
          <w:color w:val="FF0000"/>
          <w:sz w:val="22"/>
        </w:rPr>
        <w:t>177</w:t>
      </w:r>
      <w:r>
        <w:rPr>
          <w:rFonts w:ascii="Times New Roman;serif" w:hAnsi="Times New Roman;serif"/>
          <w:b w:val="false"/>
          <w:color w:val="0000FF"/>
          <w:sz w:val="22"/>
          <w:u w:val="single"/>
        </w:rPr>
        <w:t>155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2.21</w:t>
      </w:r>
      <w:r>
        <w:rPr>
          <w:color w:val="000000"/>
        </w:rPr>
        <w:t>    </w:t>
      </w:r>
      <w:r>
        <w:rPr>
          <w:rFonts w:ascii="Times New Roman;serif" w:hAnsi="Times New Roman;serif"/>
          <w:b w:val="false"/>
          <w:color w:val="000000"/>
          <w:sz w:val="22"/>
        </w:rPr>
        <w:t>Additional Alternative Currencies    </w:t>
      </w:r>
      <w:r>
        <w:rPr>
          <w:rFonts w:ascii="Times New Roman;serif" w:hAnsi="Times New Roman;serif"/>
          <w:b w:val="false"/>
          <w:strike/>
          <w:color w:val="FF0000"/>
          <w:sz w:val="22"/>
        </w:rPr>
        <w:t>179</w:t>
      </w:r>
      <w:r>
        <w:rPr>
          <w:rFonts w:ascii="Times New Roman;serif" w:hAnsi="Times New Roman;serif"/>
          <w:b w:val="false"/>
          <w:color w:val="0000FF"/>
          <w:sz w:val="22"/>
          <w:u w:val="single"/>
        </w:rPr>
        <w:t>157</w:t>
      </w:r>
    </w:p>
    <w:p>
      <w:pPr>
        <w:pStyle w:val="TextBody"/>
        <w:bidi w:val="0"/>
        <w:spacing w:lineRule="auto" w:line="288" w:before="0" w:after="100"/>
        <w:jc w:val="left"/>
        <w:rPr/>
      </w:pPr>
      <w:r>
        <w:rPr>
          <w:rFonts w:ascii="Times New Roman;serif" w:hAnsi="Times New Roman;serif"/>
          <w:b w:val="false"/>
          <w:color w:val="000000"/>
          <w:sz w:val="22"/>
        </w:rPr>
        <w:t>ARTICLE III TAXES, INCREASED COSTS PROTECTION AND ILLEGALITY    </w:t>
      </w:r>
      <w:r>
        <w:rPr>
          <w:rFonts w:ascii="Times New Roman;serif" w:hAnsi="Times New Roman;serif"/>
          <w:b w:val="false"/>
          <w:strike/>
          <w:color w:val="FF0000"/>
          <w:sz w:val="22"/>
        </w:rPr>
        <w:t>180</w:t>
      </w:r>
      <w:r>
        <w:rPr>
          <w:rFonts w:ascii="Times New Roman;serif" w:hAnsi="Times New Roman;serif"/>
          <w:b w:val="false"/>
          <w:color w:val="0000FF"/>
          <w:sz w:val="22"/>
          <w:u w:val="single"/>
        </w:rPr>
        <w:t>158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3.01</w:t>
      </w:r>
      <w:r>
        <w:rPr>
          <w:color w:val="000000"/>
        </w:rPr>
        <w:t>    </w:t>
      </w:r>
      <w:r>
        <w:rPr>
          <w:rFonts w:ascii="Times New Roman;serif" w:hAnsi="Times New Roman;serif"/>
          <w:b w:val="false"/>
          <w:color w:val="000000"/>
          <w:sz w:val="22"/>
        </w:rPr>
        <w:t>Taxes    </w:t>
      </w:r>
      <w:r>
        <w:rPr>
          <w:rFonts w:ascii="Times New Roman;serif" w:hAnsi="Times New Roman;serif"/>
          <w:b w:val="false"/>
          <w:strike/>
          <w:color w:val="FF0000"/>
          <w:sz w:val="22"/>
        </w:rPr>
        <w:t>180</w:t>
      </w:r>
      <w:r>
        <w:rPr>
          <w:rFonts w:ascii="Times New Roman;serif" w:hAnsi="Times New Roman;serif"/>
          <w:b w:val="false"/>
          <w:color w:val="0000FF"/>
          <w:sz w:val="22"/>
          <w:u w:val="single"/>
        </w:rPr>
        <w:t>158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3.02</w:t>
      </w:r>
      <w:r>
        <w:rPr>
          <w:color w:val="000000"/>
        </w:rPr>
        <w:t>    </w:t>
      </w:r>
      <w:r>
        <w:rPr>
          <w:rFonts w:ascii="Times New Roman;serif" w:hAnsi="Times New Roman;serif"/>
          <w:b w:val="false"/>
          <w:color w:val="000000"/>
          <w:sz w:val="22"/>
        </w:rPr>
        <w:t>Inability to Determine Rates    </w:t>
      </w:r>
      <w:r>
        <w:rPr>
          <w:rFonts w:ascii="Times New Roman;serif" w:hAnsi="Times New Roman;serif"/>
          <w:b w:val="false"/>
          <w:strike/>
          <w:color w:val="FF0000"/>
          <w:sz w:val="22"/>
        </w:rPr>
        <w:t>184</w:t>
      </w:r>
      <w:r>
        <w:rPr>
          <w:rFonts w:ascii="Times New Roman;serif" w:hAnsi="Times New Roman;serif"/>
          <w:b w:val="false"/>
          <w:color w:val="0000FF"/>
          <w:sz w:val="22"/>
          <w:u w:val="single"/>
        </w:rPr>
        <w:t>161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3.03</w:t>
      </w:r>
      <w:r>
        <w:rPr>
          <w:color w:val="000000"/>
        </w:rPr>
        <w:t>    </w:t>
      </w:r>
      <w:r>
        <w:rPr>
          <w:rFonts w:ascii="Times New Roman;serif" w:hAnsi="Times New Roman;serif"/>
          <w:b w:val="false"/>
          <w:color w:val="000000"/>
          <w:sz w:val="22"/>
        </w:rPr>
        <w:t>Illegality    </w:t>
      </w:r>
      <w:r>
        <w:rPr>
          <w:rFonts w:ascii="Times New Roman;serif" w:hAnsi="Times New Roman;serif"/>
          <w:b w:val="false"/>
          <w:strike/>
          <w:color w:val="FF0000"/>
          <w:sz w:val="22"/>
        </w:rPr>
        <w:t>185</w:t>
      </w:r>
      <w:r>
        <w:rPr>
          <w:rFonts w:ascii="Times New Roman;serif" w:hAnsi="Times New Roman;serif"/>
          <w:b w:val="false"/>
          <w:color w:val="0000FF"/>
          <w:sz w:val="22"/>
          <w:u w:val="single"/>
        </w:rPr>
        <w:t>162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3.05    Increased Cost and Reduced Return; Capital Adequacy and Liquidity Requirements    </w:t>
      </w:r>
      <w:r>
        <w:rPr>
          <w:rFonts w:ascii="Times New Roman;serif" w:hAnsi="Times New Roman;serif"/>
          <w:b w:val="false"/>
          <w:strike/>
          <w:color w:val="FF0000"/>
          <w:sz w:val="22"/>
        </w:rPr>
        <w:t>188</w:t>
      </w:r>
      <w:r>
        <w:rPr>
          <w:rFonts w:ascii="Times New Roman;serif" w:hAnsi="Times New Roman;serif"/>
          <w:b w:val="false"/>
          <w:color w:val="0000FF"/>
          <w:sz w:val="22"/>
          <w:u w:val="single"/>
        </w:rPr>
        <w:t>165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3.06</w:t>
      </w:r>
      <w:r>
        <w:rPr>
          <w:color w:val="000000"/>
        </w:rPr>
        <w:t>    </w:t>
      </w:r>
      <w:r>
        <w:rPr>
          <w:rFonts w:ascii="Times New Roman;serif" w:hAnsi="Times New Roman;serif"/>
          <w:b w:val="false"/>
          <w:color w:val="000000"/>
          <w:sz w:val="22"/>
        </w:rPr>
        <w:t>Funding Losses    </w:t>
      </w:r>
      <w:r>
        <w:rPr>
          <w:rFonts w:ascii="Times New Roman;serif" w:hAnsi="Times New Roman;serif"/>
          <w:b w:val="false"/>
          <w:strike/>
          <w:color w:val="FF0000"/>
          <w:sz w:val="22"/>
        </w:rPr>
        <w:t>189</w:t>
      </w:r>
      <w:r>
        <w:rPr>
          <w:rFonts w:ascii="Times New Roman;serif" w:hAnsi="Times New Roman;serif"/>
          <w:b w:val="false"/>
          <w:color w:val="0000FF"/>
          <w:sz w:val="22"/>
          <w:u w:val="single"/>
        </w:rPr>
        <w:t>166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3.07</w:t>
      </w:r>
      <w:r>
        <w:rPr>
          <w:color w:val="000000"/>
        </w:rPr>
        <w:t>    </w:t>
      </w:r>
      <w:r>
        <w:rPr>
          <w:rFonts w:ascii="Times New Roman;serif" w:hAnsi="Times New Roman;serif"/>
          <w:b w:val="false"/>
          <w:color w:val="000000"/>
          <w:sz w:val="22"/>
        </w:rPr>
        <w:t>Matters Applicable to All Requests for Compensation    </w:t>
      </w:r>
      <w:r>
        <w:rPr>
          <w:rFonts w:ascii="Times New Roman;serif" w:hAnsi="Times New Roman;serif"/>
          <w:b w:val="false"/>
          <w:strike/>
          <w:color w:val="FF0000"/>
          <w:sz w:val="22"/>
        </w:rPr>
        <w:t>190</w:t>
      </w:r>
      <w:r>
        <w:rPr>
          <w:rFonts w:ascii="Times New Roman;serif" w:hAnsi="Times New Roman;serif"/>
          <w:b w:val="false"/>
          <w:color w:val="0000FF"/>
          <w:sz w:val="22"/>
          <w:u w:val="single"/>
        </w:rPr>
        <w:t>166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3.08</w:t>
      </w:r>
      <w:r>
        <w:rPr>
          <w:color w:val="000000"/>
        </w:rPr>
        <w:t>    </w:t>
      </w:r>
      <w:r>
        <w:rPr>
          <w:rFonts w:ascii="Times New Roman;serif" w:hAnsi="Times New Roman;serif"/>
          <w:b w:val="false"/>
          <w:color w:val="000000"/>
          <w:sz w:val="22"/>
        </w:rPr>
        <w:t>Replacement of Lenders under Certain Circumstances    </w:t>
      </w:r>
      <w:r>
        <w:rPr>
          <w:rFonts w:ascii="Times New Roman;serif" w:hAnsi="Times New Roman;serif"/>
          <w:b w:val="false"/>
          <w:strike/>
          <w:color w:val="FF0000"/>
          <w:sz w:val="22"/>
        </w:rPr>
        <w:t>191</w:t>
      </w:r>
      <w:r>
        <w:rPr>
          <w:rFonts w:ascii="Times New Roman;serif" w:hAnsi="Times New Roman;serif"/>
          <w:b w:val="false"/>
          <w:color w:val="0000FF"/>
          <w:sz w:val="22"/>
          <w:u w:val="single"/>
        </w:rPr>
        <w:t>167</w:t>
      </w:r>
    </w:p>
    <w:p>
      <w:pPr>
        <w:pStyle w:val="TextBody"/>
        <w:bidi w:val="0"/>
        <w:spacing w:lineRule="auto" w:line="288" w:before="0" w:after="100"/>
        <w:jc w:val="left"/>
        <w:rPr/>
      </w:pPr>
      <w:r>
        <w:rPr>
          <w:rFonts w:ascii="Times New Roman;serif" w:hAnsi="Times New Roman;serif"/>
          <w:b w:val="false"/>
          <w:color w:val="000000"/>
          <w:sz w:val="22"/>
        </w:rPr>
        <w:t>ARTICLE IV CONDITIONS PRECEDENT TO CREDIT EXTENSIONS    </w:t>
      </w:r>
      <w:r>
        <w:rPr>
          <w:rFonts w:ascii="Times New Roman;serif" w:hAnsi="Times New Roman;serif"/>
          <w:b w:val="false"/>
          <w:strike/>
          <w:color w:val="FF0000"/>
          <w:sz w:val="22"/>
        </w:rPr>
        <w:t>193</w:t>
      </w:r>
      <w:r>
        <w:rPr>
          <w:rFonts w:ascii="Times New Roman;serif" w:hAnsi="Times New Roman;serif"/>
          <w:b w:val="false"/>
          <w:color w:val="0000FF"/>
          <w:sz w:val="22"/>
          <w:u w:val="single"/>
        </w:rPr>
        <w:t>169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4.01</w:t>
      </w:r>
      <w:r>
        <w:rPr>
          <w:color w:val="000000"/>
        </w:rPr>
        <w:t>    </w:t>
      </w:r>
      <w:r>
        <w:rPr>
          <w:rFonts w:ascii="Times New Roman;serif" w:hAnsi="Times New Roman;serif"/>
          <w:b w:val="false"/>
          <w:color w:val="000000"/>
          <w:sz w:val="22"/>
        </w:rPr>
        <w:t>Conditions to the Initial Credit Extension on the Closing Date    </w:t>
      </w:r>
      <w:r>
        <w:rPr>
          <w:rFonts w:ascii="Times New Roman;serif" w:hAnsi="Times New Roman;serif"/>
          <w:b w:val="false"/>
          <w:strike/>
          <w:color w:val="FF0000"/>
          <w:sz w:val="22"/>
        </w:rPr>
        <w:t>193</w:t>
      </w:r>
      <w:r>
        <w:rPr>
          <w:rFonts w:ascii="Times New Roman;serif" w:hAnsi="Times New Roman;serif"/>
          <w:b w:val="false"/>
          <w:color w:val="0000FF"/>
          <w:sz w:val="22"/>
          <w:u w:val="single"/>
        </w:rPr>
        <w:t>169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4.02</w:t>
      </w:r>
      <w:r>
        <w:rPr>
          <w:color w:val="000000"/>
        </w:rPr>
        <w:t>    </w:t>
      </w:r>
      <w:r>
        <w:rPr>
          <w:rFonts w:ascii="Times New Roman;serif" w:hAnsi="Times New Roman;serif"/>
          <w:b w:val="false"/>
          <w:color w:val="000000"/>
          <w:sz w:val="22"/>
        </w:rPr>
        <w:t>Conditions to All Credit Extensions    </w:t>
      </w:r>
      <w:r>
        <w:rPr>
          <w:rFonts w:ascii="Times New Roman;serif" w:hAnsi="Times New Roman;serif"/>
          <w:b w:val="false"/>
          <w:strike/>
          <w:color w:val="FF0000"/>
          <w:sz w:val="22"/>
        </w:rPr>
        <w:t>195</w:t>
      </w:r>
      <w:r>
        <w:rPr>
          <w:rFonts w:ascii="Times New Roman;serif" w:hAnsi="Times New Roman;serif"/>
          <w:b w:val="false"/>
          <w:color w:val="0000FF"/>
          <w:sz w:val="22"/>
          <w:u w:val="single"/>
        </w:rPr>
        <w:t>171</w:t>
      </w:r>
    </w:p>
    <w:p>
      <w:pPr>
        <w:pStyle w:val="TextBody"/>
        <w:bidi w:val="0"/>
        <w:spacing w:lineRule="auto" w:line="288" w:before="0" w:after="100"/>
        <w:jc w:val="left"/>
        <w:rPr/>
      </w:pPr>
      <w:r>
        <w:rPr>
          <w:rFonts w:ascii="Times New Roman;serif" w:hAnsi="Times New Roman;serif"/>
          <w:b w:val="false"/>
          <w:color w:val="000000"/>
          <w:sz w:val="22"/>
        </w:rPr>
        <w:t>ARTICLE V REPRESENTATIONS AND WARRANTIES    </w:t>
      </w:r>
      <w:r>
        <w:rPr>
          <w:rFonts w:ascii="Times New Roman;serif" w:hAnsi="Times New Roman;serif"/>
          <w:b w:val="false"/>
          <w:strike/>
          <w:color w:val="FF0000"/>
          <w:sz w:val="22"/>
        </w:rPr>
        <w:t>195</w:t>
      </w:r>
      <w:r>
        <w:rPr>
          <w:rFonts w:ascii="Times New Roman;serif" w:hAnsi="Times New Roman;serif"/>
          <w:b w:val="false"/>
          <w:color w:val="0000FF"/>
          <w:sz w:val="22"/>
          <w:u w:val="single"/>
        </w:rPr>
        <w:t>171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5.01</w:t>
      </w:r>
      <w:r>
        <w:rPr>
          <w:color w:val="000000"/>
        </w:rPr>
        <w:t>    </w:t>
      </w:r>
      <w:r>
        <w:rPr>
          <w:rFonts w:ascii="Times New Roman;serif" w:hAnsi="Times New Roman;serif"/>
          <w:b w:val="false"/>
          <w:color w:val="000000"/>
          <w:sz w:val="22"/>
        </w:rPr>
        <w:t>Existence, Qualification and Power; Compliance with Laws    </w:t>
      </w:r>
      <w:r>
        <w:rPr>
          <w:rFonts w:ascii="Times New Roman;serif" w:hAnsi="Times New Roman;serif"/>
          <w:b w:val="false"/>
          <w:strike/>
          <w:color w:val="FF0000"/>
          <w:sz w:val="22"/>
        </w:rPr>
        <w:t>196</w:t>
      </w:r>
      <w:r>
        <w:rPr>
          <w:rFonts w:ascii="Times New Roman;serif" w:hAnsi="Times New Roman;serif"/>
          <w:b w:val="false"/>
          <w:color w:val="0000FF"/>
          <w:sz w:val="22"/>
          <w:u w:val="single"/>
        </w:rPr>
        <w:t>171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5.02</w:t>
      </w:r>
      <w:r>
        <w:rPr>
          <w:color w:val="000000"/>
        </w:rPr>
        <w:t>    </w:t>
      </w:r>
      <w:r>
        <w:rPr>
          <w:rFonts w:ascii="Times New Roman;serif" w:hAnsi="Times New Roman;serif"/>
          <w:b w:val="false"/>
          <w:color w:val="000000"/>
          <w:sz w:val="22"/>
        </w:rPr>
        <w:t>Authorization; No Contravention    </w:t>
      </w:r>
      <w:r>
        <w:rPr>
          <w:rFonts w:ascii="Times New Roman;serif" w:hAnsi="Times New Roman;serif"/>
          <w:b w:val="false"/>
          <w:strike/>
          <w:color w:val="FF0000"/>
          <w:sz w:val="22"/>
        </w:rPr>
        <w:t>196</w:t>
      </w:r>
      <w:r>
        <w:rPr>
          <w:rFonts w:ascii="Times New Roman;serif" w:hAnsi="Times New Roman;serif"/>
          <w:b w:val="false"/>
          <w:color w:val="0000FF"/>
          <w:sz w:val="22"/>
          <w:u w:val="single"/>
        </w:rPr>
        <w:t>172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5.03</w:t>
      </w:r>
      <w:r>
        <w:rPr>
          <w:color w:val="000000"/>
        </w:rPr>
        <w:t>    </w:t>
      </w:r>
      <w:r>
        <w:rPr>
          <w:rFonts w:ascii="Times New Roman;serif" w:hAnsi="Times New Roman;serif"/>
          <w:b w:val="false"/>
          <w:color w:val="000000"/>
          <w:sz w:val="22"/>
        </w:rPr>
        <w:t>Governmental Authorization; Other Consents    </w:t>
      </w:r>
      <w:r>
        <w:rPr>
          <w:rFonts w:ascii="Times New Roman;serif" w:hAnsi="Times New Roman;serif"/>
          <w:b w:val="false"/>
          <w:strike/>
          <w:color w:val="FF0000"/>
          <w:sz w:val="22"/>
        </w:rPr>
        <w:t>196</w:t>
      </w:r>
      <w:r>
        <w:rPr>
          <w:rFonts w:ascii="Times New Roman;serif" w:hAnsi="Times New Roman;serif"/>
          <w:b w:val="false"/>
          <w:color w:val="0000FF"/>
          <w:sz w:val="22"/>
          <w:u w:val="single"/>
        </w:rPr>
        <w:t>172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5.04</w:t>
      </w:r>
      <w:r>
        <w:rPr>
          <w:color w:val="000000"/>
        </w:rPr>
        <w:t>    </w:t>
      </w:r>
      <w:r>
        <w:rPr>
          <w:rFonts w:ascii="Times New Roman;serif" w:hAnsi="Times New Roman;serif"/>
          <w:b w:val="false"/>
          <w:color w:val="000000"/>
          <w:sz w:val="22"/>
        </w:rPr>
        <w:t>Binding Effect    </w:t>
      </w:r>
      <w:r>
        <w:rPr>
          <w:rFonts w:ascii="Times New Roman;serif" w:hAnsi="Times New Roman;serif"/>
          <w:b w:val="false"/>
          <w:strike/>
          <w:color w:val="FF0000"/>
          <w:sz w:val="22"/>
        </w:rPr>
        <w:t>196</w:t>
      </w:r>
      <w:r>
        <w:rPr>
          <w:rFonts w:ascii="Times New Roman;serif" w:hAnsi="Times New Roman;serif"/>
          <w:b w:val="false"/>
          <w:color w:val="0000FF"/>
          <w:sz w:val="22"/>
          <w:u w:val="single"/>
        </w:rPr>
        <w:t>172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5.05</w:t>
      </w:r>
      <w:r>
        <w:rPr>
          <w:color w:val="000000"/>
        </w:rPr>
        <w:t>    </w:t>
      </w:r>
      <w:r>
        <w:rPr>
          <w:rFonts w:ascii="Times New Roman;serif" w:hAnsi="Times New Roman;serif"/>
          <w:b w:val="false"/>
          <w:color w:val="000000"/>
          <w:sz w:val="22"/>
        </w:rPr>
        <w:t>Financial Statements; No Material Adverse Effect    </w:t>
      </w:r>
      <w:r>
        <w:rPr>
          <w:rFonts w:ascii="Times New Roman;serif" w:hAnsi="Times New Roman;serif"/>
          <w:b w:val="false"/>
          <w:strike/>
          <w:color w:val="FF0000"/>
          <w:sz w:val="22"/>
        </w:rPr>
        <w:t>197</w:t>
      </w:r>
      <w:r>
        <w:rPr>
          <w:rFonts w:ascii="Times New Roman;serif" w:hAnsi="Times New Roman;serif"/>
          <w:b w:val="false"/>
          <w:color w:val="0000FF"/>
          <w:sz w:val="22"/>
          <w:u w:val="single"/>
        </w:rPr>
        <w:t>172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5.06</w:t>
      </w:r>
      <w:r>
        <w:rPr>
          <w:color w:val="000000"/>
        </w:rPr>
        <w:t>    </w:t>
      </w:r>
      <w:r>
        <w:rPr>
          <w:rFonts w:ascii="Times New Roman;serif" w:hAnsi="Times New Roman;serif"/>
          <w:b w:val="false"/>
          <w:color w:val="000000"/>
          <w:sz w:val="22"/>
        </w:rPr>
        <w:t>Litigation    </w:t>
      </w:r>
      <w:r>
        <w:rPr>
          <w:rFonts w:ascii="Times New Roman;serif" w:hAnsi="Times New Roman;serif"/>
          <w:b w:val="false"/>
          <w:strike/>
          <w:color w:val="FF0000"/>
          <w:sz w:val="22"/>
        </w:rPr>
        <w:t>197</w:t>
      </w:r>
      <w:r>
        <w:rPr>
          <w:rFonts w:ascii="Times New Roman;serif" w:hAnsi="Times New Roman;serif"/>
          <w:b w:val="false"/>
          <w:color w:val="0000FF"/>
          <w:sz w:val="22"/>
          <w:u w:val="single"/>
        </w:rPr>
        <w:t>173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5.07</w:t>
      </w:r>
      <w:r>
        <w:rPr>
          <w:color w:val="000000"/>
        </w:rPr>
        <w:t>    </w:t>
      </w:r>
      <w:r>
        <w:rPr>
          <w:rFonts w:ascii="Times New Roman;serif" w:hAnsi="Times New Roman;serif"/>
          <w:b w:val="false"/>
          <w:color w:val="000000"/>
          <w:sz w:val="22"/>
        </w:rPr>
        <w:t>Use of Proceeds    </w:t>
      </w:r>
      <w:r>
        <w:rPr>
          <w:rFonts w:ascii="Times New Roman;serif" w:hAnsi="Times New Roman;serif"/>
          <w:b w:val="false"/>
          <w:strike/>
          <w:color w:val="FF0000"/>
          <w:sz w:val="22"/>
        </w:rPr>
        <w:t>197</w:t>
      </w:r>
      <w:r>
        <w:rPr>
          <w:rFonts w:ascii="Times New Roman;serif" w:hAnsi="Times New Roman;serif"/>
          <w:b w:val="false"/>
          <w:color w:val="0000FF"/>
          <w:sz w:val="22"/>
          <w:u w:val="single"/>
        </w:rPr>
        <w:t>173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5.08</w:t>
      </w:r>
      <w:r>
        <w:rPr>
          <w:color w:val="000000"/>
        </w:rPr>
        <w:t>    </w:t>
      </w:r>
      <w:r>
        <w:rPr>
          <w:rFonts w:ascii="Times New Roman;serif" w:hAnsi="Times New Roman;serif"/>
          <w:b w:val="false"/>
          <w:color w:val="000000"/>
          <w:sz w:val="22"/>
        </w:rPr>
        <w:t>Ownership of Property; Liens    </w:t>
      </w:r>
      <w:r>
        <w:rPr>
          <w:rFonts w:ascii="Times New Roman;serif" w:hAnsi="Times New Roman;serif"/>
          <w:b w:val="false"/>
          <w:strike/>
          <w:color w:val="FF0000"/>
          <w:sz w:val="22"/>
        </w:rPr>
        <w:t>198</w:t>
      </w:r>
      <w:r>
        <w:rPr>
          <w:rFonts w:ascii="Times New Roman;serif" w:hAnsi="Times New Roman;serif"/>
          <w:b w:val="false"/>
          <w:color w:val="0000FF"/>
          <w:sz w:val="22"/>
          <w:u w:val="single"/>
        </w:rPr>
        <w:t>173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5.09</w:t>
      </w:r>
      <w:r>
        <w:rPr>
          <w:color w:val="000000"/>
        </w:rPr>
        <w:t>    </w:t>
      </w:r>
      <w:r>
        <w:rPr>
          <w:rFonts w:ascii="Times New Roman;serif" w:hAnsi="Times New Roman;serif"/>
          <w:b w:val="false"/>
          <w:color w:val="000000"/>
          <w:sz w:val="22"/>
        </w:rPr>
        <w:t>Environmental Compliance    </w:t>
      </w:r>
      <w:r>
        <w:rPr>
          <w:rFonts w:ascii="Times New Roman;serif" w:hAnsi="Times New Roman;serif"/>
          <w:b w:val="false"/>
          <w:strike/>
          <w:color w:val="FF0000"/>
          <w:sz w:val="22"/>
        </w:rPr>
        <w:t>198</w:t>
      </w:r>
      <w:r>
        <w:rPr>
          <w:rFonts w:ascii="Times New Roman;serif" w:hAnsi="Times New Roman;serif"/>
          <w:b w:val="false"/>
          <w:color w:val="0000FF"/>
          <w:sz w:val="22"/>
          <w:u w:val="single"/>
        </w:rPr>
        <w:t>173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5.10</w:t>
      </w:r>
      <w:r>
        <w:rPr>
          <w:color w:val="000000"/>
        </w:rPr>
        <w:t>    </w:t>
      </w:r>
      <w:r>
        <w:rPr>
          <w:rFonts w:ascii="Times New Roman;serif" w:hAnsi="Times New Roman;serif"/>
          <w:b w:val="false"/>
          <w:color w:val="000000"/>
          <w:sz w:val="22"/>
        </w:rPr>
        <w:t>Taxes    </w:t>
      </w:r>
      <w:r>
        <w:rPr>
          <w:rFonts w:ascii="Times New Roman;serif" w:hAnsi="Times New Roman;serif"/>
          <w:b w:val="false"/>
          <w:strike/>
          <w:color w:val="FF0000"/>
          <w:sz w:val="22"/>
        </w:rPr>
        <w:t>199</w:t>
      </w:r>
      <w:r>
        <w:rPr>
          <w:rFonts w:ascii="Times New Roman;serif" w:hAnsi="Times New Roman;serif"/>
          <w:b w:val="false"/>
          <w:color w:val="0000FF"/>
          <w:sz w:val="22"/>
          <w:u w:val="single"/>
        </w:rPr>
        <w:t>174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5.11</w:t>
      </w:r>
      <w:r>
        <w:rPr>
          <w:color w:val="000000"/>
        </w:rPr>
        <w:t>    </w:t>
      </w:r>
      <w:r>
        <w:rPr>
          <w:rFonts w:ascii="Times New Roman;serif" w:hAnsi="Times New Roman;serif"/>
          <w:b w:val="false"/>
          <w:color w:val="000000"/>
          <w:sz w:val="22"/>
        </w:rPr>
        <w:t>Employee Benefit Plans    </w:t>
      </w:r>
      <w:r>
        <w:rPr>
          <w:rFonts w:ascii="Times New Roman;serif" w:hAnsi="Times New Roman;serif"/>
          <w:b w:val="false"/>
          <w:strike/>
          <w:color w:val="FF0000"/>
          <w:sz w:val="22"/>
        </w:rPr>
        <w:t>199</w:t>
      </w:r>
      <w:r>
        <w:rPr>
          <w:rFonts w:ascii="Times New Roman;serif" w:hAnsi="Times New Roman;serif"/>
          <w:b w:val="false"/>
          <w:color w:val="0000FF"/>
          <w:sz w:val="22"/>
          <w:u w:val="single"/>
        </w:rPr>
        <w:t>174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5.12</w:t>
      </w:r>
      <w:r>
        <w:rPr>
          <w:color w:val="000000"/>
        </w:rPr>
        <w:t>    </w:t>
      </w:r>
      <w:r>
        <w:rPr>
          <w:rFonts w:ascii="Times New Roman;serif" w:hAnsi="Times New Roman;serif"/>
          <w:b w:val="false"/>
          <w:color w:val="000000"/>
          <w:sz w:val="22"/>
        </w:rPr>
        <w:t>Subsidiaries; Capital Stock    </w:t>
      </w:r>
      <w:r>
        <w:rPr>
          <w:rFonts w:ascii="Times New Roman;serif" w:hAnsi="Times New Roman;serif"/>
          <w:b w:val="false"/>
          <w:strike/>
          <w:color w:val="FF0000"/>
          <w:sz w:val="22"/>
        </w:rPr>
        <w:t>200</w:t>
      </w:r>
      <w:r>
        <w:rPr>
          <w:rFonts w:ascii="Times New Roman;serif" w:hAnsi="Times New Roman;serif"/>
          <w:b w:val="false"/>
          <w:color w:val="0000FF"/>
          <w:sz w:val="22"/>
          <w:u w:val="single"/>
        </w:rPr>
        <w:t>175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5.13</w:t>
      </w:r>
      <w:r>
        <w:rPr>
          <w:color w:val="000000"/>
        </w:rPr>
        <w:t>    </w:t>
      </w:r>
      <w:r>
        <w:rPr>
          <w:rFonts w:ascii="Times New Roman;serif" w:hAnsi="Times New Roman;serif"/>
          <w:b w:val="false"/>
          <w:color w:val="000000"/>
          <w:sz w:val="22"/>
        </w:rPr>
        <w:t>Margin Regulations; Investment Company Act    </w:t>
      </w:r>
      <w:r>
        <w:rPr>
          <w:rFonts w:ascii="Times New Roman;serif" w:hAnsi="Times New Roman;serif"/>
          <w:b w:val="false"/>
          <w:strike/>
          <w:color w:val="FF0000"/>
          <w:sz w:val="22"/>
        </w:rPr>
        <w:t>200</w:t>
      </w:r>
      <w:r>
        <w:rPr>
          <w:rFonts w:ascii="Times New Roman;serif" w:hAnsi="Times New Roman;serif"/>
          <w:b w:val="false"/>
          <w:color w:val="0000FF"/>
          <w:sz w:val="22"/>
          <w:u w:val="single"/>
        </w:rPr>
        <w:t>175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5.14</w:t>
      </w:r>
      <w:r>
        <w:rPr>
          <w:color w:val="000000"/>
        </w:rPr>
        <w:t>    </w:t>
      </w:r>
      <w:r>
        <w:rPr>
          <w:rFonts w:ascii="Times New Roman;serif" w:hAnsi="Times New Roman;serif"/>
          <w:b w:val="false"/>
          <w:color w:val="000000"/>
          <w:sz w:val="22"/>
        </w:rPr>
        <w:t>Disclosure    </w:t>
      </w:r>
      <w:r>
        <w:rPr>
          <w:rFonts w:ascii="Times New Roman;serif" w:hAnsi="Times New Roman;serif"/>
          <w:b w:val="false"/>
          <w:strike/>
          <w:color w:val="FF0000"/>
          <w:sz w:val="22"/>
        </w:rPr>
        <w:t>200</w:t>
      </w:r>
      <w:r>
        <w:rPr>
          <w:rFonts w:ascii="Times New Roman;serif" w:hAnsi="Times New Roman;serif"/>
          <w:b w:val="false"/>
          <w:color w:val="0000FF"/>
          <w:sz w:val="22"/>
          <w:u w:val="single"/>
        </w:rPr>
        <w:t>176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5.15</w:t>
      </w:r>
      <w:r>
        <w:rPr>
          <w:color w:val="000000"/>
        </w:rPr>
        <w:t>    </w:t>
      </w:r>
      <w:r>
        <w:rPr>
          <w:rFonts w:ascii="Times New Roman;serif" w:hAnsi="Times New Roman;serif"/>
          <w:b w:val="false"/>
          <w:color w:val="000000"/>
          <w:sz w:val="22"/>
        </w:rPr>
        <w:t>Compliance with Laws    </w:t>
      </w:r>
      <w:r>
        <w:rPr>
          <w:rFonts w:ascii="Times New Roman;serif" w:hAnsi="Times New Roman;serif"/>
          <w:b w:val="false"/>
          <w:strike/>
          <w:color w:val="FF0000"/>
          <w:sz w:val="22"/>
        </w:rPr>
        <w:t>201</w:t>
      </w:r>
      <w:r>
        <w:rPr>
          <w:rFonts w:ascii="Times New Roman;serif" w:hAnsi="Times New Roman;serif"/>
          <w:b w:val="false"/>
          <w:color w:val="0000FF"/>
          <w:sz w:val="22"/>
          <w:u w:val="single"/>
        </w:rPr>
        <w:t>176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5.16</w:t>
      </w:r>
      <w:r>
        <w:rPr>
          <w:color w:val="000000"/>
        </w:rPr>
        <w:t>    </w:t>
      </w:r>
      <w:r>
        <w:rPr>
          <w:rFonts w:ascii="Times New Roman;serif" w:hAnsi="Times New Roman;serif"/>
          <w:b w:val="false"/>
          <w:color w:val="000000"/>
          <w:sz w:val="22"/>
        </w:rPr>
        <w:t>Intellectual Property; Licenses, Etc    </w:t>
      </w:r>
      <w:r>
        <w:rPr>
          <w:rFonts w:ascii="Times New Roman;serif" w:hAnsi="Times New Roman;serif"/>
          <w:b w:val="false"/>
          <w:strike/>
          <w:color w:val="FF0000"/>
          <w:sz w:val="22"/>
        </w:rPr>
        <w:t>201</w:t>
      </w:r>
      <w:r>
        <w:rPr>
          <w:rFonts w:ascii="Times New Roman;serif" w:hAnsi="Times New Roman;serif"/>
          <w:b w:val="false"/>
          <w:color w:val="0000FF"/>
          <w:sz w:val="22"/>
          <w:u w:val="single"/>
        </w:rPr>
        <w:t>176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5.17</w:t>
      </w:r>
      <w:r>
        <w:rPr>
          <w:color w:val="000000"/>
        </w:rPr>
        <w:t>    </w:t>
      </w:r>
      <w:r>
        <w:rPr>
          <w:rFonts w:ascii="Times New Roman;serif" w:hAnsi="Times New Roman;serif"/>
          <w:b w:val="false"/>
          <w:color w:val="000000"/>
          <w:sz w:val="22"/>
        </w:rPr>
        <w:t>Solvency    </w:t>
      </w:r>
      <w:r>
        <w:rPr>
          <w:rFonts w:ascii="Times New Roman;serif" w:hAnsi="Times New Roman;serif"/>
          <w:b w:val="false"/>
          <w:strike/>
          <w:color w:val="FF0000"/>
          <w:sz w:val="22"/>
        </w:rPr>
        <w:t>201</w:t>
      </w:r>
      <w:r>
        <w:rPr>
          <w:rFonts w:ascii="Times New Roman;serif" w:hAnsi="Times New Roman;serif"/>
          <w:b w:val="false"/>
          <w:color w:val="0000FF"/>
          <w:sz w:val="22"/>
          <w:u w:val="single"/>
        </w:rPr>
        <w:t>176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5.18</w:t>
      </w:r>
      <w:r>
        <w:rPr>
          <w:color w:val="000000"/>
        </w:rPr>
        <w:t>    </w:t>
      </w:r>
      <w:r>
        <w:rPr>
          <w:rFonts w:ascii="Times New Roman;serif" w:hAnsi="Times New Roman;serif"/>
          <w:b w:val="false"/>
          <w:color w:val="000000"/>
          <w:sz w:val="22"/>
        </w:rPr>
        <w:t>Perfection, Etc    </w:t>
      </w:r>
      <w:r>
        <w:rPr>
          <w:rFonts w:ascii="Times New Roman;serif" w:hAnsi="Times New Roman;serif"/>
          <w:b w:val="false"/>
          <w:strike/>
          <w:color w:val="FF0000"/>
          <w:sz w:val="22"/>
        </w:rPr>
        <w:t>202</w:t>
      </w:r>
      <w:r>
        <w:rPr>
          <w:rFonts w:ascii="Times New Roman;serif" w:hAnsi="Times New Roman;serif"/>
          <w:b w:val="false"/>
          <w:color w:val="0000FF"/>
          <w:sz w:val="22"/>
          <w:u w:val="single"/>
        </w:rPr>
        <w:t>176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5.19</w:t>
      </w:r>
      <w:r>
        <w:rPr>
          <w:color w:val="000000"/>
        </w:rPr>
        <w:t>    </w:t>
      </w:r>
      <w:r>
        <w:rPr>
          <w:rFonts w:ascii="Times New Roman;serif" w:hAnsi="Times New Roman;serif"/>
          <w:b w:val="false"/>
          <w:color w:val="000000"/>
          <w:sz w:val="22"/>
        </w:rPr>
        <w:t>Sanctions; OFAC    </w:t>
      </w:r>
      <w:r>
        <w:rPr>
          <w:rFonts w:ascii="Times New Roman;serif" w:hAnsi="Times New Roman;serif"/>
          <w:b w:val="false"/>
          <w:strike/>
          <w:color w:val="FF0000"/>
          <w:sz w:val="22"/>
        </w:rPr>
        <w:t>202</w:t>
      </w:r>
      <w:r>
        <w:rPr>
          <w:rFonts w:ascii="Times New Roman;serif" w:hAnsi="Times New Roman;serif"/>
          <w:b w:val="false"/>
          <w:color w:val="0000FF"/>
          <w:sz w:val="22"/>
          <w:u w:val="single"/>
        </w:rPr>
        <w:t>177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5.20</w:t>
      </w:r>
      <w:r>
        <w:rPr>
          <w:color w:val="000000"/>
        </w:rPr>
        <w:t>    </w:t>
      </w:r>
      <w:r>
        <w:rPr>
          <w:rFonts w:ascii="Times New Roman;serif" w:hAnsi="Times New Roman;serif"/>
          <w:b w:val="false"/>
          <w:color w:val="000000"/>
          <w:sz w:val="22"/>
        </w:rPr>
        <w:t>Anti-Corruption Laws    </w:t>
      </w:r>
      <w:r>
        <w:rPr>
          <w:rFonts w:ascii="Times New Roman;serif" w:hAnsi="Times New Roman;serif"/>
          <w:b w:val="false"/>
          <w:strike/>
          <w:color w:val="FF0000"/>
          <w:sz w:val="22"/>
        </w:rPr>
        <w:t>202</w:t>
      </w:r>
      <w:r>
        <w:rPr>
          <w:rFonts w:ascii="Times New Roman;serif" w:hAnsi="Times New Roman;serif"/>
          <w:b w:val="false"/>
          <w:color w:val="0000FF"/>
          <w:sz w:val="22"/>
          <w:u w:val="single"/>
        </w:rPr>
        <w:t>177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5.21</w:t>
      </w:r>
      <w:r>
        <w:rPr>
          <w:color w:val="000000"/>
        </w:rPr>
        <w:t>    </w:t>
      </w:r>
      <w:r>
        <w:rPr>
          <w:rFonts w:ascii="Times New Roman;serif" w:hAnsi="Times New Roman;serif"/>
          <w:b w:val="false"/>
          <w:color w:val="000000"/>
          <w:sz w:val="22"/>
        </w:rPr>
        <w:t>No Default    </w:t>
      </w:r>
      <w:r>
        <w:rPr>
          <w:rFonts w:ascii="Times New Roman;serif" w:hAnsi="Times New Roman;serif"/>
          <w:b w:val="false"/>
          <w:strike/>
          <w:color w:val="FF0000"/>
          <w:sz w:val="22"/>
        </w:rPr>
        <w:t>203</w:t>
      </w:r>
      <w:r>
        <w:rPr>
          <w:rFonts w:ascii="Times New Roman;serif" w:hAnsi="Times New Roman;serif"/>
          <w:b w:val="false"/>
          <w:color w:val="0000FF"/>
          <w:sz w:val="22"/>
          <w:u w:val="single"/>
        </w:rPr>
        <w:t>177</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70"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jc w:val="left"/>
        <w:rPr/>
      </w:pPr>
      <w:r>
        <w:rPr>
          <w:rFonts w:ascii="Times New Roman;serif" w:hAnsi="Times New Roman;serif"/>
          <w:b w:val="false"/>
          <w:color w:val="000000"/>
          <w:sz w:val="22"/>
        </w:rPr>
        <w:t>ARTICLE VI AFFIRMATIVE COVENANTS    </w:t>
      </w:r>
      <w:r>
        <w:rPr>
          <w:rFonts w:ascii="Times New Roman;serif" w:hAnsi="Times New Roman;serif"/>
          <w:b w:val="false"/>
          <w:strike/>
          <w:color w:val="FF0000"/>
          <w:sz w:val="22"/>
        </w:rPr>
        <w:t>203</w:t>
      </w:r>
      <w:r>
        <w:rPr>
          <w:rFonts w:ascii="Times New Roman;serif" w:hAnsi="Times New Roman;serif"/>
          <w:b w:val="false"/>
          <w:color w:val="0000FF"/>
          <w:sz w:val="22"/>
          <w:u w:val="single"/>
        </w:rPr>
        <w:t>178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6.01</w:t>
      </w:r>
      <w:r>
        <w:rPr>
          <w:color w:val="000000"/>
        </w:rPr>
        <w:t>    </w:t>
      </w:r>
      <w:r>
        <w:rPr>
          <w:rFonts w:ascii="Times New Roman;serif" w:hAnsi="Times New Roman;serif"/>
          <w:b w:val="false"/>
          <w:color w:val="000000"/>
          <w:sz w:val="22"/>
        </w:rPr>
        <w:t>Financial Statements    </w:t>
      </w:r>
      <w:r>
        <w:rPr>
          <w:rFonts w:ascii="Times New Roman;serif" w:hAnsi="Times New Roman;serif"/>
          <w:b w:val="false"/>
          <w:strike/>
          <w:color w:val="FF0000"/>
          <w:sz w:val="22"/>
        </w:rPr>
        <w:t>203</w:t>
      </w:r>
      <w:r>
        <w:rPr>
          <w:rFonts w:ascii="Times New Roman;serif" w:hAnsi="Times New Roman;serif"/>
          <w:b w:val="false"/>
          <w:color w:val="0000FF"/>
          <w:sz w:val="22"/>
          <w:u w:val="single"/>
        </w:rPr>
        <w:t>178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6.02</w:t>
      </w:r>
      <w:r>
        <w:rPr>
          <w:color w:val="000000"/>
        </w:rPr>
        <w:t>    </w:t>
      </w:r>
      <w:r>
        <w:rPr>
          <w:rFonts w:ascii="Times New Roman;serif" w:hAnsi="Times New Roman;serif"/>
          <w:b w:val="false"/>
          <w:color w:val="000000"/>
          <w:sz w:val="22"/>
        </w:rPr>
        <w:t>Certificates; Other Information    </w:t>
      </w:r>
      <w:r>
        <w:rPr>
          <w:rFonts w:ascii="Times New Roman;serif" w:hAnsi="Times New Roman;serif"/>
          <w:b w:val="false"/>
          <w:strike/>
          <w:color w:val="FF0000"/>
          <w:sz w:val="22"/>
        </w:rPr>
        <w:t>206</w:t>
      </w:r>
      <w:r>
        <w:rPr>
          <w:rFonts w:ascii="Times New Roman;serif" w:hAnsi="Times New Roman;serif"/>
          <w:b w:val="false"/>
          <w:color w:val="0000FF"/>
          <w:sz w:val="22"/>
          <w:u w:val="single"/>
        </w:rPr>
        <w:t>180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6.03</w:t>
      </w:r>
      <w:r>
        <w:rPr>
          <w:color w:val="000000"/>
        </w:rPr>
        <w:t>    </w:t>
      </w:r>
      <w:r>
        <w:rPr>
          <w:rFonts w:ascii="Times New Roman;serif" w:hAnsi="Times New Roman;serif"/>
          <w:b w:val="false"/>
          <w:color w:val="000000"/>
          <w:sz w:val="22"/>
        </w:rPr>
        <w:t>Notices    </w:t>
      </w:r>
      <w:r>
        <w:rPr>
          <w:rFonts w:ascii="Times New Roman;serif" w:hAnsi="Times New Roman;serif"/>
          <w:b w:val="false"/>
          <w:strike/>
          <w:color w:val="FF0000"/>
          <w:sz w:val="22"/>
        </w:rPr>
        <w:t>207</w:t>
      </w:r>
      <w:r>
        <w:rPr>
          <w:rFonts w:ascii="Times New Roman;serif" w:hAnsi="Times New Roman;serif"/>
          <w:b w:val="false"/>
          <w:color w:val="0000FF"/>
          <w:sz w:val="22"/>
          <w:u w:val="single"/>
        </w:rPr>
        <w:t>181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6.04</w:t>
      </w:r>
      <w:r>
        <w:rPr>
          <w:color w:val="000000"/>
        </w:rPr>
        <w:t>    </w:t>
      </w:r>
      <w:r>
        <w:rPr>
          <w:rFonts w:ascii="Times New Roman;serif" w:hAnsi="Times New Roman;serif"/>
          <w:b w:val="false"/>
          <w:color w:val="000000"/>
          <w:sz w:val="22"/>
        </w:rPr>
        <w:t>Payment of Taxes    </w:t>
      </w:r>
      <w:r>
        <w:rPr>
          <w:rFonts w:ascii="Times New Roman;serif" w:hAnsi="Times New Roman;serif"/>
          <w:b w:val="false"/>
          <w:strike/>
          <w:color w:val="FF0000"/>
          <w:sz w:val="22"/>
        </w:rPr>
        <w:t>208</w:t>
      </w:r>
      <w:r>
        <w:rPr>
          <w:rFonts w:ascii="Times New Roman;serif" w:hAnsi="Times New Roman;serif"/>
          <w:b w:val="false"/>
          <w:color w:val="0000FF"/>
          <w:sz w:val="22"/>
          <w:u w:val="single"/>
        </w:rPr>
        <w:t>182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6.05</w:t>
      </w:r>
      <w:r>
        <w:rPr>
          <w:color w:val="000000"/>
        </w:rPr>
        <w:t>    </w:t>
      </w:r>
      <w:r>
        <w:rPr>
          <w:rFonts w:ascii="Times New Roman;serif" w:hAnsi="Times New Roman;serif"/>
          <w:b w:val="false"/>
          <w:color w:val="000000"/>
          <w:sz w:val="22"/>
        </w:rPr>
        <w:t>Preservation of Existence, Etc    </w:t>
      </w:r>
      <w:r>
        <w:rPr>
          <w:rFonts w:ascii="Times New Roman;serif" w:hAnsi="Times New Roman;serif"/>
          <w:b w:val="false"/>
          <w:strike/>
          <w:color w:val="FF0000"/>
          <w:sz w:val="22"/>
        </w:rPr>
        <w:t>208</w:t>
      </w:r>
      <w:r>
        <w:rPr>
          <w:rFonts w:ascii="Times New Roman;serif" w:hAnsi="Times New Roman;serif"/>
          <w:b w:val="false"/>
          <w:color w:val="0000FF"/>
          <w:sz w:val="22"/>
          <w:u w:val="single"/>
        </w:rPr>
        <w:t>182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6.06</w:t>
      </w:r>
      <w:r>
        <w:rPr>
          <w:color w:val="000000"/>
        </w:rPr>
        <w:t>    </w:t>
      </w:r>
      <w:r>
        <w:rPr>
          <w:rFonts w:ascii="Times New Roman;serif" w:hAnsi="Times New Roman;serif"/>
          <w:b w:val="false"/>
          <w:color w:val="000000"/>
          <w:sz w:val="22"/>
        </w:rPr>
        <w:t>Maintenance of Properties    </w:t>
      </w:r>
      <w:r>
        <w:rPr>
          <w:rFonts w:ascii="Times New Roman;serif" w:hAnsi="Times New Roman;serif"/>
          <w:b w:val="false"/>
          <w:strike/>
          <w:color w:val="FF0000"/>
          <w:sz w:val="22"/>
        </w:rPr>
        <w:t>208</w:t>
      </w:r>
      <w:r>
        <w:rPr>
          <w:rFonts w:ascii="Times New Roman;serif" w:hAnsi="Times New Roman;serif"/>
          <w:b w:val="false"/>
          <w:color w:val="0000FF"/>
          <w:sz w:val="22"/>
          <w:u w:val="single"/>
        </w:rPr>
        <w:t>182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6.07</w:t>
      </w:r>
      <w:r>
        <w:rPr>
          <w:color w:val="000000"/>
        </w:rPr>
        <w:t>    </w:t>
      </w:r>
      <w:r>
        <w:rPr>
          <w:rFonts w:ascii="Times New Roman;serif" w:hAnsi="Times New Roman;serif"/>
          <w:b w:val="false"/>
          <w:color w:val="000000"/>
          <w:sz w:val="22"/>
        </w:rPr>
        <w:t>Maintenance of Insurance    </w:t>
      </w:r>
      <w:r>
        <w:rPr>
          <w:rFonts w:ascii="Times New Roman;serif" w:hAnsi="Times New Roman;serif"/>
          <w:b w:val="false"/>
          <w:strike/>
          <w:color w:val="FF0000"/>
          <w:sz w:val="22"/>
        </w:rPr>
        <w:t>208</w:t>
      </w:r>
      <w:r>
        <w:rPr>
          <w:rFonts w:ascii="Times New Roman;serif" w:hAnsi="Times New Roman;serif"/>
          <w:b w:val="false"/>
          <w:color w:val="0000FF"/>
          <w:sz w:val="22"/>
          <w:u w:val="single"/>
        </w:rPr>
        <w:t>182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6.08</w:t>
      </w:r>
      <w:r>
        <w:rPr>
          <w:color w:val="000000"/>
        </w:rPr>
        <w:t>    </w:t>
      </w:r>
      <w:r>
        <w:rPr>
          <w:rFonts w:ascii="Times New Roman;serif" w:hAnsi="Times New Roman;serif"/>
          <w:b w:val="false"/>
          <w:color w:val="000000"/>
          <w:sz w:val="22"/>
        </w:rPr>
        <w:t>Compliance with Laws    </w:t>
      </w:r>
      <w:r>
        <w:rPr>
          <w:rFonts w:ascii="Times New Roman;serif" w:hAnsi="Times New Roman;serif"/>
          <w:b w:val="false"/>
          <w:strike/>
          <w:color w:val="FF0000"/>
          <w:sz w:val="22"/>
        </w:rPr>
        <w:t>209</w:t>
      </w:r>
      <w:r>
        <w:rPr>
          <w:rFonts w:ascii="Times New Roman;serif" w:hAnsi="Times New Roman;serif"/>
          <w:b w:val="false"/>
          <w:color w:val="0000FF"/>
          <w:sz w:val="22"/>
          <w:u w:val="single"/>
        </w:rPr>
        <w:t>183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6.09</w:t>
      </w:r>
      <w:r>
        <w:rPr>
          <w:color w:val="000000"/>
        </w:rPr>
        <w:t>    </w:t>
      </w:r>
      <w:r>
        <w:rPr>
          <w:rFonts w:ascii="Times New Roman;serif" w:hAnsi="Times New Roman;serif"/>
          <w:b w:val="false"/>
          <w:color w:val="000000"/>
          <w:sz w:val="22"/>
        </w:rPr>
        <w:t>Books and Records    </w:t>
      </w:r>
      <w:r>
        <w:rPr>
          <w:rFonts w:ascii="Times New Roman;serif" w:hAnsi="Times New Roman;serif"/>
          <w:b w:val="false"/>
          <w:strike/>
          <w:color w:val="FF0000"/>
          <w:sz w:val="22"/>
        </w:rPr>
        <w:t>209</w:t>
      </w:r>
      <w:r>
        <w:rPr>
          <w:rFonts w:ascii="Times New Roman;serif" w:hAnsi="Times New Roman;serif"/>
          <w:b w:val="false"/>
          <w:color w:val="0000FF"/>
          <w:sz w:val="22"/>
          <w:u w:val="single"/>
        </w:rPr>
        <w:t>183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6.10</w:t>
      </w:r>
      <w:r>
        <w:rPr>
          <w:color w:val="000000"/>
        </w:rPr>
        <w:t>    </w:t>
      </w:r>
      <w:r>
        <w:rPr>
          <w:rFonts w:ascii="Times New Roman;serif" w:hAnsi="Times New Roman;serif"/>
          <w:b w:val="false"/>
          <w:color w:val="000000"/>
          <w:sz w:val="22"/>
        </w:rPr>
        <w:t>Inspection Rights    </w:t>
      </w:r>
      <w:r>
        <w:rPr>
          <w:rFonts w:ascii="Times New Roman;serif" w:hAnsi="Times New Roman;serif"/>
          <w:b w:val="false"/>
          <w:strike/>
          <w:color w:val="FF0000"/>
          <w:sz w:val="22"/>
        </w:rPr>
        <w:t>209</w:t>
      </w:r>
      <w:r>
        <w:rPr>
          <w:rFonts w:ascii="Times New Roman;serif" w:hAnsi="Times New Roman;serif"/>
          <w:b w:val="false"/>
          <w:color w:val="0000FF"/>
          <w:sz w:val="22"/>
          <w:u w:val="single"/>
        </w:rPr>
        <w:t>183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6.11</w:t>
      </w:r>
      <w:r>
        <w:rPr>
          <w:color w:val="000000"/>
        </w:rPr>
        <w:t>    </w:t>
      </w:r>
      <w:r>
        <w:rPr>
          <w:rFonts w:ascii="Times New Roman;serif" w:hAnsi="Times New Roman;serif"/>
          <w:b w:val="false"/>
          <w:color w:val="000000"/>
          <w:sz w:val="22"/>
        </w:rPr>
        <w:t>Use of Proceeds    </w:t>
      </w:r>
      <w:r>
        <w:rPr>
          <w:rFonts w:ascii="Times New Roman;serif" w:hAnsi="Times New Roman;serif"/>
          <w:b w:val="false"/>
          <w:strike/>
          <w:color w:val="FF0000"/>
          <w:sz w:val="22"/>
        </w:rPr>
        <w:t>210</w:t>
      </w:r>
      <w:r>
        <w:rPr>
          <w:rFonts w:ascii="Times New Roman;serif" w:hAnsi="Times New Roman;serif"/>
          <w:b w:val="false"/>
          <w:color w:val="0000FF"/>
          <w:sz w:val="22"/>
          <w:u w:val="single"/>
        </w:rPr>
        <w:t>183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6.12</w:t>
      </w:r>
      <w:r>
        <w:rPr>
          <w:color w:val="000000"/>
        </w:rPr>
        <w:t>    </w:t>
      </w:r>
      <w:r>
        <w:rPr>
          <w:rFonts w:ascii="Times New Roman;serif" w:hAnsi="Times New Roman;serif"/>
          <w:b w:val="false"/>
          <w:color w:val="000000"/>
          <w:sz w:val="22"/>
        </w:rPr>
        <w:t>Covenant to Guarantee Obligations and Give Security    </w:t>
      </w:r>
      <w:r>
        <w:rPr>
          <w:rFonts w:ascii="Times New Roman;serif" w:hAnsi="Times New Roman;serif"/>
          <w:b w:val="false"/>
          <w:strike/>
          <w:color w:val="FF0000"/>
          <w:sz w:val="22"/>
        </w:rPr>
        <w:t>210</w:t>
      </w:r>
      <w:r>
        <w:rPr>
          <w:rFonts w:ascii="Times New Roman;serif" w:hAnsi="Times New Roman;serif"/>
          <w:b w:val="false"/>
          <w:color w:val="0000FF"/>
          <w:sz w:val="22"/>
          <w:u w:val="single"/>
        </w:rPr>
        <w:t>184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6.13</w:t>
      </w:r>
      <w:r>
        <w:rPr>
          <w:color w:val="000000"/>
        </w:rPr>
        <w:t>    </w:t>
      </w:r>
      <w:r>
        <w:rPr>
          <w:rFonts w:ascii="Times New Roman;serif" w:hAnsi="Times New Roman;serif"/>
          <w:b w:val="false"/>
          <w:color w:val="000000"/>
          <w:sz w:val="22"/>
        </w:rPr>
        <w:t>Compliance with Environmental Laws    </w:t>
      </w:r>
      <w:r>
        <w:rPr>
          <w:rFonts w:ascii="Times New Roman;serif" w:hAnsi="Times New Roman;serif"/>
          <w:b w:val="false"/>
          <w:strike/>
          <w:color w:val="FF0000"/>
          <w:sz w:val="22"/>
        </w:rPr>
        <w:t>212</w:t>
      </w:r>
      <w:r>
        <w:rPr>
          <w:rFonts w:ascii="Times New Roman;serif" w:hAnsi="Times New Roman;serif"/>
          <w:b w:val="false"/>
          <w:color w:val="0000FF"/>
          <w:sz w:val="22"/>
          <w:u w:val="single"/>
        </w:rPr>
        <w:t>185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6.14</w:t>
      </w:r>
      <w:r>
        <w:rPr>
          <w:color w:val="000000"/>
        </w:rPr>
        <w:t>    </w:t>
      </w:r>
      <w:r>
        <w:rPr>
          <w:rFonts w:ascii="Times New Roman;serif" w:hAnsi="Times New Roman;serif"/>
          <w:b w:val="false"/>
          <w:color w:val="000000"/>
          <w:sz w:val="22"/>
        </w:rPr>
        <w:t>Further Assurances    </w:t>
      </w:r>
      <w:r>
        <w:rPr>
          <w:rFonts w:ascii="Times New Roman;serif" w:hAnsi="Times New Roman;serif"/>
          <w:b w:val="false"/>
          <w:strike/>
          <w:color w:val="FF0000"/>
          <w:sz w:val="22"/>
        </w:rPr>
        <w:t>212</w:t>
      </w:r>
      <w:r>
        <w:rPr>
          <w:rFonts w:ascii="Times New Roman;serif" w:hAnsi="Times New Roman;serif"/>
          <w:b w:val="false"/>
          <w:color w:val="0000FF"/>
          <w:sz w:val="22"/>
          <w:u w:val="single"/>
        </w:rPr>
        <w:t>186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6.15</w:t>
      </w:r>
      <w:r>
        <w:rPr>
          <w:color w:val="000000"/>
        </w:rPr>
        <w:t>    </w:t>
      </w:r>
      <w:r>
        <w:rPr>
          <w:rFonts w:ascii="Times New Roman;serif" w:hAnsi="Times New Roman;serif"/>
          <w:b w:val="false"/>
          <w:color w:val="000000"/>
          <w:sz w:val="22"/>
        </w:rPr>
        <w:t>Maintenance of Ratings    </w:t>
      </w:r>
      <w:r>
        <w:rPr>
          <w:rFonts w:ascii="Times New Roman;serif" w:hAnsi="Times New Roman;serif"/>
          <w:b w:val="false"/>
          <w:strike/>
          <w:color w:val="FF0000"/>
          <w:sz w:val="22"/>
        </w:rPr>
        <w:t>213</w:t>
      </w:r>
      <w:r>
        <w:rPr>
          <w:rFonts w:ascii="Times New Roman;serif" w:hAnsi="Times New Roman;serif"/>
          <w:b w:val="false"/>
          <w:color w:val="0000FF"/>
          <w:sz w:val="22"/>
          <w:u w:val="single"/>
        </w:rPr>
        <w:t>186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6.16</w:t>
      </w:r>
      <w:r>
        <w:rPr>
          <w:color w:val="000000"/>
        </w:rPr>
        <w:t>    </w:t>
      </w:r>
      <w:r>
        <w:rPr>
          <w:rFonts w:ascii="Times New Roman;serif" w:hAnsi="Times New Roman;serif"/>
          <w:b w:val="false"/>
          <w:color w:val="000000"/>
          <w:sz w:val="22"/>
        </w:rPr>
        <w:t>Post-Closing Undertakings    </w:t>
      </w:r>
      <w:r>
        <w:rPr>
          <w:rFonts w:ascii="Times New Roman;serif" w:hAnsi="Times New Roman;serif"/>
          <w:b w:val="false"/>
          <w:strike/>
          <w:color w:val="FF0000"/>
          <w:sz w:val="22"/>
        </w:rPr>
        <w:t>213</w:t>
      </w:r>
      <w:r>
        <w:rPr>
          <w:rFonts w:ascii="Times New Roman;serif" w:hAnsi="Times New Roman;serif"/>
          <w:b w:val="false"/>
          <w:color w:val="0000FF"/>
          <w:sz w:val="22"/>
          <w:u w:val="single"/>
        </w:rPr>
        <w:t>186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6.17</w:t>
      </w:r>
      <w:r>
        <w:rPr>
          <w:color w:val="000000"/>
        </w:rPr>
        <w:t>    </w:t>
      </w:r>
      <w:r>
        <w:rPr>
          <w:rFonts w:ascii="Times New Roman;serif" w:hAnsi="Times New Roman;serif"/>
          <w:b w:val="false"/>
          <w:color w:val="000000"/>
          <w:sz w:val="22"/>
        </w:rPr>
        <w:t>No Change in Line of Business    </w:t>
      </w:r>
      <w:r>
        <w:rPr>
          <w:rFonts w:ascii="Times New Roman;serif" w:hAnsi="Times New Roman;serif"/>
          <w:b w:val="false"/>
          <w:strike/>
          <w:color w:val="FF0000"/>
          <w:sz w:val="22"/>
        </w:rPr>
        <w:t>215</w:t>
      </w:r>
      <w:r>
        <w:rPr>
          <w:rFonts w:ascii="Times New Roman;serif" w:hAnsi="Times New Roman;serif"/>
          <w:b w:val="false"/>
          <w:color w:val="0000FF"/>
          <w:sz w:val="22"/>
          <w:u w:val="single"/>
        </w:rPr>
        <w:t>186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6.18</w:t>
      </w:r>
      <w:r>
        <w:rPr>
          <w:color w:val="000000"/>
        </w:rPr>
        <w:t>    </w:t>
      </w:r>
      <w:r>
        <w:rPr>
          <w:rFonts w:ascii="Times New Roman;serif" w:hAnsi="Times New Roman;serif"/>
          <w:b w:val="false"/>
          <w:color w:val="000000"/>
          <w:sz w:val="22"/>
        </w:rPr>
        <w:t>Transactions with Affiliates    </w:t>
      </w:r>
      <w:r>
        <w:rPr>
          <w:rFonts w:ascii="Times New Roman;serif" w:hAnsi="Times New Roman;serif"/>
          <w:b w:val="false"/>
          <w:strike/>
          <w:color w:val="FF0000"/>
          <w:sz w:val="22"/>
        </w:rPr>
        <w:t>215</w:t>
      </w:r>
      <w:r>
        <w:rPr>
          <w:rFonts w:ascii="Times New Roman;serif" w:hAnsi="Times New Roman;serif"/>
          <w:b w:val="false"/>
          <w:color w:val="0000FF"/>
          <w:sz w:val="22"/>
          <w:u w:val="single"/>
        </w:rPr>
        <w:t>186</w:t>
      </w:r>
    </w:p>
    <w:p>
      <w:pPr>
        <w:pStyle w:val="TextBody"/>
        <w:bidi w:val="0"/>
        <w:spacing w:lineRule="auto" w:line="288" w:before="0" w:after="100"/>
        <w:jc w:val="left"/>
        <w:rPr/>
      </w:pPr>
      <w:r>
        <w:rPr>
          <w:rFonts w:ascii="Times New Roman;serif" w:hAnsi="Times New Roman;serif"/>
          <w:b w:val="false"/>
          <w:color w:val="000000"/>
          <w:sz w:val="22"/>
        </w:rPr>
        <w:t>ARTICLE VII NEGATIVE COVENANTS    </w:t>
      </w:r>
      <w:r>
        <w:rPr>
          <w:rFonts w:ascii="Times New Roman;serif" w:hAnsi="Times New Roman;serif"/>
          <w:b w:val="false"/>
          <w:strike/>
          <w:color w:val="FF0000"/>
          <w:sz w:val="22"/>
        </w:rPr>
        <w:t>219</w:t>
      </w:r>
      <w:r>
        <w:rPr>
          <w:rFonts w:ascii="Times New Roman;serif" w:hAnsi="Times New Roman;serif"/>
          <w:b w:val="false"/>
          <w:color w:val="0000FF"/>
          <w:sz w:val="22"/>
          <w:u w:val="single"/>
        </w:rPr>
        <w:t>191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7.01</w:t>
      </w:r>
      <w:r>
        <w:rPr>
          <w:color w:val="000000"/>
        </w:rPr>
        <w:t>    </w:t>
      </w:r>
      <w:r>
        <w:rPr>
          <w:rFonts w:ascii="Times New Roman;serif" w:hAnsi="Times New Roman;serif"/>
          <w:b w:val="false"/>
          <w:color w:val="000000"/>
          <w:sz w:val="22"/>
        </w:rPr>
        <w:t>Indebtedness    </w:t>
      </w:r>
      <w:r>
        <w:rPr>
          <w:rFonts w:ascii="Times New Roman;serif" w:hAnsi="Times New Roman;serif"/>
          <w:b w:val="false"/>
          <w:strike/>
          <w:color w:val="FF0000"/>
          <w:sz w:val="22"/>
        </w:rPr>
        <w:t>220</w:t>
      </w:r>
      <w:r>
        <w:rPr>
          <w:rFonts w:ascii="Times New Roman;serif" w:hAnsi="Times New Roman;serif"/>
          <w:b w:val="false"/>
          <w:color w:val="0000FF"/>
          <w:sz w:val="22"/>
          <w:u w:val="single"/>
        </w:rPr>
        <w:t>191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7.02</w:t>
      </w:r>
      <w:r>
        <w:rPr>
          <w:color w:val="000000"/>
        </w:rPr>
        <w:t>    </w:t>
      </w:r>
      <w:r>
        <w:rPr>
          <w:rFonts w:ascii="Times New Roman;serif" w:hAnsi="Times New Roman;serif"/>
          <w:b w:val="false"/>
          <w:color w:val="000000"/>
          <w:sz w:val="22"/>
        </w:rPr>
        <w:t>Limitations on Liens    </w:t>
      </w:r>
      <w:r>
        <w:rPr>
          <w:rFonts w:ascii="Times New Roman;serif" w:hAnsi="Times New Roman;serif"/>
          <w:b w:val="false"/>
          <w:strike/>
          <w:color w:val="FF0000"/>
          <w:sz w:val="22"/>
        </w:rPr>
        <w:t>227</w:t>
      </w:r>
      <w:r>
        <w:rPr>
          <w:rFonts w:ascii="Times New Roman;serif" w:hAnsi="Times New Roman;serif"/>
          <w:b w:val="false"/>
          <w:color w:val="0000FF"/>
          <w:sz w:val="22"/>
          <w:u w:val="single"/>
        </w:rPr>
        <w:t>196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7.03</w:t>
      </w:r>
      <w:r>
        <w:rPr>
          <w:color w:val="000000"/>
        </w:rPr>
        <w:t>    </w:t>
      </w:r>
      <w:r>
        <w:rPr>
          <w:rFonts w:ascii="Times New Roman;serif" w:hAnsi="Times New Roman;serif"/>
          <w:b w:val="false"/>
          <w:color w:val="000000"/>
          <w:sz w:val="22"/>
        </w:rPr>
        <w:t>Fundamental Changes    </w:t>
      </w:r>
      <w:r>
        <w:rPr>
          <w:rFonts w:ascii="Times New Roman;serif" w:hAnsi="Times New Roman;serif"/>
          <w:b w:val="false"/>
          <w:strike/>
          <w:color w:val="FF0000"/>
          <w:sz w:val="22"/>
        </w:rPr>
        <w:t>227</w:t>
      </w:r>
      <w:r>
        <w:rPr>
          <w:rFonts w:ascii="Times New Roman;serif" w:hAnsi="Times New Roman;serif"/>
          <w:b w:val="false"/>
          <w:color w:val="0000FF"/>
          <w:sz w:val="22"/>
          <w:u w:val="single"/>
        </w:rPr>
        <w:t>197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7.04</w:t>
      </w:r>
      <w:r>
        <w:rPr>
          <w:color w:val="000000"/>
        </w:rPr>
        <w:t>    </w:t>
      </w:r>
      <w:r>
        <w:rPr>
          <w:rFonts w:ascii="Times New Roman;serif" w:hAnsi="Times New Roman;serif"/>
          <w:b w:val="false"/>
          <w:color w:val="000000"/>
          <w:sz w:val="22"/>
        </w:rPr>
        <w:t>Asset Dispositions    </w:t>
      </w:r>
      <w:r>
        <w:rPr>
          <w:rFonts w:ascii="Times New Roman;serif" w:hAnsi="Times New Roman;serif"/>
          <w:b w:val="false"/>
          <w:strike/>
          <w:color w:val="FF0000"/>
          <w:sz w:val="22"/>
        </w:rPr>
        <w:t>228</w:t>
      </w:r>
      <w:r>
        <w:rPr>
          <w:rFonts w:ascii="Times New Roman;serif" w:hAnsi="Times New Roman;serif"/>
          <w:b w:val="false"/>
          <w:color w:val="0000FF"/>
          <w:sz w:val="22"/>
          <w:u w:val="single"/>
        </w:rPr>
        <w:t>198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7.05</w:t>
      </w:r>
      <w:r>
        <w:rPr>
          <w:color w:val="000000"/>
        </w:rPr>
        <w:t>    </w:t>
      </w:r>
      <w:r>
        <w:rPr>
          <w:rFonts w:ascii="Times New Roman;serif" w:hAnsi="Times New Roman;serif"/>
          <w:b w:val="false"/>
          <w:color w:val="000000"/>
          <w:sz w:val="22"/>
        </w:rPr>
        <w:t>Restricted Payments    </w:t>
      </w:r>
      <w:r>
        <w:rPr>
          <w:rFonts w:ascii="Times New Roman;serif" w:hAnsi="Times New Roman;serif"/>
          <w:b w:val="false"/>
          <w:strike/>
          <w:color w:val="FF0000"/>
          <w:sz w:val="22"/>
        </w:rPr>
        <w:t>230</w:t>
      </w:r>
      <w:r>
        <w:rPr>
          <w:rFonts w:ascii="Times New Roman;serif" w:hAnsi="Times New Roman;serif"/>
          <w:b w:val="false"/>
          <w:color w:val="0000FF"/>
          <w:sz w:val="22"/>
          <w:u w:val="single"/>
        </w:rPr>
        <w:t>199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7.06</w:t>
      </w:r>
      <w:r>
        <w:rPr>
          <w:color w:val="000000"/>
        </w:rPr>
        <w:t>    </w:t>
      </w:r>
      <w:r>
        <w:rPr>
          <w:rFonts w:ascii="Times New Roman;serif" w:hAnsi="Times New Roman;serif"/>
          <w:b w:val="false"/>
          <w:color w:val="000000"/>
          <w:sz w:val="22"/>
        </w:rPr>
        <w:t>Burdensome Agreements    </w:t>
      </w:r>
      <w:r>
        <w:rPr>
          <w:rFonts w:ascii="Times New Roman;serif" w:hAnsi="Times New Roman;serif"/>
          <w:b w:val="false"/>
          <w:strike/>
          <w:color w:val="FF0000"/>
          <w:sz w:val="22"/>
        </w:rPr>
        <w:t>242</w:t>
      </w:r>
      <w:r>
        <w:rPr>
          <w:rFonts w:ascii="Times New Roman;serif" w:hAnsi="Times New Roman;serif"/>
          <w:b w:val="false"/>
          <w:color w:val="0000FF"/>
          <w:sz w:val="22"/>
          <w:u w:val="single"/>
        </w:rPr>
        <w:t>204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7.07</w:t>
      </w:r>
      <w:r>
        <w:rPr>
          <w:color w:val="000000"/>
        </w:rPr>
        <w:t>    </w:t>
      </w:r>
      <w:r>
        <w:rPr>
          <w:rFonts w:ascii="Times New Roman;serif" w:hAnsi="Times New Roman;serif"/>
          <w:b w:val="false"/>
          <w:color w:val="000000"/>
          <w:sz w:val="22"/>
        </w:rPr>
        <w:t>Accounting Changes    </w:t>
      </w:r>
      <w:r>
        <w:rPr>
          <w:rFonts w:ascii="Times New Roman;serif" w:hAnsi="Times New Roman;serif"/>
          <w:b w:val="false"/>
          <w:strike/>
          <w:color w:val="FF0000"/>
          <w:sz w:val="22"/>
        </w:rPr>
        <w:t>245</w:t>
      </w:r>
      <w:r>
        <w:rPr>
          <w:rFonts w:ascii="Times New Roman;serif" w:hAnsi="Times New Roman;serif"/>
          <w:b w:val="false"/>
          <w:color w:val="0000FF"/>
          <w:sz w:val="22"/>
          <w:u w:val="single"/>
        </w:rPr>
        <w:t>206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7.08</w:t>
      </w:r>
      <w:r>
        <w:rPr>
          <w:color w:val="000000"/>
        </w:rPr>
        <w:t>    </w:t>
      </w:r>
      <w:r>
        <w:rPr>
          <w:rFonts w:ascii="Times New Roman;serif" w:hAnsi="Times New Roman;serif"/>
          <w:b w:val="false"/>
          <w:color w:val="000000"/>
          <w:sz w:val="22"/>
        </w:rPr>
        <w:t>Financial Covenant    </w:t>
      </w:r>
      <w:r>
        <w:rPr>
          <w:rFonts w:ascii="Times New Roman;serif" w:hAnsi="Times New Roman;serif"/>
          <w:b w:val="false"/>
          <w:strike/>
          <w:color w:val="FF0000"/>
          <w:sz w:val="22"/>
        </w:rPr>
        <w:t>245</w:t>
      </w:r>
      <w:r>
        <w:rPr>
          <w:rFonts w:ascii="Times New Roman;serif" w:hAnsi="Times New Roman;serif"/>
          <w:b w:val="false"/>
          <w:color w:val="0000FF"/>
          <w:sz w:val="22"/>
          <w:u w:val="single"/>
        </w:rPr>
        <w:t>206</w:t>
      </w:r>
    </w:p>
    <w:p>
      <w:pPr>
        <w:pStyle w:val="TextBody"/>
        <w:bidi w:val="0"/>
        <w:spacing w:lineRule="auto" w:line="288" w:before="0" w:after="100"/>
        <w:jc w:val="left"/>
        <w:rPr/>
      </w:pPr>
      <w:r>
        <w:rPr>
          <w:rFonts w:ascii="Times New Roman;serif" w:hAnsi="Times New Roman;serif"/>
          <w:b w:val="false"/>
          <w:color w:val="000000"/>
          <w:sz w:val="22"/>
        </w:rPr>
        <w:t>ARTICLE VIII EVENTS OF DEFAULT AND REMEDIES    </w:t>
      </w:r>
      <w:r>
        <w:rPr>
          <w:rFonts w:ascii="Times New Roman;serif" w:hAnsi="Times New Roman;serif"/>
          <w:b w:val="false"/>
          <w:strike/>
          <w:color w:val="FF0000"/>
          <w:sz w:val="22"/>
        </w:rPr>
        <w:t>245</w:t>
      </w:r>
      <w:r>
        <w:rPr>
          <w:rFonts w:ascii="Times New Roman;serif" w:hAnsi="Times New Roman;serif"/>
          <w:b w:val="false"/>
          <w:color w:val="0000FF"/>
          <w:sz w:val="22"/>
          <w:u w:val="single"/>
        </w:rPr>
        <w:t>209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8.01</w:t>
      </w:r>
      <w:r>
        <w:rPr>
          <w:color w:val="000000"/>
        </w:rPr>
        <w:t>    </w:t>
      </w:r>
      <w:r>
        <w:rPr>
          <w:rFonts w:ascii="Times New Roman;serif" w:hAnsi="Times New Roman;serif"/>
          <w:b w:val="false"/>
          <w:color w:val="000000"/>
          <w:sz w:val="22"/>
        </w:rPr>
        <w:t>Events of Default    </w:t>
      </w:r>
      <w:r>
        <w:rPr>
          <w:rFonts w:ascii="Times New Roman;serif" w:hAnsi="Times New Roman;serif"/>
          <w:b w:val="false"/>
          <w:strike/>
          <w:color w:val="FF0000"/>
          <w:sz w:val="22"/>
        </w:rPr>
        <w:t>245</w:t>
      </w:r>
      <w:r>
        <w:rPr>
          <w:rFonts w:ascii="Times New Roman;serif" w:hAnsi="Times New Roman;serif"/>
          <w:b w:val="false"/>
          <w:color w:val="0000FF"/>
          <w:sz w:val="22"/>
          <w:u w:val="single"/>
        </w:rPr>
        <w:t>209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8.02</w:t>
      </w:r>
      <w:r>
        <w:rPr>
          <w:color w:val="000000"/>
        </w:rPr>
        <w:t>    </w:t>
      </w:r>
      <w:r>
        <w:rPr>
          <w:rFonts w:ascii="Times New Roman;serif" w:hAnsi="Times New Roman;serif"/>
          <w:b w:val="false"/>
          <w:color w:val="000000"/>
          <w:sz w:val="22"/>
        </w:rPr>
        <w:t>Remedies upon Event of Default    </w:t>
      </w:r>
      <w:r>
        <w:rPr>
          <w:rFonts w:ascii="Times New Roman;serif" w:hAnsi="Times New Roman;serif"/>
          <w:b w:val="false"/>
          <w:strike/>
          <w:color w:val="FF0000"/>
          <w:sz w:val="22"/>
        </w:rPr>
        <w:t>249</w:t>
      </w:r>
      <w:r>
        <w:rPr>
          <w:rFonts w:ascii="Times New Roman;serif" w:hAnsi="Times New Roman;serif"/>
          <w:b w:val="false"/>
          <w:color w:val="0000FF"/>
          <w:sz w:val="22"/>
          <w:u w:val="single"/>
        </w:rPr>
        <w:t>212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8.03</w:t>
      </w:r>
      <w:r>
        <w:rPr>
          <w:color w:val="000000"/>
        </w:rPr>
        <w:t>    </w:t>
      </w:r>
      <w:r>
        <w:rPr>
          <w:rFonts w:ascii="Times New Roman;serif" w:hAnsi="Times New Roman;serif"/>
          <w:b w:val="false"/>
          <w:color w:val="000000"/>
          <w:sz w:val="22"/>
        </w:rPr>
        <w:t>[Reserved]    </w:t>
      </w:r>
      <w:r>
        <w:rPr>
          <w:rFonts w:ascii="Times New Roman;serif" w:hAnsi="Times New Roman;serif"/>
          <w:b w:val="false"/>
          <w:strike/>
          <w:color w:val="FF0000"/>
          <w:sz w:val="22"/>
        </w:rPr>
        <w:t>250</w:t>
      </w:r>
      <w:r>
        <w:rPr>
          <w:rFonts w:ascii="Times New Roman;serif" w:hAnsi="Times New Roman;serif"/>
          <w:b w:val="false"/>
          <w:color w:val="0000FF"/>
          <w:sz w:val="22"/>
          <w:u w:val="single"/>
        </w:rPr>
        <w:t>213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8.04</w:t>
      </w:r>
      <w:r>
        <w:rPr>
          <w:color w:val="000000"/>
        </w:rPr>
        <w:t>    </w:t>
      </w:r>
      <w:r>
        <w:rPr>
          <w:rFonts w:ascii="Times New Roman;serif" w:hAnsi="Times New Roman;serif"/>
          <w:b w:val="false"/>
          <w:color w:val="000000"/>
          <w:sz w:val="22"/>
        </w:rPr>
        <w:t>Application of Funds    </w:t>
      </w:r>
      <w:r>
        <w:rPr>
          <w:rFonts w:ascii="Times New Roman;serif" w:hAnsi="Times New Roman;serif"/>
          <w:b w:val="false"/>
          <w:strike/>
          <w:color w:val="FF0000"/>
          <w:sz w:val="22"/>
        </w:rPr>
        <w:t>250</w:t>
      </w:r>
      <w:r>
        <w:rPr>
          <w:rFonts w:ascii="Times New Roman;serif" w:hAnsi="Times New Roman;serif"/>
          <w:b w:val="false"/>
          <w:color w:val="0000FF"/>
          <w:sz w:val="22"/>
          <w:u w:val="single"/>
        </w:rPr>
        <w:t>213</w:t>
      </w:r>
    </w:p>
    <w:p>
      <w:pPr>
        <w:pStyle w:val="TextBody"/>
        <w:bidi w:val="0"/>
        <w:spacing w:lineRule="auto" w:line="288" w:before="0" w:after="100"/>
        <w:jc w:val="left"/>
        <w:rPr/>
      </w:pPr>
      <w:r>
        <w:rPr>
          <w:rFonts w:ascii="Times New Roman;serif" w:hAnsi="Times New Roman;serif"/>
          <w:b w:val="false"/>
          <w:color w:val="000000"/>
          <w:sz w:val="22"/>
        </w:rPr>
        <w:t>ARTICLE IX ADMINISTRATIVE AGENT AND OTHER AGENTS    </w:t>
      </w:r>
      <w:r>
        <w:rPr>
          <w:rFonts w:ascii="Times New Roman;serif" w:hAnsi="Times New Roman;serif"/>
          <w:b w:val="false"/>
          <w:strike/>
          <w:color w:val="FF0000"/>
          <w:sz w:val="22"/>
        </w:rPr>
        <w:t>252</w:t>
      </w:r>
      <w:r>
        <w:rPr>
          <w:rFonts w:ascii="Times New Roman;serif" w:hAnsi="Times New Roman;serif"/>
          <w:b w:val="false"/>
          <w:color w:val="0000FF"/>
          <w:sz w:val="22"/>
          <w:u w:val="single"/>
        </w:rPr>
        <w:t>214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9.01</w:t>
      </w:r>
      <w:r>
        <w:rPr>
          <w:color w:val="000000"/>
        </w:rPr>
        <w:t>    </w:t>
      </w:r>
      <w:r>
        <w:rPr>
          <w:rFonts w:ascii="Times New Roman;serif" w:hAnsi="Times New Roman;serif"/>
          <w:b w:val="false"/>
          <w:color w:val="000000"/>
          <w:sz w:val="22"/>
        </w:rPr>
        <w:t>Appointment and Authorization of Agents    </w:t>
      </w:r>
      <w:r>
        <w:rPr>
          <w:rFonts w:ascii="Times New Roman;serif" w:hAnsi="Times New Roman;serif"/>
          <w:b w:val="false"/>
          <w:strike/>
          <w:color w:val="FF0000"/>
          <w:sz w:val="22"/>
        </w:rPr>
        <w:t>252</w:t>
      </w:r>
      <w:r>
        <w:rPr>
          <w:rFonts w:ascii="Times New Roman;serif" w:hAnsi="Times New Roman;serif"/>
          <w:b w:val="false"/>
          <w:color w:val="0000FF"/>
          <w:sz w:val="22"/>
          <w:u w:val="single"/>
        </w:rPr>
        <w:t>214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9.02</w:t>
      </w:r>
      <w:r>
        <w:rPr>
          <w:color w:val="000000"/>
        </w:rPr>
        <w:t>    </w:t>
      </w:r>
      <w:r>
        <w:rPr>
          <w:rFonts w:ascii="Times New Roman;serif" w:hAnsi="Times New Roman;serif"/>
          <w:b w:val="false"/>
          <w:color w:val="000000"/>
          <w:sz w:val="22"/>
        </w:rPr>
        <w:t>Delegation of Duties    </w:t>
      </w:r>
      <w:r>
        <w:rPr>
          <w:rFonts w:ascii="Times New Roman;serif" w:hAnsi="Times New Roman;serif"/>
          <w:b w:val="false"/>
          <w:strike/>
          <w:color w:val="FF0000"/>
          <w:sz w:val="22"/>
        </w:rPr>
        <w:t>253</w:t>
      </w:r>
      <w:r>
        <w:rPr>
          <w:rFonts w:ascii="Times New Roman;serif" w:hAnsi="Times New Roman;serif"/>
          <w:b w:val="false"/>
          <w:color w:val="0000FF"/>
          <w:sz w:val="22"/>
          <w:u w:val="single"/>
        </w:rPr>
        <w:t>216</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71"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9.03</w:t>
      </w:r>
      <w:r>
        <w:rPr>
          <w:color w:val="000000"/>
        </w:rPr>
        <w:t>    </w:t>
      </w:r>
      <w:r>
        <w:rPr>
          <w:rFonts w:ascii="Times New Roman;serif" w:hAnsi="Times New Roman;serif"/>
          <w:b w:val="false"/>
          <w:color w:val="000000"/>
          <w:sz w:val="22"/>
        </w:rPr>
        <w:t>Liability of Agents    </w:t>
      </w:r>
      <w:r>
        <w:rPr>
          <w:rFonts w:ascii="Times New Roman;serif" w:hAnsi="Times New Roman;serif"/>
          <w:b w:val="false"/>
          <w:strike/>
          <w:color w:val="FF0000"/>
          <w:sz w:val="22"/>
        </w:rPr>
        <w:t>253</w:t>
      </w:r>
      <w:r>
        <w:rPr>
          <w:rFonts w:ascii="Times New Roman;serif" w:hAnsi="Times New Roman;serif"/>
          <w:b w:val="false"/>
          <w:color w:val="0000FF"/>
          <w:sz w:val="22"/>
          <w:u w:val="single"/>
        </w:rPr>
        <w:t>216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9.04</w:t>
      </w:r>
      <w:r>
        <w:rPr>
          <w:color w:val="000000"/>
        </w:rPr>
        <w:t>    </w:t>
      </w:r>
      <w:r>
        <w:rPr>
          <w:rFonts w:ascii="Times New Roman;serif" w:hAnsi="Times New Roman;serif"/>
          <w:b w:val="false"/>
          <w:color w:val="000000"/>
          <w:sz w:val="22"/>
        </w:rPr>
        <w:t>Reliance by Agents    </w:t>
      </w:r>
      <w:r>
        <w:rPr>
          <w:rFonts w:ascii="Times New Roman;serif" w:hAnsi="Times New Roman;serif"/>
          <w:b w:val="false"/>
          <w:strike/>
          <w:color w:val="FF0000"/>
          <w:sz w:val="22"/>
        </w:rPr>
        <w:t>255</w:t>
      </w:r>
      <w:r>
        <w:rPr>
          <w:rFonts w:ascii="Times New Roman;serif" w:hAnsi="Times New Roman;serif"/>
          <w:b w:val="false"/>
          <w:color w:val="0000FF"/>
          <w:sz w:val="22"/>
          <w:u w:val="single"/>
        </w:rPr>
        <w:t>217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9.05</w:t>
      </w:r>
      <w:r>
        <w:rPr>
          <w:color w:val="000000"/>
        </w:rPr>
        <w:t>    </w:t>
      </w:r>
      <w:r>
        <w:rPr>
          <w:rFonts w:ascii="Times New Roman;serif" w:hAnsi="Times New Roman;serif"/>
          <w:b w:val="false"/>
          <w:color w:val="000000"/>
          <w:sz w:val="22"/>
        </w:rPr>
        <w:t>Notice of Default    </w:t>
      </w:r>
      <w:r>
        <w:rPr>
          <w:rFonts w:ascii="Times New Roman;serif" w:hAnsi="Times New Roman;serif"/>
          <w:b w:val="false"/>
          <w:strike/>
          <w:color w:val="FF0000"/>
          <w:sz w:val="22"/>
        </w:rPr>
        <w:t>256</w:t>
      </w:r>
      <w:r>
        <w:rPr>
          <w:rFonts w:ascii="Times New Roman;serif" w:hAnsi="Times New Roman;serif"/>
          <w:b w:val="false"/>
          <w:color w:val="0000FF"/>
          <w:sz w:val="22"/>
          <w:u w:val="single"/>
        </w:rPr>
        <w:t>218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9.06</w:t>
      </w:r>
      <w:r>
        <w:rPr>
          <w:color w:val="000000"/>
        </w:rPr>
        <w:t>    </w:t>
      </w:r>
      <w:r>
        <w:rPr>
          <w:rFonts w:ascii="Times New Roman;serif" w:hAnsi="Times New Roman;serif"/>
          <w:b w:val="false"/>
          <w:color w:val="000000"/>
          <w:sz w:val="22"/>
        </w:rPr>
        <w:t>Credit Decision; Disclosure of Information by Agents    </w:t>
      </w:r>
      <w:r>
        <w:rPr>
          <w:rFonts w:ascii="Times New Roman;serif" w:hAnsi="Times New Roman;serif"/>
          <w:b w:val="false"/>
          <w:strike/>
          <w:color w:val="FF0000"/>
          <w:sz w:val="22"/>
        </w:rPr>
        <w:t>256</w:t>
      </w:r>
      <w:r>
        <w:rPr>
          <w:rFonts w:ascii="Times New Roman;serif" w:hAnsi="Times New Roman;serif"/>
          <w:b w:val="false"/>
          <w:color w:val="0000FF"/>
          <w:sz w:val="22"/>
          <w:u w:val="single"/>
        </w:rPr>
        <w:t>218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9.07</w:t>
      </w:r>
      <w:r>
        <w:rPr>
          <w:color w:val="000000"/>
        </w:rPr>
        <w:t>    </w:t>
      </w:r>
      <w:r>
        <w:rPr>
          <w:rFonts w:ascii="Times New Roman;serif" w:hAnsi="Times New Roman;serif"/>
          <w:b w:val="false"/>
          <w:color w:val="000000"/>
          <w:sz w:val="22"/>
        </w:rPr>
        <w:t>Indemnification of Agents    </w:t>
      </w:r>
      <w:r>
        <w:rPr>
          <w:rFonts w:ascii="Times New Roman;serif" w:hAnsi="Times New Roman;serif"/>
          <w:b w:val="false"/>
          <w:strike/>
          <w:color w:val="FF0000"/>
          <w:sz w:val="22"/>
        </w:rPr>
        <w:t>257</w:t>
      </w:r>
      <w:r>
        <w:rPr>
          <w:rFonts w:ascii="Times New Roman;serif" w:hAnsi="Times New Roman;serif"/>
          <w:b w:val="false"/>
          <w:color w:val="0000FF"/>
          <w:sz w:val="22"/>
          <w:u w:val="single"/>
        </w:rPr>
        <w:t>219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9.08</w:t>
      </w:r>
      <w:r>
        <w:rPr>
          <w:color w:val="000000"/>
        </w:rPr>
        <w:t>    </w:t>
      </w:r>
      <w:r>
        <w:rPr>
          <w:rFonts w:ascii="Times New Roman;serif" w:hAnsi="Times New Roman;serif"/>
          <w:b w:val="false"/>
          <w:color w:val="000000"/>
          <w:sz w:val="22"/>
        </w:rPr>
        <w:t>Agents in Their Individual Capacities    </w:t>
      </w:r>
      <w:r>
        <w:rPr>
          <w:rFonts w:ascii="Times New Roman;serif" w:hAnsi="Times New Roman;serif"/>
          <w:b w:val="false"/>
          <w:strike/>
          <w:color w:val="FF0000"/>
          <w:sz w:val="22"/>
        </w:rPr>
        <w:t>258</w:t>
      </w:r>
      <w:r>
        <w:rPr>
          <w:rFonts w:ascii="Times New Roman;serif" w:hAnsi="Times New Roman;serif"/>
          <w:b w:val="false"/>
          <w:color w:val="0000FF"/>
          <w:sz w:val="22"/>
          <w:u w:val="single"/>
        </w:rPr>
        <w:t>219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9.09</w:t>
      </w:r>
      <w:r>
        <w:rPr>
          <w:color w:val="000000"/>
        </w:rPr>
        <w:t>    </w:t>
      </w:r>
      <w:r>
        <w:rPr>
          <w:rFonts w:ascii="Times New Roman;serif" w:hAnsi="Times New Roman;serif"/>
          <w:b w:val="false"/>
          <w:color w:val="000000"/>
          <w:sz w:val="22"/>
        </w:rPr>
        <w:t>Successor Agents    </w:t>
      </w:r>
      <w:r>
        <w:rPr>
          <w:rFonts w:ascii="Times New Roman;serif" w:hAnsi="Times New Roman;serif"/>
          <w:b w:val="false"/>
          <w:strike/>
          <w:color w:val="FF0000"/>
          <w:sz w:val="22"/>
        </w:rPr>
        <w:t>258</w:t>
      </w:r>
      <w:r>
        <w:rPr>
          <w:rFonts w:ascii="Times New Roman;serif" w:hAnsi="Times New Roman;serif"/>
          <w:b w:val="false"/>
          <w:color w:val="0000FF"/>
          <w:sz w:val="22"/>
          <w:u w:val="single"/>
        </w:rPr>
        <w:t>220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9.10</w:t>
      </w:r>
      <w:r>
        <w:rPr>
          <w:color w:val="000000"/>
        </w:rPr>
        <w:t>    </w:t>
      </w:r>
      <w:r>
        <w:rPr>
          <w:rFonts w:ascii="Times New Roman;serif" w:hAnsi="Times New Roman;serif"/>
          <w:b w:val="false"/>
          <w:color w:val="000000"/>
          <w:sz w:val="22"/>
        </w:rPr>
        <w:t>Administrative Agent May File Proofs of Claim    </w:t>
      </w:r>
      <w:r>
        <w:rPr>
          <w:rFonts w:ascii="Times New Roman;serif" w:hAnsi="Times New Roman;serif"/>
          <w:b w:val="false"/>
          <w:strike/>
          <w:color w:val="FF0000"/>
          <w:sz w:val="22"/>
        </w:rPr>
        <w:t>260</w:t>
      </w:r>
      <w:r>
        <w:rPr>
          <w:rFonts w:ascii="Times New Roman;serif" w:hAnsi="Times New Roman;serif"/>
          <w:b w:val="false"/>
          <w:color w:val="0000FF"/>
          <w:sz w:val="22"/>
          <w:u w:val="single"/>
        </w:rPr>
        <w:t>221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9.11</w:t>
      </w:r>
      <w:r>
        <w:rPr>
          <w:color w:val="000000"/>
        </w:rPr>
        <w:t>    </w:t>
      </w:r>
      <w:r>
        <w:rPr>
          <w:rFonts w:ascii="Times New Roman;serif" w:hAnsi="Times New Roman;serif"/>
          <w:b w:val="false"/>
          <w:color w:val="000000"/>
          <w:sz w:val="22"/>
        </w:rPr>
        <w:t>Collateral and Guaranty Matters    </w:t>
      </w:r>
      <w:r>
        <w:rPr>
          <w:rFonts w:ascii="Times New Roman;serif" w:hAnsi="Times New Roman;serif"/>
          <w:b w:val="false"/>
          <w:strike/>
          <w:color w:val="FF0000"/>
          <w:sz w:val="22"/>
        </w:rPr>
        <w:t>260</w:t>
      </w:r>
      <w:r>
        <w:rPr>
          <w:rFonts w:ascii="Times New Roman;serif" w:hAnsi="Times New Roman;serif"/>
          <w:b w:val="false"/>
          <w:color w:val="0000FF"/>
          <w:sz w:val="22"/>
          <w:u w:val="single"/>
        </w:rPr>
        <w:t>222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9.12</w:t>
      </w:r>
      <w:r>
        <w:rPr>
          <w:color w:val="000000"/>
        </w:rPr>
        <w:t>    </w:t>
      </w:r>
      <w:r>
        <w:rPr>
          <w:rFonts w:ascii="Times New Roman;serif" w:hAnsi="Times New Roman;serif"/>
          <w:b w:val="false"/>
          <w:color w:val="000000"/>
          <w:sz w:val="22"/>
        </w:rPr>
        <w:t>Other Agents; Arranger and Managers    </w:t>
      </w:r>
      <w:r>
        <w:rPr>
          <w:rFonts w:ascii="Times New Roman;serif" w:hAnsi="Times New Roman;serif"/>
          <w:b w:val="false"/>
          <w:strike/>
          <w:color w:val="FF0000"/>
          <w:sz w:val="22"/>
        </w:rPr>
        <w:t>264</w:t>
      </w:r>
      <w:r>
        <w:rPr>
          <w:rFonts w:ascii="Times New Roman;serif" w:hAnsi="Times New Roman;serif"/>
          <w:b w:val="false"/>
          <w:color w:val="0000FF"/>
          <w:sz w:val="22"/>
          <w:u w:val="single"/>
        </w:rPr>
        <w:t>225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9.13</w:t>
      </w:r>
      <w:r>
        <w:rPr>
          <w:color w:val="000000"/>
        </w:rPr>
        <w:t>    </w:t>
      </w:r>
      <w:r>
        <w:rPr>
          <w:rFonts w:ascii="Times New Roman;serif" w:hAnsi="Times New Roman;serif"/>
          <w:b w:val="false"/>
          <w:color w:val="000000"/>
          <w:sz w:val="22"/>
        </w:rPr>
        <w:t>Secured Cash Management Agreements and Secured Hedge Agreements    </w:t>
      </w:r>
      <w:r>
        <w:rPr>
          <w:rFonts w:ascii="Times New Roman;serif" w:hAnsi="Times New Roman;serif"/>
          <w:b w:val="false"/>
          <w:strike/>
          <w:color w:val="FF0000"/>
          <w:sz w:val="22"/>
        </w:rPr>
        <w:t>264</w:t>
      </w:r>
      <w:r>
        <w:rPr>
          <w:rFonts w:ascii="Times New Roman;serif" w:hAnsi="Times New Roman;serif"/>
          <w:b w:val="false"/>
          <w:color w:val="0000FF"/>
          <w:sz w:val="22"/>
          <w:u w:val="single"/>
        </w:rPr>
        <w:t>225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9.14</w:t>
      </w:r>
      <w:r>
        <w:rPr>
          <w:color w:val="000000"/>
        </w:rPr>
        <w:t>    </w:t>
      </w:r>
      <w:r>
        <w:rPr>
          <w:rFonts w:ascii="Times New Roman;serif" w:hAnsi="Times New Roman;serif"/>
          <w:b w:val="false"/>
          <w:color w:val="000000"/>
          <w:sz w:val="22"/>
        </w:rPr>
        <w:t>Appointment of Supplemental Agents, Incremental Arrangers, Incremental Equivalent Debt Arrangers and Specified Refinancing Agents    </w:t>
      </w:r>
      <w:r>
        <w:rPr>
          <w:rFonts w:ascii="Times New Roman;serif" w:hAnsi="Times New Roman;serif"/>
          <w:b w:val="false"/>
          <w:strike/>
          <w:color w:val="FF0000"/>
          <w:sz w:val="22"/>
        </w:rPr>
        <w:t>264</w:t>
      </w:r>
      <w:r>
        <w:rPr>
          <w:rFonts w:ascii="Times New Roman;serif" w:hAnsi="Times New Roman;serif"/>
          <w:b w:val="false"/>
          <w:color w:val="0000FF"/>
          <w:sz w:val="22"/>
          <w:u w:val="single"/>
        </w:rPr>
        <w:t>225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9.15</w:t>
      </w:r>
      <w:r>
        <w:rPr>
          <w:color w:val="000000"/>
        </w:rPr>
        <w:t>    </w:t>
      </w:r>
      <w:r>
        <w:rPr>
          <w:rFonts w:ascii="Times New Roman;serif" w:hAnsi="Times New Roman;serif"/>
          <w:b w:val="false"/>
          <w:color w:val="000000"/>
          <w:sz w:val="22"/>
        </w:rPr>
        <w:t>Intercreditor Agreement    </w:t>
      </w:r>
      <w:r>
        <w:rPr>
          <w:rFonts w:ascii="Times New Roman;serif" w:hAnsi="Times New Roman;serif"/>
          <w:b w:val="false"/>
          <w:strike/>
          <w:color w:val="FF0000"/>
          <w:sz w:val="22"/>
        </w:rPr>
        <w:t>266</w:t>
      </w:r>
      <w:r>
        <w:rPr>
          <w:rFonts w:ascii="Times New Roman;serif" w:hAnsi="Times New Roman;serif"/>
          <w:b w:val="false"/>
          <w:color w:val="0000FF"/>
          <w:sz w:val="22"/>
          <w:u w:val="single"/>
        </w:rPr>
        <w:t>227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9.16</w:t>
      </w:r>
      <w:r>
        <w:rPr>
          <w:color w:val="000000"/>
        </w:rPr>
        <w:t>    </w:t>
      </w:r>
      <w:r>
        <w:rPr>
          <w:rFonts w:ascii="Times New Roman;serif" w:hAnsi="Times New Roman;serif"/>
          <w:b w:val="false"/>
          <w:color w:val="000000"/>
          <w:sz w:val="22"/>
        </w:rPr>
        <w:t>Withholding Tax    </w:t>
      </w:r>
      <w:r>
        <w:rPr>
          <w:rFonts w:ascii="Times New Roman;serif" w:hAnsi="Times New Roman;serif"/>
          <w:b w:val="false"/>
          <w:strike/>
          <w:color w:val="FF0000"/>
          <w:sz w:val="22"/>
        </w:rPr>
        <w:t>266</w:t>
      </w:r>
      <w:r>
        <w:rPr>
          <w:rFonts w:ascii="Times New Roman;serif" w:hAnsi="Times New Roman;serif"/>
          <w:b w:val="false"/>
          <w:color w:val="0000FF"/>
          <w:sz w:val="22"/>
          <w:u w:val="single"/>
        </w:rPr>
        <w:t>227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9.17</w:t>
      </w:r>
      <w:r>
        <w:rPr>
          <w:color w:val="000000"/>
        </w:rPr>
        <w:t>    </w:t>
      </w:r>
      <w:r>
        <w:rPr>
          <w:rFonts w:ascii="Times New Roman;serif" w:hAnsi="Times New Roman;serif"/>
          <w:b w:val="false"/>
          <w:color w:val="000000"/>
          <w:sz w:val="22"/>
        </w:rPr>
        <w:t>Credit Bidding    </w:t>
      </w:r>
      <w:r>
        <w:rPr>
          <w:rFonts w:ascii="Times New Roman;serif" w:hAnsi="Times New Roman;serif"/>
          <w:b w:val="false"/>
          <w:strike/>
          <w:color w:val="FF0000"/>
          <w:sz w:val="22"/>
        </w:rPr>
        <w:t>267</w:t>
      </w:r>
      <w:r>
        <w:rPr>
          <w:rFonts w:ascii="Times New Roman;serif" w:hAnsi="Times New Roman;serif"/>
          <w:b w:val="false"/>
          <w:color w:val="0000FF"/>
          <w:sz w:val="22"/>
          <w:u w:val="single"/>
        </w:rPr>
        <w:t>227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9.18</w:t>
      </w:r>
      <w:r>
        <w:rPr>
          <w:color w:val="000000"/>
        </w:rPr>
        <w:t>    </w:t>
      </w:r>
      <w:r>
        <w:rPr>
          <w:rFonts w:ascii="Times New Roman;serif" w:hAnsi="Times New Roman;serif"/>
          <w:b w:val="false"/>
          <w:color w:val="000000"/>
          <w:sz w:val="22"/>
        </w:rPr>
        <w:t>Certain ERISA Matters    </w:t>
      </w:r>
      <w:r>
        <w:rPr>
          <w:rFonts w:ascii="Times New Roman;serif" w:hAnsi="Times New Roman;serif"/>
          <w:b w:val="false"/>
          <w:strike/>
          <w:color w:val="FF0000"/>
          <w:sz w:val="22"/>
        </w:rPr>
        <w:t>268</w:t>
      </w:r>
      <w:r>
        <w:rPr>
          <w:rFonts w:ascii="Times New Roman;serif" w:hAnsi="Times New Roman;serif"/>
          <w:b w:val="false"/>
          <w:color w:val="0000FF"/>
          <w:sz w:val="22"/>
          <w:u w:val="single"/>
        </w:rPr>
        <w:t>228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9.19</w:t>
      </w:r>
      <w:r>
        <w:rPr>
          <w:color w:val="000000"/>
        </w:rPr>
        <w:t>    </w:t>
      </w:r>
      <w:r>
        <w:rPr>
          <w:rFonts w:ascii="Times New Roman;serif" w:hAnsi="Times New Roman;serif"/>
          <w:b w:val="false"/>
          <w:color w:val="000000"/>
          <w:sz w:val="22"/>
        </w:rPr>
        <w:t>Erroneous Payments    </w:t>
      </w:r>
      <w:r>
        <w:rPr>
          <w:rFonts w:ascii="Times New Roman;serif" w:hAnsi="Times New Roman;serif"/>
          <w:b w:val="false"/>
          <w:strike/>
          <w:color w:val="FF0000"/>
          <w:sz w:val="22"/>
        </w:rPr>
        <w:t>269</w:t>
      </w:r>
      <w:r>
        <w:rPr>
          <w:rFonts w:ascii="Times New Roman;serif" w:hAnsi="Times New Roman;serif"/>
          <w:b w:val="false"/>
          <w:color w:val="0000FF"/>
          <w:sz w:val="22"/>
          <w:u w:val="single"/>
        </w:rPr>
        <w:t>229</w:t>
      </w:r>
    </w:p>
    <w:p>
      <w:pPr>
        <w:pStyle w:val="TextBody"/>
        <w:bidi w:val="0"/>
        <w:spacing w:lineRule="auto" w:line="288" w:before="0" w:after="100"/>
        <w:jc w:val="left"/>
        <w:rPr/>
      </w:pPr>
      <w:r>
        <w:rPr>
          <w:rFonts w:ascii="Times New Roman;serif" w:hAnsi="Times New Roman;serif"/>
          <w:b w:val="false"/>
          <w:color w:val="000000"/>
          <w:sz w:val="22"/>
        </w:rPr>
        <w:t>ARTICLE X MISCELLANEOUS    </w:t>
      </w:r>
      <w:r>
        <w:rPr>
          <w:rFonts w:ascii="Times New Roman;serif" w:hAnsi="Times New Roman;serif"/>
          <w:b w:val="false"/>
          <w:strike/>
          <w:color w:val="FF0000"/>
          <w:sz w:val="22"/>
        </w:rPr>
        <w:t>272</w:t>
      </w:r>
      <w:r>
        <w:rPr>
          <w:rFonts w:ascii="Times New Roman;serif" w:hAnsi="Times New Roman;serif"/>
          <w:b w:val="false"/>
          <w:color w:val="0000FF"/>
          <w:sz w:val="22"/>
          <w:u w:val="single"/>
        </w:rPr>
        <w:t>232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10.01</w:t>
      </w:r>
      <w:r>
        <w:rPr>
          <w:color w:val="000000"/>
        </w:rPr>
        <w:t>    </w:t>
      </w:r>
      <w:r>
        <w:rPr>
          <w:rFonts w:ascii="Times New Roman;serif" w:hAnsi="Times New Roman;serif"/>
          <w:b w:val="false"/>
          <w:color w:val="000000"/>
          <w:sz w:val="22"/>
        </w:rPr>
        <w:t>Amendments, Etc    </w:t>
      </w:r>
      <w:r>
        <w:rPr>
          <w:rFonts w:ascii="Times New Roman;serif" w:hAnsi="Times New Roman;serif"/>
          <w:b w:val="false"/>
          <w:strike/>
          <w:color w:val="FF0000"/>
          <w:sz w:val="22"/>
        </w:rPr>
        <w:t>272</w:t>
      </w:r>
      <w:r>
        <w:rPr>
          <w:rFonts w:ascii="Times New Roman;serif" w:hAnsi="Times New Roman;serif"/>
          <w:b w:val="false"/>
          <w:color w:val="0000FF"/>
          <w:sz w:val="22"/>
          <w:u w:val="single"/>
        </w:rPr>
        <w:t>232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10.02</w:t>
      </w:r>
      <w:r>
        <w:rPr>
          <w:color w:val="000000"/>
        </w:rPr>
        <w:t>    </w:t>
      </w:r>
      <w:r>
        <w:rPr>
          <w:rFonts w:ascii="Times New Roman;serif" w:hAnsi="Times New Roman;serif"/>
          <w:b w:val="false"/>
          <w:color w:val="000000"/>
          <w:sz w:val="22"/>
        </w:rPr>
        <w:t>Notices; Electronic Communications    </w:t>
      </w:r>
      <w:r>
        <w:rPr>
          <w:rFonts w:ascii="Times New Roman;serif" w:hAnsi="Times New Roman;serif"/>
          <w:b w:val="false"/>
          <w:strike/>
          <w:color w:val="FF0000"/>
          <w:sz w:val="22"/>
        </w:rPr>
        <w:t>277</w:t>
      </w:r>
      <w:r>
        <w:rPr>
          <w:rFonts w:ascii="Times New Roman;serif" w:hAnsi="Times New Roman;serif"/>
          <w:b w:val="false"/>
          <w:color w:val="0000FF"/>
          <w:sz w:val="22"/>
          <w:u w:val="single"/>
        </w:rPr>
        <w:t>236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10.03</w:t>
      </w:r>
      <w:r>
        <w:rPr>
          <w:color w:val="000000"/>
        </w:rPr>
        <w:t>    </w:t>
      </w:r>
      <w:r>
        <w:rPr>
          <w:rFonts w:ascii="Times New Roman;serif" w:hAnsi="Times New Roman;serif"/>
          <w:b w:val="false"/>
          <w:color w:val="000000"/>
          <w:sz w:val="22"/>
        </w:rPr>
        <w:t>No Waiver; Cumulative Remedies; Enforcement    </w:t>
      </w:r>
      <w:r>
        <w:rPr>
          <w:rFonts w:ascii="Times New Roman;serif" w:hAnsi="Times New Roman;serif"/>
          <w:b w:val="false"/>
          <w:strike/>
          <w:color w:val="FF0000"/>
          <w:sz w:val="22"/>
        </w:rPr>
        <w:t>279</w:t>
      </w:r>
      <w:r>
        <w:rPr>
          <w:rFonts w:ascii="Times New Roman;serif" w:hAnsi="Times New Roman;serif"/>
          <w:b w:val="false"/>
          <w:color w:val="0000FF"/>
          <w:sz w:val="22"/>
          <w:u w:val="single"/>
        </w:rPr>
        <w:t>238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10.04</w:t>
      </w:r>
      <w:r>
        <w:rPr>
          <w:color w:val="000000"/>
        </w:rPr>
        <w:t>    </w:t>
      </w:r>
      <w:r>
        <w:rPr>
          <w:rFonts w:ascii="Times New Roman;serif" w:hAnsi="Times New Roman;serif"/>
          <w:b w:val="false"/>
          <w:color w:val="000000"/>
          <w:sz w:val="22"/>
        </w:rPr>
        <w:t>Expenses    </w:t>
      </w:r>
      <w:r>
        <w:rPr>
          <w:rFonts w:ascii="Times New Roman;serif" w:hAnsi="Times New Roman;serif"/>
          <w:b w:val="false"/>
          <w:strike/>
          <w:color w:val="FF0000"/>
          <w:sz w:val="22"/>
        </w:rPr>
        <w:t>280</w:t>
      </w:r>
      <w:r>
        <w:rPr>
          <w:rFonts w:ascii="Times New Roman;serif" w:hAnsi="Times New Roman;serif"/>
          <w:b w:val="false"/>
          <w:color w:val="0000FF"/>
          <w:sz w:val="22"/>
          <w:u w:val="single"/>
        </w:rPr>
        <w:t>239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10.05</w:t>
      </w:r>
      <w:r>
        <w:rPr>
          <w:color w:val="000000"/>
        </w:rPr>
        <w:t>    </w:t>
      </w:r>
      <w:r>
        <w:rPr>
          <w:rFonts w:ascii="Times New Roman;serif" w:hAnsi="Times New Roman;serif"/>
          <w:b w:val="false"/>
          <w:color w:val="000000"/>
          <w:sz w:val="22"/>
        </w:rPr>
        <w:t>Indemnification by the Borrowers    </w:t>
      </w:r>
      <w:r>
        <w:rPr>
          <w:rFonts w:ascii="Times New Roman;serif" w:hAnsi="Times New Roman;serif"/>
          <w:b w:val="false"/>
          <w:strike/>
          <w:color w:val="FF0000"/>
          <w:sz w:val="22"/>
        </w:rPr>
        <w:t>281</w:t>
      </w:r>
      <w:r>
        <w:rPr>
          <w:rFonts w:ascii="Times New Roman;serif" w:hAnsi="Times New Roman;serif"/>
          <w:b w:val="false"/>
          <w:color w:val="0000FF"/>
          <w:sz w:val="22"/>
          <w:u w:val="single"/>
        </w:rPr>
        <w:t>240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10.06</w:t>
      </w:r>
      <w:r>
        <w:rPr>
          <w:color w:val="000000"/>
        </w:rPr>
        <w:t>    </w:t>
      </w:r>
      <w:r>
        <w:rPr>
          <w:rFonts w:ascii="Times New Roman;serif" w:hAnsi="Times New Roman;serif"/>
          <w:b w:val="false"/>
          <w:color w:val="000000"/>
          <w:sz w:val="22"/>
        </w:rPr>
        <w:t>Payments Set Aside    </w:t>
      </w:r>
      <w:r>
        <w:rPr>
          <w:rFonts w:ascii="Times New Roman;serif" w:hAnsi="Times New Roman;serif"/>
          <w:b w:val="false"/>
          <w:strike/>
          <w:color w:val="FF0000"/>
          <w:sz w:val="22"/>
        </w:rPr>
        <w:t>283</w:t>
      </w:r>
      <w:r>
        <w:rPr>
          <w:rFonts w:ascii="Times New Roman;serif" w:hAnsi="Times New Roman;serif"/>
          <w:b w:val="false"/>
          <w:color w:val="0000FF"/>
          <w:sz w:val="22"/>
          <w:u w:val="single"/>
        </w:rPr>
        <w:t>241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10.07</w:t>
      </w:r>
      <w:r>
        <w:rPr>
          <w:color w:val="000000"/>
        </w:rPr>
        <w:t>    </w:t>
      </w:r>
      <w:r>
        <w:rPr>
          <w:rFonts w:ascii="Times New Roman;serif" w:hAnsi="Times New Roman;serif"/>
          <w:b w:val="false"/>
          <w:color w:val="000000"/>
          <w:sz w:val="22"/>
        </w:rPr>
        <w:t>Successors and Assigns    </w:t>
      </w:r>
      <w:r>
        <w:rPr>
          <w:rFonts w:ascii="Times New Roman;serif" w:hAnsi="Times New Roman;serif"/>
          <w:b w:val="false"/>
          <w:strike/>
          <w:color w:val="FF0000"/>
          <w:sz w:val="22"/>
        </w:rPr>
        <w:t>283</w:t>
      </w:r>
      <w:r>
        <w:rPr>
          <w:rFonts w:ascii="Times New Roman;serif" w:hAnsi="Times New Roman;serif"/>
          <w:b w:val="false"/>
          <w:color w:val="0000FF"/>
          <w:sz w:val="22"/>
          <w:u w:val="single"/>
        </w:rPr>
        <w:t>242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10.08</w:t>
      </w:r>
      <w:r>
        <w:rPr>
          <w:color w:val="000000"/>
        </w:rPr>
        <w:t>    </w:t>
      </w:r>
      <w:r>
        <w:rPr>
          <w:rFonts w:ascii="Times New Roman;serif" w:hAnsi="Times New Roman;serif"/>
          <w:b w:val="false"/>
          <w:color w:val="000000"/>
          <w:sz w:val="22"/>
        </w:rPr>
        <w:t>Confidentiality    </w:t>
      </w:r>
      <w:r>
        <w:rPr>
          <w:rFonts w:ascii="Times New Roman;serif" w:hAnsi="Times New Roman;serif"/>
          <w:b w:val="false"/>
          <w:strike/>
          <w:color w:val="FF0000"/>
          <w:sz w:val="22"/>
        </w:rPr>
        <w:t>292</w:t>
      </w:r>
      <w:r>
        <w:rPr>
          <w:rFonts w:ascii="Times New Roman;serif" w:hAnsi="Times New Roman;serif"/>
          <w:b w:val="false"/>
          <w:color w:val="0000FF"/>
          <w:sz w:val="22"/>
          <w:u w:val="single"/>
        </w:rPr>
        <w:t>249</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10.09</w:t>
      </w:r>
      <w:r>
        <w:rPr>
          <w:color w:val="000000"/>
        </w:rPr>
        <w:t>    </w:t>
      </w:r>
      <w:r>
        <w:rPr>
          <w:rFonts w:ascii="Times New Roman;serif" w:hAnsi="Times New Roman;serif"/>
          <w:b w:val="false"/>
          <w:color w:val="000000"/>
          <w:sz w:val="22"/>
        </w:rPr>
        <w:t>Setoff    </w:t>
      </w:r>
      <w:r>
        <w:rPr>
          <w:rFonts w:ascii="Times New Roman;serif" w:hAnsi="Times New Roman;serif"/>
          <w:b w:val="false"/>
          <w:strike/>
          <w:color w:val="FF0000"/>
          <w:sz w:val="22"/>
        </w:rPr>
        <w:t>294</w:t>
      </w:r>
      <w:r>
        <w:rPr>
          <w:rFonts w:ascii="Times New Roman;serif" w:hAnsi="Times New Roman;serif"/>
          <w:b w:val="false"/>
          <w:color w:val="0000FF"/>
          <w:sz w:val="22"/>
          <w:u w:val="single"/>
        </w:rPr>
        <w:t>250</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10.10</w:t>
      </w:r>
      <w:r>
        <w:rPr>
          <w:color w:val="000000"/>
        </w:rPr>
        <w:t>    </w:t>
      </w:r>
      <w:r>
        <w:rPr>
          <w:rFonts w:ascii="Times New Roman;serif" w:hAnsi="Times New Roman;serif"/>
          <w:b w:val="false"/>
          <w:color w:val="000000"/>
          <w:sz w:val="22"/>
        </w:rPr>
        <w:t>Interest Rate Limitation    </w:t>
      </w:r>
      <w:r>
        <w:rPr>
          <w:rFonts w:ascii="Times New Roman;serif" w:hAnsi="Times New Roman;serif"/>
          <w:b w:val="false"/>
          <w:strike/>
          <w:color w:val="FF0000"/>
          <w:sz w:val="22"/>
        </w:rPr>
        <w:t>294</w:t>
      </w:r>
      <w:r>
        <w:rPr>
          <w:rFonts w:ascii="Times New Roman;serif" w:hAnsi="Times New Roman;serif"/>
          <w:b w:val="false"/>
          <w:color w:val="0000FF"/>
          <w:sz w:val="22"/>
          <w:u w:val="single"/>
        </w:rPr>
        <w:t>251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10.11</w:t>
      </w:r>
      <w:r>
        <w:rPr>
          <w:color w:val="000000"/>
        </w:rPr>
        <w:t>    </w:t>
      </w:r>
      <w:r>
        <w:rPr>
          <w:rFonts w:ascii="Times New Roman;serif" w:hAnsi="Times New Roman;serif"/>
          <w:b w:val="false"/>
          <w:color w:val="000000"/>
          <w:sz w:val="22"/>
        </w:rPr>
        <w:t>Counterparts    </w:t>
      </w:r>
      <w:r>
        <w:rPr>
          <w:rFonts w:ascii="Times New Roman;serif" w:hAnsi="Times New Roman;serif"/>
          <w:b w:val="false"/>
          <w:strike/>
          <w:color w:val="FF0000"/>
          <w:sz w:val="22"/>
        </w:rPr>
        <w:t>295</w:t>
      </w:r>
      <w:r>
        <w:rPr>
          <w:rFonts w:ascii="Times New Roman;serif" w:hAnsi="Times New Roman;serif"/>
          <w:b w:val="false"/>
          <w:color w:val="0000FF"/>
          <w:sz w:val="22"/>
          <w:u w:val="single"/>
        </w:rPr>
        <w:t>251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10.12</w:t>
      </w:r>
      <w:r>
        <w:rPr>
          <w:color w:val="000000"/>
        </w:rPr>
        <w:t>    </w:t>
      </w:r>
      <w:r>
        <w:rPr>
          <w:rFonts w:ascii="Times New Roman;serif" w:hAnsi="Times New Roman;serif"/>
          <w:b w:val="false"/>
          <w:color w:val="000000"/>
          <w:sz w:val="22"/>
        </w:rPr>
        <w:t>Integration; Effectiveness    </w:t>
      </w:r>
      <w:r>
        <w:rPr>
          <w:rFonts w:ascii="Times New Roman;serif" w:hAnsi="Times New Roman;serif"/>
          <w:b w:val="false"/>
          <w:strike/>
          <w:color w:val="FF0000"/>
          <w:sz w:val="22"/>
        </w:rPr>
        <w:t>295</w:t>
      </w:r>
      <w:r>
        <w:rPr>
          <w:rFonts w:ascii="Times New Roman;serif" w:hAnsi="Times New Roman;serif"/>
          <w:b w:val="false"/>
          <w:color w:val="0000FF"/>
          <w:sz w:val="22"/>
          <w:u w:val="single"/>
        </w:rPr>
        <w:t>251</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10.13</w:t>
      </w:r>
      <w:r>
        <w:rPr>
          <w:color w:val="000000"/>
        </w:rPr>
        <w:t>    </w:t>
      </w:r>
      <w:r>
        <w:rPr>
          <w:rFonts w:ascii="Times New Roman;serif" w:hAnsi="Times New Roman;serif"/>
          <w:b w:val="false"/>
          <w:color w:val="000000"/>
          <w:sz w:val="22"/>
        </w:rPr>
        <w:t>Survival of Representations and Warranties    </w:t>
      </w:r>
      <w:r>
        <w:rPr>
          <w:rFonts w:ascii="Times New Roman;serif" w:hAnsi="Times New Roman;serif"/>
          <w:b w:val="false"/>
          <w:strike/>
          <w:color w:val="FF0000"/>
          <w:sz w:val="22"/>
        </w:rPr>
        <w:t>295</w:t>
      </w:r>
      <w:r>
        <w:rPr>
          <w:rFonts w:ascii="Times New Roman;serif" w:hAnsi="Times New Roman;serif"/>
          <w:b w:val="false"/>
          <w:color w:val="0000FF"/>
          <w:sz w:val="22"/>
          <w:u w:val="single"/>
        </w:rPr>
        <w:t>252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10.14</w:t>
      </w:r>
      <w:r>
        <w:rPr>
          <w:color w:val="000000"/>
        </w:rPr>
        <w:t>    </w:t>
      </w:r>
      <w:r>
        <w:rPr>
          <w:rFonts w:ascii="Times New Roman;serif" w:hAnsi="Times New Roman;serif"/>
          <w:b w:val="false"/>
          <w:color w:val="000000"/>
          <w:sz w:val="22"/>
        </w:rPr>
        <w:t>Severability    </w:t>
      </w:r>
      <w:r>
        <w:rPr>
          <w:rFonts w:ascii="Times New Roman;serif" w:hAnsi="Times New Roman;serif"/>
          <w:b w:val="false"/>
          <w:strike/>
          <w:color w:val="FF0000"/>
          <w:sz w:val="22"/>
        </w:rPr>
        <w:t>295</w:t>
      </w:r>
      <w:r>
        <w:rPr>
          <w:rFonts w:ascii="Times New Roman;serif" w:hAnsi="Times New Roman;serif"/>
          <w:b w:val="false"/>
          <w:color w:val="0000FF"/>
          <w:sz w:val="22"/>
          <w:u w:val="single"/>
        </w:rPr>
        <w:t>252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10.15</w:t>
      </w:r>
      <w:r>
        <w:rPr>
          <w:color w:val="000000"/>
        </w:rPr>
        <w:t>    </w:t>
      </w:r>
      <w:r>
        <w:rPr>
          <w:rFonts w:ascii="Times New Roman;serif" w:hAnsi="Times New Roman;serif"/>
          <w:b w:val="false"/>
          <w:color w:val="000000"/>
          <w:sz w:val="22"/>
        </w:rPr>
        <w:t>Governing Law; Jurisdiction; Etc    </w:t>
      </w:r>
      <w:r>
        <w:rPr>
          <w:rFonts w:ascii="Times New Roman;serif" w:hAnsi="Times New Roman;serif"/>
          <w:b w:val="false"/>
          <w:strike/>
          <w:color w:val="FF0000"/>
          <w:sz w:val="22"/>
        </w:rPr>
        <w:t>296</w:t>
      </w:r>
      <w:r>
        <w:rPr>
          <w:rFonts w:ascii="Times New Roman;serif" w:hAnsi="Times New Roman;serif"/>
          <w:b w:val="false"/>
          <w:color w:val="0000FF"/>
          <w:sz w:val="22"/>
          <w:u w:val="single"/>
        </w:rPr>
        <w:t>252</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10.16</w:t>
      </w:r>
      <w:r>
        <w:rPr>
          <w:color w:val="000000"/>
        </w:rPr>
        <w:t>    </w:t>
      </w:r>
      <w:r>
        <w:rPr>
          <w:rFonts w:ascii="Times New Roman;serif" w:hAnsi="Times New Roman;serif"/>
          <w:b w:val="false"/>
          <w:color w:val="000000"/>
          <w:sz w:val="22"/>
        </w:rPr>
        <w:t>Service of Process    </w:t>
      </w:r>
      <w:r>
        <w:rPr>
          <w:rFonts w:ascii="Times New Roman;serif" w:hAnsi="Times New Roman;serif"/>
          <w:b w:val="false"/>
          <w:strike/>
          <w:color w:val="FF0000"/>
          <w:sz w:val="22"/>
        </w:rPr>
        <w:t>296</w:t>
      </w:r>
      <w:r>
        <w:rPr>
          <w:rFonts w:ascii="Times New Roman;serif" w:hAnsi="Times New Roman;serif"/>
          <w:b w:val="false"/>
          <w:color w:val="0000FF"/>
          <w:sz w:val="22"/>
          <w:u w:val="single"/>
        </w:rPr>
        <w:t>253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10.17</w:t>
      </w:r>
      <w:r>
        <w:rPr>
          <w:color w:val="000000"/>
        </w:rPr>
        <w:t>    </w:t>
      </w:r>
      <w:r>
        <w:rPr>
          <w:rFonts w:ascii="Times New Roman;serif" w:hAnsi="Times New Roman;serif"/>
          <w:b w:val="false"/>
          <w:color w:val="000000"/>
          <w:sz w:val="22"/>
        </w:rPr>
        <w:t>Waiver of Right to Trial by Jury    </w:t>
      </w:r>
      <w:r>
        <w:rPr>
          <w:rFonts w:ascii="Times New Roman;serif" w:hAnsi="Times New Roman;serif"/>
          <w:b w:val="false"/>
          <w:strike/>
          <w:color w:val="FF0000"/>
          <w:sz w:val="22"/>
        </w:rPr>
        <w:t>297</w:t>
      </w:r>
      <w:r>
        <w:rPr>
          <w:rFonts w:ascii="Times New Roman;serif" w:hAnsi="Times New Roman;serif"/>
          <w:b w:val="false"/>
          <w:color w:val="0000FF"/>
          <w:sz w:val="22"/>
          <w:u w:val="single"/>
        </w:rPr>
        <w:t>253</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72"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10.18</w:t>
      </w:r>
      <w:r>
        <w:rPr>
          <w:color w:val="000000"/>
        </w:rPr>
        <w:t>    </w:t>
      </w:r>
      <w:r>
        <w:rPr>
          <w:rFonts w:ascii="Times New Roman;serif" w:hAnsi="Times New Roman;serif"/>
          <w:b w:val="false"/>
          <w:color w:val="000000"/>
          <w:sz w:val="22"/>
        </w:rPr>
        <w:t>Binding Effect    </w:t>
      </w:r>
      <w:r>
        <w:rPr>
          <w:rFonts w:ascii="Times New Roman;serif" w:hAnsi="Times New Roman;serif"/>
          <w:b w:val="false"/>
          <w:strike/>
          <w:color w:val="FF0000"/>
          <w:sz w:val="22"/>
        </w:rPr>
        <w:t>297</w:t>
      </w:r>
      <w:r>
        <w:rPr>
          <w:rFonts w:ascii="Times New Roman;serif" w:hAnsi="Times New Roman;serif"/>
          <w:b w:val="false"/>
          <w:color w:val="0000FF"/>
          <w:sz w:val="22"/>
          <w:u w:val="single"/>
        </w:rPr>
        <w:t>253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10.19</w:t>
      </w:r>
      <w:r>
        <w:rPr>
          <w:color w:val="000000"/>
        </w:rPr>
        <w:t>    </w:t>
      </w:r>
      <w:r>
        <w:rPr>
          <w:rFonts w:ascii="Times New Roman;serif" w:hAnsi="Times New Roman;serif"/>
          <w:b w:val="false"/>
          <w:color w:val="000000"/>
          <w:sz w:val="22"/>
        </w:rPr>
        <w:t>No Advisory or Fiduciary Responsibility    </w:t>
      </w:r>
      <w:r>
        <w:rPr>
          <w:rFonts w:ascii="Times New Roman;serif" w:hAnsi="Times New Roman;serif"/>
          <w:b w:val="false"/>
          <w:strike/>
          <w:color w:val="FF0000"/>
          <w:sz w:val="22"/>
        </w:rPr>
        <w:t>297</w:t>
      </w:r>
      <w:r>
        <w:rPr>
          <w:rFonts w:ascii="Times New Roman;serif" w:hAnsi="Times New Roman;serif"/>
          <w:b w:val="false"/>
          <w:color w:val="0000FF"/>
          <w:sz w:val="22"/>
          <w:u w:val="single"/>
        </w:rPr>
        <w:t>253</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10.20</w:t>
      </w:r>
      <w:r>
        <w:rPr>
          <w:color w:val="000000"/>
        </w:rPr>
        <w:t>    </w:t>
      </w:r>
      <w:r>
        <w:rPr>
          <w:rFonts w:ascii="Times New Roman;serif" w:hAnsi="Times New Roman;serif"/>
          <w:b w:val="false"/>
          <w:color w:val="000000"/>
          <w:sz w:val="22"/>
        </w:rPr>
        <w:t>Affiliate Activities    </w:t>
      </w:r>
      <w:r>
        <w:rPr>
          <w:rFonts w:ascii="Times New Roman;serif" w:hAnsi="Times New Roman;serif"/>
          <w:b w:val="false"/>
          <w:strike/>
          <w:color w:val="FF0000"/>
          <w:sz w:val="22"/>
        </w:rPr>
        <w:t>298</w:t>
      </w:r>
      <w:r>
        <w:rPr>
          <w:rFonts w:ascii="Times New Roman;serif" w:hAnsi="Times New Roman;serif"/>
          <w:b w:val="false"/>
          <w:color w:val="0000FF"/>
          <w:sz w:val="22"/>
          <w:u w:val="single"/>
        </w:rPr>
        <w:t>254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10.21</w:t>
      </w:r>
      <w:r>
        <w:rPr>
          <w:color w:val="000000"/>
        </w:rPr>
        <w:t>    </w:t>
      </w:r>
      <w:r>
        <w:rPr>
          <w:rFonts w:ascii="Times New Roman;serif" w:hAnsi="Times New Roman;serif"/>
          <w:b w:val="false"/>
          <w:color w:val="000000"/>
          <w:sz w:val="22"/>
        </w:rPr>
        <w:t>Electronic Execution of Assignments and Certain Other Documents    </w:t>
      </w:r>
      <w:r>
        <w:rPr>
          <w:rFonts w:ascii="Times New Roman;serif" w:hAnsi="Times New Roman;serif"/>
          <w:b w:val="false"/>
          <w:strike/>
          <w:color w:val="FF0000"/>
          <w:sz w:val="22"/>
        </w:rPr>
        <w:t>298</w:t>
      </w:r>
      <w:r>
        <w:rPr>
          <w:rFonts w:ascii="Times New Roman;serif" w:hAnsi="Times New Roman;serif"/>
          <w:b w:val="false"/>
          <w:color w:val="0000FF"/>
          <w:sz w:val="22"/>
          <w:u w:val="single"/>
        </w:rPr>
        <w:t>254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10.22</w:t>
      </w:r>
      <w:r>
        <w:rPr>
          <w:color w:val="000000"/>
        </w:rPr>
        <w:t>    </w:t>
      </w:r>
      <w:r>
        <w:rPr>
          <w:rFonts w:ascii="Times New Roman;serif" w:hAnsi="Times New Roman;serif"/>
          <w:b w:val="false"/>
          <w:color w:val="000000"/>
          <w:sz w:val="22"/>
        </w:rPr>
        <w:t>USA PATRIOT Act    </w:t>
      </w:r>
      <w:r>
        <w:rPr>
          <w:rFonts w:ascii="Times New Roman;serif" w:hAnsi="Times New Roman;serif"/>
          <w:b w:val="false"/>
          <w:strike/>
          <w:color w:val="FF0000"/>
          <w:sz w:val="22"/>
        </w:rPr>
        <w:t>298</w:t>
      </w:r>
      <w:r>
        <w:rPr>
          <w:rFonts w:ascii="Times New Roman;serif" w:hAnsi="Times New Roman;serif"/>
          <w:b w:val="false"/>
          <w:color w:val="0000FF"/>
          <w:sz w:val="22"/>
          <w:u w:val="single"/>
        </w:rPr>
        <w:t>254</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10.23</w:t>
      </w:r>
      <w:r>
        <w:rPr>
          <w:color w:val="000000"/>
        </w:rPr>
        <w:t>    </w:t>
      </w:r>
      <w:r>
        <w:rPr>
          <w:rFonts w:ascii="Times New Roman;serif" w:hAnsi="Times New Roman;serif"/>
          <w:b w:val="false"/>
          <w:color w:val="000000"/>
          <w:sz w:val="22"/>
        </w:rPr>
        <w:t>Judgment Currency    </w:t>
      </w:r>
      <w:r>
        <w:rPr>
          <w:rFonts w:ascii="Times New Roman;serif" w:hAnsi="Times New Roman;serif"/>
          <w:b w:val="false"/>
          <w:strike/>
          <w:color w:val="FF0000"/>
          <w:sz w:val="22"/>
        </w:rPr>
        <w:t>299</w:t>
      </w:r>
      <w:r>
        <w:rPr>
          <w:rFonts w:ascii="Times New Roman;serif" w:hAnsi="Times New Roman;serif"/>
          <w:b w:val="false"/>
          <w:color w:val="0000FF"/>
          <w:sz w:val="22"/>
          <w:u w:val="single"/>
        </w:rPr>
        <w:t>255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10.24</w:t>
      </w:r>
      <w:r>
        <w:rPr>
          <w:color w:val="000000"/>
        </w:rPr>
        <w:t>    </w:t>
      </w:r>
      <w:r>
        <w:rPr>
          <w:rFonts w:ascii="Times New Roman;serif" w:hAnsi="Times New Roman;serif"/>
          <w:b w:val="false"/>
          <w:color w:val="000000"/>
          <w:sz w:val="22"/>
        </w:rPr>
        <w:t>Acknowledgement and Consent to Bail-In of Affected Financial Institutions                </w:t>
      </w:r>
      <w:r>
        <w:rPr>
          <w:rFonts w:ascii="Times New Roman;serif" w:hAnsi="Times New Roman;serif"/>
          <w:b w:val="false"/>
          <w:strike/>
          <w:color w:val="FF0000"/>
          <w:sz w:val="22"/>
        </w:rPr>
        <w:t>299</w:t>
      </w:r>
      <w:r>
        <w:rPr>
          <w:rFonts w:ascii="Times New Roman;serif" w:hAnsi="Times New Roman;serif"/>
          <w:b w:val="false"/>
          <w:color w:val="0000FF"/>
          <w:sz w:val="22"/>
          <w:u w:val="single"/>
        </w:rPr>
        <w:t>255</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10.25</w:t>
      </w:r>
      <w:r>
        <w:rPr>
          <w:color w:val="000000"/>
        </w:rPr>
        <w:t>    </w:t>
      </w:r>
      <w:r>
        <w:rPr>
          <w:rFonts w:ascii="Times New Roman;serif" w:hAnsi="Times New Roman;serif"/>
          <w:b w:val="false"/>
          <w:color w:val="000000"/>
          <w:sz w:val="22"/>
        </w:rPr>
        <w:t>Acknowledgement Regarding Any Supported QFCs    </w:t>
      </w:r>
      <w:r>
        <w:rPr>
          <w:rFonts w:ascii="Times New Roman;serif" w:hAnsi="Times New Roman;serif"/>
          <w:b w:val="false"/>
          <w:strike/>
          <w:color w:val="FF0000"/>
          <w:sz w:val="22"/>
        </w:rPr>
        <w:t>300</w:t>
      </w:r>
      <w:r>
        <w:rPr>
          <w:rFonts w:ascii="Times New Roman;serif" w:hAnsi="Times New Roman;serif"/>
          <w:b w:val="false"/>
          <w:color w:val="0000FF"/>
          <w:sz w:val="22"/>
          <w:u w:val="single"/>
        </w:rPr>
        <w:t>256</w:t>
      </w:r>
    </w:p>
    <w:p>
      <w:pPr>
        <w:pStyle w:val="TextBody"/>
        <w:bidi w:val="0"/>
        <w:spacing w:lineRule="auto" w:line="288" w:before="0" w:after="100"/>
        <w:jc w:val="left"/>
        <w:rPr/>
      </w:pPr>
      <w:r>
        <w:rPr>
          <w:rFonts w:ascii="Times New Roman;serif" w:hAnsi="Times New Roman;serif"/>
          <w:b w:val="false"/>
          <w:color w:val="000000"/>
          <w:sz w:val="22"/>
        </w:rPr>
        <w:t>ARTICLE XI CO-BORROWER ARRANGEMENTS    </w:t>
      </w:r>
      <w:r>
        <w:rPr>
          <w:rFonts w:ascii="Times New Roman;serif" w:hAnsi="Times New Roman;serif"/>
          <w:b w:val="false"/>
          <w:strike/>
          <w:color w:val="FF0000"/>
          <w:sz w:val="22"/>
        </w:rPr>
        <w:t>301</w:t>
      </w:r>
      <w:r>
        <w:rPr>
          <w:rFonts w:ascii="Times New Roman;serif" w:hAnsi="Times New Roman;serif"/>
          <w:b w:val="false"/>
          <w:color w:val="0000FF"/>
          <w:sz w:val="22"/>
          <w:u w:val="single"/>
        </w:rPr>
        <w:t>256</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11.01</w:t>
      </w:r>
      <w:r>
        <w:rPr>
          <w:color w:val="000000"/>
        </w:rPr>
        <w:t>    </w:t>
      </w:r>
      <w:r>
        <w:rPr>
          <w:rFonts w:ascii="Times New Roman;serif" w:hAnsi="Times New Roman;serif"/>
          <w:b w:val="false"/>
          <w:color w:val="000000"/>
          <w:sz w:val="22"/>
        </w:rPr>
        <w:t>Addition of Co-Borrowers    </w:t>
      </w:r>
      <w:r>
        <w:rPr>
          <w:rFonts w:ascii="Times New Roman;serif" w:hAnsi="Times New Roman;serif"/>
          <w:b w:val="false"/>
          <w:strike/>
          <w:color w:val="FF0000"/>
          <w:sz w:val="22"/>
        </w:rPr>
        <w:t>301</w:t>
      </w:r>
      <w:r>
        <w:rPr>
          <w:rFonts w:ascii="Times New Roman;serif" w:hAnsi="Times New Roman;serif"/>
          <w:b w:val="false"/>
          <w:color w:val="0000FF"/>
          <w:sz w:val="22"/>
          <w:u w:val="single"/>
        </w:rPr>
        <w:t>257</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11.02</w:t>
      </w:r>
      <w:r>
        <w:rPr>
          <w:color w:val="000000"/>
        </w:rPr>
        <w:t>    </w:t>
      </w:r>
      <w:r>
        <w:rPr>
          <w:rFonts w:ascii="Times New Roman;serif" w:hAnsi="Times New Roman;serif"/>
          <w:b w:val="false"/>
          <w:color w:val="000000"/>
          <w:sz w:val="22"/>
        </w:rPr>
        <w:t>Status of Co-Borrowers    </w:t>
      </w:r>
      <w:r>
        <w:rPr>
          <w:rFonts w:ascii="Times New Roman;serif" w:hAnsi="Times New Roman;serif"/>
          <w:b w:val="false"/>
          <w:strike/>
          <w:color w:val="FF0000"/>
          <w:sz w:val="22"/>
        </w:rPr>
        <w:t>302</w:t>
      </w:r>
      <w:r>
        <w:rPr>
          <w:rFonts w:ascii="Times New Roman;serif" w:hAnsi="Times New Roman;serif"/>
          <w:b w:val="false"/>
          <w:color w:val="0000FF"/>
          <w:sz w:val="22"/>
          <w:u w:val="single"/>
        </w:rPr>
        <w:t>258</w:t>
      </w:r>
    </w:p>
    <w:p>
      <w:pPr>
        <w:pStyle w:val="TextBody"/>
        <w:bidi w:val="0"/>
        <w:spacing w:lineRule="auto" w:line="288" w:before="0" w:after="100"/>
        <w:ind w:left="0" w:right="0" w:hanging="1650"/>
        <w:jc w:val="left"/>
        <w:rPr/>
      </w:pPr>
      <w:r>
        <w:rPr>
          <w:rFonts w:ascii="Times New Roman;serif" w:hAnsi="Times New Roman;serif"/>
          <w:b w:val="false"/>
          <w:color w:val="000000"/>
          <w:sz w:val="22"/>
        </w:rPr>
        <w:t>Section 11.03</w:t>
      </w:r>
      <w:r>
        <w:rPr>
          <w:color w:val="000000"/>
        </w:rPr>
        <w:t>    </w:t>
      </w:r>
      <w:r>
        <w:rPr>
          <w:rFonts w:ascii="Times New Roman;serif" w:hAnsi="Times New Roman;serif"/>
          <w:b w:val="false"/>
          <w:color w:val="000000"/>
          <w:sz w:val="22"/>
        </w:rPr>
        <w:t>Resignation of Co-Borrowers    </w:t>
      </w:r>
      <w:r>
        <w:rPr>
          <w:rFonts w:ascii="Times New Roman;serif" w:hAnsi="Times New Roman;serif"/>
          <w:b w:val="false"/>
          <w:strike/>
          <w:color w:val="FF0000"/>
          <w:sz w:val="22"/>
        </w:rPr>
        <w:t>302</w:t>
      </w:r>
      <w:r>
        <w:rPr>
          <w:rFonts w:ascii="Times New Roman;serif" w:hAnsi="Times New Roman;serif"/>
          <w:b w:val="false"/>
          <w:color w:val="0000FF"/>
          <w:sz w:val="22"/>
          <w:u w:val="single"/>
        </w:rPr>
        <w:t>258</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u w:val="single"/>
        </w:rPr>
      </w:pPr>
      <w:r>
        <w:rPr>
          <w:rFonts w:ascii="Times New Roman;serif" w:hAnsi="Times New Roman;serif"/>
          <w:b w:val="false"/>
          <w:color w:val="000000"/>
          <w:sz w:val="22"/>
          <w:u w:val="single"/>
        </w:rPr>
        <w:t>EXHIBITS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Form of</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A-1    Committed Loan Notice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A-2    Request for L/C Credit Extension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B-1    Term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B-2    Revolving Credit Note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C    Compliance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D-1    Assignment and Assumption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D-2    [Reserved]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D-3    Administrative Questionnaire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E    [Reserved]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F    [Reserved]</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G-1    First Lien/Second Lien Intercreditor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G-2    First Lien Intercreditor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H    Intercompany Subordination Agreement</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I-1    U.S. Tax Compliance Certificate (For Non-U.S. Lenders That Are Not Partnerships for U.S. Federal Income Tax Purposes)</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I-2    U.S. Tax Compliance Certificate (For Foreign Participants That Are Not Partnerships for U.S. Federal Income Tax Purposes)</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I-3    U.S. Tax Compliance Certificate (For Foreign Participants That Are Partnerships for U.S. Federal Income Tax Purposes)</w:t>
      </w:r>
    </w:p>
    <w:p>
      <w:pPr>
        <w:pStyle w:val="TextBody"/>
        <w:bidi w:val="0"/>
        <w:spacing w:lineRule="auto" w:line="288" w:before="0" w:after="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I-4    U.S. Tax Compliance Certificate (For Non-U.S. Lenders That Are Partnerships for U.S. Federal Income Tax Purposes)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J    Optional Prepayment of Loans</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K    Co-Borrower Joinder Agreement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L    Co-Borrower Notice of Resignation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M    Solvency Certificate</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N    Agency Appointment Agreement</w:t>
      </w:r>
    </w:p>
    <w:p>
      <w:pPr>
        <w:pStyle w:val="TextBody"/>
        <w:bidi w:val="0"/>
        <w:spacing w:lineRule="auto" w:line="288" w:before="0" w:after="0"/>
        <w:jc w:val="left"/>
        <w:rPr/>
      </w:pPr>
      <w:r>
        <w:rPr>
          <w:rFonts w:ascii="Times New Roman;serif" w:hAnsi="Times New Roman;serif"/>
          <w:b w:val="false"/>
          <w:color w:val="0000FF"/>
          <w:sz w:val="22"/>
          <w:u w:val="single"/>
        </w:rPr>
        <w:t>O</w:t>
      </w:r>
      <w:r>
        <w:rPr>
          <w:color w:val="000000"/>
        </w:rPr>
        <w:t>    </w:t>
      </w:r>
      <w:r>
        <w:rPr>
          <w:rFonts w:ascii="Times New Roman;serif" w:hAnsi="Times New Roman;serif"/>
          <w:b w:val="false"/>
          <w:color w:val="0000FF"/>
          <w:sz w:val="22"/>
          <w:u w:val="single"/>
        </w:rPr>
        <w:t>Liquidity Forecast and Account Balance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val="false"/>
          <w:i/>
          <w:color w:val="FF0000"/>
          <w:sz w:val="20"/>
        </w:rPr>
      </w:pPr>
      <w:r>
        <w:rPr>
          <w:rFonts w:ascii="Times New Roman;serif" w:hAnsi="Times New Roman;serif"/>
          <w:b w:val="false"/>
          <w:i/>
          <w:color w:val="FF0000"/>
          <w:sz w:val="20"/>
        </w:rPr>
        <w:t>[Different first page link-to-previous setting changed from on in original to off in modified.].</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73"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This </w:t>
      </w:r>
      <w:r>
        <w:rPr>
          <w:rFonts w:ascii="Times New Roman;serif" w:hAnsi="Times New Roman;serif"/>
          <w:b/>
          <w:color w:val="000000"/>
          <w:sz w:val="22"/>
        </w:rPr>
        <w:t>FIRST LIEN CREDIT AGREEMENT</w:t>
      </w:r>
      <w:r>
        <w:rPr>
          <w:color w:val="000000"/>
        </w:rPr>
        <w:t xml:space="preserve"> </w:t>
      </w:r>
      <w:r>
        <w:rPr>
          <w:rFonts w:ascii="Times New Roman;serif" w:hAnsi="Times New Roman;serif"/>
          <w:b w:val="false"/>
          <w:color w:val="000000"/>
          <w:sz w:val="22"/>
        </w:rPr>
        <w:t>is entered into as of March 31, 2022, among EMBECTA CORP., a Delaware corporation (the “</w:t>
      </w:r>
      <w:r>
        <w:rPr>
          <w:rFonts w:ascii="Times New Roman;serif" w:hAnsi="Times New Roman;serif"/>
          <w:b/>
          <w:color w:val="000000"/>
          <w:sz w:val="22"/>
        </w:rPr>
        <w:t>Company</w:t>
      </w:r>
      <w:r>
        <w:rPr>
          <w:color w:val="000000"/>
        </w:rPr>
        <w:t>”</w:t>
      </w:r>
      <w:r>
        <w:rPr>
          <w:rFonts w:ascii="Times New Roman;serif" w:hAnsi="Times New Roman;serif"/>
          <w:b w:val="false"/>
          <w:color w:val="000000"/>
          <w:sz w:val="22"/>
        </w:rPr>
        <w:t>), the other CO-BORROWERS from time to time party hereto, each lender from time to time party hereto (collectively, the “</w:t>
      </w:r>
      <w:r>
        <w:rPr>
          <w:rFonts w:ascii="Times New Roman;serif" w:hAnsi="Times New Roman;serif"/>
          <w:b/>
          <w:color w:val="000000"/>
          <w:sz w:val="22"/>
        </w:rPr>
        <w:t>Lenders</w:t>
      </w:r>
      <w:r>
        <w:rPr>
          <w:color w:val="000000"/>
        </w:rPr>
        <w:t xml:space="preserve">” </w:t>
      </w:r>
      <w:r>
        <w:rPr>
          <w:rFonts w:ascii="Times New Roman;serif" w:hAnsi="Times New Roman;serif"/>
          <w:b w:val="false"/>
          <w:color w:val="000000"/>
          <w:sz w:val="22"/>
        </w:rPr>
        <w:t>and each individually, a “</w:t>
      </w:r>
      <w:r>
        <w:rPr>
          <w:rFonts w:ascii="Times New Roman;serif" w:hAnsi="Times New Roman;serif"/>
          <w:b/>
          <w:color w:val="000000"/>
          <w:sz w:val="22"/>
        </w:rPr>
        <w:t>Lender</w:t>
      </w:r>
      <w:r>
        <w:rPr>
          <w:color w:val="000000"/>
        </w:rPr>
        <w:t>”</w:t>
      </w:r>
      <w:r>
        <w:rPr>
          <w:rFonts w:ascii="Times New Roman;serif" w:hAnsi="Times New Roman;serif"/>
          <w:b w:val="false"/>
          <w:color w:val="000000"/>
          <w:sz w:val="22"/>
        </w:rPr>
        <w:t>), each L/C Issuer party hereto and MORGAN STANLEY SENIOR FUNDING, INC. (“</w:t>
      </w:r>
      <w:r>
        <w:rPr>
          <w:rFonts w:ascii="Times New Roman;serif" w:hAnsi="Times New Roman;serif"/>
          <w:b/>
          <w:color w:val="000000"/>
          <w:sz w:val="22"/>
        </w:rPr>
        <w:t>MS</w:t>
      </w:r>
      <w:r>
        <w:rPr>
          <w:color w:val="000000"/>
        </w:rPr>
        <w:t>”</w:t>
      </w:r>
      <w:r>
        <w:rPr>
          <w:rFonts w:ascii="Times New Roman;serif" w:hAnsi="Times New Roman;serif"/>
          <w:b w:val="false"/>
          <w:color w:val="000000"/>
          <w:sz w:val="22"/>
        </w:rPr>
        <w:t>), as Administrative Agent, Collateral Agent and an L/C Issuer.</w:t>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PRELIMINARY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WHEREAS, the Company intends to undertake the Transactions (as defined below).</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WHEREAS, in connection with the Transactions, and in its capacity as the initial Borrower hereunder, the Company has requested that, upon the satisfaction (or waiver by the Administrative Agent) in full of the conditions precedent set forth in the applicable provisions of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below, the applicable Lenders (a) make initial term loans to the Company in an aggregate principal amount of $950,000,000 under the Initial Term Commitment and (b) make available to the Company an initial $500,000,000 multicurrency revolving credit facility for the making, from time to time, of revolving loans and the issuance, from time to time, of Letters of Credit, in each case on the terms and subject to the conditions set forth in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consideration of the mutual covenants and agreements herein contained, the parties hereto covenant and agree as follows:</w:t>
      </w:r>
    </w:p>
    <w:p>
      <w:pPr>
        <w:pStyle w:val="TextBody"/>
        <w:bidi w:val="0"/>
        <w:spacing w:lineRule="auto" w:line="288" w:before="0" w:after="240"/>
        <w:jc w:val="center"/>
        <w:rPr/>
      </w:pPr>
      <w:r>
        <w:rPr>
          <w:rFonts w:ascii="Times New Roman;serif" w:hAnsi="Times New Roman;serif"/>
          <w:b/>
          <w:color w:val="000000"/>
          <w:sz w:val="24"/>
        </w:rPr>
        <w:t>ARTICLE I</w:t>
      </w:r>
      <w:r>
        <w:rPr>
          <w:rFonts w:ascii="Times New Roman;serif" w:hAnsi="Times New Roman;serif"/>
          <w:b/>
          <w:color w:val="000000"/>
          <w:sz w:val="22"/>
        </w:rPr>
        <w:br/>
        <w:br/>
        <w:t>DEFINITIONS AND ACCOUNTING TERMS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    </w:t>
      </w:r>
      <w:r>
        <w:rPr>
          <w:rFonts w:ascii="Times New Roman;serif" w:hAnsi="Times New Roman;serif"/>
          <w:b w:val="false"/>
          <w:color w:val="000000"/>
          <w:sz w:val="22"/>
          <w:u w:val="single"/>
        </w:rPr>
        <w:t>Defined Terms</w:t>
      </w:r>
      <w:r>
        <w:rPr>
          <w:rFonts w:ascii="Times New Roman;serif" w:hAnsi="Times New Roman;serif"/>
          <w:b w:val="false"/>
          <w:color w:val="000000"/>
          <w:sz w:val="22"/>
        </w:rPr>
        <w:t>. As used in this Agreement, the following terms shall have the meanings set forth below: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5.000% Senior Secured Notes</w:t>
      </w:r>
      <w:r>
        <w:rPr>
          <w:color w:val="000000"/>
        </w:rPr>
        <w:t xml:space="preserve">” </w:t>
      </w:r>
      <w:r>
        <w:rPr>
          <w:rFonts w:ascii="Times New Roman;serif" w:hAnsi="Times New Roman;serif"/>
          <w:b w:val="false"/>
          <w:color w:val="000000"/>
          <w:sz w:val="22"/>
        </w:rPr>
        <w:t>means the 5.000% senior secured notes due 2030 of the Company in an aggregate principal amount of $500,000,000.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5.000% Senior Secured Notes Indenture</w:t>
      </w:r>
      <w:r>
        <w:rPr>
          <w:color w:val="000000"/>
        </w:rPr>
        <w:t xml:space="preserve">” </w:t>
      </w:r>
      <w:r>
        <w:rPr>
          <w:rFonts w:ascii="Times New Roman;serif" w:hAnsi="Times New Roman;serif"/>
          <w:b w:val="false"/>
          <w:color w:val="000000"/>
          <w:sz w:val="22"/>
        </w:rPr>
        <w:t>means the Indenture, dated as of February 10, 2022, by and among the Company, the guarantors party thereto from time to time and U.S. Bank Trust Company, National Association, as trustee and as notes collateral agent, pursuant to which the 5.000% Senior Secured Notes are issued, as such indenture may be amended or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6.750% Senior Secured Notes</w:t>
      </w:r>
      <w:r>
        <w:rPr>
          <w:color w:val="000000"/>
        </w:rPr>
        <w:t xml:space="preserve">” </w:t>
      </w:r>
      <w:r>
        <w:rPr>
          <w:rFonts w:ascii="Times New Roman;serif" w:hAnsi="Times New Roman;serif"/>
          <w:b w:val="false"/>
          <w:color w:val="000000"/>
          <w:sz w:val="22"/>
        </w:rPr>
        <w:t>means the 6.750% senior secured notes due 2030 of the Company in an aggregate principal amount of $200,000,000.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6.750% Senior Secured Notes Indenture</w:t>
      </w:r>
      <w:r>
        <w:rPr>
          <w:color w:val="000000"/>
        </w:rPr>
        <w:t xml:space="preserve">” </w:t>
      </w:r>
      <w:r>
        <w:rPr>
          <w:rFonts w:ascii="Times New Roman;serif" w:hAnsi="Times New Roman;serif"/>
          <w:b w:val="false"/>
          <w:color w:val="000000"/>
          <w:sz w:val="22"/>
        </w:rPr>
        <w:t>means the Indenture, dated as of March 31, 2022, by and among the Company, the guarantors party thereto from time to time and U.S. Bank Trust Company, National Association, as trustee and as notes collateral agent, pursuant to which the 6.750% Senior Secured Notes are issued, as such indenture may be amended or supplemented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ABR</w:t>
      </w:r>
      <w:r>
        <w:rPr>
          <w:color w:val="000000"/>
        </w:rPr>
        <w:t>”</w:t>
      </w:r>
      <w:r>
        <w:rPr>
          <w:rFonts w:ascii="Times New Roman;serif" w:hAnsi="Times New Roman;serif"/>
          <w:b w:val="false"/>
          <w:color w:val="000000"/>
          <w:sz w:val="22"/>
        </w:rPr>
        <w:t>, when used in reference to any Loan or Borrowing, refers to whether such Loan, or the Loans comprising such Borrowing, bear interest at a rate determined by reference to the Alternate Base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ABR Loan</w:t>
      </w:r>
      <w:r>
        <w:rPr>
          <w:color w:val="000000"/>
        </w:rPr>
        <w:t xml:space="preserve">” </w:t>
      </w:r>
      <w:r>
        <w:rPr>
          <w:rFonts w:ascii="Times New Roman;serif" w:hAnsi="Times New Roman;serif"/>
          <w:b w:val="false"/>
          <w:color w:val="000000"/>
          <w:sz w:val="22"/>
        </w:rPr>
        <w:t>means a Loan that bears interest based on ABR.</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74"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ABR Term SOFR Determination Day</w:t>
      </w:r>
      <w:r>
        <w:rPr>
          <w:color w:val="000000"/>
        </w:rPr>
        <w:t xml:space="preserve">” </w:t>
      </w:r>
      <w:r>
        <w:rPr>
          <w:rFonts w:ascii="Times New Roman;serif" w:hAnsi="Times New Roman;serif"/>
          <w:b w:val="false"/>
          <w:color w:val="000000"/>
          <w:sz w:val="22"/>
        </w:rPr>
        <w:t>has the meaning specified in the definition of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Acceleration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8.01(e)(C)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Acceptable Commitment</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7.04(a)(3)(b)</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Accounting Change</w:t>
      </w:r>
      <w:r>
        <w:rPr>
          <w:color w:val="000000"/>
        </w:rPr>
        <w:t xml:space="preserve">” </w:t>
      </w:r>
      <w:r>
        <w:rPr>
          <w:rFonts w:ascii="Times New Roman;serif" w:hAnsi="Times New Roman;serif"/>
          <w:b w:val="false"/>
          <w:color w:val="000000"/>
          <w:sz w:val="22"/>
        </w:rPr>
        <w:t>has the meaning specified in the definition of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Acquired EBITDA</w:t>
      </w:r>
      <w:r>
        <w:rPr>
          <w:color w:val="000000"/>
        </w:rPr>
        <w:t xml:space="preserve">” </w:t>
      </w:r>
      <w:r>
        <w:rPr>
          <w:rFonts w:ascii="Times New Roman;serif" w:hAnsi="Times New Roman;serif"/>
          <w:b w:val="false"/>
          <w:color w:val="000000"/>
          <w:sz w:val="22"/>
        </w:rPr>
        <w:t>means, with respect to any Acquired Entity or Business or any Converted Restricted Subsidiary for any period, the amount for such period of Consolidated EBITDA of such Acquired Entity or Business or Converted Restricted Subsidiary, as applicable, all determined on a consolidated basis for such Acquired Entity or Business or Converted Restricted Subsidiary,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Acquired Entity or Business</w:t>
      </w:r>
      <w:r>
        <w:rPr>
          <w:color w:val="000000"/>
        </w:rPr>
        <w:t xml:space="preserve">” </w:t>
      </w:r>
      <w:r>
        <w:rPr>
          <w:rFonts w:ascii="Times New Roman;serif" w:hAnsi="Times New Roman;serif"/>
          <w:b w:val="false"/>
          <w:color w:val="000000"/>
          <w:sz w:val="22"/>
        </w:rPr>
        <w:t>has the meaning specified in the definition of the term “Consolidated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Acquired Indebtedness</w:t>
      </w:r>
      <w:r>
        <w:rPr>
          <w:color w:val="000000"/>
        </w:rPr>
        <w:t xml:space="preserve">” </w:t>
      </w:r>
      <w:r>
        <w:rPr>
          <w:rFonts w:ascii="Times New Roman;serif" w:hAnsi="Times New Roman;serif"/>
          <w:b w:val="false"/>
          <w:color w:val="000000"/>
          <w:sz w:val="22"/>
        </w:rPr>
        <w:t xml:space="preserve">means, with respect to any Person, (x) Indebtedness of any other Person or any of its Subsidiaries existing at the time such other Person becomes a Restricted Subsidiary or merges or amalgamates with or into or consolidates or otherwise combines with the Company or any Restricted Subsidiary and (y) Indebtedness secured by a Lien encumbering any asset acquired by such Person. Acquired Indebtedness shall be deemed to have been incurred, with respect to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of the preceding sentence, on the date such Person becomes a Restricted Subsidiary or on the date of the relevant merger, amalgamation, consolidation, acquisition or other combination.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Acquisition Indebtedness</w:t>
      </w:r>
      <w:r>
        <w:rPr>
          <w:color w:val="000000"/>
        </w:rPr>
        <w:t xml:space="preserve">” </w:t>
      </w:r>
      <w:r>
        <w:rPr>
          <w:rFonts w:ascii="Times New Roman;serif" w:hAnsi="Times New Roman;serif"/>
          <w:b w:val="false"/>
          <w:color w:val="000000"/>
          <w:sz w:val="22"/>
        </w:rPr>
        <w:t>means any Indebtedness incurred in connection with an acquisition or Investment permitted 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Additional Alternative Currency</w:t>
      </w:r>
      <w:r>
        <w:rPr>
          <w:color w:val="000000"/>
        </w:rPr>
        <w:t xml:space="preserve">” </w:t>
      </w:r>
      <w:r>
        <w:rPr>
          <w:rFonts w:ascii="Times New Roman;serif" w:hAnsi="Times New Roman;serif"/>
          <w:b w:val="false"/>
          <w:color w:val="000000"/>
          <w:sz w:val="22"/>
        </w:rPr>
        <w:t xml:space="preserve">means any currency (other than Dollars and Euros) that is approved in accordance with </w:t>
      </w:r>
      <w:r>
        <w:rPr>
          <w:rFonts w:ascii="Times New Roman;serif" w:hAnsi="Times New Roman;serif"/>
          <w:b w:val="false"/>
          <w:color w:val="000000"/>
          <w:sz w:val="22"/>
          <w:u w:val="single"/>
        </w:rPr>
        <w:t>Section 2.21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Additional Assets” 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Any property or assets (other than Capital Stock) used or to be used by the Company,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the Capital Stock of a Person that is engaged in a Similar Business and becomes a Restricted Subsidiary as a result of the acquisition of such Capital Stock by the Company or a Restricted Subsidiary;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Capital Stock constituting a minority interest in any Person that at such time is a 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Adjusted EURIBOR Rate</w:t>
      </w:r>
      <w:r>
        <w:rPr>
          <w:color w:val="000000"/>
        </w:rPr>
        <w:t xml:space="preserve">” </w:t>
      </w:r>
      <w:r>
        <w:rPr>
          <w:rFonts w:ascii="Times New Roman;serif" w:hAnsi="Times New Roman;serif"/>
          <w:b w:val="false"/>
          <w:color w:val="000000"/>
          <w:sz w:val="22"/>
        </w:rPr>
        <w:t xml:space="preserve">means, with respect to any Revolving Credit Borrowing denominated in Euros for any Interest Period, an interest rate per annum equal to (a) the EURIBOR Rate for such Interest Period multiplied by (b) the Statutory Reserve Rate;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Adjusted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75"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EURIBOR Rate as so determined would be less than the Floor, such rate shall be deemed to be the Floor for the purposes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Adjusted Eurocurrency Rate</w:t>
      </w:r>
      <w:r>
        <w:rPr>
          <w:color w:val="000000"/>
        </w:rPr>
        <w:t xml:space="preserve">” </w:t>
      </w:r>
      <w:r>
        <w:rPr>
          <w:rFonts w:ascii="Times New Roman;serif" w:hAnsi="Times New Roman;serif"/>
          <w:b w:val="false"/>
          <w:color w:val="000000"/>
          <w:sz w:val="22"/>
        </w:rPr>
        <w:t xml:space="preserve">means with respect to any Revolving Credit Borrowing (i) denominated in Euros, the Adjusted EURIBOR Rate, and (ii) denominated in any Additional Alternative Currency (other than a currency referenced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an interest rate per annum equal to (a) the applicable Eurocurrency Rate for such Additional Alternative Currency for such Interest Period multiplied by (b) the Statutory Reserve Rate;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Adjusted Eurocurrency Rate for such Additional Alternative Currency as so determined would be less than the Floor, such rate shall be deemed to be the Floor for purposes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Administrative Agent</w:t>
      </w:r>
      <w:r>
        <w:rPr>
          <w:color w:val="000000"/>
        </w:rPr>
        <w:t xml:space="preserve">” </w:t>
      </w:r>
      <w:r>
        <w:rPr>
          <w:rFonts w:ascii="Times New Roman;serif" w:hAnsi="Times New Roman;serif"/>
          <w:b w:val="false"/>
          <w:color w:val="000000"/>
          <w:sz w:val="22"/>
        </w:rPr>
        <w:t>means MS acting through such of its Affiliates or branches as it may designate, in its capacity as administrative agent under any of the Loan Documents, or any successor administrative agent permitted by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Administrative Agent’s Office</w:t>
      </w:r>
      <w:r>
        <w:rPr>
          <w:color w:val="000000"/>
        </w:rPr>
        <w:t xml:space="preserve">” </w:t>
      </w:r>
      <w:r>
        <w:rPr>
          <w:rFonts w:ascii="Times New Roman;serif" w:hAnsi="Times New Roman;serif"/>
          <w:b w:val="false"/>
          <w:color w:val="000000"/>
          <w:sz w:val="22"/>
        </w:rPr>
        <w:t xml:space="preserve">means the Administrative Agent’s address and, as appropriate, account as set forth on </w:t>
      </w:r>
      <w:r>
        <w:rPr>
          <w:rFonts w:ascii="Times New Roman;serif" w:hAnsi="Times New Roman;serif"/>
          <w:b w:val="false"/>
          <w:color w:val="000000"/>
          <w:sz w:val="22"/>
          <w:u w:val="single"/>
        </w:rPr>
        <w:t>Schedule 10.02</w:t>
      </w:r>
      <w:r>
        <w:rPr>
          <w:color w:val="000000"/>
        </w:rPr>
        <w:t xml:space="preserve"> </w:t>
      </w:r>
      <w:r>
        <w:rPr>
          <w:rFonts w:ascii="Times New Roman;serif" w:hAnsi="Times New Roman;serif"/>
          <w:b w:val="false"/>
          <w:color w:val="000000"/>
          <w:sz w:val="22"/>
        </w:rPr>
        <w:t>or such other address or account as the Administrative Agent may from time to time notify the Company and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Administrative Questionnaire</w:t>
      </w:r>
      <w:r>
        <w:rPr>
          <w:color w:val="000000"/>
        </w:rPr>
        <w:t xml:space="preserve">” </w:t>
      </w:r>
      <w:r>
        <w:rPr>
          <w:rFonts w:ascii="Times New Roman;serif" w:hAnsi="Times New Roman;serif"/>
          <w:b w:val="false"/>
          <w:color w:val="000000"/>
          <w:sz w:val="22"/>
        </w:rPr>
        <w:t xml:space="preserve">means an Administrative Questionnaire in substantially the form of </w:t>
      </w:r>
      <w:r>
        <w:rPr>
          <w:rFonts w:ascii="Times New Roman;serif" w:hAnsi="Times New Roman;serif"/>
          <w:b w:val="false"/>
          <w:color w:val="000000"/>
          <w:sz w:val="22"/>
          <w:u w:val="single"/>
        </w:rPr>
        <w:t>Exhibit D-3</w:t>
      </w:r>
      <w:r>
        <w:rPr>
          <w:color w:val="000000"/>
        </w:rPr>
        <w:t xml:space="preserve"> </w:t>
      </w:r>
      <w:r>
        <w:rPr>
          <w:rFonts w:ascii="Times New Roman;serif" w:hAnsi="Times New Roman;serif"/>
          <w:b w:val="false"/>
          <w:color w:val="000000"/>
          <w:sz w:val="22"/>
        </w:rPr>
        <w:t>or any other form approved by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Affected Financial Institution</w:t>
      </w:r>
      <w:r>
        <w:rPr>
          <w:color w:val="000000"/>
        </w:rPr>
        <w:t xml:space="preserve">” </w:t>
      </w:r>
      <w:r>
        <w:rPr>
          <w:rFonts w:ascii="Times New Roman;serif" w:hAnsi="Times New Roman;serif"/>
          <w:b w:val="false"/>
          <w:color w:val="000000"/>
          <w:sz w:val="22"/>
        </w:rPr>
        <w:t>means (a) any EEA Financial Institution or (b)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Affiliate</w:t>
      </w:r>
      <w:r>
        <w:rPr>
          <w:color w:val="000000"/>
        </w:rPr>
        <w:t xml:space="preserve">” </w:t>
      </w:r>
      <w:r>
        <w:rPr>
          <w:rFonts w:ascii="Times New Roman;serif" w:hAnsi="Times New Roman;serif"/>
          <w:b w:val="false"/>
          <w:color w:val="000000"/>
          <w:sz w:val="22"/>
        </w:rPr>
        <w:t>means, with respect to any specified Person,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Affiliate Transaction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Agent-Related Distress Event</w:t>
      </w:r>
      <w:r>
        <w:rPr>
          <w:color w:val="000000"/>
        </w:rPr>
        <w:t xml:space="preserve">” </w:t>
      </w:r>
      <w:r>
        <w:rPr>
          <w:rFonts w:ascii="Times New Roman;serif" w:hAnsi="Times New Roman;serif"/>
          <w:b w:val="false"/>
          <w:color w:val="000000"/>
          <w:sz w:val="22"/>
        </w:rPr>
        <w:t>means, with respect to the Administrative Agent, the Collateral Agent or any Person that directly or indirectly controls the Administrative Agent or the Collateral Agent (each, a “</w:t>
      </w:r>
      <w:r>
        <w:rPr>
          <w:rFonts w:ascii="Times New Roman;serif" w:hAnsi="Times New Roman;serif"/>
          <w:b/>
          <w:color w:val="000000"/>
          <w:sz w:val="22"/>
        </w:rPr>
        <w:t>Distressed Agent-Related Person</w:t>
      </w:r>
      <w:r>
        <w:rPr>
          <w:color w:val="000000"/>
        </w:rPr>
        <w:t>”</w:t>
      </w:r>
      <w:r>
        <w:rPr>
          <w:rFonts w:ascii="Times New Roman;serif" w:hAnsi="Times New Roman;serif"/>
          <w:b w:val="false"/>
          <w:color w:val="000000"/>
          <w:sz w:val="22"/>
        </w:rPr>
        <w:t xml:space="preserve">), a voluntary or involuntary case with respect to such Distressed Agent-Related Person under any Debtor Relief Law is commenced,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 Agent-Related Distress Event shall not be deemed to have occurred solely by virtue of the ownership or acquisition of any Equity Interests in the Administrative Agent, the Collateral Agent or any Person that directly or indirectly controls the Administrative Agent by a Governmental Authority or an instrumentality thereof, so long as such ownership interest does not result in or provide the Administrative Agent or the Collateral Agent with immunity from the jurisdiction of courts within the United States or from the enforcement of judgments or writs of attachment on its assets or permit the Administrative Agent or the Collateral Agent (or such </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76"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Governmental Authority or instrumentality) to reject, repudiate, disavow or disaffirm any contracts or agreements made with the Administrative Agent or the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Agent-Related Persons</w:t>
      </w:r>
      <w:r>
        <w:rPr>
          <w:color w:val="000000"/>
        </w:rPr>
        <w:t xml:space="preserve">” </w:t>
      </w:r>
      <w:r>
        <w:rPr>
          <w:rFonts w:ascii="Times New Roman;serif" w:hAnsi="Times New Roman;serif"/>
          <w:b w:val="false"/>
          <w:color w:val="000000"/>
          <w:sz w:val="22"/>
        </w:rPr>
        <w:t>means each Agent, together with its Related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Agents</w:t>
      </w:r>
      <w:r>
        <w:rPr>
          <w:color w:val="000000"/>
        </w:rPr>
        <w:t xml:space="preserve">” </w:t>
      </w:r>
      <w:r>
        <w:rPr>
          <w:rFonts w:ascii="Times New Roman;serif" w:hAnsi="Times New Roman;serif"/>
          <w:b w:val="false"/>
          <w:color w:val="000000"/>
          <w:sz w:val="22"/>
        </w:rPr>
        <w:t>means, collectively, the Administrative Agent, the Collateral Agent, the Arrangers, the Co-Documentation Agents, the Syndication Agent, the Incremental Arrangers (if any) and the Supplemental Agents (if 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Agent’s Spot Rate of Exchange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Aggregate Commitments</w:t>
      </w:r>
      <w:r>
        <w:rPr>
          <w:color w:val="000000"/>
        </w:rPr>
        <w:t xml:space="preserve">” </w:t>
      </w:r>
      <w:r>
        <w:rPr>
          <w:rFonts w:ascii="Times New Roman;serif" w:hAnsi="Times New Roman;serif"/>
          <w:b w:val="false"/>
          <w:color w:val="000000"/>
          <w:sz w:val="22"/>
        </w:rPr>
        <w:t>means the Commitments of all the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Agreement</w:t>
      </w:r>
      <w:r>
        <w:rPr>
          <w:color w:val="000000"/>
        </w:rPr>
        <w:t xml:space="preserve">” </w:t>
      </w:r>
      <w:r>
        <w:rPr>
          <w:rFonts w:ascii="Times New Roman;serif" w:hAnsi="Times New Roman;serif"/>
          <w:b w:val="false"/>
          <w:color w:val="000000"/>
          <w:sz w:val="22"/>
        </w:rPr>
        <w:t>means this first lien credit agreement, as amended, restated, amended and restated, supplemented or otherwise modified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Agreement Currency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AHYDO Catch-up Payment</w:t>
      </w:r>
      <w:r>
        <w:rPr>
          <w:color w:val="000000"/>
        </w:rPr>
        <w:t xml:space="preserve">” </w:t>
      </w:r>
      <w:r>
        <w:rPr>
          <w:rFonts w:ascii="Times New Roman;serif" w:hAnsi="Times New Roman;serif"/>
          <w:b w:val="false"/>
          <w:color w:val="000000"/>
          <w:sz w:val="22"/>
        </w:rPr>
        <w:t>means any payment required to be made (as determined by the Company) under the terms of Indebtedness in order to avoid the application of Section 163(e)(5) of the Code to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All-in Yield</w:t>
      </w:r>
      <w:r>
        <w:rPr>
          <w:color w:val="000000"/>
        </w:rPr>
        <w:t xml:space="preserve">” </w:t>
      </w:r>
      <w:r>
        <w:rPr>
          <w:rFonts w:ascii="Times New Roman;serif" w:hAnsi="Times New Roman;serif"/>
          <w:b w:val="false"/>
          <w:color w:val="000000"/>
          <w:sz w:val="22"/>
        </w:rPr>
        <w:t>means, with respect to any Indebtedness, as of any date of determination, the sum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higher of (A) Term SOFR on such date for a deposit in U.S. dollars with a maturity of one month and (B) the Term SOFR “floor”, if any, with respect thereto as of such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applicable interest rate margin as of such date for SOFR Borrowings (or other loans that accrue interest by reference to a similar reference rate);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the amount of original issue discount and upfront fees thereon (converted to yield assuming a four-year average life and without any present value discount);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but shall in any case not include arrangement fees, structuring fees, ticking fees, commitment fees, unused line fees, underwriting fees, any amendment and similar fees (regardless of whether paid in whole or in part to the lenders) or any other fees not paid generally to all lenders by the applicable borrower in the primary syndication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Alternate Base Rate</w:t>
      </w:r>
      <w:r>
        <w:rPr>
          <w:color w:val="000000"/>
        </w:rPr>
        <w:t xml:space="preserve">” </w:t>
      </w:r>
      <w:r>
        <w:rPr>
          <w:rFonts w:ascii="Times New Roman;serif" w:hAnsi="Times New Roman;serif"/>
          <w:b w:val="false"/>
          <w:color w:val="000000"/>
          <w:sz w:val="22"/>
        </w:rPr>
        <w:t xml:space="preserve">means, for any day, a rate per annum equal to the greatest of (a) the Prime Rate in effect on such day, (b) the NYFRB Rate in effect on such day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½ of 1% and (c) Term SOFR for a one month Interest Period as published on such day (or if such day is not a Business Day, the immediately preceding Business Day)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1%. If the Administrative Agent shall have determined that it is unable to ascertain the NYFRB Rate or Term SOFR for any reason, the Alternate Base Rate shall be determined without regard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of this definition, as applicable, until the circumstances giving rise to such inability no longer exist. Any change in the Alternate Base Rate due to a change in the Prime Rate, the NYFRB Rate or Term SOFR shall be effective from and including the effective date of such change in the Prime Rate, the NYFRB Rate or Term SOFR,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Alternative Currency</w:t>
      </w:r>
      <w:r>
        <w:rPr>
          <w:color w:val="000000"/>
        </w:rPr>
        <w:t xml:space="preserve">” </w:t>
      </w:r>
      <w:r>
        <w:rPr>
          <w:rFonts w:ascii="Times New Roman;serif" w:hAnsi="Times New Roman;serif"/>
          <w:b w:val="false"/>
          <w:color w:val="000000"/>
          <w:sz w:val="22"/>
        </w:rPr>
        <w:t xml:space="preserve">means (a) Euros and (b) any Additional Alternative Currency. </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77"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Anti-Corruption Laws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5.20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Applicable Commitment Fee</w:t>
      </w:r>
      <w:r>
        <w:rPr>
          <w:color w:val="000000"/>
        </w:rPr>
        <w:t xml:space="preserve">” </w:t>
      </w:r>
      <w:r>
        <w:rPr>
          <w:rFonts w:ascii="Times New Roman;serif" w:hAnsi="Times New Roman;serif"/>
          <w:b w:val="false"/>
          <w:color w:val="000000"/>
          <w:sz w:val="22"/>
        </w:rPr>
        <w:t>means</w:t>
      </w:r>
      <w:r>
        <w:rPr>
          <w:rFonts w:ascii="Times New Roman;serif" w:hAnsi="Times New Roman;serif"/>
          <w:b w:val="false"/>
          <w:color w:val="0000FF"/>
          <w:sz w:val="22"/>
          <w:u w:val="single"/>
        </w:rPr>
        <w:t>:</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(a)</w:t>
      </w:r>
      <w:r>
        <w:rPr>
          <w:color w:val="000000"/>
        </w:rPr>
        <w:t>    </w:t>
      </w:r>
      <w:r>
        <w:rPr>
          <w:rFonts w:ascii="Times New Roman;serif" w:hAnsi="Times New Roman;serif"/>
          <w:b w:val="false"/>
          <w:color w:val="000000"/>
          <w:sz w:val="22"/>
        </w:rPr>
        <w:t>a percentage per annum equal to</w:t>
      </w:r>
      <w:r>
        <w:rPr>
          <w:rFonts w:ascii="Times New Roman;serif" w:hAnsi="Times New Roman;serif"/>
          <w:b w:val="false"/>
          <w:color w:val="0000FF"/>
          <w:sz w:val="22"/>
          <w:u w:val="single"/>
        </w:rPr>
        <w:t>,</w:t>
      </w:r>
      <w:r>
        <w:rPr>
          <w:color w:val="008000"/>
          <w:u w:val="single"/>
        </w:rPr>
        <w:t xml:space="preserve"> </w:t>
      </w:r>
      <w:r>
        <w:rPr>
          <w:rFonts w:ascii="Times New Roman;serif" w:hAnsi="Times New Roman;serif"/>
          <w:b w:val="false"/>
          <w:color w:val="008000"/>
          <w:sz w:val="22"/>
          <w:u w:val="single"/>
        </w:rPr>
        <w:t xml:space="preserve">with respect to the </w:t>
      </w:r>
      <w:r>
        <w:rPr>
          <w:rFonts w:ascii="Times New Roman;serif" w:hAnsi="Times New Roman;serif"/>
          <w:b w:val="false"/>
          <w:color w:val="0000FF"/>
          <w:sz w:val="22"/>
          <w:u w:val="single"/>
        </w:rPr>
        <w:t xml:space="preserve">Initial Revolving-1 Tranche, </w:t>
      </w:r>
      <w:r>
        <w:rPr>
          <w:rFonts w:ascii="Times New Roman;serif" w:hAnsi="Times New Roman;serif"/>
          <w:b w:val="false"/>
          <w:color w:val="000000"/>
          <w:sz w:val="22"/>
        </w:rPr>
        <w:t>0.25% per annum</w:t>
      </w:r>
      <w:r>
        <w:rPr>
          <w:rFonts w:ascii="Times New Roman;serif" w:hAnsi="Times New Roman;serif"/>
          <w:b w:val="false"/>
          <w:strike/>
          <w:color w:val="FF0000"/>
          <w:sz w:val="22"/>
        </w:rPr>
        <w:t>.</w:t>
      </w:r>
      <w:r>
        <w:rPr>
          <w:rFonts w:ascii="Times New Roman;serif" w:hAnsi="Times New Roman;serif"/>
          <w:b w:val="false"/>
          <w:color w:val="0000FF"/>
          <w:sz w:val="22"/>
          <w:u w:val="single"/>
        </w:rPr>
        <w:t>; and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(b)</w:t>
      </w:r>
      <w:r>
        <w:rPr>
          <w:color w:val="000000"/>
        </w:rPr>
        <w:t>    </w:t>
      </w:r>
      <w:r>
        <w:rPr>
          <w:rFonts w:ascii="Times New Roman;serif" w:hAnsi="Times New Roman;serif"/>
          <w:b w:val="false"/>
          <w:color w:val="0000FF"/>
          <w:sz w:val="22"/>
          <w:u w:val="single"/>
        </w:rPr>
        <w:t xml:space="preserve">a percentage per annum equal to, with respect to the Initial Revolving-2 Tranche, 0.375% per annum.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Applicable Intercreditor Arrangements</w:t>
      </w:r>
      <w:r>
        <w:rPr>
          <w:color w:val="000000"/>
        </w:rPr>
        <w:t xml:space="preserve">” </w:t>
      </w:r>
      <w:r>
        <w:rPr>
          <w:rFonts w:ascii="Times New Roman;serif" w:hAnsi="Times New Roman;serif"/>
          <w:b w:val="false"/>
          <w:color w:val="000000"/>
          <w:sz w:val="22"/>
        </w:rPr>
        <w:t xml:space="preserve">means customary intercreditor arrangements that are reasonably satisfactory to the Administrative Agent (it being understood that an intercreditor agreement that is substantially in the form of the first lien/second lien intercreditor agreement attached as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 xml:space="preserve">or the intercreditor agreement attached as </w:t>
      </w:r>
      <w:r>
        <w:rPr>
          <w:rFonts w:ascii="Times New Roman;serif" w:hAnsi="Times New Roman;serif"/>
          <w:b w:val="false"/>
          <w:color w:val="000000"/>
          <w:sz w:val="22"/>
          <w:u w:val="single"/>
        </w:rPr>
        <w:t>Exhibit G-2</w:t>
      </w:r>
      <w:r>
        <w:rPr>
          <w:color w:val="000000"/>
        </w:rPr>
        <w:t xml:space="preserve"> </w:t>
      </w:r>
      <w:r>
        <w:rPr>
          <w:rFonts w:ascii="Times New Roman;serif" w:hAnsi="Times New Roman;serif"/>
          <w:b w:val="false"/>
          <w:color w:val="000000"/>
          <w:sz w:val="22"/>
        </w:rPr>
        <w:t>hereto, as applicable, is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Applicable Jurisdiction</w:t>
      </w:r>
      <w:r>
        <w:rPr>
          <w:color w:val="000000"/>
        </w:rPr>
        <w:t xml:space="preserve">” </w:t>
      </w:r>
      <w:r>
        <w:rPr>
          <w:rFonts w:ascii="Times New Roman;serif" w:hAnsi="Times New Roman;serif"/>
          <w:b w:val="false"/>
          <w:color w:val="000000"/>
          <w:sz w:val="22"/>
        </w:rPr>
        <w:t>means the United States of America, any state thereof or the District of Columbia.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Applicable Rate</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left"/>
        <w:rPr/>
      </w:pPr>
      <w:r>
        <w:rPr>
          <w:rFonts w:ascii="Times New Roman;serif" w:hAnsi="Times New Roman;serif"/>
          <w:b w:val="false"/>
          <w:color w:val="000000"/>
          <w:sz w:val="22"/>
        </w:rPr>
        <w:t>(a)    a percentage per annum equal to, with respect to the Initial Term Loans, 3.00% per annum for SOFR Loans and 2.00% per annum for ABR Loans;</w:t>
      </w:r>
      <w:r>
        <w:rPr>
          <w:strike/>
          <w:color w:val="FF0000"/>
        </w:rPr>
        <w:t xml:space="preserve"> </w:t>
      </w:r>
      <w:r>
        <w:rPr>
          <w:rFonts w:ascii="Times New Roman;serif" w:hAnsi="Times New Roman;serif"/>
          <w:b w:val="false"/>
          <w:strike/>
          <w:color w:val="FF0000"/>
          <w:sz w:val="22"/>
        </w:rPr>
        <w:t>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(b)    a percentage per annum equal to, with respect to the Initial Revolving</w:t>
      </w:r>
      <w:r>
        <w:rPr>
          <w:rFonts w:ascii="Times New Roman;serif" w:hAnsi="Times New Roman;serif"/>
          <w:b w:val="false"/>
          <w:color w:val="0000FF"/>
          <w:sz w:val="22"/>
          <w:u w:val="single"/>
        </w:rPr>
        <w:t>-1</w:t>
      </w:r>
      <w:r>
        <w:rPr>
          <w:color w:val="000000"/>
        </w:rPr>
        <w:t xml:space="preserve"> </w:t>
      </w:r>
      <w:r>
        <w:rPr>
          <w:rFonts w:ascii="Times New Roman;serif" w:hAnsi="Times New Roman;serif"/>
          <w:b w:val="false"/>
          <w:color w:val="000000"/>
          <w:sz w:val="22"/>
        </w:rPr>
        <w:t>Tranche, 3.00% per annum for SOFR Loans and Eurocurrency Rate Loans and 2.00% per annum for ABR Loans</w:t>
      </w:r>
      <w:r>
        <w:rPr>
          <w:rFonts w:ascii="Times New Roman;serif" w:hAnsi="Times New Roman;serif"/>
          <w:b w:val="false"/>
          <w:strike/>
          <w:color w:val="FF0000"/>
          <w:sz w:val="22"/>
        </w:rPr>
        <w:t>.</w:t>
      </w:r>
      <w:r>
        <w:rPr>
          <w:rFonts w:ascii="Times New Roman;serif" w:hAnsi="Times New Roman;serif"/>
          <w:b w:val="false"/>
          <w:color w:val="0000FF"/>
          <w:sz w:val="22"/>
          <w:u w:val="single"/>
        </w:rPr>
        <w:t>; and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(c)</w:t>
      </w:r>
      <w:r>
        <w:rPr>
          <w:color w:val="000000"/>
        </w:rPr>
        <w:t>    </w:t>
      </w:r>
      <w:r>
        <w:rPr>
          <w:rFonts w:ascii="Times New Roman;serif" w:hAnsi="Times New Roman;serif"/>
          <w:b w:val="false"/>
          <w:color w:val="0000FF"/>
          <w:sz w:val="22"/>
          <w:u w:val="single"/>
        </w:rPr>
        <w:t>a percentage per annum equal to, with respect to the Initial Revolving-2 Tranche, 3.50% per annum for SOFR Loans and Eurocurrency Rate Loans and 2.50% per annum for ABR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Appropriate Lender</w:t>
      </w:r>
      <w:r>
        <w:rPr>
          <w:color w:val="000000"/>
        </w:rPr>
        <w:t xml:space="preserve">” </w:t>
      </w:r>
      <w:r>
        <w:rPr>
          <w:rFonts w:ascii="Times New Roman;serif" w:hAnsi="Times New Roman;serif"/>
          <w:b w:val="false"/>
          <w:color w:val="000000"/>
          <w:sz w:val="22"/>
        </w:rPr>
        <w:t xml:space="preserve">means, at any time, (a) with respect to any Facility, a Lender that has a Commitment with respect to such Facility or holds Loans made under such Facility at such time, and (b) with respect to the Letter of Credit Sublimit, (i) each L/C Issuer and (ii) if any Letters of Credit have been issued pursuant to </w:t>
      </w:r>
      <w:r>
        <w:rPr>
          <w:rFonts w:ascii="Times New Roman;serif" w:hAnsi="Times New Roman;serif"/>
          <w:b w:val="false"/>
          <w:color w:val="000000"/>
          <w:sz w:val="22"/>
          <w:u w:val="single"/>
        </w:rPr>
        <w:t>Section 2.03(a)</w:t>
      </w:r>
      <w:r>
        <w:rPr>
          <w:rFonts w:ascii="Times New Roman;serif" w:hAnsi="Times New Roman;serif"/>
          <w:b w:val="false"/>
          <w:color w:val="000000"/>
          <w:sz w:val="22"/>
        </w:rPr>
        <w:t>, the Revolving Credit Lenders.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Approved Commercial Bank</w:t>
      </w:r>
      <w:r>
        <w:rPr>
          <w:color w:val="000000"/>
        </w:rPr>
        <w:t xml:space="preserve">” </w:t>
      </w:r>
      <w:r>
        <w:rPr>
          <w:rFonts w:ascii="Times New Roman;serif" w:hAnsi="Times New Roman;serif"/>
          <w:b w:val="false"/>
          <w:color w:val="000000"/>
          <w:sz w:val="22"/>
        </w:rPr>
        <w:t>means a commercial bank with a consolidated combined capital and sur</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of at least $5,000,000,000.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Approved Foreign Bank</w:t>
      </w:r>
      <w:r>
        <w:rPr>
          <w:color w:val="000000"/>
        </w:rPr>
        <w:t xml:space="preserve">” </w:t>
      </w:r>
      <w:r>
        <w:rPr>
          <w:rFonts w:ascii="Times New Roman;serif" w:hAnsi="Times New Roman;serif"/>
          <w:b w:val="false"/>
          <w:color w:val="000000"/>
          <w:sz w:val="22"/>
        </w:rPr>
        <w:t>has the meaning specified in the definition of “Cash Equivalents.”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Approved Fund</w:t>
      </w:r>
      <w:r>
        <w:rPr>
          <w:color w:val="000000"/>
        </w:rPr>
        <w:t xml:space="preserve">” </w:t>
      </w:r>
      <w:r>
        <w:rPr>
          <w:rFonts w:ascii="Times New Roman;serif" w:hAnsi="Times New Roman;serif"/>
          <w:b w:val="false"/>
          <w:color w:val="000000"/>
          <w:sz w:val="22"/>
        </w:rPr>
        <w:t>means any Fund that is administered, advised or managed by (a) a Lender, (b) an Affiliate of a Lender or (c) an entity or an Affiliate of an entity that administers, advises or manages a Lender and controls such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Arrangers</w:t>
      </w:r>
      <w:r>
        <w:rPr>
          <w:color w:val="000000"/>
        </w:rPr>
        <w:t xml:space="preserve">” </w:t>
      </w:r>
      <w:r>
        <w:rPr>
          <w:rFonts w:ascii="Times New Roman;serif" w:hAnsi="Times New Roman;serif"/>
          <w:b w:val="false"/>
          <w:color w:val="000000"/>
          <w:sz w:val="22"/>
        </w:rPr>
        <w:t>means each of Morgan Stanley Senior Funding, Inc., BNP Paribas Securities Corp., Citigroup Global Markets Inc., JPMorgan Chase Bank, N.A., MUFG Bank, LTD., U.S. Bank National Association and Wells Fargo Bank, N.A., in their respective capacities as exclusive joint lead arrangers and bookrunners.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Asset Disposition</w:t>
      </w:r>
      <w:r>
        <w:rPr>
          <w:color w:val="000000"/>
        </w:rPr>
        <w:t xml:space="preserve">” </w:t>
      </w:r>
      <w:r>
        <w:rPr>
          <w:rFonts w:ascii="Times New Roman;serif" w:hAnsi="Times New Roman;serif"/>
          <w:b w:val="false"/>
          <w:color w:val="000000"/>
          <w:sz w:val="22"/>
        </w:rPr>
        <w:t>means:</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75260"/>
                <wp:effectExtent l="0" t="0" r="0" b="0"/>
                <wp:wrapNone/>
                <wp:docPr id="78"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(a)    the voluntary sale, conveyance, transfer or other disposition, whether in a single transaction or a series of related transactions, of property or assets (including by way of a Sale and Leaseback Transaction), in each case outside the ordinary course of business, of any Restricted Group Member (in each case other than Capital Stock of the Company) (each referred to in this definition as a “</w:t>
      </w:r>
      <w:r>
        <w:rPr>
          <w:rFonts w:ascii="Times New Roman;serif" w:hAnsi="Times New Roman;serif"/>
          <w:b/>
          <w:color w:val="000000"/>
          <w:sz w:val="22"/>
        </w:rPr>
        <w:t>Disposition</w:t>
      </w:r>
      <w:r>
        <w:rPr>
          <w:color w:val="000000"/>
        </w:rPr>
        <w:t>”</w:t>
      </w:r>
      <w:r>
        <w:rPr>
          <w:rFonts w:ascii="Times New Roman;serif" w:hAnsi="Times New Roman;serif"/>
          <w:b w:val="false"/>
          <w:color w:val="000000"/>
          <w:sz w:val="22"/>
        </w:rPr>
        <w:t>);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the issuance or sale of Capital Stock of any Restricted Subsidiary (other than Preferred Stock or Disqualified Stock of Restricted Subsidiaries issued in compliance with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or directors’ qualifying shares and shares issued to foreign nationals as required under applicable law), whether in a single transaction or a series of related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each case, other than:</w:t>
      </w:r>
    </w:p>
    <w:p>
      <w:pPr>
        <w:pStyle w:val="TextBody"/>
        <w:bidi w:val="0"/>
        <w:spacing w:lineRule="auto" w:line="288" w:before="0" w:after="240"/>
        <w:ind w:left="0" w:right="0" w:firstLine="720"/>
        <w:jc w:val="left"/>
        <w:rPr/>
      </w:pPr>
      <w:r>
        <w:rPr>
          <w:rFonts w:ascii="Times New Roman;serif" w:hAnsi="Times New Roman;serif"/>
          <w:b w:val="false"/>
          <w:color w:val="000000"/>
          <w:sz w:val="22"/>
        </w:rPr>
        <w:t>(1)    a disposition by the Company or a Restricted Subsidiary to the Company or a Restricted Subsidiary, including pursuant to any Intercompany License Agreement;</w:t>
      </w:r>
      <w:r>
        <w:rPr>
          <w:color w:val="0000FF"/>
          <w:u w:val="single"/>
        </w:rPr>
        <w:t xml:space="preserve"> </w:t>
      </w:r>
      <w:r>
        <w:rPr>
          <w:rFonts w:ascii="Times New Roman;serif" w:hAnsi="Times New Roman;serif"/>
          <w:b w:val="false"/>
          <w:color w:val="0000FF"/>
          <w:sz w:val="22"/>
          <w:u w:val="single"/>
        </w:rPr>
        <w:t>provided if such disposition is to a Non-Loan Party, then such disposition shall be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a disposition of cash, Cash Equivalents or Investment Grade Securities, including any marketable securities portfolio owned by the Company and its Subsidiaries on the Closing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a disposition of obsolete, worn-out, uneconomic, damaged, non-core or surplus property, equipment or other assets or property, equipment or other assets that are no longer economically practical or commercially desirable to maintain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its Restricted Subsidiaries, no longer used or useful, or economically practicable to maintain, or in respect of which the Company or any Restricted Subsidiary determines in its reasonable judgment that such action or inaction is desirable);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(5)    transactions permitted under </w:t>
      </w:r>
      <w:r>
        <w:rPr>
          <w:rFonts w:ascii="Times New Roman;serif" w:hAnsi="Times New Roman;serif"/>
          <w:b w:val="false"/>
          <w:color w:val="000000"/>
          <w:sz w:val="22"/>
          <w:u w:val="single"/>
        </w:rPr>
        <w:t>Section 7.03</w:t>
      </w:r>
      <w:r>
        <w:rPr>
          <w:strike/>
          <w:color w:val="008000"/>
        </w:rPr>
        <w:t xml:space="preserve"> </w:t>
      </w:r>
      <w:r>
        <w:rPr>
          <w:rFonts w:ascii="Times New Roman;serif" w:hAnsi="Times New Roman;serif"/>
          <w:b w:val="false"/>
          <w:strike/>
          <w:color w:val="008000"/>
          <w:sz w:val="22"/>
        </w:rPr>
        <w:t xml:space="preserve">or a </w:t>
      </w:r>
      <w:r>
        <w:rPr>
          <w:rFonts w:ascii="Times New Roman;serif" w:hAnsi="Times New Roman;serif"/>
          <w:b w:val="false"/>
          <w:strike/>
          <w:color w:val="FF0000"/>
          <w:sz w:val="22"/>
        </w:rPr>
        <w:t>transaction that constitutes a Change of Control</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(6)    an issuance of Capital Stock by a Restricted Subsidiary to the Company or to another Restricted Subsidiary or as part of or pursuant to an equity incentive or compensation plan approved by the Board of Directors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(7)    any dispositions of Capital Stock</w:t>
      </w:r>
      <w:r>
        <w:rPr>
          <w:color w:val="0000FF"/>
          <w:u w:val="single"/>
        </w:rPr>
        <w:t xml:space="preserve"> </w:t>
      </w:r>
      <w:r>
        <w:rPr>
          <w:rFonts w:ascii="Times New Roman;serif" w:hAnsi="Times New Roman;serif"/>
          <w:b w:val="false"/>
          <w:color w:val="0000FF"/>
          <w:sz w:val="22"/>
          <w:u w:val="single"/>
        </w:rPr>
        <w:t xml:space="preserve">(other than </w:t>
      </w:r>
      <w:r>
        <w:rPr>
          <w:rFonts w:ascii="Times New Roman;serif" w:hAnsi="Times New Roman;serif"/>
          <w:b w:val="false"/>
          <w:color w:val="008000"/>
          <w:sz w:val="22"/>
          <w:u w:val="single"/>
        </w:rPr>
        <w:t>of any Restricted Subsidiary</w:t>
      </w:r>
      <w:r>
        <w:rPr>
          <w:rFonts w:ascii="Times New Roman;serif" w:hAnsi="Times New Roman;serif"/>
          <w:b w:val="false"/>
          <w:color w:val="0000FF"/>
          <w:sz w:val="22"/>
          <w:u w:val="single"/>
        </w:rPr>
        <w:t>)</w:t>
      </w:r>
      <w:r>
        <w:rPr>
          <w:rFonts w:ascii="Times New Roman;serif" w:hAnsi="Times New Roman;serif"/>
          <w:b w:val="false"/>
          <w:color w:val="000000"/>
          <w:sz w:val="22"/>
        </w:rPr>
        <w:t xml:space="preserve">, properties or assets in a single transaction or series of related transactions with a fair market value (as determined in good faith by the Company) of less than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75,000,000 and (ii) 15.0% of LTM EBITDA</w:t>
      </w:r>
      <w:r>
        <w:rPr>
          <w:rFonts w:ascii="Times New Roman;serif" w:hAnsi="Times New Roman;serif"/>
          <w:b w:val="false"/>
          <w:color w:val="0000FF"/>
          <w:sz w:val="22"/>
          <w:u w:val="single"/>
        </w:rPr>
        <w:t>10,000,000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(8)    any Restricted Payment that is permitted to be made, and is made, under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and the making of any Permitted Payment or Permitted Investment, or solely for purposes of </w:t>
      </w:r>
      <w:r>
        <w:rPr>
          <w:rFonts w:ascii="Times New Roman;serif" w:hAnsi="Times New Roman;serif"/>
          <w:b w:val="false"/>
          <w:color w:val="000000"/>
          <w:sz w:val="22"/>
          <w:u w:val="single"/>
        </w:rPr>
        <w:t xml:space="preserve">Section </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75260"/>
                <wp:effectExtent l="0" t="0" r="0" b="0"/>
                <wp:wrapNone/>
                <wp:docPr id="79"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u w:val="single"/>
        </w:rPr>
        <w:t>7.04(a)(3)</w:t>
      </w:r>
      <w:r>
        <w:rPr>
          <w:rFonts w:ascii="Times New Roman;serif" w:hAnsi="Times New Roman;serif"/>
          <w:b w:val="false"/>
          <w:color w:val="000000"/>
          <w:sz w:val="22"/>
        </w:rPr>
        <w:t xml:space="preserve">, asset sales, the proceeds of which are used to make such </w:t>
      </w:r>
      <w:r>
        <w:rPr>
          <w:rFonts w:ascii="Times New Roman;serif" w:hAnsi="Times New Roman;serif"/>
          <w:b w:val="false"/>
          <w:strike/>
          <w:color w:val="FF0000"/>
          <w:sz w:val="22"/>
        </w:rPr>
        <w:t xml:space="preserve">Restricted Payments or </w:t>
      </w:r>
      <w:r>
        <w:rPr>
          <w:rFonts w:ascii="Times New Roman;serif" w:hAnsi="Times New Roman;serif"/>
          <w:b w:val="false"/>
          <w:color w:val="000000"/>
          <w:sz w:val="22"/>
        </w:rPr>
        <w:t>Permitted Investments;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(9)    dispositions in connection with Permitted Liens</w:t>
      </w:r>
      <w:r>
        <w:rPr>
          <w:rFonts w:ascii="Times New Roman;serif" w:hAnsi="Times New Roman;serif"/>
          <w:b w:val="false"/>
          <w:strike/>
          <w:color w:val="FF0000"/>
          <w:sz w:val="22"/>
        </w:rPr>
        <w:t xml:space="preserve">, Permitted </w:t>
      </w:r>
      <w:r>
        <w:rPr>
          <w:rFonts w:ascii="Times New Roman;serif" w:hAnsi="Times New Roman;serif"/>
          <w:b w:val="false"/>
          <w:strike/>
          <w:color w:val="008000"/>
          <w:sz w:val="22"/>
        </w:rPr>
        <w:t>Intercompany Activities</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rPr>
        <w:t>Permitted Tax Restructurings</w:t>
      </w:r>
      <w:r>
        <w:rPr>
          <w:strike/>
          <w:color w:val="FF0000"/>
        </w:rPr>
        <w:t xml:space="preserve"> </w:t>
      </w:r>
      <w:r>
        <w:rPr>
          <w:rFonts w:ascii="Times New Roman;serif" w:hAnsi="Times New Roman;serif"/>
          <w:b w:val="false"/>
          <w:strike/>
          <w:color w:val="FF0000"/>
          <w:sz w:val="22"/>
        </w:rPr>
        <w:t>and related transactions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(10)    dispositions of receivables in connection with the compromise, settlement or collection thereof in the ordinary course of business or consistent with past practice or in bankruptcy or similar proceedings and exclusive of factoring or similar arrangements;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(11)    conveyances, sales, transfers, licenses, sublicenses, cross-licenses or other dispositions of intellectual property, software or other general intangibles and licenses, sublicenses, cross-licenses (including the provision of software under an open source license), leases or subleases of other property, in each case, in the ordinary course of business or consistent with past practice or pursuant to a research or development agreement in which the counterparty to such agreement receives a </w:t>
      </w:r>
      <w:r>
        <w:rPr>
          <w:rFonts w:ascii="Times New Roman;serif" w:hAnsi="Times New Roman;serif"/>
          <w:b w:val="false"/>
          <w:color w:val="0000FF"/>
          <w:sz w:val="22"/>
          <w:u w:val="single"/>
        </w:rPr>
        <w:t xml:space="preserve">non-exclusive </w:t>
      </w:r>
      <w:r>
        <w:rPr>
          <w:rFonts w:ascii="Times New Roman;serif" w:hAnsi="Times New Roman;serif"/>
          <w:b w:val="false"/>
          <w:color w:val="000000"/>
          <w:sz w:val="22"/>
        </w:rPr>
        <w:t>license in the intellectual property or software that result from such agreement</w:t>
      </w:r>
      <w:r>
        <w:rPr>
          <w:rFonts w:ascii="Times New Roman;serif" w:hAnsi="Times New Roman;serif"/>
          <w:b w:val="false"/>
          <w:color w:val="0000FF"/>
          <w:sz w:val="22"/>
          <w:u w:val="single"/>
        </w:rPr>
        <w:t>, in each case in this clause (11) not interfering, individually or in the aggregate, in any material respect with the business of the Company and its Restricted Subsidiaries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2"/>
        </w:rPr>
        <w:t>(12)    the lease, assignment, license, sublease or sublicense of any real or personal property in the ordinary course of business or consistent with industry practice;</w:t>
      </w:r>
      <w:r>
        <w:rPr>
          <w:color w:val="0000FF"/>
          <w:u w:val="single"/>
        </w:rPr>
        <w:t xml:space="preserve"> </w:t>
      </w:r>
      <w:r>
        <w:rPr>
          <w:rFonts w:ascii="Times New Roman;serif" w:hAnsi="Times New Roman;serif"/>
          <w:b w:val="false"/>
          <w:color w:val="0000FF"/>
          <w:sz w:val="22"/>
          <w:u w:val="single"/>
        </w:rPr>
        <w:t xml:space="preserve">in each case in this clause (12) not interfering, individually or in the aggregate, in any material respect with the business of the Company and its Restricted Subsidiaries;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(13)    foreclosure, condemnation, expropriation, forced disposition or any similar action with respect to any property or other assets or the granting of Liens not prohibited by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(14)    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(15)    </w:t>
      </w:r>
      <w:r>
        <w:rPr>
          <w:rFonts w:ascii="Times New Roman;serif" w:hAnsi="Times New Roman;serif"/>
          <w:b w:val="false"/>
          <w:strike/>
          <w:color w:val="FF0000"/>
          <w:sz w:val="22"/>
        </w:rPr>
        <w:t>any issuance or sale of Capital Stock in, or Indebtedness or other securities of, an Unrestricted Subsidiary or any other disposition of Capital Stock, Indebtedness or other securities of an Unrestricted Subsidiary or an Immaterial Subsidiary;</w:t>
      </w:r>
      <w:r>
        <w:rPr>
          <w:rFonts w:ascii="Times New Roman;serif" w:hAnsi="Times New Roman;serif"/>
          <w:b w:val="false"/>
          <w:color w:val="0000FF"/>
          <w:sz w:val="22"/>
          <w:u w:val="single"/>
        </w:rPr>
        <w:t>[reserved];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(16)    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(17)    (i) dispositions of property </w:t>
      </w:r>
      <w:r>
        <w:rPr>
          <w:rFonts w:ascii="Times New Roman;serif" w:hAnsi="Times New Roman;serif"/>
          <w:b w:val="false"/>
          <w:strike/>
          <w:color w:val="FF0000"/>
          <w:sz w:val="22"/>
        </w:rPr>
        <w:t xml:space="preserve">to the extent that </w:t>
      </w:r>
      <w:r>
        <w:rPr>
          <w:rFonts w:ascii="Times New Roman;serif" w:hAnsi="Times New Roman;serif"/>
          <w:b w:val="false"/>
          <w:color w:val="008000"/>
          <w:sz w:val="22"/>
          <w:u w:val="single"/>
        </w:rPr>
        <w:t xml:space="preserve">(other than </w:t>
      </w:r>
      <w:r>
        <w:rPr>
          <w:rFonts w:ascii="Times New Roman;serif" w:hAnsi="Times New Roman;serif"/>
          <w:b w:val="false"/>
          <w:color w:val="0000FF"/>
          <w:sz w:val="22"/>
          <w:u w:val="single"/>
        </w:rPr>
        <w:t xml:space="preserve">Collateral unless the replacement property becomes Collateral) for not less than fair market value so long as </w:t>
      </w:r>
      <w:r>
        <w:rPr>
          <w:rFonts w:ascii="Times New Roman;serif" w:hAnsi="Times New Roman;serif"/>
          <w:b w:val="false"/>
          <w:color w:val="000000"/>
          <w:sz w:val="22"/>
        </w:rPr>
        <w:t>such property is exchanged for credit against the purchase price of similar replacement property that is promptly purchased</w:t>
      </w:r>
      <w:r>
        <w:rPr>
          <w:color w:val="0000FF"/>
          <w:u w:val="single"/>
        </w:rPr>
        <w:t xml:space="preserve"> </w:t>
      </w:r>
      <w:r>
        <w:rPr>
          <w:rFonts w:ascii="Times New Roman;serif" w:hAnsi="Times New Roman;serif"/>
          <w:b w:val="false"/>
          <w:color w:val="0000FF"/>
          <w:sz w:val="22"/>
          <w:u w:val="single"/>
        </w:rPr>
        <w:t>for not greater than fair market value</w:t>
      </w:r>
      <w:r>
        <w:rPr>
          <w:rFonts w:ascii="Times New Roman;serif" w:hAnsi="Times New Roman;serif"/>
          <w:b w:val="false"/>
          <w:color w:val="000000"/>
          <w:sz w:val="22"/>
        </w:rPr>
        <w:t xml:space="preserve">, (ii) dispositions of property </w:t>
      </w:r>
      <w:r>
        <w:rPr>
          <w:rFonts w:ascii="Times New Roman;serif" w:hAnsi="Times New Roman;serif"/>
          <w:b w:val="false"/>
          <w:strike/>
          <w:color w:val="FF0000"/>
          <w:sz w:val="22"/>
        </w:rPr>
        <w:t>to the extent that</w:t>
      </w:r>
      <w:r>
        <w:rPr>
          <w:rFonts w:ascii="Times New Roman;serif" w:hAnsi="Times New Roman;serif"/>
          <w:b w:val="false"/>
          <w:color w:val="0000FF"/>
          <w:sz w:val="22"/>
          <w:u w:val="single"/>
        </w:rPr>
        <w:t>so long as (x) for not less than fair market value and (y)</w:t>
      </w:r>
      <w:r>
        <w:rPr>
          <w:color w:val="000000"/>
        </w:rPr>
        <w:t xml:space="preserve"> </w:t>
      </w:r>
      <w:r>
        <w:rPr>
          <w:rFonts w:ascii="Times New Roman;serif" w:hAnsi="Times New Roman;serif"/>
          <w:b w:val="false"/>
          <w:color w:val="000000"/>
          <w:sz w:val="22"/>
        </w:rPr>
        <w:t>the proceeds of such disposition are promptly applied to the purchase price of such replacement property (which replacement property is actually promptly purchased</w:t>
      </w:r>
      <w:r>
        <w:rPr>
          <w:color w:val="0000FF"/>
          <w:u w:val="single"/>
        </w:rPr>
        <w:t xml:space="preserve"> </w:t>
      </w:r>
      <w:r>
        <w:rPr>
          <w:rFonts w:ascii="Times New Roman;serif" w:hAnsi="Times New Roman;serif"/>
          <w:b w:val="false"/>
          <w:color w:val="0000FF"/>
          <w:sz w:val="22"/>
          <w:u w:val="single"/>
        </w:rPr>
        <w:t>for not greater than fair market value</w:t>
      </w:r>
      <w:r>
        <w:rPr>
          <w:rFonts w:ascii="Times New Roman;serif" w:hAnsi="Times New Roman;serif"/>
          <w:b w:val="false"/>
          <w:color w:val="000000"/>
          <w:sz w:val="22"/>
        </w:rPr>
        <w:t xml:space="preserve">) and (iii) to the extent treated as tax-free under Section 1031 of the Code or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75260"/>
                <wp:effectExtent l="0" t="0" r="0" b="0"/>
                <wp:wrapNone/>
                <wp:docPr id="80"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comparable law or regulation, any exchange of like property (excluding any boot thereon) for use in a Similar Business;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(18)    any disposition of assets of the type specified in the definitions of Securitization Assets or Receivables Assets, or participations </w:t>
      </w:r>
      <w:r>
        <w:rPr>
          <w:rFonts w:ascii="Times New Roman;serif" w:hAnsi="Times New Roman;serif"/>
          <w:b w:val="false"/>
          <w:strike/>
          <w:color w:val="FF0000"/>
          <w:sz w:val="22"/>
        </w:rPr>
        <w:t xml:space="preserve">therein, including </w:t>
      </w:r>
      <w:r>
        <w:rPr>
          <w:rFonts w:ascii="Times New Roman;serif" w:hAnsi="Times New Roman;serif"/>
          <w:b w:val="false"/>
          <w:color w:val="000000"/>
          <w:sz w:val="22"/>
        </w:rPr>
        <w:t>in connection with any Qualified Securitization Financing or Receivables Facility</w:t>
      </w:r>
      <w:r>
        <w:rPr>
          <w:rFonts w:ascii="Times New Roman;serif" w:hAnsi="Times New Roman;serif"/>
          <w:b w:val="false"/>
          <w:color w:val="0000FF"/>
          <w:sz w:val="22"/>
          <w:u w:val="single"/>
        </w:rPr>
        <w:t xml:space="preserve">, in each case, </w:t>
      </w:r>
      <w:r>
        <w:rPr>
          <w:rFonts w:ascii="Times New Roman;serif" w:hAnsi="Times New Roman;serif"/>
          <w:b w:val="false"/>
          <w:color w:val="008000"/>
          <w:sz w:val="22"/>
          <w:u w:val="single"/>
        </w:rPr>
        <w:t xml:space="preserve">to the extent permitted under Section </w:t>
      </w:r>
      <w:r>
        <w:rPr>
          <w:rFonts w:ascii="Times New Roman;serif" w:hAnsi="Times New Roman;serif"/>
          <w:b w:val="false"/>
          <w:color w:val="0000FF"/>
          <w:sz w:val="22"/>
          <w:u w:val="single"/>
        </w:rPr>
        <w:t>7.01(b)(15)</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(19)    any financing transaction with respect to property constructed, acquired, leased, renewed, relocated, expanded, replaced, repaired, maintained, upgraded or improved (including any reconstruction, refurbishment, renovation and/or development of real property) by the Company or any Restricted Subsidiary after the Closing Date, including Sale and Leaseback Transactions </w:t>
      </w:r>
      <w:r>
        <w:rPr>
          <w:rFonts w:ascii="Times New Roman;serif" w:hAnsi="Times New Roman;serif"/>
          <w:b w:val="false"/>
          <w:strike/>
          <w:color w:val="FF0000"/>
          <w:sz w:val="22"/>
        </w:rPr>
        <w:t xml:space="preserve">and asset securitizations, </w:t>
      </w:r>
      <w:r>
        <w:rPr>
          <w:rFonts w:ascii="Times New Roman;serif" w:hAnsi="Times New Roman;serif"/>
          <w:b w:val="false"/>
          <w:strike/>
          <w:color w:val="008000"/>
          <w:sz w:val="22"/>
        </w:rPr>
        <w:t xml:space="preserve">not prohibited by </w:t>
      </w:r>
      <w:r>
        <w:rPr>
          <w:rFonts w:ascii="Times New Roman;serif" w:hAnsi="Times New Roman;serif"/>
          <w:b w:val="false"/>
          <w:color w:val="0000FF"/>
          <w:sz w:val="22"/>
          <w:u w:val="single"/>
        </w:rPr>
        <w:t>consisting of non-core assets and properties acquired in the Owen Mumford Acquisition</w:t>
      </w:r>
      <w:r>
        <w:rPr>
          <w:rFonts w:ascii="Times New Roman;serif" w:hAnsi="Times New Roman;serif"/>
          <w:b w:val="false"/>
          <w:color w:val="008000"/>
          <w:sz w:val="22"/>
          <w:u w:val="single"/>
        </w:rPr>
        <w:t xml:space="preserve">; </w:t>
      </w:r>
      <w:r>
        <w:rPr>
          <w:rFonts w:ascii="Times New Roman;serif" w:hAnsi="Times New Roman;serif"/>
          <w:b w:val="false"/>
          <w:i/>
          <w:color w:val="008000"/>
          <w:sz w:val="22"/>
          <w:u w:val="single"/>
        </w:rPr>
        <w:t>provided</w:t>
      </w:r>
      <w:r>
        <w:rPr>
          <w:color w:val="008000"/>
          <w:u w:val="single"/>
        </w:rPr>
        <w:t xml:space="preserve"> </w:t>
      </w:r>
      <w:r>
        <w:rPr>
          <w:rFonts w:ascii="Times New Roman;serif" w:hAnsi="Times New Roman;serif"/>
          <w:b w:val="false"/>
          <w:color w:val="008000"/>
          <w:sz w:val="22"/>
          <w:u w:val="single"/>
        </w:rPr>
        <w:t xml:space="preserve">that such </w:t>
      </w:r>
      <w:r>
        <w:rPr>
          <w:rFonts w:ascii="Times New Roman;serif" w:hAnsi="Times New Roman;serif"/>
          <w:b w:val="false"/>
          <w:color w:val="0000FF"/>
          <w:sz w:val="22"/>
          <w:u w:val="single"/>
        </w:rPr>
        <w:t xml:space="preserve">Sale and Leaseback Transactions shall not exceed $25,000,000 in aggregate during the term of </w:t>
      </w:r>
      <w:r>
        <w:rPr>
          <w:rFonts w:ascii="Times New Roman;serif" w:hAnsi="Times New Roman;serif"/>
          <w:b w:val="false"/>
          <w:color w:val="000000"/>
          <w:sz w:val="22"/>
        </w:rPr>
        <w:t>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(20)    sales, transfers or other dispositions of Investments in joint ventures or similar entities to the extent required by, or made pursuant to customary buy/sell arrangements between, the parties set forth in joint venture arrangements and similar binding arrangements</w:t>
      </w:r>
      <w:r>
        <w:rPr>
          <w:rFonts w:ascii="Times New Roman;serif" w:hAnsi="Times New Roman;serif"/>
          <w:b w:val="false"/>
          <w:strike/>
          <w:color w:val="FF0000"/>
          <w:sz w:val="22"/>
        </w:rPr>
        <w:t>;</w:t>
      </w:r>
      <w:r>
        <w:rPr>
          <w:rFonts w:ascii="Times New Roman;serif" w:hAnsi="Times New Roman;serif"/>
          <w:b w:val="false"/>
          <w:color w:val="0000FF"/>
          <w:sz w:val="22"/>
          <w:u w:val="single"/>
        </w:rPr>
        <w:t xml:space="preserve">, in each case to the extent </w:t>
      </w:r>
      <w:r>
        <w:rPr>
          <w:rFonts w:ascii="Times New Roman;serif" w:hAnsi="Times New Roman;serif"/>
          <w:b w:val="false"/>
          <w:color w:val="008000"/>
          <w:sz w:val="22"/>
          <w:u w:val="single"/>
        </w:rPr>
        <w:t xml:space="preserve">not prohibited by </w:t>
      </w:r>
      <w:r>
        <w:rPr>
          <w:rFonts w:ascii="Times New Roman;serif" w:hAnsi="Times New Roman;serif"/>
          <w:b w:val="false"/>
          <w:color w:val="0000FF"/>
          <w:sz w:val="22"/>
          <w:u w:val="single"/>
        </w:rPr>
        <w:t xml:space="preserve">this Agreement;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principal amount of such sales, transfers or other dispositions shall not exceed $5,000,000 during the term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(21)    any surrender or waiver of contractual rights or the settlement, release, surrender or waiver of contractual, tort, litigation or other claims of any kind</w:t>
      </w:r>
      <w:r>
        <w:rPr>
          <w:rFonts w:ascii="Times New Roman;serif" w:hAnsi="Times New Roman;serif"/>
          <w:b w:val="false"/>
          <w:color w:val="0000FF"/>
          <w:sz w:val="22"/>
          <w:u w:val="single"/>
        </w:rPr>
        <w:t>, in each case, in the ordinary course of business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(22)    the unwinding of any Obligations in respect of Cash Management Agreements or Swap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(23)    transfers of property or assets subject to Casualty Events upon receipt of the Net Cash Proceeds of such Casualty Event;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Cash Equivalents received by the Company or any of its Restricted Subsidiaries in respect of such Casualty Event shall be deemed to be Net Cash Proceeds of an Asset Disposition, and such Net Cash Proceeds shall be applied in accordance with </w:t>
      </w:r>
      <w:r>
        <w:rPr>
          <w:rFonts w:ascii="Times New Roman;serif" w:hAnsi="Times New Roman;serif"/>
          <w:b w:val="false"/>
          <w:color w:val="000000"/>
          <w:sz w:val="22"/>
          <w:u w:val="single"/>
        </w:rPr>
        <w:t>Section 2.05(b)(ii)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(24)    any disposition to a Captive Insurance Subsidiary</w:t>
      </w:r>
      <w:r>
        <w:rPr>
          <w:color w:val="0000FF"/>
          <w:u w:val="single"/>
        </w:rPr>
        <w:t xml:space="preserve"> </w:t>
      </w:r>
      <w:r>
        <w:rPr>
          <w:rFonts w:ascii="Times New Roman;serif" w:hAnsi="Times New Roman;serif"/>
          <w:b w:val="false"/>
          <w:color w:val="0000FF"/>
          <w:sz w:val="22"/>
          <w:u w:val="single"/>
        </w:rPr>
        <w:t>in the ordinary course of business or consistent with past practice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(25)    </w:t>
      </w:r>
      <w:r>
        <w:rPr>
          <w:rFonts w:ascii="Times New Roman;serif" w:hAnsi="Times New Roman;serif"/>
          <w:b w:val="false"/>
          <w:strike/>
          <w:color w:val="FF0000"/>
          <w:sz w:val="22"/>
        </w:rPr>
        <w:t xml:space="preserve">any sale of property or assets, if the acquisition of such property or assets was financed with Excluded Contributions and the proceeds of such sale are used to make a Restricted Payment </w:t>
      </w:r>
      <w:r>
        <w:rPr>
          <w:rFonts w:ascii="Times New Roman;serif" w:hAnsi="Times New Roman;serif"/>
          <w:b w:val="false"/>
          <w:strike/>
          <w:color w:val="008000"/>
          <w:sz w:val="22"/>
        </w:rPr>
        <w:t xml:space="preserve">pursuant to </w:t>
      </w:r>
      <w:r>
        <w:rPr>
          <w:rFonts w:ascii="Times New Roman;serif" w:hAnsi="Times New Roman;serif"/>
          <w:b w:val="false"/>
          <w:strike/>
          <w:color w:val="008000"/>
          <w:sz w:val="22"/>
          <w:u w:val="single"/>
        </w:rPr>
        <w:t>clause (</w:t>
      </w:r>
      <w:r>
        <w:rPr>
          <w:rFonts w:ascii="Times New Roman;serif" w:hAnsi="Times New Roman;serif"/>
          <w:b w:val="false"/>
          <w:strike/>
          <w:color w:val="FF0000"/>
          <w:sz w:val="22"/>
          <w:u w:val="single"/>
        </w:rPr>
        <w:t>10)(b)</w:t>
      </w:r>
      <w:r>
        <w:rPr>
          <w:strike/>
          <w:color w:val="FF0000"/>
        </w:rPr>
        <w:t xml:space="preserve"> </w:t>
      </w:r>
      <w:r>
        <w:rPr>
          <w:rFonts w:ascii="Times New Roman;serif" w:hAnsi="Times New Roman;serif"/>
          <w:b w:val="false"/>
          <w:strike/>
          <w:color w:val="FF0000"/>
          <w:sz w:val="22"/>
        </w:rPr>
        <w:t xml:space="preserve">under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w:t>
      </w:r>
      <w:r>
        <w:rPr>
          <w:rFonts w:ascii="Times New Roman;serif" w:hAnsi="Times New Roman;serif"/>
          <w:b w:val="false"/>
          <w:color w:val="0000FF"/>
          <w:sz w:val="22"/>
          <w:u w:val="single"/>
        </w:rPr>
        <w:t>[reserved];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(26)    the disposition of any assets (including Capital Stock) (i) acquired in a transaction after the Closing Date, which assets are not useful in the core or principal business of the Company and its Restricted Subsidiaries, or (ii) made in connection with the approval of any applicable antitrust authority or otherwise necessary or advisable in the reasonable determination of the Company to consummate any acquisition;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(27)    any sale, transfer or other disposition to </w:t>
      </w:r>
      <w:r>
        <w:rPr>
          <w:rFonts w:ascii="Times New Roman;serif" w:hAnsi="Times New Roman;serif"/>
          <w:b w:val="false"/>
          <w:strike/>
          <w:color w:val="FF0000"/>
          <w:sz w:val="22"/>
        </w:rPr>
        <w:t>affect</w:t>
      </w:r>
      <w:r>
        <w:rPr>
          <w:rFonts w:ascii="Times New Roman;serif" w:hAnsi="Times New Roman;serif"/>
          <w:b w:val="false"/>
          <w:color w:val="0000FF"/>
          <w:sz w:val="22"/>
          <w:u w:val="single"/>
        </w:rPr>
        <w:t>effect</w:t>
      </w:r>
      <w:r>
        <w:rPr>
          <w:color w:val="000000"/>
        </w:rPr>
        <w:t xml:space="preserve"> </w:t>
      </w:r>
      <w:r>
        <w:rPr>
          <w:rFonts w:ascii="Times New Roman;serif" w:hAnsi="Times New Roman;serif"/>
          <w:b w:val="false"/>
          <w:color w:val="000000"/>
          <w:sz w:val="22"/>
        </w:rPr>
        <w:t xml:space="preserve">the formation of any Subsidiary that is a Divided LLC;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upon formation of such Divided LLC, such Divided LLC shall be a Restricted Subsidiary if the entity was a Restricted Subsidiary prior to the formation of such Divided LLC;</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81"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(28)    any disposition of (i) non-revenue producing assets to a Person who is providing services related to such assets, the provision of which have been or are to be outsourced by the Company or any Restricted Subsidiary to such Person, (ii) de minimis amounts of equipment provided to employees of the Company or any Subsidiary or (iii) samples, including time-limited evaluation software, provided to </w:t>
      </w:r>
      <w:r>
        <w:rPr>
          <w:rFonts w:ascii="Times New Roman;serif" w:hAnsi="Times New Roman;serif"/>
          <w:b w:val="false"/>
          <w:strike/>
          <w:color w:val="FF0000"/>
          <w:sz w:val="22"/>
        </w:rPr>
        <w:t>customer</w:t>
      </w:r>
      <w:r>
        <w:rPr>
          <w:rFonts w:ascii="Times New Roman;serif" w:hAnsi="Times New Roman;serif"/>
          <w:b w:val="false"/>
          <w:color w:val="0000FF"/>
          <w:sz w:val="22"/>
          <w:u w:val="single"/>
        </w:rPr>
        <w:t>customers</w:t>
      </w:r>
      <w:r>
        <w:rPr>
          <w:color w:val="000000"/>
        </w:rPr>
        <w:t xml:space="preserve"> </w:t>
      </w:r>
      <w:r>
        <w:rPr>
          <w:rFonts w:ascii="Times New Roman;serif" w:hAnsi="Times New Roman;serif"/>
          <w:b w:val="false"/>
          <w:color w:val="000000"/>
          <w:sz w:val="22"/>
        </w:rPr>
        <w:t>or prospective customers;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(29)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(30)    any disposition to effect the Transactions;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(31)    other sales or Dispositions in an </w:t>
      </w:r>
      <w:r>
        <w:rPr>
          <w:rFonts w:ascii="Times New Roman;serif" w:hAnsi="Times New Roman;serif"/>
          <w:b w:val="false"/>
          <w:color w:val="0000FF"/>
          <w:sz w:val="22"/>
          <w:u w:val="single"/>
        </w:rPr>
        <w:t xml:space="preserve">aggregate </w:t>
      </w:r>
      <w:r>
        <w:rPr>
          <w:rFonts w:ascii="Times New Roman;serif" w:hAnsi="Times New Roman;serif"/>
          <w:b w:val="false"/>
          <w:color w:val="000000"/>
          <w:sz w:val="22"/>
        </w:rPr>
        <w:t xml:space="preserve">amount not to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175,000,000 and (ii) 35.0% of LTM EBITDA</w:t>
      </w:r>
      <w:r>
        <w:rPr>
          <w:rFonts w:ascii="Times New Roman;serif" w:hAnsi="Times New Roman;serif"/>
          <w:b w:val="false"/>
          <w:color w:val="0000FF"/>
          <w:sz w:val="22"/>
          <w:u w:val="single"/>
        </w:rPr>
        <w:t>10,000,000 during the term of this Agreement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Notwithstanding anything to the contrary contained in this Agreement, including, without limitation, this defined term and Section 7.04, (i) </w:t>
      </w:r>
      <w:r>
        <w:rPr>
          <w:rFonts w:ascii="Times New Roman;serif" w:hAnsi="Times New Roman;serif"/>
          <w:b w:val="false"/>
          <w:color w:val="008000"/>
          <w:sz w:val="22"/>
          <w:u w:val="single"/>
        </w:rPr>
        <w:t xml:space="preserve">the aggregate </w:t>
      </w:r>
      <w:r>
        <w:rPr>
          <w:rFonts w:ascii="Times New Roman;serif" w:hAnsi="Times New Roman;serif"/>
          <w:b w:val="false"/>
          <w:color w:val="0000FF"/>
          <w:sz w:val="22"/>
          <w:u w:val="single"/>
        </w:rPr>
        <w:t xml:space="preserve">fair market value of all sales, conveyances, transfers or other dispositions by the Loan Parties to the Non-Loan Party Subsidiaries (other than </w:t>
      </w:r>
      <w:r>
        <w:rPr>
          <w:rFonts w:ascii="Times New Roman;serif" w:hAnsi="Times New Roman;serif"/>
          <w:b w:val="false"/>
          <w:color w:val="008000"/>
          <w:sz w:val="22"/>
          <w:u w:val="single"/>
        </w:rPr>
        <w:t>pursuant to clauses (</w:t>
      </w:r>
      <w:r>
        <w:rPr>
          <w:rFonts w:ascii="Times New Roman;serif" w:hAnsi="Times New Roman;serif"/>
          <w:b w:val="false"/>
          <w:color w:val="0000FF"/>
          <w:sz w:val="22"/>
          <w:u w:val="single"/>
        </w:rPr>
        <w:t>b)(1), (b)(3), (b)(9</w:t>
      </w:r>
      <w:r>
        <w:rPr>
          <w:rFonts w:ascii="Times New Roman;serif" w:hAnsi="Times New Roman;serif"/>
          <w:b w:val="false"/>
          <w:color w:val="008000"/>
          <w:sz w:val="22"/>
          <w:u w:val="single"/>
        </w:rPr>
        <w:t>) and (b)</w:t>
      </w:r>
      <w:r>
        <w:rPr>
          <w:rFonts w:ascii="Times New Roman;serif" w:hAnsi="Times New Roman;serif"/>
          <w:b w:val="false"/>
          <w:color w:val="0000FF"/>
          <w:sz w:val="22"/>
          <w:u w:val="single"/>
        </w:rPr>
        <w:t xml:space="preserve">(11) above) shall not exceed $10,000,000 during the term </w:t>
      </w:r>
      <w:r>
        <w:rPr>
          <w:rFonts w:ascii="Times New Roman;serif" w:hAnsi="Times New Roman;serif"/>
          <w:b w:val="false"/>
          <w:color w:val="008000"/>
          <w:sz w:val="22"/>
          <w:u w:val="single"/>
        </w:rPr>
        <w:t xml:space="preserve">of this </w:t>
      </w:r>
      <w:r>
        <w:rPr>
          <w:rFonts w:ascii="Times New Roman;serif" w:hAnsi="Times New Roman;serif"/>
          <w:b w:val="false"/>
          <w:color w:val="0000FF"/>
          <w:sz w:val="22"/>
          <w:u w:val="single"/>
        </w:rPr>
        <w:t xml:space="preserve">Agreement, (ii) in connection with any sale, conveyance, transfer or other disposition by a Loan Party to a Non-Loan Party Subsidiary, such Non-Loan Party Subsidiary shall not pay less than an amount equal to </w:t>
      </w:r>
      <w:r>
        <w:rPr>
          <w:rFonts w:ascii="Times New Roman;serif" w:hAnsi="Times New Roman;serif"/>
          <w:b w:val="false"/>
          <w:color w:val="008000"/>
          <w:sz w:val="22"/>
          <w:u w:val="single"/>
        </w:rPr>
        <w:t xml:space="preserve">the fair market value </w:t>
      </w:r>
      <w:r>
        <w:rPr>
          <w:rFonts w:ascii="Times New Roman;serif" w:hAnsi="Times New Roman;serif"/>
          <w:b w:val="false"/>
          <w:color w:val="0000FF"/>
          <w:sz w:val="22"/>
          <w:u w:val="single"/>
        </w:rPr>
        <w:t>(</w:t>
      </w:r>
      <w:r>
        <w:rPr>
          <w:rFonts w:ascii="Times New Roman;serif" w:hAnsi="Times New Roman;serif"/>
          <w:b w:val="false"/>
          <w:color w:val="008000"/>
          <w:sz w:val="22"/>
          <w:u w:val="single"/>
        </w:rPr>
        <w:t>as determined in good faith by the Company</w:t>
      </w:r>
      <w:r>
        <w:rPr>
          <w:rFonts w:ascii="Times New Roman;serif" w:hAnsi="Times New Roman;serif"/>
          <w:b w:val="false"/>
          <w:color w:val="0000FF"/>
          <w:sz w:val="22"/>
          <w:u w:val="single"/>
        </w:rPr>
        <w:t xml:space="preserve">) at the time of such sale, conveyance, transfer </w:t>
      </w:r>
      <w:r>
        <w:rPr>
          <w:rFonts w:ascii="Times New Roman;serif" w:hAnsi="Times New Roman;serif"/>
          <w:b w:val="false"/>
          <w:color w:val="008000"/>
          <w:sz w:val="22"/>
          <w:u w:val="single"/>
        </w:rPr>
        <w:t xml:space="preserve">or other disposition </w:t>
      </w:r>
      <w:r>
        <w:rPr>
          <w:rFonts w:ascii="Times New Roman;serif" w:hAnsi="Times New Roman;serif"/>
          <w:b w:val="false"/>
          <w:color w:val="0000FF"/>
          <w:sz w:val="22"/>
          <w:u w:val="single"/>
        </w:rPr>
        <w:t xml:space="preserve">and (iii) in connection with any such sale, conveyance, transfer </w:t>
      </w:r>
      <w:r>
        <w:rPr>
          <w:rFonts w:ascii="Times New Roman;serif" w:hAnsi="Times New Roman;serif"/>
          <w:b w:val="false"/>
          <w:color w:val="008000"/>
          <w:sz w:val="22"/>
          <w:u w:val="single"/>
        </w:rPr>
        <w:t xml:space="preserve">or other </w:t>
      </w:r>
      <w:r>
        <w:rPr>
          <w:rFonts w:ascii="Times New Roman;serif" w:hAnsi="Times New Roman;serif"/>
          <w:b w:val="false"/>
          <w:color w:val="0000FF"/>
          <w:sz w:val="22"/>
          <w:u w:val="single"/>
        </w:rPr>
        <w:t xml:space="preserve">disposition </w:t>
      </w:r>
      <w:r>
        <w:rPr>
          <w:rFonts w:ascii="Times New Roman;serif" w:hAnsi="Times New Roman;serif"/>
          <w:b w:val="false"/>
          <w:color w:val="008000"/>
          <w:sz w:val="22"/>
          <w:u w:val="single"/>
        </w:rPr>
        <w:t xml:space="preserve">by a </w:t>
      </w:r>
      <w:r>
        <w:rPr>
          <w:rFonts w:ascii="Times New Roman;serif" w:hAnsi="Times New Roman;serif"/>
          <w:b w:val="false"/>
          <w:color w:val="0000FF"/>
          <w:sz w:val="22"/>
          <w:u w:val="single"/>
        </w:rPr>
        <w:t xml:space="preserve">Non-Loan Party Subsidiary to a Loan Party, such Loan Party shall not pay more than an amount equal to the fair market value (as determined in good faith </w:t>
      </w:r>
      <w:r>
        <w:rPr>
          <w:rFonts w:ascii="Times New Roman;serif" w:hAnsi="Times New Roman;serif"/>
          <w:b w:val="false"/>
          <w:color w:val="008000"/>
          <w:sz w:val="22"/>
          <w:u w:val="single"/>
        </w:rPr>
        <w:t>by the Company</w:t>
      </w:r>
      <w:r>
        <w:rPr>
          <w:rFonts w:ascii="Times New Roman;serif" w:hAnsi="Times New Roman;serif"/>
          <w:b w:val="false"/>
          <w:color w:val="0000FF"/>
          <w:sz w:val="22"/>
          <w:u w:val="single"/>
        </w:rPr>
        <w:t xml:space="preserve">) at the time of such sale, conveyance, transfer </w:t>
      </w:r>
      <w:r>
        <w:rPr>
          <w:rFonts w:ascii="Times New Roman;serif" w:hAnsi="Times New Roman;serif"/>
          <w:b w:val="false"/>
          <w:color w:val="008000"/>
          <w:sz w:val="22"/>
          <w:u w:val="single"/>
        </w:rPr>
        <w:t>or other disposition</w:t>
      </w:r>
      <w:r>
        <w:rPr>
          <w:rFonts w:ascii="Times New Roman;serif" w:hAnsi="Times New Roman;serif"/>
          <w:b w:val="false"/>
          <w:color w:val="0000FF"/>
          <w:sz w:val="22"/>
          <w:u w:val="single"/>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In the event that a transaction (or any portion thereof) meets the criteria of a permitted Asset Disposition and would also be a Permitted Investment or an Investment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the Company, in its sole discretion, will be entitled </w:t>
      </w:r>
      <w:r>
        <w:rPr>
          <w:rFonts w:ascii="Times New Roman;serif" w:hAnsi="Times New Roman;serif"/>
          <w:b w:val="false"/>
          <w:color w:val="0000FF"/>
          <w:sz w:val="22"/>
          <w:u w:val="single"/>
        </w:rPr>
        <w:t xml:space="preserve">at the time such Asset Disposition is made </w:t>
      </w:r>
      <w:r>
        <w:rPr>
          <w:rFonts w:ascii="Times New Roman;serif" w:hAnsi="Times New Roman;serif"/>
          <w:b w:val="false"/>
          <w:color w:val="000000"/>
          <w:sz w:val="22"/>
        </w:rPr>
        <w:t>to divide</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w:t>
      </w:r>
      <w:r>
        <w:rPr>
          <w:color w:val="000000"/>
        </w:rPr>
        <w:t xml:space="preserve"> </w:t>
      </w:r>
      <w:r>
        <w:rPr>
          <w:rFonts w:ascii="Times New Roman;serif" w:hAnsi="Times New Roman;serif"/>
          <w:b w:val="false"/>
          <w:color w:val="000000"/>
          <w:sz w:val="22"/>
        </w:rPr>
        <w:t xml:space="preserve">classify </w:t>
      </w:r>
      <w:r>
        <w:rPr>
          <w:rFonts w:ascii="Times New Roman;serif" w:hAnsi="Times New Roman;serif"/>
          <w:b w:val="false"/>
          <w:strike/>
          <w:color w:val="FF0000"/>
          <w:sz w:val="22"/>
        </w:rPr>
        <w:t xml:space="preserve">and reclassify </w:t>
      </w:r>
      <w:r>
        <w:rPr>
          <w:rFonts w:ascii="Times New Roman;serif" w:hAnsi="Times New Roman;serif"/>
          <w:b w:val="false"/>
          <w:color w:val="000000"/>
          <w:sz w:val="22"/>
        </w:rPr>
        <w:t xml:space="preserve">such transaction (or a portion thereof) as an Asset Disposition and/or one or more of the types of Permitted Investments or Investments permitted under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Assignee Group</w:t>
      </w:r>
      <w:r>
        <w:rPr>
          <w:color w:val="000000"/>
        </w:rPr>
        <w:t xml:space="preserve">” </w:t>
      </w:r>
      <w:r>
        <w:rPr>
          <w:rFonts w:ascii="Times New Roman;serif" w:hAnsi="Times New Roman;serif"/>
          <w:b w:val="false"/>
          <w:color w:val="000000"/>
          <w:sz w:val="22"/>
        </w:rPr>
        <w:t>means two or more Eligible Assignees that are Affiliates of one another or two or more Approved Funds managed by the same investment advisor.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Assignment and Assumption</w:t>
      </w:r>
      <w:r>
        <w:rPr>
          <w:color w:val="000000"/>
        </w:rPr>
        <w:t xml:space="preserve">” </w:t>
      </w:r>
      <w:r>
        <w:rPr>
          <w:rFonts w:ascii="Times New Roman;serif" w:hAnsi="Times New Roman;serif"/>
          <w:b w:val="false"/>
          <w:color w:val="000000"/>
          <w:sz w:val="22"/>
        </w:rPr>
        <w:t xml:space="preserve">means an Assignment and Assumption substantially in the form of </w:t>
      </w:r>
      <w:r>
        <w:rPr>
          <w:rFonts w:ascii="Times New Roman;serif" w:hAnsi="Times New Roman;serif"/>
          <w:b w:val="false"/>
          <w:color w:val="000000"/>
          <w:sz w:val="22"/>
          <w:u w:val="single"/>
        </w:rPr>
        <w:t>Exhibit D-1</w:t>
      </w:r>
      <w:r>
        <w:rPr>
          <w:rFonts w:ascii="Times New Roman;serif" w:hAnsi="Times New Roman;serif"/>
          <w:b w:val="false"/>
          <w:color w:val="000000"/>
          <w:sz w:val="22"/>
        </w:rPr>
        <w:t>, or otherwise in form and substance reasonably acceptable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Associate</w:t>
      </w:r>
      <w:r>
        <w:rPr>
          <w:color w:val="000000"/>
        </w:rPr>
        <w:t xml:space="preserve">” </w:t>
      </w:r>
      <w:r>
        <w:rPr>
          <w:rFonts w:ascii="Times New Roman;serif" w:hAnsi="Times New Roman;serif"/>
          <w:b w:val="false"/>
          <w:color w:val="000000"/>
          <w:sz w:val="22"/>
        </w:rPr>
        <w:t>means (i) any Person engaged in a Similar Business of which the Company or its Restricted Subsidiaries are the legal and beneficial owners of between 20% and 50% of all outstanding Voting Stock and (ii) any joint venture entered into by the Company or any Restricted Subsidiary.</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Attributable Indebtedness</w:t>
      </w:r>
      <w:r>
        <w:rPr>
          <w:color w:val="0000FF"/>
          <w:u w:val="single"/>
        </w:rPr>
        <w:t xml:space="preserve">” </w:t>
      </w:r>
      <w:r>
        <w:rPr>
          <w:rFonts w:ascii="Times New Roman;serif" w:hAnsi="Times New Roman;serif"/>
          <w:b w:val="false"/>
          <w:color w:val="0000FF"/>
          <w:sz w:val="22"/>
          <w:u w:val="single"/>
        </w:rPr>
        <w:t xml:space="preserve">means, on any date of determination, in respect of any Synthetic Lease, the capitalized amount or principal amount of the remaining lease payments under the relevant lease that would appear on a balance sheet </w:t>
      </w:r>
      <w:r>
        <w:rPr>
          <w:rFonts w:ascii="Times New Roman;serif" w:hAnsi="Times New Roman;serif"/>
          <w:b w:val="false"/>
          <w:color w:val="008000"/>
          <w:sz w:val="22"/>
          <w:u w:val="single"/>
        </w:rPr>
        <w:t xml:space="preserve">of such Person </w:t>
      </w:r>
      <w:r>
        <w:rPr>
          <w:rFonts w:ascii="Times New Roman;serif" w:hAnsi="Times New Roman;serif"/>
          <w:b w:val="false"/>
          <w:color w:val="0000FF"/>
          <w:sz w:val="22"/>
          <w:u w:val="single"/>
        </w:rPr>
        <w:t>prepared as of such date in accordance with GAAP if such lease were accounted for as a Capitalized Lease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Auto-Extension Letter of Credit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Available Amount Builder Basket</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7.05(a)(4)(b)</w:t>
      </w:r>
      <w:r>
        <w:rPr>
          <w:rFonts w:ascii="Times New Roman;serif" w:hAnsi="Times New Roman;serif"/>
          <w:b w:val="false"/>
          <w:strike/>
          <w:color w:val="FF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82"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Available Tenor</w:t>
      </w:r>
      <w:r>
        <w:rPr>
          <w:color w:val="000000"/>
        </w:rPr>
        <w:t xml:space="preserve">” </w:t>
      </w:r>
      <w:r>
        <w:rPr>
          <w:rFonts w:ascii="Times New Roman;serif" w:hAnsi="Times New Roman;serif"/>
          <w:b w:val="false"/>
          <w:color w:val="000000"/>
          <w:sz w:val="22"/>
        </w:rPr>
        <w:t xml:space="preserve">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serif" w:hAnsi="Times New Roman;serif"/>
          <w:b w:val="false"/>
          <w:color w:val="000000"/>
          <w:sz w:val="22"/>
          <w:u w:val="single"/>
        </w:rPr>
        <w:t>Section 3.04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Bail-In Action</w:t>
      </w:r>
      <w:r>
        <w:rPr>
          <w:color w:val="000000"/>
        </w:rPr>
        <w:t xml:space="preserve">” </w:t>
      </w:r>
      <w:r>
        <w:rPr>
          <w:rFonts w:ascii="Times New Roman;serif" w:hAnsi="Times New Roman;serif"/>
          <w:b w:val="false"/>
          <w:color w:val="000000"/>
          <w:sz w:val="22"/>
        </w:rPr>
        <w:t>means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Bail-In Legislation</w:t>
      </w:r>
      <w:r>
        <w:rPr>
          <w:color w:val="000000"/>
        </w:rPr>
        <w:t xml:space="preserve">” </w:t>
      </w:r>
      <w:r>
        <w:rPr>
          <w:rFonts w:ascii="Times New Roman;serif" w:hAnsi="Times New Roman;serif"/>
          <w:b w:val="false"/>
          <w:color w:val="000000"/>
          <w:sz w:val="22"/>
        </w:rPr>
        <w:t>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BD</w:t>
      </w:r>
      <w:r>
        <w:rPr>
          <w:color w:val="000000"/>
        </w:rPr>
        <w:t xml:space="preserve">” </w:t>
      </w:r>
      <w:r>
        <w:rPr>
          <w:rFonts w:ascii="Times New Roman;serif" w:hAnsi="Times New Roman;serif"/>
          <w:b w:val="false"/>
          <w:color w:val="000000"/>
          <w:sz w:val="22"/>
        </w:rPr>
        <w:t>means Becton, Dickinson and Company, a New Jersey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BD</w:t>
      </w:r>
      <w:r>
        <w:rPr>
          <w:color w:val="000000"/>
        </w:rPr>
        <w:t xml:space="preserve"> </w:t>
      </w:r>
      <w:r>
        <w:rPr>
          <w:rFonts w:ascii="Times New Roman;serif" w:hAnsi="Times New Roman;serif"/>
          <w:b/>
          <w:color w:val="000000"/>
          <w:sz w:val="22"/>
        </w:rPr>
        <w:t>Guaranty</w:t>
      </w:r>
      <w:r>
        <w:rPr>
          <w:color w:val="000000"/>
        </w:rPr>
        <w:t xml:space="preserve">” </w:t>
      </w:r>
      <w:r>
        <w:rPr>
          <w:rFonts w:ascii="Times New Roman;serif" w:hAnsi="Times New Roman;serif"/>
          <w:b w:val="false"/>
          <w:color w:val="000000"/>
          <w:sz w:val="22"/>
        </w:rPr>
        <w:t>means the Parent Guaranty Agreement, dated as of the Closing Date, executed by BD.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BD Guaranty Release Date</w:t>
      </w:r>
      <w:r>
        <w:rPr>
          <w:color w:val="000000"/>
        </w:rPr>
        <w:t xml:space="preserve">” </w:t>
      </w:r>
      <w:r>
        <w:rPr>
          <w:rFonts w:ascii="Times New Roman;serif" w:hAnsi="Times New Roman;serif"/>
          <w:b w:val="false"/>
          <w:color w:val="000000"/>
          <w:sz w:val="22"/>
        </w:rPr>
        <w:t>means the date on which the BD Guaranty Release Condition is satisfied or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BD Guaranty Release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9.11(f)</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BD Guaranty Release Condition</w:t>
      </w:r>
      <w:r>
        <w:rPr>
          <w:color w:val="000000"/>
        </w:rPr>
        <w:t xml:space="preserve">” </w:t>
      </w:r>
      <w:r>
        <w:rPr>
          <w:rFonts w:ascii="Times New Roman;serif" w:hAnsi="Times New Roman;serif"/>
          <w:b w:val="false"/>
          <w:color w:val="000000"/>
          <w:sz w:val="22"/>
        </w:rPr>
        <w:t>means that (i) the Spin-Off shall have been consummated and (ii) BD shall have delivered a certificate to the Administrative Agent executed by a Responsible Officer of BD certifying that all conditions to the Spin-Off have been satisfied or waived on or prior to the date of (or are expected to be satisfied or waived one calendar day after the date of) such certificate.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w:t>
      </w:r>
      <w:r>
        <w:rPr>
          <w:color w:val="000000"/>
        </w:rPr>
        <w:t xml:space="preserve">” </w:t>
      </w:r>
      <w:r>
        <w:rPr>
          <w:rFonts w:ascii="Times New Roman;serif" w:hAnsi="Times New Roman;serif"/>
          <w:b w:val="false"/>
          <w:color w:val="000000"/>
          <w:sz w:val="22"/>
        </w:rPr>
        <w:t xml:space="preserve">means, initially, with respect to any Obligations, interest, fees, commissions or other amounts denominated in, or calculated with respect to (a) Dollars, the Term SOFR Reference Rate;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or (b) any Alternative Currency, the Adjusted Eurocurrency Rate applicable thereto;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a Benchmark Transition Event has occurred with respect to such Adjusted Eurocurrency Rate, then “Benchmark” means, with respect to such Obligations, interest, fees, commissions or other amounts, the applicable Benchmark Replacement to the extent that such Benchmark Replacement has replaced such benchmark rate pursuant to </w:t>
      </w:r>
      <w:r>
        <w:rPr>
          <w:rFonts w:ascii="Times New Roman;serif" w:hAnsi="Times New Roman;serif"/>
          <w:b w:val="false"/>
          <w:color w:val="000000"/>
          <w:sz w:val="22"/>
          <w:u w:val="single"/>
        </w:rPr>
        <w:t>Section 3.04</w:t>
      </w:r>
      <w:r>
        <w:rPr>
          <w:rFonts w:ascii="Times New Roman;serif" w:hAnsi="Times New Roman;serif"/>
          <w:b w:val="false"/>
          <w:color w:val="000000"/>
          <w:sz w:val="22"/>
        </w:rPr>
        <w:t>. Any reference to “Benchmark” shall include, as applicable,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83"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w:t>
      </w:r>
      <w:r>
        <w:rPr>
          <w:color w:val="000000"/>
        </w:rPr>
        <w:t xml:space="preserve">” </w:t>
      </w:r>
      <w:r>
        <w:rPr>
          <w:rFonts w:ascii="Times New Roman;serif" w:hAnsi="Times New Roman;serif"/>
          <w:b w:val="false"/>
          <w:color w:val="000000"/>
          <w:sz w:val="22"/>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for purposes of </w:t>
      </w:r>
      <w:r>
        <w:rPr>
          <w:rFonts w:ascii="Times New Roman;serif" w:hAnsi="Times New Roman;serif"/>
          <w:b w:val="false"/>
          <w:color w:val="000000"/>
          <w:sz w:val="22"/>
          <w:u w:val="single"/>
        </w:rPr>
        <w:t>Section 3.04(a)</w:t>
      </w:r>
      <w:r>
        <w:rPr>
          <w:rFonts w:ascii="Times New Roman;serif" w:hAnsi="Times New Roman;serif"/>
          <w:b w:val="false"/>
          <w:color w:val="000000"/>
          <w:sz w:val="22"/>
        </w:rPr>
        <w:t>, the sum of (i) Daily Simple SOFR and (ii) the related Benchmark Replacement Adjustment;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the Benchmark Replacement as determined pursuant to clause (a) or (b) above would be less than the Floor, the Benchmark Replacement will be deemed to be the Floor for the purposes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 Adjustment</w:t>
      </w:r>
      <w:r>
        <w:rPr>
          <w:color w:val="000000"/>
        </w:rPr>
        <w:t xml:space="preserve">” </w:t>
      </w:r>
      <w:r>
        <w:rPr>
          <w:rFonts w:ascii="Times New Roman;serif" w:hAnsi="Times New Roman;serif"/>
          <w:b w:val="false"/>
          <w:color w:val="000000"/>
          <w:sz w:val="22"/>
        </w:rPr>
        <w:t>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Replacement Date</w:t>
      </w:r>
      <w:r>
        <w:rPr>
          <w:color w:val="000000"/>
        </w:rPr>
        <w:t xml:space="preserve">” </w:t>
      </w:r>
      <w:r>
        <w:rPr>
          <w:rFonts w:ascii="Times New Roman;serif" w:hAnsi="Times New Roman;serif"/>
          <w:b w:val="false"/>
          <w:color w:val="000000"/>
          <w:sz w:val="22"/>
        </w:rPr>
        <w:t>means, with respect to any Benchmark, the earliest to occur of the following events with respect to the then-current Benchmark: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84"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Transition Event</w:t>
      </w:r>
      <w:r>
        <w:rPr>
          <w:color w:val="000000"/>
        </w:rPr>
        <w:t xml:space="preserve">” </w:t>
      </w:r>
      <w:r>
        <w:rPr>
          <w:rFonts w:ascii="Times New Roman;serif" w:hAnsi="Times New Roman;serif"/>
          <w:b w:val="false"/>
          <w:color w:val="000000"/>
          <w:sz w:val="22"/>
        </w:rPr>
        <w:t>means the occurrence of one or more of the following events with respect to the then-current Benchmark: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Benchmark Unavailability Period</w:t>
      </w:r>
      <w:r>
        <w:rPr>
          <w:color w:val="000000"/>
        </w:rPr>
        <w:t xml:space="preserve">” </w:t>
      </w:r>
      <w:r>
        <w:rPr>
          <w:rFonts w:ascii="Times New Roman;serif" w:hAnsi="Times New Roman;serif"/>
          <w:b w:val="false"/>
          <w:color w:val="000000"/>
          <w:sz w:val="22"/>
        </w:rPr>
        <w:t xml:space="preserve">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and (b) ending at the time that a Benchmark Replacement has replaced the then-current Benchmark for all purposes hereunder and under any Loan Document in accordance with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beneficial owner</w:t>
      </w:r>
      <w:r>
        <w:rPr>
          <w:color w:val="000000"/>
        </w:rPr>
        <w:t xml:space="preserve">” </w:t>
      </w:r>
      <w:r>
        <w:rPr>
          <w:rFonts w:ascii="Times New Roman;serif" w:hAnsi="Times New Roman;serif"/>
          <w:b w:val="false"/>
          <w:color w:val="000000"/>
          <w:sz w:val="22"/>
        </w:rPr>
        <w:t>has the meaning given to that term in Rule 13d-3 and Rule 13d-5 under the Exchange Act, in each case as in effect on the date hereof, except that in calculating the beneficial ownership of any particular “person” (as that term is used in Section 13(d)(3) of the Exchange Act, as in effect on the date hereof), such “person” will not be deemed to have beneficial ownership of any securities that such “person” has the right to acquire or vote only upon the happening of any future event or contingency (including the passage of time) that has not yet occurred. The terms “beneficial ownership,” “beneficially owns” and “beneficially owned” have a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Beneficial Ownership Certification</w:t>
      </w:r>
      <w:r>
        <w:rPr>
          <w:color w:val="000000"/>
        </w:rPr>
        <w:t xml:space="preserve">” </w:t>
      </w:r>
      <w:r>
        <w:rPr>
          <w:rFonts w:ascii="Times New Roman;serif" w:hAnsi="Times New Roman;serif"/>
          <w:b w:val="false"/>
          <w:color w:val="000000"/>
          <w:sz w:val="22"/>
        </w:rPr>
        <w:t>means a certification regarding beneficial ownership required by the Beneficial Ownership Regulation.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Beneficial Ownership Regulation</w:t>
      </w:r>
      <w:r>
        <w:rPr>
          <w:color w:val="000000"/>
        </w:rPr>
        <w:t xml:space="preserve">” </w:t>
      </w:r>
      <w:r>
        <w:rPr>
          <w:rFonts w:ascii="Times New Roman;serif" w:hAnsi="Times New Roman;serif"/>
          <w:b w:val="false"/>
          <w:color w:val="000000"/>
          <w:sz w:val="22"/>
        </w:rPr>
        <w:t>means 31 C.F.R. § 1010.230.</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85"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Benefit Plan</w:t>
      </w:r>
      <w:r>
        <w:rPr>
          <w:color w:val="000000"/>
        </w:rPr>
        <w:t xml:space="preserve">” </w:t>
      </w:r>
      <w:r>
        <w:rPr>
          <w:rFonts w:ascii="Times New Roman;serif" w:hAnsi="Times New Roman;serif"/>
          <w:b w:val="false"/>
          <w:color w:val="000000"/>
          <w:sz w:val="22"/>
        </w:rPr>
        <w:t>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BHC Act Affiliate</w:t>
      </w:r>
      <w:r>
        <w:rPr>
          <w:color w:val="000000"/>
        </w:rPr>
        <w:t xml:space="preserve">” </w:t>
      </w:r>
      <w:r>
        <w:rPr>
          <w:rFonts w:ascii="Times New Roman;serif" w:hAnsi="Times New Roman;serif"/>
          <w:b w:val="false"/>
          <w:color w:val="000000"/>
          <w:sz w:val="22"/>
        </w:rPr>
        <w:t>means an “affiliate” (as such term is defined under, and interpreted in accordance with, 12 U.S.C. 1841(k)) of such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Board of Directors</w:t>
      </w:r>
      <w:r>
        <w:rPr>
          <w:color w:val="000000"/>
        </w:rPr>
        <w:t xml:space="preserve">” </w:t>
      </w:r>
      <w:r>
        <w:rPr>
          <w:rFonts w:ascii="Times New Roman;serif" w:hAnsi="Times New Roman;serif"/>
          <w:b w:val="false"/>
          <w:color w:val="000000"/>
          <w:sz w:val="22"/>
        </w:rPr>
        <w:t>means (i) with respect to the Company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Borrower</w:t>
      </w:r>
      <w:r>
        <w:rPr>
          <w:color w:val="000000"/>
        </w:rPr>
        <w:t xml:space="preserve">” </w:t>
      </w:r>
      <w:r>
        <w:rPr>
          <w:rFonts w:ascii="Times New Roman;serif" w:hAnsi="Times New Roman;serif"/>
          <w:b w:val="false"/>
          <w:color w:val="000000"/>
          <w:sz w:val="22"/>
        </w:rPr>
        <w:t>means, collectively, (i) the Company and (ii) each other Co-Borrower from time to time party hereto (or, as the context requires, any one of them). In the event that any Borrower consummates any merger, amalgamation or consolidation in accordance with Section 7.03, the surviving Person in such merger, amalgamation or consolidation shall be deemed to be a “Borrower” for all purposes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Borrower Materials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Borrowing</w:t>
      </w:r>
      <w:r>
        <w:rPr>
          <w:color w:val="000000"/>
        </w:rPr>
        <w:t xml:space="preserve">” </w:t>
      </w:r>
      <w:r>
        <w:rPr>
          <w:rFonts w:ascii="Times New Roman;serif" w:hAnsi="Times New Roman;serif"/>
          <w:b w:val="false"/>
          <w:color w:val="000000"/>
          <w:sz w:val="22"/>
        </w:rPr>
        <w:t>means a Revolving Credit Borrowing or a Term Borrowing,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Budgeted Amounts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2.05(b)(i)(7)</w:t>
      </w:r>
      <w:r>
        <w:rPr>
          <w:rFonts w:ascii="Times New Roman;serif" w:hAnsi="Times New Roman;serif"/>
          <w:b w:val="false"/>
          <w:color w:val="000000"/>
          <w:sz w:val="22"/>
        </w:rPr>
        <w:t>.</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Business Day” 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any day other than a Saturday, Sunday or other day on which commercial banks are authorized to close under the Laws of, or are in fact closed in, New York City;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solely if such day relates to any interest rate settings as to a Eurocurrency Rate Loan denominated in Euros, any fundings, disbursements, settlements or payments in Euros, or any other dealings in Euros to be carried out pursuant to this Agreement in respect of any such Eurocurrency Rate Loan, any such day on which the TARGET2 payment system is not open shall not be a “Business Day”;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solely if such day relates to any interest rate settings as to a Eurocurrency Rate Loan denominated in an Alternative Currency other than Euros, any fundings, disbursements, settlements or payments in such Alternative Currency, or any other dealings in such Alternative Currency to be carried out pursuant to this Agreement in respect of any such Eurocurrency Rate Loan, means any such day on which banks are open for foreign exchange business in the principal financial center of the country of such currency.</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86"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Business Successor</w:t>
      </w:r>
      <w:r>
        <w:rPr>
          <w:color w:val="000000"/>
        </w:rPr>
        <w:t xml:space="preserve">” </w:t>
      </w:r>
      <w:r>
        <w:rPr>
          <w:rFonts w:ascii="Times New Roman;serif" w:hAnsi="Times New Roman;serif"/>
          <w:b w:val="false"/>
          <w:color w:val="000000"/>
          <w:sz w:val="22"/>
        </w:rPr>
        <w:t>means (i) any former Subsidiary of the Company and (ii) any Person that, after the Closing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Canadian Dollars</w:t>
      </w:r>
      <w:r>
        <w:rPr>
          <w:color w:val="000000"/>
        </w:rPr>
        <w:t xml:space="preserve">” </w:t>
      </w:r>
      <w:r>
        <w:rPr>
          <w:rFonts w:ascii="Times New Roman;serif" w:hAnsi="Times New Roman;serif"/>
          <w:b w:val="false"/>
          <w:color w:val="000000"/>
          <w:sz w:val="22"/>
        </w:rPr>
        <w:t>means freely transferable lawful money of Canada (expressed in Canadian dollars).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Capital Stock</w:t>
      </w:r>
      <w:r>
        <w:rPr>
          <w:color w:val="000000"/>
        </w:rPr>
        <w:t xml:space="preserve">” </w:t>
      </w:r>
      <w:r>
        <w:rPr>
          <w:rFonts w:ascii="Times New Roman;serif" w:hAnsi="Times New Roman;serif"/>
          <w:b w:val="false"/>
          <w:color w:val="000000"/>
          <w:sz w:val="22"/>
        </w:rPr>
        <w:t>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Capitalized Lease Obligation</w:t>
      </w:r>
      <w:r>
        <w:rPr>
          <w:color w:val="000000"/>
        </w:rPr>
        <w:t xml:space="preserve">” </w:t>
      </w:r>
      <w:r>
        <w:rPr>
          <w:rFonts w:ascii="Times New Roman;serif" w:hAnsi="Times New Roman;serif"/>
          <w:b w:val="false"/>
          <w:color w:val="000000"/>
          <w:sz w:val="22"/>
        </w:rPr>
        <w:t xml:space="preserve">means an obligation that is required to be classified and accounted for as a capitalized lease (in accordance with GAAP) (and, for the avoidance of doubt, not a straight-line or operating lease) for financial reporting purposes.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all obligations of the Company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Capitalized Software Expenditures</w:t>
      </w:r>
      <w:r>
        <w:rPr>
          <w:color w:val="000000"/>
        </w:rPr>
        <w:t xml:space="preserve">” </w:t>
      </w:r>
      <w:r>
        <w:rPr>
          <w:rFonts w:ascii="Times New Roman;serif" w:hAnsi="Times New Roman;serif"/>
          <w:b w:val="false"/>
          <w:color w:val="000000"/>
          <w:sz w:val="22"/>
        </w:rPr>
        <w:t>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Captive Insurance Subsidiary</w:t>
      </w:r>
      <w:r>
        <w:rPr>
          <w:color w:val="000000"/>
        </w:rPr>
        <w:t xml:space="preserve">” </w:t>
      </w:r>
      <w:r>
        <w:rPr>
          <w:rFonts w:ascii="Times New Roman;serif" w:hAnsi="Times New Roman;serif"/>
          <w:b w:val="false"/>
          <w:color w:val="000000"/>
          <w:sz w:val="22"/>
        </w:rPr>
        <w:t>means (i) any Subsidiary of the Company operating for the purpose of (a) insuring the businesses, operations or properties owned or operated by the Company or any of its Subsidiaries, including their future, present or former employee, director, officer, manager, contractor, consultant or advisor (or their respective Controlled Investment Affiliates or Immediate Family Members),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Cash-Capped Incremental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 Collateralize</w:t>
      </w:r>
      <w:r>
        <w:rPr>
          <w:color w:val="000000"/>
        </w:rPr>
        <w:t xml:space="preserve">” </w:t>
      </w:r>
      <w:r>
        <w:rPr>
          <w:rFonts w:ascii="Times New Roman;serif" w:hAnsi="Times New Roman;serif"/>
          <w:b w:val="false"/>
          <w:color w:val="000000"/>
          <w:sz w:val="22"/>
        </w:rPr>
        <w:t xml:space="preserve">means to pledge and deposit with or deliver to the Administrative Agent, for the benefit of the Administrative Agent or L/C Issuer (as applicable) and the Lenders, as collateral for L/C Obligations or obligations of Revolving Credit Lenders to fund participations in respect of either thereof (as the context may require), cash, Cash Equivalents (if reasonably acceptable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87"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Administrative Agent and the applicable L/C Issuer) or deposit account balances (in the case of L/C Obligations in the respective currency or currencies in which the applicable L/C Obligations are denominated unless otherwise agreed by the Administrative Agent or L/C Issuer benefiting from such collateral) or, if the Administrative Agent or L/C Issuer benefiting from such collateral shall agree in its sole discretion, other credit support (including by backstop with a letter of credit satisfactory to the applicable L/C Issuer or by being deemed reissued under another agreement acceptable to the applicable L/C Issuer), in each case pursuant to documentation in form and substance reasonably satisfactory to (a) the Administrative Agent and (b) the applicable L/C Issuer (which documents are hereby consented to by the Revolving Credit Lenders). “</w:t>
      </w:r>
      <w:r>
        <w:rPr>
          <w:rFonts w:ascii="Times New Roman;serif" w:hAnsi="Times New Roman;serif"/>
          <w:b/>
          <w:color w:val="000000"/>
          <w:sz w:val="22"/>
        </w:rPr>
        <w:t>Cash Collateral</w:t>
      </w:r>
      <w:r>
        <w:rPr>
          <w:color w:val="000000"/>
        </w:rPr>
        <w:t xml:space="preserve">” </w:t>
      </w:r>
      <w:r>
        <w:rPr>
          <w:rFonts w:ascii="Times New Roman;serif" w:hAnsi="Times New Roman;serif"/>
          <w:b w:val="false"/>
          <w:color w:val="000000"/>
          <w:sz w:val="22"/>
        </w:rPr>
        <w:t>shall have a meaning correlative to the foregoing and shall include the proceeds of such cash collateral and other credit support.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 Equivalents</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 Dollars, Canadian Dollars, Pounds Sterling, Yen, Euro, any national currency of any member state of the European Union or any Alternative Currency; or (b) any other foreign currency held by the Company and its Restricted Subsidiaries from time to time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(2)    securities issued or directly and fully guaranteed or insured by the United States, Canadian, United Kingdom or Japanese governments, a member state of the European Union or, in each case, any agency or instrumentality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full faith and credit obligation of such country or such member state is pledged in support thereof), with maturities of 36 months or less from the date of acquisition;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(3)    certificates of deposit, time deposits, eurodollar time deposits, overnight bank deposits, demand deposits or bankers’ acceptances having maturities of not more than two years from the date of acquisition thereof issued by any bank, trust company or other financial institution (a) whose commercial paper is rated at least “P-2” or the equivalent thereof by S&amp;P or at least “A-2” or the equivalent thereof by Moody’s (or, if at the time, neither S&amp;P or Moody’s is rating such obligations, then a comparable rating from another Nationally Recognized Statistical Rating Organization selected by the Company) or (b) having combined capital and sur</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in excess of $100,000,000;</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(4)    repurchase obligations for underlying securities of the types described in </w:t>
      </w:r>
      <w:r>
        <w:rPr>
          <w:rFonts w:ascii="Times New Roman;serif" w:hAnsi="Times New Roman;serif"/>
          <w:b w:val="false"/>
          <w:color w:val="000000"/>
          <w:sz w:val="22"/>
          <w:u w:val="single"/>
        </w:rPr>
        <w:t>clauses (2)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entered into with any Person meeting the qualifications specified in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(5)    securities with maturities of two years or less from the date of acquisition backed by standby letters of credit issued by any Person meeting the qualifications in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(6)    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(7)    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(8)    readily marketable direct obligations issued by any state, province, commonwealth or territory of the United States of America or any political subdivision, taxing authority or any agency or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88"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instrumentality thereof, rated BBB- (or the equivalent) or better by S&amp;P or Baa3 (or the equivalent) or better by Moody’s (or, if at the time, neither S&amp;P nor Moody’s is rating such obligations, then a comparable rating from another Nationally Recognized Statistical Rating Organization selected by the Company) with maturities of not more than two years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(9)    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Company) with maturities of not more than two years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(10)    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(11)    with respect to any Non-U.S. Subsidiary: (i) obligations of the national government of the country in which such Non-U.S. Subsidiary maintains its chief executive office and principal place of business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Non-U.S. Subsidiary maintains its chief executive office and principal place of business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such country is a member of the Organization for Economic Cooperation and Development, and whose short-term commercial paper rating from S&amp;P is at least “P-2” or the equivalent thereof or from Moody’s is at least “A-2” or the equivalent thereof (any such bank being an “</w:t>
      </w:r>
      <w:r>
        <w:rPr>
          <w:rFonts w:ascii="Times New Roman;serif" w:hAnsi="Times New Roman;serif"/>
          <w:b/>
          <w:color w:val="000000"/>
          <w:sz w:val="22"/>
        </w:rPr>
        <w:t>Approved Foreign Bank</w:t>
      </w:r>
      <w:r>
        <w:rPr>
          <w:color w:val="000000"/>
        </w:rPr>
        <w:t>”</w:t>
      </w:r>
      <w:r>
        <w:rPr>
          <w:rFonts w:ascii="Times New Roman;serif" w:hAnsi="Times New Roman;serif"/>
          <w:b w:val="false"/>
          <w:color w:val="000000"/>
          <w:sz w:val="22"/>
        </w:rPr>
        <w:t>), and in each case with maturities of not more than 270 days from the date of acquisition and (iii) the equivalent of demand deposit accounts which are maintained with an Approved Foreign Bank;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(12)    Indebtedness or Preferred Stock issued by Persons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Company) with maturities of not more than two years from the date of acquisition;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(13)    bills of exchange issued in the United States of America, Canada, the United Kingdom, Japan, a member state of the European Union eligible for rediscount at the relevant central bank and accepted by a bank (or any dematerialized equivalent);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(14)    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(15)    investments in pooled funds or investment accounts consisting of investments in the nature described in the foregoing </w:t>
      </w:r>
      <w:r>
        <w:rPr>
          <w:rFonts w:ascii="Times New Roman;serif" w:hAnsi="Times New Roman;serif"/>
          <w:b w:val="false"/>
          <w:color w:val="000000"/>
          <w:sz w:val="22"/>
          <w:u w:val="single"/>
        </w:rPr>
        <w:t>clause (14)</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89"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(16)    investments in money market funds access to which is provided as part of “sweep” accounts maintained with any bank meeting the qualifications specified in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(17)    Cash Equivalents or instruments similar to those referred to in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(16)</w:t>
      </w:r>
      <w:r>
        <w:rPr>
          <w:color w:val="000000"/>
        </w:rPr>
        <w:t xml:space="preserve"> </w:t>
      </w:r>
      <w:r>
        <w:rPr>
          <w:rFonts w:ascii="Times New Roman;serif" w:hAnsi="Times New Roman;serif"/>
          <w:b w:val="false"/>
          <w:color w:val="000000"/>
          <w:sz w:val="22"/>
        </w:rPr>
        <w:t>above denominated in Dollars or any Alternative Currency;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(18)    any investment company, money market, enhanced high yield, pooled or other investment fund investing 90% or more of its assets in instruments of the types specified in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(17)</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the case of Investments by any Non-U.S.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Non-U.S. Subsidiaries that are Restricted Subsidiaries in accordance with normal investment practices for cash management in investments analogous to the foregoing investments in the clauses above and in this paragraph.</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or Baa3 (or the equivalent thereof) or better by Moody’s, in each case at the time of such Investment and (b) any Investment with a maturity of more than 12 months that would otherwise constitute Cash Equivalents of the kind described in any of clauses of this definition above or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in this paragraph, if the maturity of such Investment was 12 months or less;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effective maturity of such Investment does not exceed 15 years.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the foregoing, Cash Equivalents shall include amounts denominated in currencies other than those set forth in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amounts are converted into any currency listed in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as promptly as practicable and in any event within 10 Business Days following the receipt of such amounts.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any items identified as Cash Equivalents under this definition will be deemed to be Cash Equivalents for all purposes under this Agreement regardless of the treatment of such items under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 Management Agreement</w:t>
      </w:r>
      <w:r>
        <w:rPr>
          <w:color w:val="000000"/>
        </w:rPr>
        <w:t xml:space="preserve">” </w:t>
      </w:r>
      <w:r>
        <w:rPr>
          <w:rFonts w:ascii="Times New Roman;serif" w:hAnsi="Times New Roman;serif"/>
          <w:b w:val="false"/>
          <w:color w:val="000000"/>
          <w:sz w:val="22"/>
        </w:rPr>
        <w:t>means any agreement or arrangement to provide Cash Management Services to the Company or any Restricted Group Member.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 Management Bank</w:t>
      </w:r>
      <w:r>
        <w:rPr>
          <w:color w:val="000000"/>
        </w:rPr>
        <w:t xml:space="preserve">” </w:t>
      </w:r>
      <w:r>
        <w:rPr>
          <w:rFonts w:ascii="Times New Roman;serif" w:hAnsi="Times New Roman;serif"/>
          <w:b w:val="false"/>
          <w:color w:val="000000"/>
          <w:sz w:val="22"/>
        </w:rPr>
        <w:t>means any Person in its capacity as a party to a Cash Management Agreement that: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at the time it enters into a Cash Management Agreement, is a Lender or an Agent or an Affiliate of a Lender or an Agent,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in the case of any Cash Management Agreement in effect on or prior to the Closing Date, is, as of the Closing Date or within 45 days thereafter, a Lender or an Agent or an Affiliate of a Lender or an Agent and a party to a Cash Management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90"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within 45 days after the time it enters into the applicable Cash Management Agreement, becomes a Lender or an Affiliate of a Lender or an Agent,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 has a long-term senior unsecured debt rating of A/A2 by S&amp;P or Moody’s (or their equivalent) or higher, (B) is a commercial bank, insurance company, investment or mutual fund or other entity (but not any Natural Person) that is an “accredited investor” (as defined in Regulation D of the Securities Act) or (C) has been approved in writing by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in the case of any Person described in the foregoing </w:t>
      </w:r>
      <w:r>
        <w:rPr>
          <w:rFonts w:ascii="Times New Roman;serif" w:hAnsi="Times New Roman;serif"/>
          <w:b w:val="false"/>
          <w:color w:val="000000"/>
          <w:sz w:val="22"/>
          <w:u w:val="single"/>
        </w:rPr>
        <w:t>clause (a)(iii)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rFonts w:ascii="Times New Roman;serif" w:hAnsi="Times New Roman;serif"/>
          <w:b w:val="false"/>
          <w:color w:val="000000"/>
          <w:sz w:val="22"/>
        </w:rPr>
        <w:t>, is designated by the Company in writing to the Administrative Agent as a “Cash Management Bank” for purposes of this Agreement and the other Loan Documents;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to the extent not the Administrative Agent, the Collateral Agent or a Lender hereunder, shall have appointed the Administrative Agent and the Collateral Agent as its agents under the applicable Loan Documents and agreed to be bound by the provisions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as if it were a Lender pursuant to a writing substantially in the form of </w:t>
      </w:r>
      <w:r>
        <w:rPr>
          <w:rFonts w:ascii="Times New Roman;serif" w:hAnsi="Times New Roman;serif"/>
          <w:b w:val="false"/>
          <w:color w:val="000000"/>
          <w:sz w:val="22"/>
          <w:u w:val="single"/>
        </w:rPr>
        <w:t>Exhibit N</w:t>
      </w:r>
      <w:r>
        <w:rPr>
          <w:color w:val="000000"/>
        </w:rPr>
        <w:t xml:space="preserve"> </w:t>
      </w:r>
      <w:r>
        <w:rPr>
          <w:rFonts w:ascii="Times New Roman;serif" w:hAnsi="Times New Roman;serif"/>
          <w:b w:val="false"/>
          <w:color w:val="000000"/>
          <w:sz w:val="22"/>
        </w:rPr>
        <w:t>or otherwise reasonably satisfactory to the Company and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Cash Management Services</w:t>
      </w:r>
      <w:r>
        <w:rPr>
          <w:color w:val="000000"/>
        </w:rPr>
        <w:t xml:space="preserve">” </w:t>
      </w:r>
      <w:r>
        <w:rPr>
          <w:rFonts w:ascii="Times New Roman;serif" w:hAnsi="Times New Roman;serif"/>
          <w:b w:val="false"/>
          <w:color w:val="000000"/>
          <w:sz w:val="22"/>
        </w:rPr>
        <w:t>means any of the following to the extent not constituting a line of credit (other than an overnight draft facility that is not in default): automated clearing house transactions, treasury and/or cash management services, including, without limitation, treasury, depository, overdraft, credit, purchasing or debit card, non-card e-payable services, electronic funds transfer, treasury management services (including controlled disbursement services, overdraft automatic clearing house fund transfer services, return items and interstate depository network services), other demand deposit or operating account relationships, foreign exchange facilities, and merchant services.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Casualty Event</w:t>
      </w:r>
      <w:r>
        <w:rPr>
          <w:color w:val="000000"/>
        </w:rPr>
        <w:t xml:space="preserve">” </w:t>
      </w:r>
      <w:r>
        <w:rPr>
          <w:rFonts w:ascii="Times New Roman;serif" w:hAnsi="Times New Roman;serif"/>
          <w:b w:val="false"/>
          <w:color w:val="000000"/>
          <w:sz w:val="22"/>
        </w:rPr>
        <w:t>means any event that gives rise to the receipt by any Restricted Group Member of any insurance proceeds or condemnation awards in respect of any equipment, assets or real property (including any improvements thereon) to replace or repair such equipment, assets or real property.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Central Bank Rate</w:t>
      </w:r>
      <w:r>
        <w:rPr>
          <w:color w:val="000000"/>
        </w:rPr>
        <w:t xml:space="preserve">” </w:t>
      </w:r>
      <w:r>
        <w:rPr>
          <w:rFonts w:ascii="Times New Roman;serif" w:hAnsi="Times New Roman;serif"/>
          <w:b w:val="false"/>
          <w:color w:val="000000"/>
          <w:sz w:val="22"/>
        </w:rPr>
        <w:t xml:space="preserve">means, (A) the greater of (i) for any Loan denominated in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(ii) the Floor;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applicable Central Bank Rate Adjustment.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Central Bank Rate Adjustment</w:t>
      </w:r>
      <w:r>
        <w:rPr>
          <w:color w:val="000000"/>
        </w:rPr>
        <w:t xml:space="preserve">” </w:t>
      </w:r>
      <w:r>
        <w:rPr>
          <w:rFonts w:ascii="Times New Roman;serif" w:hAnsi="Times New Roman;serif"/>
          <w:b w:val="false"/>
          <w:color w:val="000000"/>
          <w:sz w:val="22"/>
        </w:rPr>
        <w:t xml:space="preserve">means, for any day, for any Loan denominated in Euro, a rate equal to the difference (which may be a positive or negative value or zero) of (i) the average of EURIBOR for the five most recent Business Days preceding such day for which the EURIBOR Screen Rate was available (excluding, from such averaging, the highest and the lowest EURIBOR applicable during such period of five (5) Business Days)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(ii) the Central Bank Rate in respect of Euro in effect on the last Business Day in such period. For purposes of this definition, (x) the term Central Bank Rate </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91"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shall be determined disregarding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such term and (y) EURIBOR on any day shall be based on the EURIBOR Screen Rate on such day at approximately the time referred to in the definition of such term for deposits in the applicable currency for a maturity of one month;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such rate shall be less than the Floor, such rate shall be deemed to be the Floor.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CERCLA</w:t>
      </w:r>
      <w:r>
        <w:rPr>
          <w:color w:val="000000"/>
        </w:rPr>
        <w:t xml:space="preserve">” </w:t>
      </w:r>
      <w:r>
        <w:rPr>
          <w:rFonts w:ascii="Times New Roman;serif" w:hAnsi="Times New Roman;serif"/>
          <w:b w:val="false"/>
          <w:color w:val="000000"/>
          <w:sz w:val="22"/>
        </w:rPr>
        <w:t>means the Comprehensive Environmental Response, Compensation, and Liability Act of 1980.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CFC</w:t>
      </w:r>
      <w:r>
        <w:rPr>
          <w:color w:val="000000"/>
        </w:rPr>
        <w:t xml:space="preserve">” </w:t>
      </w:r>
      <w:r>
        <w:rPr>
          <w:rFonts w:ascii="Times New Roman;serif" w:hAnsi="Times New Roman;serif"/>
          <w:b w:val="false"/>
          <w:color w:val="000000"/>
          <w:sz w:val="22"/>
        </w:rPr>
        <w:t xml:space="preserve">means a “controlled foreign corporation” within the meaning of Section 957 of the Code. </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color w:val="000000"/>
          <w:sz w:val="22"/>
        </w:rPr>
        <w:t>Change of Control</w:t>
      </w:r>
      <w:r>
        <w:rPr>
          <w:color w:val="000000"/>
        </w:rPr>
        <w:t xml:space="preserve">” </w:t>
      </w:r>
      <w:r>
        <w:rPr>
          <w:rFonts w:ascii="Times New Roman;serif" w:hAnsi="Times New Roman;serif"/>
          <w:b w:val="false"/>
          <w:color w:val="000000"/>
          <w:sz w:val="22"/>
        </w:rPr>
        <w:t>will be deemed to occur if: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prior to the Spin-Off Date, BD ceases to own, directly or indirectly, 100% of the Equity Interests of the Company;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person or “group” (within the meaning of Rule 13d-3 and Rule 13d-5 under the Exchange Act as in effect on the date hereof, but excluding any employee benefit plan, any person or entity acting in its capacity as trustee, agent or other fiduciary or administrator of any such plan), other than (prior to the Spin-Off Date) BD or any of its Subsidiaries, acquires beneficial ownership of more than 50.0% of the Voting Stock (measured by reference to ordinary voting power) of the Company (determined on a fully diluted basis).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(i) a transaction in which the Company becomes a subsidiary of another Person shall not constitute a Change of Control if (a) the shareholders of the Company immediately prior to such transaction beneficially own, directly or indirectly through one or more intermediaries, the same proportion of voting power of the outstanding classes or series of the Company’s voting stock as such shareholders beneficially own immediately following the consummation of such transaction or (b) immediately following the transaction no person or group (other than a person or group satisfying the requirements of this sentence) is the owner, directly or indirectly, of more than 50.0% of the voting stock of such Person, measured by voting power rather than number of shares and (ii) the Transactions shall not constitute a Change of Control. For purposes of this definition, a Person shall not be deemed to have beneficial ownership of securities subject to a stock purchase agreement, merger agreement or similar agreement until the consummation of the transactions contemplated by such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Closing Date</w:t>
      </w:r>
      <w:r>
        <w:rPr>
          <w:color w:val="000000"/>
        </w:rPr>
        <w:t xml:space="preserve">” </w:t>
      </w:r>
      <w:r>
        <w:rPr>
          <w:rFonts w:ascii="Times New Roman;serif" w:hAnsi="Times New Roman;serif"/>
          <w:b w:val="false"/>
          <w:color w:val="000000"/>
          <w:sz w:val="22"/>
        </w:rPr>
        <w:t>means March 31, 2022.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Co-Borrower Joinder Agreement</w:t>
      </w:r>
      <w:r>
        <w:rPr>
          <w:color w:val="000000"/>
        </w:rPr>
        <w:t xml:space="preserve">” </w:t>
      </w:r>
      <w:r>
        <w:rPr>
          <w:rFonts w:ascii="Times New Roman;serif" w:hAnsi="Times New Roman;serif"/>
          <w:b w:val="false"/>
          <w:color w:val="000000"/>
          <w:sz w:val="22"/>
        </w:rPr>
        <w:t xml:space="preserve">means a joinder agreement, in substantially the form of </w:t>
      </w:r>
      <w:r>
        <w:rPr>
          <w:rFonts w:ascii="Times New Roman;serif" w:hAnsi="Times New Roman;serif"/>
          <w:b w:val="false"/>
          <w:color w:val="000000"/>
          <w:sz w:val="22"/>
          <w:u w:val="single"/>
        </w:rPr>
        <w:t xml:space="preserve">Exhibit </w:t>
      </w:r>
      <w:r>
        <w:rPr>
          <w:rFonts w:ascii="Times New Roman;serif" w:hAnsi="Times New Roman;serif"/>
          <w:b w:val="false"/>
          <w:color w:val="000000"/>
          <w:sz w:val="22"/>
        </w:rPr>
        <w:t>K hereto or otherwise in a form reasonably acceptable to the Administrative Agent, pursuant to which a Co-Borrower agrees to become an obligor in respect of Borrowings under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Co-Borrowers</w:t>
      </w:r>
      <w:r>
        <w:rPr>
          <w:color w:val="000000"/>
        </w:rPr>
        <w:t xml:space="preserve">” </w:t>
      </w:r>
      <w:r>
        <w:rPr>
          <w:rFonts w:ascii="Times New Roman;serif" w:hAnsi="Times New Roman;serif"/>
          <w:b w:val="false"/>
          <w:color w:val="000000"/>
          <w:sz w:val="22"/>
        </w:rPr>
        <w:t xml:space="preserve">means any Wholly Owned Restricted Subsidiaries organized in any Applicable Jurisdiction from time to time designated by the Company to the Administrative Agent as “borrowers” with respect to Borrowings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 and “Co-Borrower” means any one of them.</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Code</w:t>
      </w:r>
      <w:r>
        <w:rPr>
          <w:color w:val="000000"/>
        </w:rPr>
        <w:t xml:space="preserve">” </w:t>
      </w:r>
      <w:r>
        <w:rPr>
          <w:rFonts w:ascii="Times New Roman;serif" w:hAnsi="Times New Roman;serif"/>
          <w:b w:val="false"/>
          <w:color w:val="000000"/>
          <w:sz w:val="22"/>
        </w:rPr>
        <w:t>means the U.S. Internal Revenue Code of 1986, as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Co-Documentation Agents</w:t>
      </w:r>
      <w:r>
        <w:rPr>
          <w:color w:val="000000"/>
        </w:rPr>
        <w:t xml:space="preserve">” </w:t>
      </w:r>
      <w:r>
        <w:rPr>
          <w:rFonts w:ascii="Times New Roman;serif" w:hAnsi="Times New Roman;serif"/>
          <w:b w:val="false"/>
          <w:color w:val="000000"/>
          <w:sz w:val="22"/>
        </w:rPr>
        <w:t>means each of Citizens Bank, N.A., PNC Capital Markets LLC and Santander Bank, N.A., in their respective capacities as co-documentation agents.</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92"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Collateral</w:t>
      </w:r>
      <w:r>
        <w:rPr>
          <w:color w:val="000000"/>
        </w:rPr>
        <w:t xml:space="preserve">” </w:t>
      </w:r>
      <w:r>
        <w:rPr>
          <w:rFonts w:ascii="Times New Roman;serif" w:hAnsi="Times New Roman;serif"/>
          <w:b w:val="false"/>
          <w:color w:val="000000"/>
          <w:sz w:val="22"/>
        </w:rPr>
        <w:t>means all of the “Collateral” (or similar term) referred to in the Collateral Documents and all of the other property and assets that are or are required under the terms of the Collateral Documents to be subject to Liens in favor of the Collateral Agent for the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Collateral Agent</w:t>
      </w:r>
      <w:r>
        <w:rPr>
          <w:color w:val="000000"/>
        </w:rPr>
        <w:t xml:space="preserve">” </w:t>
      </w:r>
      <w:r>
        <w:rPr>
          <w:rFonts w:ascii="Times New Roman;serif" w:hAnsi="Times New Roman;serif"/>
          <w:b w:val="false"/>
          <w:color w:val="000000"/>
          <w:sz w:val="22"/>
        </w:rPr>
        <w:t>means MS, acting through such of its Affiliates or branches as it may designate, in its capacity as collateral agent under any of the Loan Documents, or any successor collateral agent permitted by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Collateral Documents</w:t>
      </w:r>
      <w:r>
        <w:rPr>
          <w:color w:val="000000"/>
        </w:rPr>
        <w:t xml:space="preserve">” </w:t>
      </w:r>
      <w:r>
        <w:rPr>
          <w:rFonts w:ascii="Times New Roman;serif" w:hAnsi="Times New Roman;serif"/>
          <w:b w:val="false"/>
          <w:color w:val="000000"/>
          <w:sz w:val="22"/>
        </w:rPr>
        <w:t xml:space="preserve">means, collectively, the Security Agreement, the Intellectual Property Security Agreements, collateral assignments, Security Agreement Supplements, Intellectual Property Security Agreement Supplements, security agreements, pledge agreements or other similar agreements delivered to the Collateral Agent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11.01</w:t>
      </w:r>
      <w:r>
        <w:rPr>
          <w:color w:val="000000"/>
        </w:rPr>
        <w:t xml:space="preserve"> </w:t>
      </w:r>
      <w:r>
        <w:rPr>
          <w:rFonts w:ascii="Times New Roman;serif" w:hAnsi="Times New Roman;serif"/>
          <w:b w:val="false"/>
          <w:color w:val="000000"/>
          <w:sz w:val="22"/>
        </w:rPr>
        <w:t>that creates or purports to create a Lien in favor of the Collateral Agent, and each of the other agreements, instruments or documents that creates or purports to create a Lien in favor of the Collateral Agent for the benefit of the Secured Parties.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Commitment</w:t>
      </w:r>
      <w:r>
        <w:rPr>
          <w:color w:val="000000"/>
        </w:rPr>
        <w:t xml:space="preserve">” </w:t>
      </w:r>
      <w:r>
        <w:rPr>
          <w:rFonts w:ascii="Times New Roman;serif" w:hAnsi="Times New Roman;serif"/>
          <w:b w:val="false"/>
          <w:color w:val="000000"/>
          <w:sz w:val="22"/>
        </w:rPr>
        <w:t xml:space="preserve">means a Term Commitment and/or a Revolving Credit </w:t>
      </w:r>
      <w:r>
        <w:rPr>
          <w:rFonts w:ascii="Times New Roman;serif" w:hAnsi="Times New Roman;serif"/>
          <w:b w:val="false"/>
          <w:color w:val="0000FF"/>
          <w:sz w:val="22"/>
          <w:u w:val="single"/>
        </w:rPr>
        <w:t xml:space="preserve">Commitment </w:t>
      </w:r>
      <w:r>
        <w:rPr>
          <w:rFonts w:ascii="Times New Roman;serif" w:hAnsi="Times New Roman;serif"/>
          <w:b w:val="false"/>
          <w:color w:val="000000"/>
          <w:sz w:val="22"/>
        </w:rPr>
        <w:t>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Committed Loan Notice</w:t>
      </w:r>
      <w:r>
        <w:rPr>
          <w:color w:val="000000"/>
        </w:rPr>
        <w:t xml:space="preserve">” </w:t>
      </w:r>
      <w:r>
        <w:rPr>
          <w:rFonts w:ascii="Times New Roman;serif" w:hAnsi="Times New Roman;serif"/>
          <w:b w:val="false"/>
          <w:color w:val="000000"/>
          <w:sz w:val="22"/>
        </w:rPr>
        <w:t xml:space="preserve">means a notice of (a) a Term Borrowing, (b) a Revolving Credit Borrowing, (c) a conversion of Loans from one Type to another or (d) a continuation of SOFR Loans or Eurocurrency Rate Loans, pursuant to </w:t>
      </w:r>
      <w:r>
        <w:rPr>
          <w:rFonts w:ascii="Times New Roman;serif" w:hAnsi="Times New Roman;serif"/>
          <w:b w:val="false"/>
          <w:color w:val="000000"/>
          <w:sz w:val="22"/>
          <w:u w:val="single"/>
        </w:rPr>
        <w:t>Section 2.02(a),</w:t>
      </w:r>
      <w:r>
        <w:rPr>
          <w:color w:val="000000"/>
        </w:rPr>
        <w:t xml:space="preserve"> </w:t>
      </w:r>
      <w:r>
        <w:rPr>
          <w:rFonts w:ascii="Times New Roman;serif" w:hAnsi="Times New Roman;serif"/>
          <w:b w:val="false"/>
          <w:color w:val="000000"/>
          <w:sz w:val="22"/>
        </w:rPr>
        <w:t xml:space="preserve">which shall be substantially in the form of </w:t>
      </w:r>
      <w:r>
        <w:rPr>
          <w:rFonts w:ascii="Times New Roman;serif" w:hAnsi="Times New Roman;serif"/>
          <w:b w:val="false"/>
          <w:color w:val="000000"/>
          <w:sz w:val="22"/>
          <w:u w:val="single"/>
        </w:rPr>
        <w:t>Exhibit A-1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Commodity Exchange Act</w:t>
      </w:r>
      <w:r>
        <w:rPr>
          <w:color w:val="000000"/>
        </w:rPr>
        <w:t xml:space="preserve">” </w:t>
      </w:r>
      <w:r>
        <w:rPr>
          <w:rFonts w:ascii="Times New Roman;serif" w:hAnsi="Times New Roman;serif"/>
          <w:b w:val="false"/>
          <w:color w:val="000000"/>
          <w:sz w:val="22"/>
        </w:rPr>
        <w:t xml:space="preserve">means the Commodity Exchange Act (7 U.S.C. §§ 1 </w:t>
      </w:r>
      <w:r>
        <w:rPr>
          <w:rFonts w:ascii="Times New Roman;serif" w:hAnsi="Times New Roman;serif"/>
          <w:b w:val="false"/>
          <w:i/>
          <w:color w:val="000000"/>
          <w:sz w:val="22"/>
        </w:rPr>
        <w:t>et. seq</w:t>
      </w:r>
      <w:r>
        <w:rPr>
          <w:rFonts w:ascii="Times New Roman;serif" w:hAnsi="Times New Roman;serif"/>
          <w:b w:val="false"/>
          <w:color w:val="000000"/>
          <w:sz w:val="22"/>
        </w:rPr>
        <w:t>.), as amended from time to time, and any successor statute.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Company</w:t>
      </w:r>
      <w:r>
        <w:rPr>
          <w:color w:val="000000"/>
        </w:rPr>
        <w:t xml:space="preserve">” </w:t>
      </w:r>
      <w:r>
        <w:rPr>
          <w:rFonts w:ascii="Times New Roman;serif" w:hAnsi="Times New Roman;serif"/>
          <w:b w:val="false"/>
          <w:color w:val="000000"/>
          <w:sz w:val="22"/>
        </w:rPr>
        <w:t>has the meaning set forth in the preamble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Company Competitor</w:t>
      </w:r>
      <w:r>
        <w:rPr>
          <w:color w:val="000000"/>
        </w:rPr>
        <w:t xml:space="preserve">” </w:t>
      </w:r>
      <w:r>
        <w:rPr>
          <w:rFonts w:ascii="Times New Roman;serif" w:hAnsi="Times New Roman;serif"/>
          <w:b w:val="false"/>
          <w:color w:val="000000"/>
          <w:sz w:val="22"/>
        </w:rPr>
        <w:t>means any Person that competes with the business of the Company and its direct and indirect Subsidiaries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Compliance Certificate</w:t>
      </w:r>
      <w:r>
        <w:rPr>
          <w:color w:val="000000"/>
        </w:rPr>
        <w:t xml:space="preserve">” </w:t>
      </w:r>
      <w:r>
        <w:rPr>
          <w:rFonts w:ascii="Times New Roman;serif" w:hAnsi="Times New Roman;serif"/>
          <w:b w:val="false"/>
          <w:color w:val="000000"/>
          <w:sz w:val="22"/>
        </w:rPr>
        <w:t xml:space="preserve">means a certificate substantially in the form of </w:t>
      </w:r>
      <w:r>
        <w:rPr>
          <w:rFonts w:ascii="Times New Roman;serif" w:hAnsi="Times New Roman;serif"/>
          <w:b w:val="false"/>
          <w:color w:val="000000"/>
          <w:sz w:val="22"/>
          <w:u w:val="single"/>
        </w:rPr>
        <w:t>Exhibit C</w:t>
      </w:r>
      <w:r>
        <w:rPr>
          <w:color w:val="000000"/>
        </w:rPr>
        <w:t xml:space="preserve"> </w:t>
      </w:r>
      <w:r>
        <w:rPr>
          <w:rFonts w:ascii="Times New Roman;serif" w:hAnsi="Times New Roman;serif"/>
          <w:b w:val="false"/>
          <w:color w:val="000000"/>
          <w:sz w:val="22"/>
        </w:rPr>
        <w:t>or such other form as may be agreed between the Company and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Conforming Changes</w:t>
      </w:r>
      <w:r>
        <w:rPr>
          <w:color w:val="000000"/>
        </w:rPr>
        <w:t xml:space="preserve">” </w:t>
      </w:r>
      <w:r>
        <w:rPr>
          <w:rFonts w:ascii="Times New Roman;serif" w:hAnsi="Times New Roman;serif"/>
          <w:b w:val="false"/>
          <w:color w:val="000000"/>
          <w:sz w:val="22"/>
        </w:rPr>
        <w:t xml:space="preserve">means, with respect to either the use or administration of Term SOFR or the use, administration, adoption or implementation of any Benchmark Replacement, any technical, administrative or operational changes (including changes to the definition of “Alternate Base Rate” or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 xml:space="preserve">and other technical, administrative or operational matters) that the Administrative Agent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any such rate exists, in such other manner of administration as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93"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decides in its reasonable discretion is reasonably necessary in connection with the administration of this Agreement and the other Loan Documents).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Cash Interest Expense</w:t>
      </w:r>
      <w:r>
        <w:rPr>
          <w:color w:val="000000"/>
        </w:rPr>
        <w:t xml:space="preserve">” </w:t>
      </w:r>
      <w:r>
        <w:rPr>
          <w:rFonts w:ascii="Times New Roman;serif" w:hAnsi="Times New Roman;serif"/>
          <w:b w:val="false"/>
          <w:color w:val="000000"/>
          <w:sz w:val="22"/>
        </w:rPr>
        <w:t>means, with respect to any Person for any period, without duplication, the cash interest expense (including that attributable to any Capitalized Lease Obligation),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 case: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amortization of deferred financing costs, debt issuance costs, commissions, fees and expenses and any other amounts of non-cash interest (including as a result of the effects of acquisition method accounting or pushdown accounting),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interest expense attributable to the movement of the mark-to-market valuation of obligations under Swap Obligations or other derivative instruments,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costs associated with incurring or terminating Swap Contracts and cash costs associated with breakage in respect of hedging agreements for interest rates,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commissions, discounts, yield, make-whole premium and other fees and charges (including any interest expense) incurred in connection with any non-recourse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“additional interest” owing pursuant to a registration rights agreement with respect to any securities,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any payments with respect to make-whole premiums or other breakage costs of any Indebtedness, including any Indebtedness issued in connection with the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penalties and interest relating to Taxes,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accretion or accrual of discounted liabilities not constituting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(ix)    interest expense attributable to the Company resulting from push-down accounting,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    any expense resulting from the discounting of Indebtedness in connection with the application of recapitalization or purchase accounting,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    any interest expense attributable to the exercise of appraisal rights and the settlement of any claims or actions (whether actual, contingent or potential) with respect thereto in connection with the Transactions or any acquisition or Investment,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(xii)    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 including the Senior Secured Notes.</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94"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Current Assets</w:t>
      </w:r>
      <w:r>
        <w:rPr>
          <w:color w:val="000000"/>
        </w:rPr>
        <w:t xml:space="preserve">” </w:t>
      </w:r>
      <w:r>
        <w:rPr>
          <w:rFonts w:ascii="Times New Roman;serif" w:hAnsi="Times New Roman;serif"/>
          <w:b w:val="false"/>
          <w:color w:val="000000"/>
          <w:sz w:val="22"/>
        </w:rPr>
        <w:t>means, with respect to any Person and its Restricted Subsidiaries on a consolidated basis, all assets of such Person and its Restricted Subsidiaries on a consolidated basis that, in accordance with GAAP, would be classified as current assets on the balance sheet of a company conducting a business the same as or similar to that of such Person and its Restricted Subsidiaries on a consolidated basis, after deducting appropriate and adequate reserves therefrom in each case in which a reserve is proper in accordance with GAAP, but excluding: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cash,</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Cash Equivalents,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Swap Contracts to the extent that the mark-to-market Swap Termination Value would be reflected as an asset on the consolidated balance sheet of such Person,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deferred financing fees,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amounts related to current or deferred taxes (but excluding assets held for sale, loans (permitted) to third parties, pension assets, deferred bank fees and derivative financial instruments) (so long as the items described in </w:t>
      </w:r>
      <w:r>
        <w:rPr>
          <w:rFonts w:ascii="Times New Roman;serif" w:hAnsi="Times New Roman;serif"/>
          <w:b w:val="false"/>
          <w:color w:val="000000"/>
          <w:sz w:val="22"/>
          <w:u w:val="single"/>
        </w:rPr>
        <w:t>clauses (iv)</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are non-cash items),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    in the event that a Qualified Securitization Financing or Receivables Facility is accounted for off balance sheet, (x) gross accounts receivable comprising part of the receivables and other related assets subject to such Qualified Securitization Financing or Receivables Facility, as applicable,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(y) collection by such Person against the amounts sold pursuant to </w:t>
      </w:r>
      <w:r>
        <w:rPr>
          <w:rFonts w:ascii="Times New Roman;serif" w:hAnsi="Times New Roman;serif"/>
          <w:b w:val="false"/>
          <w:color w:val="000000"/>
          <w:sz w:val="22"/>
          <w:u w:val="single"/>
        </w:rPr>
        <w:t>clause (x)</w:t>
      </w:r>
      <w:r>
        <w:rPr>
          <w:rFonts w:ascii="Times New Roman;serif" w:hAnsi="Times New Roman;serif"/>
          <w:b w:val="false"/>
          <w:color w:val="000000"/>
          <w:sz w:val="22"/>
        </w:rPr>
        <w: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the effects of adjustments pursuant to GAAP resulting from the application of recapitalization accounting or purchase accounting, as applicable, in relation to the Transactions or any consummated acquisition.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Current Liabilities</w:t>
      </w:r>
      <w:r>
        <w:rPr>
          <w:color w:val="000000"/>
        </w:rPr>
        <w:t xml:space="preserve">” </w:t>
      </w:r>
      <w:r>
        <w:rPr>
          <w:rFonts w:ascii="Times New Roman;serif" w:hAnsi="Times New Roman;serif"/>
          <w:b w:val="false"/>
          <w:color w:val="000000"/>
          <w:sz w:val="22"/>
        </w:rPr>
        <w:t>means, with respect to any Person and its Restricted Subsidiaries on a consolidated basis, all liabilities in accordance with GAAP that would be classified as current liabilities on the consolidated balance sheet of such Person, but excluding: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current portion of Indebtedness (including the Swap Termination Value of any Swap Contracts) to the extent reflected as a liability on the consolidated balance sheet of such Person,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current portion of interest,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accruals for current or deferred taxes based on income or profits,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accruals of any costs or expenses related to restructuring reserves or severance,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deferred revenue,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escrow account balances,</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95"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the current portion of pension liabilities,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liabilities in respect of unpaid earn-outs,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amounts related to derivative financial instruments and assets held for sale,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    any L/C Obligations or Revolving Credit Loans and any letter of credit obligations, swing line loans or revolving loans under any other revolving credit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    the current portion of other long-term liabilities,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the effects of adjustments pursuant to GAAP resulting from the application of recapitalization accounting or purchase accounting, as applicable, in relation to the Transactions or any consummated acquisition.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Depreciation and Amortization Expense</w:t>
      </w:r>
      <w:r>
        <w:rPr>
          <w:color w:val="000000"/>
        </w:rPr>
        <w:t xml:space="preserve">” </w:t>
      </w:r>
      <w:r>
        <w:rPr>
          <w:rFonts w:ascii="Times New Roman;serif" w:hAnsi="Times New Roman;serif"/>
          <w:b w:val="false"/>
          <w:color w:val="000000"/>
          <w:sz w:val="22"/>
        </w:rPr>
        <w:t>means, with respect to any Person for any period, the total amount of depreciation and amortization expense and capitalized fees, including amortization or write-off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intangible assets and non-cash organization costs,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deferred financing and debt issuance fees, costs and expenses,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property, plant and equipment consisting of leasehold improvements, freehold improvements, office equipment and fittings,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right-of-use assets consisting of property and office equipment,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capitalized expenditures (including Capitalized Software Expenditures), customer acquisition costs and incentive payments and signing bonuses, upfront payments related to any contract signing, media development costs, conversion costs and contract acquisition costs, the amortization of original issue discount resulting from the issuance of Indebtedness at less than par and amortization of favorable or unfavorable lease assets or liabilities,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(vi)    capitalized fees related to any Qualified Securitization Financing or Receivables Facility</w:t>
      </w:r>
      <w:r>
        <w:rPr>
          <w:color w:val="0000FF"/>
          <w:u w:val="single"/>
        </w:rPr>
        <w:t xml:space="preserve"> </w:t>
      </w:r>
      <w:r>
        <w:rPr>
          <w:rFonts w:ascii="Times New Roman;serif" w:hAnsi="Times New Roman;serif"/>
          <w:b w:val="false"/>
          <w:color w:val="0000FF"/>
          <w:sz w:val="22"/>
          <w:u w:val="single"/>
        </w:rPr>
        <w:t>permitted under this Agreement</w:t>
      </w:r>
      <w:r>
        <w:rPr>
          <w:rFonts w:ascii="Times New Roman;serif" w:hAnsi="Times New Roman;serif"/>
          <w:b w:val="false"/>
          <w:color w:val="000000"/>
          <w:sz w:val="22"/>
        </w:rPr>
        <w:t>, of such Person and its Restricted Subsidiaries for such period on a consolidated basis and otherwise determined in accordance with GAAP and any write-down of assets or asset value carried on the balance sheet.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EBITDA</w:t>
      </w:r>
      <w:r>
        <w:rPr>
          <w:color w:val="000000"/>
        </w:rPr>
        <w:t xml:space="preserve">” </w:t>
      </w:r>
      <w:r>
        <w:rPr>
          <w:rFonts w:ascii="Times New Roman;serif" w:hAnsi="Times New Roman;serif"/>
          <w:b w:val="false"/>
          <w:color w:val="000000"/>
          <w:sz w:val="22"/>
        </w:rPr>
        <w:t>means, with respect to any Person for any period, the Consolidated Net Income of such Person for such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increased (without duplication) by:</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 xml:space="preserve">Fixed Charges of such Person for such period (including (w) non-cash rent expense and the implied interest component of synthetic leases with respect to such period, (x) net payments and losses or any obligations on any Swap Obligations or other derivative instruments, (y) bank, letter of credit and other financing fees and (z) costs of surety bonds in connection with financing activities,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amounts excluded from the definition of “Consolidated Interest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96"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Expense” and any non-cash interest expense), to the extent deducted (and not added back) in computing Consolidated Net Income;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color w:val="000000"/>
          <w:sz w:val="22"/>
        </w:rPr>
        <w:t xml:space="preserve">(x)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state taxes in lieu of business fees (including business license fees), payroll tax credits, income tax credits and similar credits, and similar taxes of such Person paid or accrued during such period (including in respect of repatriated funds), (y) any distributions made to a direct or indirect parent of the Company with respect to the foregoing and (z) the net tax expense associated with any adjustments made pursuant to the definition of “Consolidated Net Income” in each case, to the extent deducted (and not added back) in computing Consolidated Net Income;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 xml:space="preserve">Consolidated Depreciation and Amortization Expense of such Person for such period to the extent deducted (and not added back) in computing Consolidated Net Income;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(d)    </w:t>
      </w:r>
      <w:r>
        <w:rPr>
          <w:rFonts w:ascii="Times New Roman;serif" w:hAnsi="Times New Roman;serif"/>
          <w:b w:val="false"/>
          <w:color w:val="000000"/>
          <w:sz w:val="22"/>
        </w:rPr>
        <w:t>any fees, costs, expenses or charges (other than Consolidated Depreciation and Amortization Expense) related to any actual, proposed or contemplated Equity Offering (including any expense relating to enhanced accounting functions or other transaction costs associated with becoming or being a stand-alone entity or a public company, including Public Company Costs), Permitted Investment, Restricted Payment, acquisition, disposition, recapitalization or the incurrence of Indebtedness permitted to be incurred by this Agreement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Senior Secured Notes, this Agreement, any other credit facilities or notes, any Securitization Fees and the Transactions, including Transaction Costs, and (ii) any amendment, waiver or other modification of the Senior Secured Notes, this Agreement, Receivables Facilities, Securitization Facilities, any other credit facilities or notes, any Securitization Fees, any other Indebtedness or any Equity Offering, in each case, whether or not consummated, to the extent deducted (</w:t>
      </w:r>
      <w:r>
        <w:rPr>
          <w:rFonts w:ascii="Times New Roman;serif" w:hAnsi="Times New Roman;serif"/>
          <w:b w:val="false"/>
          <w:strike/>
          <w:color w:val="FF0000"/>
          <w:sz w:val="22"/>
        </w:rPr>
        <w:t>(</w:t>
      </w:r>
      <w:r>
        <w:rPr>
          <w:rFonts w:ascii="Times New Roman;serif" w:hAnsi="Times New Roman;serif"/>
          <w:b w:val="false"/>
          <w:color w:val="000000"/>
          <w:sz w:val="22"/>
        </w:rPr>
        <w:t xml:space="preserve">and not added back) in computing Consolidated Net Income;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xml:space="preserve">, that the </w:t>
      </w:r>
      <w:r>
        <w:rPr>
          <w:rFonts w:ascii="Times New Roman;serif" w:hAnsi="Times New Roman;serif"/>
          <w:b w:val="false"/>
          <w:color w:val="008000"/>
          <w:sz w:val="22"/>
          <w:u w:val="single"/>
        </w:rPr>
        <w:t xml:space="preserve">aggregate amount of adjustments made pursuant to </w:t>
      </w:r>
      <w:r>
        <w:rPr>
          <w:rFonts w:ascii="Times New Roman;serif" w:hAnsi="Times New Roman;serif"/>
          <w:b w:val="false"/>
          <w:color w:val="0000FF"/>
          <w:sz w:val="22"/>
          <w:u w:val="single"/>
        </w:rPr>
        <w:t xml:space="preserve">this clause (d) shall not </w:t>
      </w:r>
      <w:r>
        <w:rPr>
          <w:rFonts w:ascii="Times New Roman;serif" w:hAnsi="Times New Roman;serif"/>
          <w:b w:val="false"/>
          <w:color w:val="008000"/>
          <w:sz w:val="22"/>
          <w:u w:val="single"/>
        </w:rPr>
        <w:t>exceed the greater of (</w:t>
      </w:r>
      <w:r>
        <w:rPr>
          <w:rFonts w:ascii="Times New Roman;serif" w:hAnsi="Times New Roman;serif"/>
          <w:b w:val="false"/>
          <w:color w:val="0000FF"/>
          <w:sz w:val="22"/>
          <w:u w:val="single"/>
        </w:rPr>
        <w:t xml:space="preserve">x) $10,000,000 </w:t>
      </w:r>
      <w:r>
        <w:rPr>
          <w:rFonts w:ascii="Times New Roman;serif" w:hAnsi="Times New Roman;serif"/>
          <w:b w:val="false"/>
          <w:color w:val="008000"/>
          <w:sz w:val="22"/>
          <w:u w:val="single"/>
        </w:rPr>
        <w:t xml:space="preserve">and (y) </w:t>
      </w:r>
      <w:r>
        <w:rPr>
          <w:rFonts w:ascii="Times New Roman;serif" w:hAnsi="Times New Roman;serif"/>
          <w:b w:val="false"/>
          <w:color w:val="0000FF"/>
          <w:sz w:val="22"/>
          <w:u w:val="single"/>
        </w:rPr>
        <w:t>3</w:t>
      </w:r>
      <w:r>
        <w:rPr>
          <w:rFonts w:ascii="Times New Roman;serif" w:hAnsi="Times New Roman;serif"/>
          <w:b w:val="false"/>
          <w:color w:val="008000"/>
          <w:sz w:val="22"/>
          <w:u w:val="single"/>
        </w:rPr>
        <w:t xml:space="preserve">% of Consolidated EBITDA for any four fiscal quarter period (determined after giving effect thereto and all other adjustments and addbacks);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(e)    </w:t>
      </w:r>
      <w:r>
        <w:rPr>
          <w:rFonts w:ascii="Times New Roman;serif" w:hAnsi="Times New Roman;serif"/>
          <w:b w:val="false"/>
          <w:color w:val="000000"/>
          <w:sz w:val="22"/>
        </w:rPr>
        <w:t>(i) the amount of any restructuring charge, accrual, reserve (and adjustments to existing reserves) or expense, integration cost, inventory optimization programs or other business optimization expense or cost (including charges directly related to the implementation of operating expense reductions, platform consolidations and migrations, transitions, insourcing initiatives, operating improvements, cost-</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97"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savings initiatives and tax restructurings) that is deducted (and not added back) in such period in computing Consolidated Net Income, including any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office or warehouse space costs) and new product design, development and introductions (including intellectual property development, labor costs, scrap costs and lower absorption of costs, including due to decreased productivity and greater inefficiencies), systems and/or software development and establishment costs, operational and reporting systems, technology initiatives, contract termination costs, costs related to customer disputes, distribution networks or sales channels, the implementation, replacement, development or upgrade of operational, reporting and information technology systems and technology initiatives, contract termination, retention, recruiting, severance, signing, consulting and transition services arrangements, future lease commitments, lease breakage and costs related to the pre-opening,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Times New Roman;serif" w:hAnsi="Times New Roman;serif"/>
          <w:b w:val="false"/>
          <w:i/>
          <w:color w:val="008000"/>
          <w:sz w:val="22"/>
          <w:u w:val="single"/>
        </w:rPr>
        <w:t>provided</w:t>
      </w:r>
      <w:r>
        <w:rPr>
          <w:rFonts w:ascii="Times New Roman;serif" w:hAnsi="Times New Roman;serif"/>
          <w:b w:val="false"/>
          <w:color w:val="008000"/>
          <w:sz w:val="22"/>
          <w:u w:val="single"/>
        </w:rPr>
        <w:t>, that the aggregate amount of adjustments made pursuant to this clause (</w:t>
      </w:r>
      <w:r>
        <w:rPr>
          <w:rFonts w:ascii="Times New Roman;serif" w:hAnsi="Times New Roman;serif"/>
          <w:b w:val="false"/>
          <w:color w:val="0000FF"/>
          <w:sz w:val="22"/>
          <w:u w:val="single"/>
        </w:rPr>
        <w:t>e</w:t>
      </w:r>
      <w:r>
        <w:rPr>
          <w:rFonts w:ascii="Times New Roman;serif" w:hAnsi="Times New Roman;serif"/>
          <w:b w:val="false"/>
          <w:color w:val="008000"/>
          <w:sz w:val="22"/>
          <w:u w:val="single"/>
        </w:rPr>
        <w:t xml:space="preserve">) shall not exceed </w:t>
      </w:r>
      <w:r>
        <w:rPr>
          <w:rFonts w:ascii="Times New Roman;serif" w:hAnsi="Times New Roman;serif"/>
          <w:b w:val="false"/>
          <w:color w:val="0000FF"/>
          <w:sz w:val="22"/>
          <w:u w:val="single"/>
        </w:rPr>
        <w:t>(x) for the fiscal years ending December 31, 2026 and December 31, 2027</w:t>
      </w:r>
      <w:r>
        <w:rPr>
          <w:rFonts w:ascii="Times New Roman;serif" w:hAnsi="Times New Roman;serif"/>
          <w:b w:val="false"/>
          <w:color w:val="008000"/>
          <w:sz w:val="22"/>
          <w:u w:val="single"/>
        </w:rPr>
        <w:t>, the greater of (</w:t>
      </w:r>
      <w:r>
        <w:rPr>
          <w:rFonts w:ascii="Times New Roman;serif" w:hAnsi="Times New Roman;serif"/>
          <w:b w:val="false"/>
          <w:color w:val="0000FF"/>
          <w:sz w:val="22"/>
          <w:u w:val="single"/>
        </w:rPr>
        <w:t>A) $35,000,000 and (B) 10% of Consolidated EBITDA for any four fiscal quarter period and (y) for the fiscal year ending December 31, 2028 and thereafter, the greater of (A) $50,000,000 and (B) 15</w:t>
      </w:r>
      <w:r>
        <w:rPr>
          <w:rFonts w:ascii="Times New Roman;serif" w:hAnsi="Times New Roman;serif"/>
          <w:b w:val="false"/>
          <w:color w:val="008000"/>
          <w:sz w:val="22"/>
          <w:u w:val="single"/>
        </w:rPr>
        <w:t>% of Consolidated EBITDA for any four fiscal quarter period (</w:t>
      </w:r>
      <w:r>
        <w:rPr>
          <w:rFonts w:ascii="Times New Roman;serif" w:hAnsi="Times New Roman;serif"/>
          <w:b w:val="false"/>
          <w:color w:val="0000FF"/>
          <w:sz w:val="22"/>
          <w:u w:val="single"/>
        </w:rPr>
        <w:t xml:space="preserve">in each case under this clause (e), </w:t>
      </w:r>
      <w:r>
        <w:rPr>
          <w:rFonts w:ascii="Times New Roman;serif" w:hAnsi="Times New Roman;serif"/>
          <w:b w:val="false"/>
          <w:color w:val="008000"/>
          <w:sz w:val="22"/>
          <w:u w:val="single"/>
        </w:rPr>
        <w:t xml:space="preserve">determined after giving effect thereto and all other adjustments and addbacks);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(f)    </w:t>
      </w:r>
      <w:r>
        <w:rPr>
          <w:rFonts w:ascii="Times New Roman;serif" w:hAnsi="Times New Roman;serif"/>
          <w:b w:val="false"/>
          <w:color w:val="000000"/>
          <w:sz w:val="22"/>
        </w:rPr>
        <w:t xml:space="preserve">any other non-cash charges, write-downs, expenses, losses or items reducing Consolidated Net Income for such period including (i) 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Senior Secured Notes and this Agreement) of such Person and its Subsidiaries and/or (iii) 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(provided that if any such non-cash charge, write-down, expense, loss or item represents an accrual or reserve for potential cash items in any future period, (A) the Company may elect not to add back such non-cash charge, expense or loss in the current period and (B) to the extent the Company elects to add back such non-cash charge, the cash payment in respect thereof in such future period shall be subtracted from Consolidated EBITDA when paid), </w:t>
      </w:r>
      <w:r>
        <w:rPr>
          <w:rFonts w:ascii="Times New Roman;serif" w:hAnsi="Times New Roman;serif"/>
          <w:b w:val="false"/>
          <w:strike/>
          <w:color w:val="FF0000"/>
          <w:sz w:val="22"/>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98"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other items classified </w:t>
      </w:r>
      <w:r>
        <w:rPr>
          <w:rFonts w:ascii="Times New Roman;serif" w:hAnsi="Times New Roman;serif"/>
          <w:b w:val="false"/>
          <w:strike/>
          <w:color w:val="008000"/>
          <w:sz w:val="22"/>
        </w:rPr>
        <w:t xml:space="preserve">by the Company </w:t>
      </w:r>
      <w:r>
        <w:rPr>
          <w:rFonts w:ascii="Times New Roman;serif" w:hAnsi="Times New Roman;serif"/>
          <w:b w:val="false"/>
          <w:strike/>
          <w:color w:val="FF0000"/>
          <w:sz w:val="22"/>
        </w:rPr>
        <w:t xml:space="preserve">as special items </w:t>
      </w:r>
      <w:r>
        <w:rPr>
          <w:rFonts w:ascii="Times New Roman;serif" w:hAnsi="Times New Roman;serif"/>
          <w:b w:val="false"/>
          <w:color w:val="000000"/>
          <w:sz w:val="22"/>
        </w:rPr>
        <w:t xml:space="preserve">less other non-cash items of income increasing Consolidated Net Income (excluding any amortization of a prepaid cash item that was paid in a prior period or such non-cash item of income to the extent it represents a receipt of cash in any future period);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(g) </w:t>
      </w:r>
      <w:r>
        <w:rPr>
          <w:rFonts w:ascii="Times New Roman;serif" w:hAnsi="Times New Roman;serif"/>
          <w:b w:val="false"/>
          <w:strike/>
          <w:color w:val="FF0000"/>
          <w:sz w:val="22"/>
        </w:rPr>
        <w:t xml:space="preserve">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(including the entry into material contracts or arrangements), revenue enhancements (other than for purposes of determining compliance with Section 7.08) and initiatives and synergies (including, to the extent applicable, from (i) the Transactions, (ii) mergers or other business combinations, acquisitions or other investments, divestitures, restructurings, integration, insourcing initiatives, operating improvements, cost savings initiatives or any other initiative, action or event, (iii) the effect of new customer contracts or projects and/or (iv) increased pricing or volume in existing contracts) (it is understood and agreed that “run rate” means the full recurring benefit for a period that is associated with any action taken, committed to be taken or expected to be taken, net of the amount of actual benefits realized during such period form such actions) projected by the Company in good faith to be reasonably anticipated to be realizable or a plan for realization shall have been established within 24 months of the date thereof (including from any actions taken in whole or in part prior to such date), which will be added to Consolidated EBITDA as so projected until fully realized and </w:t>
      </w:r>
      <w:r>
        <w:rPr>
          <w:rFonts w:ascii="Times New Roman;serif" w:hAnsi="Times New Roman;serif"/>
          <w:b w:val="false"/>
          <w:strike/>
          <w:color w:val="008000"/>
          <w:sz w:val="22"/>
        </w:rPr>
        <w:t xml:space="preserve">calculated on a pro forma basis </w:t>
      </w:r>
      <w:r>
        <w:rPr>
          <w:rFonts w:ascii="Times New Roman;serif" w:hAnsi="Times New Roman;serif"/>
          <w:b w:val="false"/>
          <w:strike/>
          <w:color w:val="FF0000"/>
          <w:sz w:val="22"/>
        </w:rPr>
        <w:t xml:space="preserve">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revenue enhancements and initiatives and synergies had been realized on the first day of such period, net of the amount of actual benefits realized prior to or during such period from such actions; </w:t>
      </w:r>
      <w:r>
        <w:rPr>
          <w:rFonts w:ascii="Times New Roman;serif" w:hAnsi="Times New Roman;serif"/>
          <w:b w:val="false"/>
          <w:strike/>
          <w:color w:val="008000"/>
          <w:sz w:val="22"/>
        </w:rPr>
        <w:t>provided, that the aggregate amount of adjustments made pursuant to this clause (</w:t>
      </w:r>
      <w:r>
        <w:rPr>
          <w:rFonts w:ascii="Times New Roman;serif" w:hAnsi="Times New Roman;serif"/>
          <w:b w:val="false"/>
          <w:strike/>
          <w:color w:val="FF0000"/>
          <w:sz w:val="22"/>
        </w:rPr>
        <w:t xml:space="preserve">g) (combined with the aggregate amount </w:t>
      </w:r>
      <w:r>
        <w:rPr>
          <w:rFonts w:ascii="Times New Roman;serif" w:hAnsi="Times New Roman;serif"/>
          <w:b w:val="false"/>
          <w:strike/>
          <w:color w:val="008000"/>
          <w:sz w:val="22"/>
        </w:rPr>
        <w:t xml:space="preserve">of adjustments made pursuant to </w:t>
      </w:r>
      <w:r>
        <w:rPr>
          <w:rFonts w:ascii="Times New Roman;serif" w:hAnsi="Times New Roman;serif"/>
          <w:b w:val="false"/>
          <w:strike/>
          <w:color w:val="FF0000"/>
          <w:sz w:val="22"/>
        </w:rPr>
        <w:t xml:space="preserve">clause (v) below and the aggregate amount of cost savings, operating expense reductions and synergies added to Consolidated EBITDA pursuant to </w:t>
      </w:r>
      <w:r>
        <w:rPr>
          <w:rFonts w:ascii="Times New Roman;serif" w:hAnsi="Times New Roman;serif"/>
          <w:b w:val="false"/>
          <w:strike/>
          <w:color w:val="FF0000"/>
          <w:sz w:val="22"/>
          <w:u w:val="single"/>
        </w:rPr>
        <w:t>Section 1.10</w:t>
      </w:r>
      <w:r>
        <w:rPr>
          <w:rFonts w:ascii="Times New Roman;serif" w:hAnsi="Times New Roman;serif"/>
          <w:b w:val="false"/>
          <w:strike/>
          <w:color w:val="008000"/>
          <w:sz w:val="22"/>
        </w:rPr>
        <w:t xml:space="preserve">) shall not exceed </w:t>
      </w:r>
      <w:r>
        <w:rPr>
          <w:rFonts w:ascii="Times New Roman;serif" w:hAnsi="Times New Roman;serif"/>
          <w:b w:val="false"/>
          <w:strike/>
          <w:color w:val="FF0000"/>
          <w:sz w:val="22"/>
        </w:rPr>
        <w:t>25</w:t>
      </w:r>
      <w:r>
        <w:rPr>
          <w:rFonts w:ascii="Times New Roman;serif" w:hAnsi="Times New Roman;serif"/>
          <w:b w:val="false"/>
          <w:strike/>
          <w:color w:val="008000"/>
          <w:sz w:val="22"/>
        </w:rPr>
        <w:t xml:space="preserve">% of Consolidated EBITDA for any four fiscal quarter period (determined after giving effect thereto and all other adjustments and addbacks); </w:t>
      </w:r>
      <w:r>
        <w:rPr>
          <w:rFonts w:ascii="Times New Roman;serif" w:hAnsi="Times New Roman;serif"/>
          <w:b w:val="false"/>
          <w:i/>
          <w:strike/>
          <w:color w:val="FF0000"/>
          <w:sz w:val="22"/>
        </w:rPr>
        <w:t>provided, further</w:t>
      </w:r>
      <w:r>
        <w:rPr>
          <w:rFonts w:ascii="Times New Roman;serif" w:hAnsi="Times New Roman;serif"/>
          <w:b w:val="false"/>
          <w:strike/>
          <w:color w:val="FF0000"/>
          <w:sz w:val="22"/>
        </w:rPr>
        <w:t xml:space="preserve">, that in each case of this </w:t>
      </w:r>
      <w:r>
        <w:rPr>
          <w:rFonts w:ascii="Times New Roman;serif" w:hAnsi="Times New Roman;serif"/>
          <w:b w:val="false"/>
          <w:strike/>
          <w:color w:val="FF0000"/>
          <w:sz w:val="22"/>
          <w:u w:val="single"/>
        </w:rPr>
        <w:t>clause (g)</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Section 1.10</w:t>
      </w:r>
      <w:r>
        <w:rPr>
          <w:rFonts w:ascii="Times New Roman;serif" w:hAnsi="Times New Roman;serif"/>
          <w:b w:val="false"/>
          <w:strike/>
          <w:color w:val="FF0000"/>
          <w:sz w:val="22"/>
        </w:rPr>
        <w:t xml:space="preserve">, such 25% cap shall not apply to any such adjustments that (A) would be permitted to be included in pro forma financial statements prepared in accordance with Regulation S-X under the Securities Act or (B) are otherwise in connection with or related to the Transactions; </w:t>
      </w:r>
      <w:r>
        <w:rPr>
          <w:rFonts w:ascii="Times New Roman;serif" w:hAnsi="Times New Roman;serif"/>
          <w:b w:val="false"/>
          <w:i/>
          <w:strike/>
          <w:color w:val="FF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(g)    </w:t>
      </w:r>
      <w:r>
        <w:rPr>
          <w:rFonts w:ascii="Times New Roman;serif" w:hAnsi="Times New Roman;serif"/>
          <w:b w:val="false"/>
          <w:color w:val="0000FF"/>
          <w:sz w:val="22"/>
          <w:u w:val="single"/>
        </w:rPr>
        <w:t xml:space="preserve">[reserved]; </w:t>
      </w:r>
      <w:r>
        <w:rPr>
          <w:rFonts w:ascii="Times New Roman;serif" w:hAnsi="Times New Roman;serif"/>
          <w:b w:val="false"/>
          <w:i/>
          <w:color w:val="0000FF"/>
          <w:sz w:val="22"/>
          <w:u w:val="single"/>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(h)    </w:t>
      </w:r>
      <w:r>
        <w:rPr>
          <w:rFonts w:ascii="Times New Roman;serif" w:hAnsi="Times New Roman;serif"/>
          <w:b w:val="false"/>
          <w:color w:val="000000"/>
          <w:sz w:val="22"/>
        </w:rPr>
        <w:t xml:space="preserve">any costs or expenses incurred by the Company or a Restricted Subsidiary or a direct or indirect parent of the Company pursuant to any management equity plan, stock option plan, phantom equity plan, profits interests or any other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99"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Company or Net Cash Proceeds of an issuance of Capital Stock (other than Disqualified Stock) of the Company;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(i)    </w:t>
      </w:r>
      <w:r>
        <w:rPr>
          <w:rFonts w:ascii="Times New Roman;serif" w:hAnsi="Times New Roman;serif"/>
          <w:b w:val="false"/>
          <w:color w:val="000000"/>
          <w:sz w:val="22"/>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below for any previous period and not added back;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(j)    </w:t>
      </w:r>
      <w:r>
        <w:rPr>
          <w:rFonts w:ascii="Times New Roman;serif" w:hAnsi="Times New Roman;serif"/>
          <w:b w:val="false"/>
          <w:color w:val="000000"/>
          <w:sz w:val="22"/>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(k)    </w:t>
      </w:r>
      <w:r>
        <w:rPr>
          <w:rFonts w:ascii="Times New Roman;serif" w:hAnsi="Times New Roman;serif"/>
          <w:b w:val="false"/>
          <w:color w:val="000000"/>
          <w:sz w:val="22"/>
        </w:rPr>
        <w:t xml:space="preserve">the amount of any non-controlling or minority interest expense consisting of Subsidiary income attributable to non-controlling or minority equity interests of third parties in any non-Wholly Owned Subsidiary;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(l)    </w:t>
      </w:r>
      <w:r>
        <w:rPr>
          <w:rFonts w:ascii="Times New Roman;serif" w:hAnsi="Times New Roman;serif"/>
          <w:b w:val="false"/>
          <w:color w:val="000000"/>
          <w:sz w:val="22"/>
        </w:rPr>
        <w:t xml:space="preserve">(i) unrealized or realized foreign exchange losses resulting from the impact of foreign currency changes and (ii) gains and losses due to fluctuations in currency values and related tax effects determined in accordance with GAAP;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(m)    </w:t>
      </w:r>
      <w:r>
        <w:rPr>
          <w:rFonts w:ascii="Times New Roman;serif" w:hAnsi="Times New Roman;serif"/>
          <w:b w:val="false"/>
          <w:color w:val="000000"/>
          <w:sz w:val="22"/>
        </w:rPr>
        <w:t xml:space="preserve">with respect to any joint venture, an amount equal to the proportion of those items described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above relating to such joint venture corresponding to the Company’s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(n)    </w:t>
      </w:r>
      <w:r>
        <w:rPr>
          <w:rFonts w:ascii="Times New Roman;serif" w:hAnsi="Times New Roman;serif"/>
          <w:b w:val="false"/>
          <w:color w:val="000000"/>
          <w:sz w:val="22"/>
        </w:rPr>
        <w:t xml:space="preserve">the amount of any costs, charges or expenses relating to payments made to stock appreciation or similar rights, stock option, restricted stock, phantom equity, profits interests or other interests or rights holders of the Company or any of its Subsidiaries or any direct or indirect parent of the Company in connection with, or as a result of, any distribution being made to equityholders of such Person or any of its Subsidiaries or any direct or indirect parent thereof, which payments are being made to compensate such holders as though they were equityholders at the time of, and entitled to share in, such distribution;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(o) </w:t>
      </w:r>
      <w:r>
        <w:rPr>
          <w:rFonts w:ascii="Times New Roman;serif" w:hAnsi="Times New Roman;serif"/>
          <w:b w:val="false"/>
          <w:strike/>
          <w:color w:val="FF0000"/>
          <w:sz w:val="22"/>
        </w:rPr>
        <w:t xml:space="preserve">(i) amounts included in the EBITDA reconciliations </w:t>
      </w:r>
      <w:r>
        <w:rPr>
          <w:rFonts w:ascii="Times New Roman;serif" w:hAnsi="Times New Roman;serif"/>
          <w:b w:val="false"/>
          <w:strike/>
          <w:color w:val="008000"/>
          <w:sz w:val="22"/>
        </w:rPr>
        <w:t xml:space="preserve">set forth </w:t>
      </w:r>
      <w:r>
        <w:rPr>
          <w:rFonts w:ascii="Times New Roman;serif" w:hAnsi="Times New Roman;serif"/>
          <w:b w:val="false"/>
          <w:strike/>
          <w:color w:val="FF0000"/>
          <w:sz w:val="22"/>
        </w:rPr>
        <w:t xml:space="preserve">in the Information Memorandum or amounts of a similar nature to those set forth therein, without duplication, to the extent adjustments of such nature continue to be applicable during the period in which Consolidated EBITDA is being calculated and (ii) at the option of the Company, any adjustments (including pro forma adjustments) of </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00"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the type reflected in (x) any quality of earnings report obtained in connection with the Transactions or (y) any quality of earnings report obtained in connection with any subsequent transaction and, in the case of this </w:t>
      </w:r>
      <w:r>
        <w:rPr>
          <w:rFonts w:ascii="Times New Roman;serif" w:hAnsi="Times New Roman;serif"/>
          <w:b w:val="false"/>
          <w:strike/>
          <w:color w:val="FF0000"/>
          <w:sz w:val="22"/>
          <w:u w:val="single"/>
        </w:rPr>
        <w:t>clause (y)</w:t>
      </w:r>
      <w:r>
        <w:rPr>
          <w:rFonts w:ascii="Times New Roman;serif" w:hAnsi="Times New Roman;serif"/>
          <w:b w:val="false"/>
          <w:strike/>
          <w:color w:val="FF0000"/>
          <w:sz w:val="22"/>
        </w:rPr>
        <w:t xml:space="preserve">, made available to the Administrative Agent and prepared by a financial advisor that is reasonably </w:t>
      </w:r>
      <w:r>
        <w:rPr>
          <w:rFonts w:ascii="Times New Roman;serif" w:hAnsi="Times New Roman;serif"/>
          <w:b w:val="false"/>
          <w:strike/>
          <w:color w:val="008000"/>
          <w:sz w:val="22"/>
        </w:rPr>
        <w:t xml:space="preserve">acceptable to the Administrative Agent </w:t>
      </w:r>
      <w:r>
        <w:rPr>
          <w:rFonts w:ascii="Times New Roman;serif" w:hAnsi="Times New Roman;serif"/>
          <w:b w:val="false"/>
          <w:strike/>
          <w:color w:val="FF0000"/>
          <w:sz w:val="22"/>
        </w:rPr>
        <w:t xml:space="preserve">(it being agreed that any nationally recognized financial advisor (including any “big four” accounting firm) is acceptable to the Administrative Agent) (in each case, without regard to time or amounts); </w:t>
      </w:r>
      <w:r>
        <w:rPr>
          <w:rFonts w:ascii="Times New Roman;serif" w:hAnsi="Times New Roman;serif"/>
          <w:b w:val="false"/>
          <w:i/>
          <w:strike/>
          <w:color w:val="FF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(o)    </w:t>
      </w:r>
      <w:r>
        <w:rPr>
          <w:rFonts w:ascii="Times New Roman;serif" w:hAnsi="Times New Roman;serif"/>
          <w:b w:val="false"/>
          <w:color w:val="0000FF"/>
          <w:sz w:val="22"/>
          <w:u w:val="single"/>
        </w:rPr>
        <w:t xml:space="preserve">[reserved]; </w:t>
      </w:r>
      <w:r>
        <w:rPr>
          <w:rFonts w:ascii="Times New Roman;serif" w:hAnsi="Times New Roman;serif"/>
          <w:b w:val="false"/>
          <w:i/>
          <w:color w:val="0000FF"/>
          <w:sz w:val="22"/>
          <w:u w:val="single"/>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(p)    </w:t>
      </w:r>
      <w:r>
        <w:rPr>
          <w:rFonts w:ascii="Times New Roman;serif" w:hAnsi="Times New Roman;serif"/>
          <w:b w:val="false"/>
          <w:color w:val="000000"/>
          <w:sz w:val="22"/>
        </w:rPr>
        <w:t xml:space="preserve">[reserved];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(q)    </w:t>
      </w:r>
      <w:r>
        <w:rPr>
          <w:rFonts w:ascii="Times New Roman;serif" w:hAnsi="Times New Roman;serif"/>
          <w:b w:val="false"/>
          <w:strike/>
          <w:color w:val="FF0000"/>
          <w:sz w:val="22"/>
        </w:rPr>
        <w:t xml:space="preserve">losses, charges and expenses related to the pre-opening and opening of new locations, and start-up period prior to opening, that are operated, or to be operated, </w:t>
      </w:r>
      <w:r>
        <w:rPr>
          <w:rFonts w:ascii="Times New Roman;serif" w:hAnsi="Times New Roman;serif"/>
          <w:b w:val="false"/>
          <w:strike/>
          <w:color w:val="008000"/>
          <w:sz w:val="22"/>
        </w:rPr>
        <w:t xml:space="preserve">by the Company or any Restricted </w:t>
      </w:r>
      <w:r>
        <w:rPr>
          <w:rFonts w:ascii="Times New Roman;serif" w:hAnsi="Times New Roman;serif"/>
          <w:b w:val="false"/>
          <w:strike/>
          <w:color w:val="FF0000"/>
          <w:sz w:val="22"/>
        </w:rPr>
        <w:t>Subsidiary</w:t>
      </w:r>
      <w:r>
        <w:rPr>
          <w:rFonts w:ascii="Times New Roman;serif" w:hAnsi="Times New Roman;serif"/>
          <w:b w:val="false"/>
          <w:color w:val="0000FF"/>
          <w:sz w:val="22"/>
          <w:u w:val="single"/>
        </w:rPr>
        <w:t>[reserved]</w:t>
      </w:r>
      <w:r>
        <w:rPr>
          <w:rFonts w:ascii="Times New Roman;serif" w:hAnsi="Times New Roman;serif"/>
          <w:b w:val="false"/>
          <w:color w:val="000000"/>
          <w:sz w:val="22"/>
        </w:rPr>
        <w:t xml:space="preserv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(r)    </w:t>
      </w:r>
      <w:r>
        <w:rPr>
          <w:rFonts w:ascii="Times New Roman;serif" w:hAnsi="Times New Roman;serif"/>
          <w:b w:val="false"/>
          <w:color w:val="000000"/>
          <w:sz w:val="22"/>
        </w:rPr>
        <w:t xml:space="preserve">rent expense as determined in accordance with GAAP not actually paid in cash during such period (net of rent expense paid in case during such period over and above rent expense as determined in accordance with GAAP);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(s)    </w:t>
      </w:r>
      <w:r>
        <w:rPr>
          <w:rFonts w:ascii="Times New Roman;serif" w:hAnsi="Times New Roman;serif"/>
          <w:b w:val="false"/>
          <w:strike/>
          <w:color w:val="FF0000"/>
          <w:sz w:val="22"/>
        </w:rPr>
        <w:t xml:space="preserve">losses, charges and expenses related to a new location, plant or facility until </w:t>
      </w:r>
      <w:r>
        <w:rPr>
          <w:rFonts w:ascii="Times New Roman;serif" w:hAnsi="Times New Roman;serif"/>
          <w:b w:val="false"/>
          <w:strike/>
          <w:color w:val="008000"/>
          <w:sz w:val="22"/>
        </w:rPr>
        <w:t xml:space="preserve">the date that is </w:t>
      </w:r>
      <w:r>
        <w:rPr>
          <w:rFonts w:ascii="Times New Roman;serif" w:hAnsi="Times New Roman;serif"/>
          <w:b w:val="false"/>
          <w:strike/>
          <w:color w:val="FF0000"/>
          <w:sz w:val="22"/>
        </w:rPr>
        <w:t>24 months after the date of commencement of construction or the date of acquisition thereof, as applicable</w:t>
      </w:r>
      <w:r>
        <w:rPr>
          <w:rFonts w:ascii="Times New Roman;serif" w:hAnsi="Times New Roman;serif"/>
          <w:b w:val="false"/>
          <w:color w:val="0000FF"/>
          <w:sz w:val="22"/>
          <w:u w:val="single"/>
        </w:rPr>
        <w:t>[reserved]</w:t>
      </w:r>
      <w:r>
        <w:rPr>
          <w:rFonts w:ascii="Times New Roman;serif" w:hAnsi="Times New Roman;serif"/>
          <w:b w:val="false"/>
          <w:color w:val="000000"/>
          <w:sz w:val="22"/>
        </w:rPr>
        <w:t xml:space="preserve">;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(t)    </w:t>
      </w:r>
      <w:r>
        <w:rPr>
          <w:rFonts w:ascii="Times New Roman;serif" w:hAnsi="Times New Roman;serif"/>
          <w:b w:val="false"/>
          <w:color w:val="000000"/>
          <w:sz w:val="22"/>
        </w:rPr>
        <w:t xml:space="preserve">any non-cash increase in expense resulting from the revaluation of inventory (including any impact of changes to inventory valuation policy methods including changes in capitalization of variances) or other inventory adjustments;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(u)    </w:t>
      </w:r>
      <w:r>
        <w:rPr>
          <w:rFonts w:ascii="Times New Roman;serif" w:hAnsi="Times New Roman;serif"/>
          <w:b w:val="false"/>
          <w:color w:val="0000FF"/>
          <w:sz w:val="22"/>
          <w:u w:val="single"/>
        </w:rPr>
        <w:t xml:space="preserve">[reserved]; </w:t>
      </w:r>
      <w:r>
        <w:rPr>
          <w:rFonts w:ascii="Times New Roman;serif" w:hAnsi="Times New Roman;serif"/>
          <w:b w:val="false"/>
          <w:i/>
          <w:color w:val="0000FF"/>
          <w:sz w:val="22"/>
          <w:u w:val="single"/>
        </w:rPr>
        <w:t>plus</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(v)    </w:t>
      </w:r>
      <w:r>
        <w:rPr>
          <w:rFonts w:ascii="Times New Roman;serif" w:hAnsi="Times New Roman;serif"/>
          <w:b w:val="false"/>
          <w:color w:val="0000FF"/>
          <w:sz w:val="22"/>
          <w:u w:val="single"/>
        </w:rPr>
        <w:t xml:space="preserve">[reserved]; </w:t>
      </w:r>
      <w:r>
        <w:rPr>
          <w:rFonts w:ascii="Times New Roman;serif" w:hAnsi="Times New Roman;serif"/>
          <w:b w:val="false"/>
          <w:i/>
          <w:color w:val="0000FF"/>
          <w:sz w:val="22"/>
          <w:u w:val="single"/>
        </w:rPr>
        <w:t>plus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(u) </w:t>
      </w:r>
      <w:r>
        <w:rPr>
          <w:rFonts w:ascii="Times New Roman;serif" w:hAnsi="Times New Roman;serif"/>
          <w:b w:val="false"/>
          <w:strike/>
          <w:color w:val="FF0000"/>
          <w:sz w:val="22"/>
        </w:rPr>
        <w:t xml:space="preserve">(1) the net increase or (solely for purposes of determining compliance with </w:t>
      </w:r>
      <w:r>
        <w:rPr>
          <w:rFonts w:ascii="Times New Roman;serif" w:hAnsi="Times New Roman;serif"/>
          <w:b w:val="false"/>
          <w:strike/>
          <w:color w:val="FF0000"/>
          <w:sz w:val="22"/>
          <w:u w:val="single"/>
        </w:rPr>
        <w:t>Section 7.08)</w:t>
      </w:r>
      <w:r>
        <w:rPr>
          <w:strike/>
          <w:color w:val="FF0000"/>
        </w:rPr>
        <w:t xml:space="preserve"> </w:t>
      </w:r>
      <w:r>
        <w:rPr>
          <w:rFonts w:ascii="Times New Roman;serif" w:hAnsi="Times New Roman;serif"/>
          <w:b w:val="false"/>
          <w:strike/>
          <w:color w:val="FF0000"/>
          <w:sz w:val="22"/>
        </w:rPr>
        <w:t xml:space="preserve">decrease, if any, of the difference between: (i) the deferred revenue of such Person and its Restricted Subsidiaries, </w:t>
      </w:r>
      <w:r>
        <w:rPr>
          <w:rFonts w:ascii="Times New Roman;serif" w:hAnsi="Times New Roman;serif"/>
          <w:b w:val="false"/>
          <w:strike/>
          <w:color w:val="008000"/>
          <w:sz w:val="22"/>
        </w:rPr>
        <w:t xml:space="preserve">as of the last day of </w:t>
      </w:r>
      <w:r>
        <w:rPr>
          <w:rFonts w:ascii="Times New Roman;serif" w:hAnsi="Times New Roman;serif"/>
          <w:b w:val="false"/>
          <w:strike/>
          <w:color w:val="FF0000"/>
          <w:sz w:val="22"/>
        </w:rPr>
        <w:t>such period (the “</w:t>
      </w:r>
      <w:r>
        <w:rPr>
          <w:rFonts w:ascii="Times New Roman;serif" w:hAnsi="Times New Roman;serif"/>
          <w:b/>
          <w:strike/>
          <w:color w:val="FF0000"/>
          <w:sz w:val="22"/>
        </w:rPr>
        <w:t>Determination Date</w:t>
      </w:r>
      <w:r>
        <w:rPr>
          <w:strike/>
          <w:color w:val="FF0000"/>
        </w:rPr>
        <w:t>”</w:t>
      </w:r>
      <w:r>
        <w:rPr>
          <w:rFonts w:ascii="Times New Roman;serif" w:hAnsi="Times New Roman;serif"/>
          <w:b w:val="false"/>
          <w:strike/>
          <w:color w:val="FF0000"/>
          <w:sz w:val="22"/>
        </w:rPr>
        <w:t xml:space="preserve">) and (ii) the deferred revenue of such Person and its Restricted Subsidiaries as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date that is 12 months prior to the Determination Date, and (2) without duplication of any adjustment pursuant to </w:t>
      </w:r>
      <w:r>
        <w:rPr>
          <w:rFonts w:ascii="Times New Roman;serif" w:hAnsi="Times New Roman;serif"/>
          <w:b w:val="false"/>
          <w:strike/>
          <w:color w:val="FF0000"/>
          <w:sz w:val="22"/>
          <w:u w:val="single"/>
        </w:rPr>
        <w:t>clause (1)</w:t>
      </w:r>
      <w:r>
        <w:rPr>
          <w:rFonts w:ascii="Times New Roman;serif" w:hAnsi="Times New Roman;serif"/>
          <w:b w:val="false"/>
          <w:strike/>
          <w:color w:val="FF0000"/>
          <w:sz w:val="22"/>
        </w:rPr>
        <w:t xml:space="preserve">, the net adjustment for the annualized full year gross profit contribution from new customer contracts signed </w:t>
      </w:r>
      <w:r>
        <w:rPr>
          <w:rFonts w:ascii="Times New Roman;serif" w:hAnsi="Times New Roman;serif"/>
          <w:b w:val="false"/>
          <w:strike/>
          <w:color w:val="008000"/>
          <w:sz w:val="22"/>
        </w:rPr>
        <w:t xml:space="preserve">during the </w:t>
      </w:r>
      <w:r>
        <w:rPr>
          <w:rFonts w:ascii="Times New Roman;serif" w:hAnsi="Times New Roman;serif"/>
          <w:b w:val="false"/>
          <w:strike/>
          <w:color w:val="FF0000"/>
          <w:sz w:val="22"/>
        </w:rPr>
        <w:t xml:space="preserve">12 months </w:t>
      </w:r>
      <w:r>
        <w:rPr>
          <w:rFonts w:ascii="Times New Roman;serif" w:hAnsi="Times New Roman;serif"/>
          <w:b w:val="false"/>
          <w:strike/>
          <w:color w:val="008000"/>
          <w:sz w:val="22"/>
        </w:rPr>
        <w:t xml:space="preserve">prior to the </w:t>
      </w:r>
      <w:r>
        <w:rPr>
          <w:rFonts w:ascii="Times New Roman;serif" w:hAnsi="Times New Roman;serif"/>
          <w:b w:val="false"/>
          <w:strike/>
          <w:color w:val="FF0000"/>
          <w:sz w:val="22"/>
        </w:rPr>
        <w:t xml:space="preserve">Determination Date; </w:t>
      </w:r>
      <w:r>
        <w:rPr>
          <w:rFonts w:ascii="Times New Roman;serif" w:hAnsi="Times New Roman;serif"/>
          <w:b w:val="false"/>
          <w:i/>
          <w:strike/>
          <w:color w:val="FF0000"/>
          <w:sz w:val="22"/>
        </w:rPr>
        <w:t>plus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(v) </w:t>
      </w:r>
      <w:r>
        <w:rPr>
          <w:rFonts w:ascii="Times New Roman;serif" w:hAnsi="Times New Roman;serif"/>
          <w:b w:val="false"/>
          <w:strike/>
          <w:color w:val="FF0000"/>
          <w:sz w:val="22"/>
        </w:rPr>
        <w:t xml:space="preserve">(other than for purposes of determining compliance with </w:t>
      </w:r>
      <w:r>
        <w:rPr>
          <w:rFonts w:ascii="Times New Roman;serif" w:hAnsi="Times New Roman;serif"/>
          <w:b w:val="false"/>
          <w:strike/>
          <w:color w:val="FF0000"/>
          <w:sz w:val="22"/>
          <w:u w:val="single"/>
        </w:rPr>
        <w:t>Section 7.08</w:t>
      </w:r>
      <w:r>
        <w:rPr>
          <w:rFonts w:ascii="Times New Roman;serif" w:hAnsi="Times New Roman;serif"/>
          <w:b w:val="false"/>
          <w:strike/>
          <w:color w:val="FF0000"/>
          <w:sz w:val="22"/>
        </w:rPr>
        <w:t xml:space="preserve">) the amount of incremental contract value of the Restricted Group that the Company in good faith reasonably believes would have been realized or achieved as Consolidated EBITDA contribution from (i) increased pricing or volume initiatives and/or (ii) the entry into (and performance under) binding and effective new agreements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01"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with new customers or, if generating incremental contract value, new agreements (or amendments to existing agreements) with existing customers (collectively, “</w:t>
      </w:r>
      <w:r>
        <w:rPr>
          <w:rFonts w:ascii="Times New Roman;serif" w:hAnsi="Times New Roman;serif"/>
          <w:b/>
          <w:strike/>
          <w:color w:val="FF0000"/>
          <w:sz w:val="22"/>
        </w:rPr>
        <w:t>New Contracts</w:t>
      </w:r>
      <w:r>
        <w:rPr>
          <w:strike/>
          <w:color w:val="FF0000"/>
        </w:rPr>
        <w:t>”</w:t>
      </w:r>
      <w:r>
        <w:rPr>
          <w:rFonts w:ascii="Times New Roman;serif" w:hAnsi="Times New Roman;serif"/>
          <w:b w:val="false"/>
          <w:strike/>
          <w:color w:val="FF0000"/>
          <w:sz w:val="22"/>
        </w:rPr>
        <w:t xml:space="preserve">)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EBITDA contribution during such period) as long as such incremental contract value is reasonably identifiable and factually supportable; </w:t>
      </w:r>
      <w:r>
        <w:rPr>
          <w:rFonts w:ascii="Times New Roman;serif" w:hAnsi="Times New Roman;serif"/>
          <w:b w:val="false"/>
          <w:i/>
          <w:strike/>
          <w:color w:val="FF0000"/>
          <w:sz w:val="22"/>
        </w:rPr>
        <w:t>provided</w:t>
      </w:r>
      <w:r>
        <w:rPr>
          <w:strike/>
          <w:color w:val="FF0000"/>
        </w:rPr>
        <w:t xml:space="preserve"> </w:t>
      </w:r>
      <w:r>
        <w:rPr>
          <w:rFonts w:ascii="Times New Roman;serif" w:hAnsi="Times New Roman;serif"/>
          <w:b w:val="false"/>
          <w:strike/>
          <w:color w:val="FF0000"/>
          <w:sz w:val="22"/>
        </w:rPr>
        <w:t xml:space="preserve">that such incremental contract value shall be calculated on a pro forma basis as though the full run rate effect of such incremental contract value had been realized as Consolidated EBITDA contributed on the first day of such period; </w:t>
      </w:r>
      <w:r>
        <w:rPr>
          <w:rFonts w:ascii="Times New Roman;serif" w:hAnsi="Times New Roman;serif"/>
          <w:b w:val="false"/>
          <w:i/>
          <w:strike/>
          <w:color w:val="FF0000"/>
          <w:sz w:val="22"/>
        </w:rPr>
        <w:t>provided</w:t>
      </w:r>
      <w:r>
        <w:rPr>
          <w:rFonts w:ascii="Times New Roman;serif" w:hAnsi="Times New Roman;serif"/>
          <w:b w:val="false"/>
          <w:strike/>
          <w:color w:val="FF0000"/>
          <w:sz w:val="22"/>
        </w:rPr>
        <w:t xml:space="preserve">, that the aggregate amount of adjustments made pursuant to this </w:t>
      </w:r>
      <w:r>
        <w:rPr>
          <w:rFonts w:ascii="Times New Roman;serif" w:hAnsi="Times New Roman;serif"/>
          <w:b w:val="false"/>
          <w:strike/>
          <w:color w:val="FF0000"/>
          <w:sz w:val="22"/>
          <w:u w:val="single"/>
        </w:rPr>
        <w:t>clause (v)</w:t>
      </w:r>
      <w:r>
        <w:rPr>
          <w:strike/>
          <w:color w:val="FF0000"/>
        </w:rPr>
        <w:t xml:space="preserve"> </w:t>
      </w:r>
      <w:r>
        <w:rPr>
          <w:rFonts w:ascii="Times New Roman;serif" w:hAnsi="Times New Roman;serif"/>
          <w:b w:val="false"/>
          <w:strike/>
          <w:color w:val="FF0000"/>
          <w:sz w:val="22"/>
        </w:rPr>
        <w:t xml:space="preserve">(combined with the aggregate amount of cost savings, operating expense reductions and synergies added to Consolidated EBITDA pursuant to </w:t>
      </w:r>
      <w:r>
        <w:rPr>
          <w:rFonts w:ascii="Times New Roman;serif" w:hAnsi="Times New Roman;serif"/>
          <w:b w:val="false"/>
          <w:strike/>
          <w:color w:val="FF0000"/>
          <w:sz w:val="22"/>
          <w:u w:val="single"/>
        </w:rPr>
        <w:t>clause (g)</w:t>
      </w:r>
      <w:r>
        <w:rPr>
          <w:strike/>
          <w:color w:val="FF0000"/>
        </w:rPr>
        <w:t xml:space="preserve"> </w:t>
      </w:r>
      <w:r>
        <w:rPr>
          <w:rFonts w:ascii="Times New Roman;serif" w:hAnsi="Times New Roman;serif"/>
          <w:b w:val="false"/>
          <w:strike/>
          <w:color w:val="FF0000"/>
          <w:sz w:val="22"/>
        </w:rPr>
        <w:t xml:space="preserve">above and </w:t>
      </w:r>
      <w:r>
        <w:rPr>
          <w:rFonts w:ascii="Times New Roman;serif" w:hAnsi="Times New Roman;serif"/>
          <w:b w:val="false"/>
          <w:strike/>
          <w:color w:val="FF0000"/>
          <w:sz w:val="22"/>
          <w:u w:val="single"/>
        </w:rPr>
        <w:t>Section 1.10</w:t>
      </w:r>
      <w:r>
        <w:rPr>
          <w:rFonts w:ascii="Times New Roman;serif" w:hAnsi="Times New Roman;serif"/>
          <w:b w:val="false"/>
          <w:strike/>
          <w:color w:val="FF0000"/>
          <w:sz w:val="22"/>
        </w:rPr>
        <w:t>) shall not exceed 25</w:t>
      </w:r>
      <w:r>
        <w:rPr>
          <w:rFonts w:ascii="Times New Roman;serif" w:hAnsi="Times New Roman;serif"/>
          <w:b w:val="false"/>
          <w:strike/>
          <w:color w:val="008000"/>
          <w:sz w:val="22"/>
        </w:rPr>
        <w:t xml:space="preserve">% of Consolidated EBITDA for any four fiscal quarter period (determined after giving effect thereto and all other adjustments and addbacks); </w:t>
      </w:r>
      <w:r>
        <w:rPr>
          <w:rFonts w:ascii="Times New Roman;serif" w:hAnsi="Times New Roman;serif"/>
          <w:b w:val="false"/>
          <w:i/>
          <w:strike/>
          <w:color w:val="FF0000"/>
          <w:sz w:val="22"/>
        </w:rPr>
        <w:t>provided, further</w:t>
      </w:r>
      <w:r>
        <w:rPr>
          <w:rFonts w:ascii="Times New Roman;serif" w:hAnsi="Times New Roman;serif"/>
          <w:b w:val="false"/>
          <w:strike/>
          <w:color w:val="FF0000"/>
          <w:sz w:val="22"/>
        </w:rPr>
        <w:t xml:space="preserve">, that in each case of this </w:t>
      </w:r>
      <w:r>
        <w:rPr>
          <w:rFonts w:ascii="Times New Roman;serif" w:hAnsi="Times New Roman;serif"/>
          <w:b w:val="false"/>
          <w:strike/>
          <w:color w:val="FF0000"/>
          <w:sz w:val="22"/>
          <w:u w:val="single"/>
        </w:rPr>
        <w:t>clause (v)</w:t>
      </w:r>
      <w:r>
        <w:rPr>
          <w:rFonts w:ascii="Times New Roman;serif" w:hAnsi="Times New Roman;serif"/>
          <w:b w:val="false"/>
          <w:strike/>
          <w:color w:val="FF0000"/>
          <w:sz w:val="22"/>
        </w:rPr>
        <w:t xml:space="preserve">, such 25% cap shall not apply to any such adjustments that (A) would be permitted to be included in pro forma financial statements prepared in accordance with Regulation S-X under the Securities Act or (B) are otherwise in connection with or related to the Transactions; </w:t>
      </w:r>
      <w:r>
        <w:rPr>
          <w:rFonts w:ascii="Times New Roman;serif" w:hAnsi="Times New Roman;serif"/>
          <w:b w:val="false"/>
          <w:i/>
          <w:strike/>
          <w:color w:val="FF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(w)    </w:t>
      </w:r>
      <w:r>
        <w:rPr>
          <w:rFonts w:ascii="Times New Roman;serif" w:hAnsi="Times New Roman;serif"/>
          <w:b w:val="false"/>
          <w:color w:val="000000"/>
          <w:sz w:val="22"/>
        </w:rPr>
        <w:t xml:space="preserve">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(x)    </w:t>
      </w:r>
      <w:r>
        <w:rPr>
          <w:rFonts w:ascii="Times New Roman;serif" w:hAnsi="Times New Roman;serif"/>
          <w:b w:val="false"/>
          <w:color w:val="000000"/>
          <w:sz w:val="22"/>
        </w:rPr>
        <w:t xml:space="preserve">any fees, costs, expenses or charges related to or recorded in cost of sales to recognize cost on a last-in-first-out basis; </w:t>
      </w:r>
      <w:r>
        <w:rPr>
          <w:rFonts w:ascii="Times New Roman;serif" w:hAnsi="Times New Roman;serif"/>
          <w:b w:val="false"/>
          <w:i/>
          <w:color w:val="000000"/>
          <w:sz w:val="22"/>
        </w:rPr>
        <w:t>plus</w:t>
      </w:r>
    </w:p>
    <w:p>
      <w:pPr>
        <w:pStyle w:val="TextBody"/>
        <w:bidi w:val="0"/>
        <w:spacing w:lineRule="auto" w:line="288" w:before="0" w:after="240"/>
        <w:ind w:left="0" w:right="0" w:hanging="720"/>
        <w:jc w:val="left"/>
        <w:rPr/>
      </w:pPr>
      <w:r>
        <w:rPr>
          <w:rFonts w:ascii="Times New Roman;serif" w:hAnsi="Times New Roman;serif"/>
          <w:b w:val="false"/>
          <w:color w:val="000000"/>
          <w:sz w:val="24"/>
        </w:rPr>
        <w:t>(y)    </w:t>
      </w:r>
      <w:r>
        <w:rPr>
          <w:rFonts w:ascii="Times New Roman;serif" w:hAnsi="Times New Roman;serif"/>
          <w:b w:val="false"/>
          <w:color w:val="0000FF"/>
          <w:sz w:val="22"/>
          <w:u w:val="single"/>
        </w:rPr>
        <w:t xml:space="preserve">non-cash </w:t>
      </w:r>
      <w:r>
        <w:rPr>
          <w:rFonts w:ascii="Times New Roman;serif" w:hAnsi="Times New Roman;serif"/>
          <w:b w:val="false"/>
          <w:color w:val="000000"/>
          <w:sz w:val="22"/>
        </w:rPr>
        <w:t xml:space="preserve">earn-out </w:t>
      </w:r>
      <w:r>
        <w:rPr>
          <w:rFonts w:ascii="Times New Roman;serif" w:hAnsi="Times New Roman;serif"/>
          <w:b w:val="false"/>
          <w:strike/>
          <w:color w:val="FF0000"/>
          <w:sz w:val="22"/>
        </w:rPr>
        <w:t>obligations</w:t>
      </w:r>
      <w:r>
        <w:rPr>
          <w:rFonts w:ascii="Times New Roman;serif" w:hAnsi="Times New Roman;serif"/>
          <w:b w:val="false"/>
          <w:color w:val="0000FF"/>
          <w:sz w:val="22"/>
          <w:u w:val="single"/>
        </w:rPr>
        <w:t>charges</w:t>
      </w:r>
      <w:r>
        <w:rPr>
          <w:color w:val="000000"/>
        </w:rPr>
        <w:t xml:space="preserve"> </w:t>
      </w:r>
      <w:r>
        <w:rPr>
          <w:rFonts w:ascii="Times New Roman;serif" w:hAnsi="Times New Roman;serif"/>
          <w:b w:val="false"/>
          <w:color w:val="000000"/>
          <w:sz w:val="22"/>
        </w:rPr>
        <w:t xml:space="preserve">incurred in connection with any acquisition or other Investment </w:t>
      </w:r>
      <w:r>
        <w:rPr>
          <w:rFonts w:ascii="Times New Roman;serif" w:hAnsi="Times New Roman;serif"/>
          <w:b w:val="false"/>
          <w:strike/>
          <w:color w:val="FF0000"/>
          <w:sz w:val="22"/>
        </w:rPr>
        <w:t xml:space="preserve">and paid or accrued </w:t>
      </w:r>
      <w:r>
        <w:rPr>
          <w:rFonts w:ascii="Times New Roman;serif" w:hAnsi="Times New Roman;serif"/>
          <w:b w:val="false"/>
          <w:color w:val="000000"/>
          <w:sz w:val="22"/>
        </w:rPr>
        <w:t>during the applicable period, including any mark-to-market adjustments; and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    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 Codification Topic 842—Leases) (or any successor provision or other financial accounting standard having a similar result or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There shall be included in determining Consolidated EBITDA for any period, without duplication, (A) the Acquired EBITDA of any Person, property, business or asset acquired by the Company or any Restricted Subsidiary (including, as applicable, the property, businesses and assets acquired by (or contributed to) the Company and its Restricted Subsidiaries as part of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02"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during such period to the extent not subsequently sold, transferred or otherwise disposed of by the Company or such Restricted Subsidiary during such period (each such Person, property, business or asset acquired and not subsequently so disposed of, an “</w:t>
      </w:r>
      <w:r>
        <w:rPr>
          <w:rFonts w:ascii="Times New Roman;serif" w:hAnsi="Times New Roman;serif"/>
          <w:b/>
          <w:color w:val="000000"/>
          <w:sz w:val="22"/>
        </w:rPr>
        <w:t>Acquired Entity or Business</w:t>
      </w:r>
      <w:r>
        <w:rPr>
          <w:color w:val="000000"/>
        </w:rPr>
        <w:t>”</w:t>
      </w:r>
      <w:r>
        <w:rPr>
          <w:rFonts w:ascii="Times New Roman;serif" w:hAnsi="Times New Roman;serif"/>
          <w:b w:val="false"/>
          <w:color w:val="000000"/>
          <w:sz w:val="22"/>
        </w:rPr>
        <w:t>), and the Acquired EBITDA of any Unrestricted Subsidiary that is converted into a Restricted Subsidiary during such period (each, a “</w:t>
      </w:r>
      <w:r>
        <w:rPr>
          <w:rFonts w:ascii="Times New Roman;serif" w:hAnsi="Times New Roman;serif"/>
          <w:b/>
          <w:color w:val="000000"/>
          <w:sz w:val="22"/>
        </w:rPr>
        <w:t>Converted Restricted Subsidiary</w:t>
      </w:r>
      <w:r>
        <w:rPr>
          <w:color w:val="000000"/>
        </w:rPr>
        <w:t>”</w:t>
      </w:r>
      <w:r>
        <w:rPr>
          <w:rFonts w:ascii="Times New Roman;serif" w:hAnsi="Times New Roman;serif"/>
          <w:b w:val="false"/>
          <w:color w:val="000000"/>
          <w:sz w:val="22"/>
        </w:rPr>
        <w:t xml:space="preserve">), based on the actual Acquired EBITDA of such Acquired Entity or Business or Converted Restricted Subsidiary for such period (including the portion thereof occurring prior to such acquisition) and (B) pro forma adjustments in respect of each Acquired Entity or Business as are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Company or any Restricted Subsidiary during such period (each such Person, property, business or asset so sold or disposed of, a “</w:t>
      </w:r>
      <w:r>
        <w:rPr>
          <w:rFonts w:ascii="Times New Roman;serif" w:hAnsi="Times New Roman;serif"/>
          <w:b/>
          <w:color w:val="000000"/>
          <w:sz w:val="22"/>
        </w:rPr>
        <w:t>Sold Entity or Business</w:t>
      </w:r>
      <w:r>
        <w:rPr>
          <w:color w:val="000000"/>
        </w:rPr>
        <w:t>”</w:t>
      </w:r>
      <w:r>
        <w:rPr>
          <w:rFonts w:ascii="Times New Roman;serif" w:hAnsi="Times New Roman;serif"/>
          <w:b w:val="false"/>
          <w:color w:val="000000"/>
          <w:sz w:val="22"/>
        </w:rPr>
        <w:t>) and the Disposed EBITDA of any Restricted Subsidiary that is converted into an Unrestricted Subsidiary during such period (each, a “</w:t>
      </w:r>
      <w:r>
        <w:rPr>
          <w:rFonts w:ascii="Times New Roman;serif" w:hAnsi="Times New Roman;serif"/>
          <w:b/>
          <w:color w:val="000000"/>
          <w:sz w:val="22"/>
        </w:rPr>
        <w:t>Converted Unrestricted Subsidiary</w:t>
      </w:r>
      <w:r>
        <w:rPr>
          <w:color w:val="000000"/>
        </w:rPr>
        <w:t>”</w:t>
      </w:r>
      <w:r>
        <w:rPr>
          <w:rFonts w:ascii="Times New Roman;serif" w:hAnsi="Times New Roman;serif"/>
          <w:b w:val="false"/>
          <w:color w:val="000000"/>
          <w:sz w:val="22"/>
        </w:rPr>
        <w:t xml:space="preserve">), based on the actual Disposed EBITDA of such Sold Entity or Business or Converted Unrestricted Subsidiary for such period (including the portion thereof occurring prior to such sale, transfer or disposition);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the avoidance of doubt, at the Company’s option, notwithstanding any classification under GAAP of any Person, property, business or asset as discontinued operations, the Disposed EBITDA of such Person, property, business or asset shall not be excluded for any purposes hereunder until such disposition shall have been consummated.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the foregoing, Consolidated EBITDA (a) for the fiscal quarter ended September 30, 2021, shall be deemed to be $115 million, (b) for the fiscal quarter ended June 30, 2021, shall be deemed to be $123 million and (c) for the fiscal quarter ended March 31, 2021, shall be deemed to be $126 million, in each case, as may be subject to addbacks and adjustments (without duplication) pursuant to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above upon the occurrence of a “pro forma” event that occurs after the Closing Date and which is deemed to have occurred as of the first day of a period that includes any of the foregoing fiscal quarters.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First Lien Net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Funded First Lien Indebtedness of the Restricted Group as of such date to (b) LTM EBITDA, in each case, calculated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Funded First Lien Indebtedness</w:t>
      </w:r>
      <w:r>
        <w:rPr>
          <w:color w:val="000000"/>
        </w:rPr>
        <w:t xml:space="preserve">” </w:t>
      </w:r>
      <w:r>
        <w:rPr>
          <w:rFonts w:ascii="Times New Roman;serif" w:hAnsi="Times New Roman;serif"/>
          <w:b w:val="false"/>
          <w:color w:val="000000"/>
          <w:sz w:val="22"/>
        </w:rPr>
        <w:t>means Consolidated Funded Indebtedness of the Restricted Group that is secured by a Lien on the Collateral on an equivalent priority basis (but, in each case, without regard to control of remedies) with the Liens on the Collateral securing the Obligations. For the avoidance of doubt, Consolidated Funded First Lien Indebtedness shall not include Capitalized Lease Obligations or Purchase Money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Funded Indebtedness</w:t>
      </w:r>
      <w:r>
        <w:rPr>
          <w:color w:val="000000"/>
        </w:rPr>
        <w:t xml:space="preserve">” </w:t>
      </w:r>
      <w:r>
        <w:rPr>
          <w:rFonts w:ascii="Times New Roman;serif" w:hAnsi="Times New Roman;serif"/>
          <w:b w:val="false"/>
          <w:color w:val="000000"/>
          <w:sz w:val="22"/>
        </w:rPr>
        <w:t>means, as of any date of determination, an amount equal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the aggregate principal amount of outstanding Indebtedness for borrowed money (excluding (i) Indebtedness with respect to obligations in respect of Cash Management Agreements, intercompany Indebtedness, Subordinated Indebtedness, Disqualified Stock and Preferred Stock of Restricted Subsidiaries and (ii) Indebtedness outstanding under this Agreement that was used to finance working capital needs of the Company and its Restricted Subsidiaries (as reasonably determined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03"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Company) as of such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aggregate principal amount of Indebtedness that may be excluded pursuant to this clause (ii) shall not exceed $50,000,000), </w:t>
      </w:r>
      <w:r>
        <w:rPr>
          <w:rFonts w:ascii="Times New Roman;serif" w:hAnsi="Times New Roman;serif"/>
          <w:b w:val="false"/>
          <w:i/>
          <w:color w:val="000000"/>
          <w:sz w:val="22"/>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2"/>
        </w:rPr>
        <w:t>(b)    the aggregate principal amount of Capitalized Lease Obligations, Purchase Money Obligations and unreimbursed drawings under letters of credit of the Company and its Restricted Subsidiaries outstanding on such date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unreimbursed amount under commercial letters of credit shall not be counted as Consolidated Funded Indebtedness until five Business Days after such amount is drawn),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(c)    the aggregate amount of Unrestricted Cash and Cash Equivalents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cash proceeds of any proposed incurrence of Indebtedness shall not be included in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for purposes of calculating the Consolidated Total Net Leverage Ratio, the Consolidated Senior Secured Net Leverage Ratio or the Consolidated First Lien Net Leverage Ratio, as applicable), in each case, with such pro forma adjustments as are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the avoidance of doubt, Consolidated Funded Indebtedness shall </w:t>
      </w:r>
      <w:r>
        <w:rPr>
          <w:rFonts w:ascii="Times New Roman;serif" w:hAnsi="Times New Roman;serif"/>
          <w:b w:val="false"/>
          <w:strike/>
          <w:color w:val="FF0000"/>
          <w:sz w:val="22"/>
        </w:rPr>
        <w:t>exclude</w:t>
      </w:r>
      <w:r>
        <w:rPr>
          <w:rFonts w:ascii="Times New Roman;serif" w:hAnsi="Times New Roman;serif"/>
          <w:b w:val="false"/>
          <w:color w:val="0000FF"/>
          <w:sz w:val="22"/>
          <w:u w:val="single"/>
        </w:rPr>
        <w:t>include</w:t>
      </w:r>
      <w:r>
        <w:rPr>
          <w:color w:val="000000"/>
        </w:rPr>
        <w:t xml:space="preserve"> </w:t>
      </w:r>
      <w:r>
        <w:rPr>
          <w:rFonts w:ascii="Times New Roman;serif" w:hAnsi="Times New Roman;serif"/>
          <w:b w:val="false"/>
          <w:color w:val="000000"/>
          <w:sz w:val="22"/>
        </w:rPr>
        <w:t>Indebtedness in respect of any Receivables Facility or Securitization Facility</w:t>
      </w:r>
      <w:r>
        <w:rPr>
          <w:color w:val="0000FF"/>
          <w:u w:val="single"/>
        </w:rPr>
        <w:t xml:space="preserve"> </w:t>
      </w:r>
      <w:r>
        <w:rPr>
          <w:rFonts w:ascii="Times New Roman;serif" w:hAnsi="Times New Roman;serif"/>
          <w:b w:val="false"/>
          <w:color w:val="0000FF"/>
          <w:sz w:val="22"/>
          <w:u w:val="single"/>
        </w:rPr>
        <w:t xml:space="preserve">permitted under </w:t>
      </w:r>
      <w:r>
        <w:rPr>
          <w:rFonts w:ascii="Times New Roman;serif" w:hAnsi="Times New Roman;serif"/>
          <w:b w:val="false"/>
          <w:color w:val="008000"/>
          <w:sz w:val="22"/>
          <w:u w:val="single"/>
        </w:rPr>
        <w:t xml:space="preserve">this Agreement to </w:t>
      </w:r>
      <w:r>
        <w:rPr>
          <w:rFonts w:ascii="Times New Roman;serif" w:hAnsi="Times New Roman;serif"/>
          <w:b w:val="false"/>
          <w:color w:val="0000FF"/>
          <w:sz w:val="22"/>
          <w:u w:val="single"/>
        </w:rPr>
        <w:t>the extent such Indebtedness would be classified as indebtedness on a balance sheet prepared in accordance with GAAP</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Funded Senior Secured Indebtedness</w:t>
      </w:r>
      <w:r>
        <w:rPr>
          <w:color w:val="000000"/>
        </w:rPr>
        <w:t xml:space="preserve">” </w:t>
      </w:r>
      <w:r>
        <w:rPr>
          <w:rFonts w:ascii="Times New Roman;serif" w:hAnsi="Times New Roman;serif"/>
          <w:b w:val="false"/>
          <w:color w:val="000000"/>
          <w:sz w:val="22"/>
        </w:rPr>
        <w:t>means Consolidated Funded Indebtedness of the Restricted Group that is secured by a Lien on the Collateral. For the avoidance of doubt, Consolidated Funded Senior Secured Indebtedness shall not include Capitalized Lease Obligations or Purchase Money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Interest Coverage Ratio</w:t>
      </w:r>
      <w:r>
        <w:rPr>
          <w:color w:val="000000"/>
        </w:rPr>
        <w:t xml:space="preserve">” </w:t>
      </w:r>
      <w:r>
        <w:rPr>
          <w:rFonts w:ascii="Times New Roman;serif" w:hAnsi="Times New Roman;serif"/>
          <w:b w:val="false"/>
          <w:color w:val="000000"/>
          <w:sz w:val="22"/>
        </w:rPr>
        <w:t xml:space="preserve">means, as of any date of determination, the ratio of (a) LTM EBITDA to (b) Consolidated Cash Interest Expense of the Restricted Group on a consolidated basis for the Test Period ended on such date, in each case, calculated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Interest Expense</w:t>
      </w:r>
      <w:r>
        <w:rPr>
          <w:color w:val="000000"/>
        </w:rPr>
        <w:t xml:space="preserve">” </w:t>
      </w:r>
      <w:r>
        <w:rPr>
          <w:rFonts w:ascii="Times New Roman;serif" w:hAnsi="Times New Roman;serif"/>
          <w:b w:val="false"/>
          <w:color w:val="000000"/>
          <w:sz w:val="22"/>
        </w:rPr>
        <w:t>means, with respect to any Person for any period, without duplication, the sum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consolidated interest expense of such Person and its Restricted Subsidiaries for such period, to the extent such expense was deducted (and not added back) in computing Consolidated Net Income, which shall include: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amortization of original issue discount or premium resulting from the issuance of Indebtedness at less than par,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all commissions, discounts and other fees and charges owed with respect to letters of credit or bankers acceptances,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non-cash interest payments (but excluding any non-cash interest expense attributable to the movement in mark-to-market valuation of any Swap Obligations or other derivative instruments pursuant to GAAP),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interest component of Capitalized Lease Obligations, and</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04"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net payments, if any made (less net payments, if any, received), pursuant to interest rate Swap Obligations with respect to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and which shall exclude: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Securitization Fees,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penalties and interest relating to taxes,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annual agency or similar fees paid to the administrative agents, collateral agents and other agents under any credit facility (including the Facilities),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any additional interest or liquidated damages owing registration rights obligations, pursuant to any registration rights obligations,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costs associated with obtaining Swap Obligations,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accretion or accrual of discounted liabilities other than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any expense resulting from the discounting of any Indebtedness in connection with the application of recapitalization accounting or purchase accounting in connection with the Transactions or any acquisition,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(ix)    any expensing of bridge, arrangement, structuring, commitment, agency, consent and other financing fees and any other fees related to the Transactions or any acquisitions after the Closing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    any accretion of accrued interest on discounted liabilities and any prepayment, make-whole or breakage premium, penalty or cost,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    interest expense with respect to Indebtedness of any direct or indirect parent of such Person resulting from push-down accounting,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(xii)    any lease, rental or other expense in connection with a Non-Financing Lease Obligations,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(xiii)    any interest expense attributable to any actual or prospective legal settlement, fine, judgment or order; </w:t>
      </w:r>
      <w:r>
        <w:rPr>
          <w:rFonts w:ascii="Times New Roman;serif" w:hAnsi="Times New Roman;serif"/>
          <w:b w:val="false"/>
          <w:i/>
          <w:color w:val="000000"/>
          <w:sz w:val="22"/>
        </w:rPr>
        <w:t>plus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consolidated capitalized interest of such Person and its Restricted Subsidiaries for such period, whether paid or accrued;</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05"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i/>
          <w:color w:val="000000"/>
          <w:sz w:val="22"/>
        </w:rPr>
      </w:pPr>
      <w:r>
        <w:rPr>
          <w:rFonts w:ascii="Times New Roman;serif" w:hAnsi="Times New Roman;serif"/>
          <w:b w:val="false"/>
          <w:i/>
          <w:color w:val="000000"/>
          <w:sz w:val="22"/>
        </w:rPr>
        <w:t>less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interest income for such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Net Income</w:t>
      </w:r>
      <w:r>
        <w:rPr>
          <w:color w:val="000000"/>
        </w:rPr>
        <w:t xml:space="preserve">” </w:t>
      </w:r>
      <w:r>
        <w:rPr>
          <w:rFonts w:ascii="Times New Roman;serif" w:hAnsi="Times New Roman;serif"/>
          <w:b w:val="false"/>
          <w:color w:val="000000"/>
          <w:sz w:val="22"/>
        </w:rPr>
        <w:t xml:space="preserve">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Times New Roman;serif" w:hAnsi="Times New Roman;serif"/>
          <w:b w:val="false"/>
          <w:i/>
          <w:color w:val="000000"/>
          <w:sz w:val="22"/>
        </w:rPr>
        <w:t>provided, however</w:t>
      </w:r>
      <w:r>
        <w:rPr>
          <w:rFonts w:ascii="Times New Roman;serif" w:hAnsi="Times New Roman;serif"/>
          <w:b w:val="false"/>
          <w:color w:val="000000"/>
          <w:sz w:val="22"/>
        </w:rPr>
        <w:t>, that there will not be included in such Consolidated Net Income: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    any net income (loss) of any Person if such Person is not a Restricted Subsidiary (including any net income (loss) from investments recorded in such Person under the equity method of accounting), except that the Company’s equity in the net income of any such Person for such period will be included in such Consolidated Net Income up to the aggregate amount of cash or Cash Equivalents actually distributed (or to the extent converted into cash or Cash Equivalents) or that (as determined by the Company in its reasonable discretion) could have been distributed by such Person during such period to the Company or a Restricted Subsidiary as a dividend or other distribution or return on investment;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solely for the purpose of determining the amount available for Restricted Payments under </w:t>
      </w:r>
      <w:r>
        <w:rPr>
          <w:rFonts w:ascii="Times New Roman;serif" w:hAnsi="Times New Roman;serif"/>
          <w:b w:val="false"/>
          <w:color w:val="000000"/>
          <w:sz w:val="22"/>
          <w:u w:val="single"/>
        </w:rPr>
        <w:t>clause (b)(i)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7.05(a)</w:t>
      </w:r>
      <w:r>
        <w:rPr>
          <w:rFonts w:ascii="Times New Roman;serif" w:hAnsi="Times New Roman;serif"/>
          <w:b w:val="false"/>
          <w:color w:val="000000"/>
          <w:sz w:val="22"/>
        </w:rPr>
        <w:t xml:space="preserve">, any net income (loss) of any Restricted Subsidiary (other than the Guarantors) if such Subsidiary is subject to restrictions, directly or indirectly, on the payment of dividends or the making of distributions by such Restricted Subsidiary, directly or indirectly, to the Company or any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 (b) restrictions pursuant to this Agreement, the Senior Secured Notes, the Senior Secured Notes Documents or other similar indebtedness and (c) restrictions specified in </w:t>
      </w:r>
      <w:r>
        <w:rPr>
          <w:rFonts w:ascii="Times New Roman;serif" w:hAnsi="Times New Roman;serif"/>
          <w:b w:val="false"/>
          <w:color w:val="000000"/>
          <w:sz w:val="22"/>
          <w:u w:val="single"/>
        </w:rPr>
        <w:t>clause (14)(i)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7.06(b)</w:t>
      </w:r>
      <w:r>
        <w:rPr>
          <w:rFonts w:ascii="Times New Roman;serif" w:hAnsi="Times New Roman;serif"/>
          <w:b w:val="false"/>
          <w:color w:val="000000"/>
          <w:sz w:val="22"/>
        </w:rPr>
        <w:t>), except that the Company’s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(3)    any gain (or loss) (a) in respect of facilities no longer used or useful in the conduct of the business of the Company or its Restricted Subsidiaries, abandoned, transferred, closed, disposed or discontinued operations, (b) on disposal, abandonment or discontinuance of disposed, abandoned, transferred, closed or discontinued operations, and (c) attributable to asset dispositions, abandonments, sales or other dispositions of any asset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06"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pursuant to any Sale and Leaseback Transaction) or the designation of an Unrestricted Subsidiary other than in the ordinary course of business;</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(4)    [reserved];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(4) </w:t>
      </w:r>
      <w:r>
        <w:rPr>
          <w:rFonts w:ascii="Times New Roman;serif" w:hAnsi="Times New Roman;serif"/>
          <w:b w:val="false"/>
          <w:strike/>
          <w:color w:val="008000"/>
          <w:sz w:val="22"/>
        </w:rPr>
        <w:t xml:space="preserve">(a) any </w:t>
      </w:r>
      <w:r>
        <w:rPr>
          <w:rFonts w:ascii="Times New Roman;serif" w:hAnsi="Times New Roman;serif"/>
          <w:b w:val="false"/>
          <w:strike/>
          <w:color w:val="FF0000"/>
          <w:sz w:val="22"/>
        </w:rPr>
        <w:t>extraordinary, exceptional, unusual, infrequently occurring or nonrecurring loss, charge or expense, as well as Transaction Costs,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Company or a Subsidiary or a direct or indirect parent of the Company had entered into with employees of the Company or a Subsidiary or a direct or indirect parent of the Company, costs relating to 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(in each case, as applicable, whether or not consummated), and</w:t>
      </w:r>
    </w:p>
    <w:p>
      <w:pPr>
        <w:pStyle w:val="TextBody"/>
        <w:bidi w:val="0"/>
        <w:spacing w:lineRule="auto" w:line="288" w:before="0" w:after="240"/>
        <w:jc w:val="left"/>
        <w:rPr>
          <w:rFonts w:ascii="Times New Roman;serif" w:hAnsi="Times New Roman;serif"/>
          <w:b w:val="false"/>
          <w:strike/>
          <w:color w:val="FF0000"/>
          <w:sz w:val="22"/>
        </w:rPr>
      </w:pPr>
      <w:r>
        <w:rPr>
          <w:rFonts w:ascii="Times New Roman;serif" w:hAnsi="Times New Roman;serif"/>
          <w:b w:val="false"/>
          <w:strike/>
          <w:color w:val="FF0000"/>
          <w:sz w:val="22"/>
        </w:rPr>
        <w:t>(b) any charge, expense, cost, accrual or reserve of any kind associated with acquisition related litigation and settlements thereof;</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(5)    (a) at the election of the Company with respect to any quarterly period, the cumulative effect (including charges, accruals, expenses and reserves) of a change in law, regulation or accounting principles and changes as a result of the adoption, implementation or modification of accounting policies, including the adoption,</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(b) subject to the last paragraph of the definition of “GAAP,” the cumulative effect of a change in accounting principles and changes as a result of the adoption or modification of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07"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accounting policies during such period (including any impact resulting from an election by the Company to apply IFRS or other Accounting Changes), and</w:t>
      </w:r>
    </w:p>
    <w:p>
      <w:pPr>
        <w:pStyle w:val="TextBody"/>
        <w:bidi w:val="0"/>
        <w:spacing w:lineRule="auto" w:line="288" w:before="0" w:after="240"/>
        <w:jc w:val="left"/>
        <w:rPr/>
      </w:pPr>
      <w:r>
        <w:rPr>
          <w:rFonts w:ascii="Times New Roman;serif" w:hAnsi="Times New Roman;serif"/>
          <w:b w:val="false"/>
          <w:color w:val="000000"/>
          <w:sz w:val="22"/>
        </w:rPr>
        <w:t xml:space="preserve">(c) any costs, charges, losses, fees or expenses in connection with the implementation or tracking of such changes or modifications specified in the foregoing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in each case as reasonably determined by the Company;</w:t>
      </w:r>
    </w:p>
    <w:p>
      <w:pPr>
        <w:pStyle w:val="TextBody"/>
        <w:bidi w:val="0"/>
        <w:spacing w:lineRule="auto" w:line="288" w:before="0" w:after="240"/>
        <w:ind w:left="0" w:right="0" w:hanging="720"/>
        <w:jc w:val="left"/>
        <w:rPr/>
      </w:pPr>
      <w:r>
        <w:rPr>
          <w:rFonts w:ascii="Times New Roman;serif" w:hAnsi="Times New Roman;serif"/>
          <w:b w:val="false"/>
          <w:color w:val="000000"/>
          <w:sz w:val="22"/>
        </w:rPr>
        <w:t>(6)    (a)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equity-based incentive programs (“</w:t>
      </w:r>
      <w:r>
        <w:rPr>
          <w:rFonts w:ascii="Times New Roman;serif" w:hAnsi="Times New Roman;serif"/>
          <w:b/>
          <w:color w:val="000000"/>
          <w:sz w:val="22"/>
        </w:rPr>
        <w:t>equity incentives</w:t>
      </w:r>
      <w:r>
        <w:rPr>
          <w:color w:val="000000"/>
        </w:rPr>
        <w:t>”</w:t>
      </w:r>
      <w:r>
        <w:rPr>
          <w:rFonts w:ascii="Times New Roman;serif" w:hAnsi="Times New Roman;serif"/>
          <w:b w:val="false"/>
          <w:color w:val="000000"/>
          <w:sz w:val="22"/>
        </w:rPr>
        <w:t>), any income (loss) associated with the equity incentives or other long-term incentive compensation plans (including under deferred compensation arrangements of the Company or any direct or indirect parent thereof or any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the Company or any direct or indirect parent thereof or any Subsidiary, and any cash awards granted to employees of the Company and its Subsidiaries in replacement for forfeited awards,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any non-cash losses attributable to deferred compensations plans or trusts or realized in such period in connection with adjustments to any employee benefit plan due to changes in estimates, actuarial assumptions, valuations, studies or judgments,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 non-cash compensation expense resulting from the application of Accounting Standards Codification Topic 718, Compensation—Stock Compensation or Accounting Standards Codification Topics 505-50, Equity-Based Payments to Non-Employees (or any successor provision or other financial accounting standard having a similar result or effect), and</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112—Employee Benefits (or any successor provision or other financial accounting standard having a similar result or effect), and any other item of a similar nature;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(7)    any income (loss) from the extinguishment, conversion or cancellation of Indebtedness, Swap Obligations or other derivative instruments (including deferred financing costs written off, premiums paid or other expenses incurred);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(8)    any unrealized or realized gains or losses in respect of any Swap Obligations or any ineffectiveness recognized in earnings related to hedge transactions or the fair value of changes therein transactions recognized in earnings for derivatives that do not qualify as hedge transactions;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(9)    any fees, losses, costs, expenses or charges incurred during such period (including any transaction, retention bonus or similar payment), or any amortization thereof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08"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period, in connection with (a) any acquisition, recapitalization, Investment, Asset Disposition, disposition, issuance or repayment of Indebtedness (including such fees, expense or charges related to the offering, issuance and rating of the Senior Secured Notes, other securities and any credit facilities (including the Facilities)), issuance of Capital Stock, refinancing transaction or amendment or modification of any debt instrument (including any amendment or other modification of the Senior Secured Notes, other securities and any credit facilities (including the Facilities)), in each case, including the Transactions, any such transaction consummated prior to, on or after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(if applicable) any adjustments resulting from the application of Accounting Standards Codification Topic 460—Guarantees (or any successor provision or other financial accounting standard having a similar result or effect) or any related pronouncements) and (b) complying with the requirements under, or making elections permitted by, the documentation governing any Indebtedness;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    any unrealized or realized gain or loss resulting in such period from currency translation increases or decreases or transaction gains or losses, including those related to currency remeasurements of Indebtedness (including any net loss or gain resulting from Swap Obligations for currency risk), intercompany loans, accounts receivables, accounts payable, intercompany balances, other balance sheet items, Swap Obligations or other obligations of the Company or any Restricted Subsidiary owing to the Company or any Restricted Subsidiary and any other realized or unrealized foreign exchange gains or losses relating to the translation of assets and liabilities denominated in foreign currencies;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(11)    any unrealized or realized income (loss) or non-cash expense attributable to movement in mark-to-market valuation of foreign currencies, Indebtedness or derivative instruments pursuant to GAAP;</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(12)    effects of adjustments (including the effects of such adjustments pushed down to such Person and its Restricted Subsidiaries) in such Person’s consolidated financial statements pursuant to GAAP (including, if applicable, those required or permitted by Accounting Standards Codification Topic 805—Business Combinations and (if applicable) Accounting Standards Codification Topic 350—Intangibles-Goodwill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applicable, in relation to the Transactions or any consummated acquisition (by merger, consolidation, amalgamation or otherwise), joint venture investment or other Investment or the amortization or write-off or write-down of any amounts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09"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(13)    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pStyle w:val="TextBody"/>
        <w:bidi w:val="0"/>
        <w:spacing w:lineRule="auto" w:line="288" w:before="0" w:after="240"/>
        <w:ind w:left="0" w:right="0" w:hanging="720"/>
        <w:jc w:val="left"/>
        <w:rPr/>
      </w:pPr>
      <w:r>
        <w:rPr>
          <w:rFonts w:ascii="Times New Roman;serif" w:hAnsi="Times New Roman;serif"/>
          <w:b w:val="false"/>
          <w:color w:val="000000"/>
          <w:sz w:val="22"/>
        </w:rPr>
        <w:t>(14)    (</w:t>
      </w:r>
      <w:r>
        <w:rPr>
          <w:rFonts w:ascii="Times New Roman;serif" w:hAnsi="Times New Roman;serif"/>
          <w:b w:val="false"/>
          <w:strike/>
          <w:color w:val="FF0000"/>
          <w:sz w:val="22"/>
        </w:rPr>
        <w:t>a</w:t>
      </w:r>
      <w:r>
        <w:rPr>
          <w:rFonts w:ascii="Times New Roman;serif" w:hAnsi="Times New Roman;serif"/>
          <w:b w:val="false"/>
          <w:color w:val="0000FF"/>
          <w:sz w:val="22"/>
          <w:u w:val="single"/>
        </w:rPr>
        <w:t>i</w:t>
      </w:r>
      <w:r>
        <w:rPr>
          <w:rFonts w:ascii="Times New Roman;serif" w:hAnsi="Times New Roman;serif"/>
          <w:b w:val="false"/>
          <w:color w:val="000000"/>
          <w:sz w:val="22"/>
        </w:rPr>
        <w:t>) accruals and reserves (including contingent liabilities) that are established or adjusted in connection with the Transactions or within 24 months after the closing of any acquisition or disposition that are so required to be established or adjusted as a result of such acquisition or disposition in accordance with GAAP, or changes as a result of adoption or modification of accounting policies</w:t>
      </w:r>
      <w:r>
        <w:rPr>
          <w:rFonts w:ascii="Times New Roman;serif" w:hAnsi="Times New Roman;serif"/>
          <w:b w:val="false"/>
          <w:strike/>
          <w:color w:val="FF0000"/>
          <w:sz w:val="22"/>
        </w:rPr>
        <w:t>, and</w:t>
      </w:r>
      <w:r>
        <w:rPr>
          <w:rFonts w:ascii="Times New Roman;serif" w:hAnsi="Times New Roman;serif"/>
          <w:b w:val="false"/>
          <w:color w:val="0000FF"/>
          <w:sz w:val="22"/>
          <w:u w:val="single"/>
        </w:rPr>
        <w:t xml:space="preserve">; and (ii) gains or losses resulting from the remeasurement of fair value related to earn-outs, deferred purchase price </w:t>
      </w:r>
      <w:r>
        <w:rPr>
          <w:rFonts w:ascii="Times New Roman;serif" w:hAnsi="Times New Roman;serif"/>
          <w:b w:val="false"/>
          <w:color w:val="008000"/>
          <w:sz w:val="22"/>
          <w:u w:val="single"/>
        </w:rPr>
        <w:t xml:space="preserve">or other </w:t>
      </w:r>
      <w:r>
        <w:rPr>
          <w:rFonts w:ascii="Times New Roman;serif" w:hAnsi="Times New Roman;serif"/>
          <w:b w:val="false"/>
          <w:color w:val="0000FF"/>
          <w:sz w:val="22"/>
          <w:u w:val="single"/>
        </w:rPr>
        <w:t xml:space="preserve">adjustments of purchase price, true-ups or, in each case, similar obligations, in each case, incurred or assumed </w:t>
      </w:r>
      <w:r>
        <w:rPr>
          <w:rFonts w:ascii="Times New Roman;serif" w:hAnsi="Times New Roman;serif"/>
          <w:b w:val="false"/>
          <w:color w:val="008000"/>
          <w:sz w:val="22"/>
          <w:u w:val="single"/>
        </w:rPr>
        <w:t xml:space="preserve">in connection with the </w:t>
      </w:r>
      <w:r>
        <w:rPr>
          <w:rFonts w:ascii="Times New Roman;serif" w:hAnsi="Times New Roman;serif"/>
          <w:b w:val="false"/>
          <w:color w:val="0000FF"/>
          <w:sz w:val="22"/>
          <w:u w:val="single"/>
        </w:rPr>
        <w:t>Owen Mumford Acquisition;</w:t>
      </w:r>
    </w:p>
    <w:p>
      <w:pPr>
        <w:pStyle w:val="TextBody"/>
        <w:bidi w:val="0"/>
        <w:spacing w:lineRule="auto" w:line="288" w:before="0" w:after="240"/>
        <w:jc w:val="left"/>
        <w:rPr>
          <w:rFonts w:ascii="Times New Roman;serif" w:hAnsi="Times New Roman;serif"/>
          <w:b w:val="false"/>
          <w:strike/>
          <w:color w:val="FF0000"/>
          <w:sz w:val="22"/>
        </w:rPr>
      </w:pPr>
      <w:r>
        <w:rPr>
          <w:rFonts w:ascii="Times New Roman;serif" w:hAnsi="Times New Roman;serif"/>
          <w:b w:val="false"/>
          <w:strike/>
          <w:color w:val="FF0000"/>
          <w:sz w:val="22"/>
        </w:rPr>
        <w:t>(b) 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 including any mark-to-mark adjustments;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(15)    any income (loss) related to any realized or unrealized gains and losses resulting from Swap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(if applicable) Accounting Standards Codification Topic 825—Financial Instruments (or any successor provision or other financial accounting standard having a similar result or effect) or an alternative basis of accounting applied in lieu of GAAP;</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(16)    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(17)    the amount of </w:t>
      </w:r>
      <w:r>
        <w:rPr>
          <w:rFonts w:ascii="Times New Roman;serif" w:hAnsi="Times New Roman;serif"/>
          <w:b w:val="false"/>
          <w:strike/>
          <w:color w:val="FF0000"/>
          <w:sz w:val="22"/>
        </w:rPr>
        <w:t xml:space="preserve">(x) </w:t>
      </w:r>
      <w:r>
        <w:rPr>
          <w:rFonts w:ascii="Times New Roman;serif" w:hAnsi="Times New Roman;serif"/>
          <w:b w:val="false"/>
          <w:color w:val="000000"/>
          <w:sz w:val="22"/>
        </w:rPr>
        <w:t>Board of Directors (or equivalent thereof) fees, management, monitoring, consulting, refinancing, transaction, advisory and other fees (including exit and termination fees) and indemnities, costs and expenses paid or accrued in such period to any member of the Board of Directors (or the equivalent thereof) of the Company, any of its Subsidiaries or any direct or indirect parent of the Company</w:t>
      </w:r>
      <w:r>
        <w:rPr>
          <w:rFonts w:ascii="Times New Roman;serif" w:hAnsi="Times New Roman;serif"/>
          <w:b w:val="false"/>
          <w:strike/>
          <w:color w:val="FF0000"/>
          <w:sz w:val="22"/>
        </w:rPr>
        <w:t xml:space="preserve">, and (y) payments made to option holders of the Company or any direct or indirect parent thereof in connection with, or as a result of, any distribution being made to equityholders of such Person or its direct or indirect parent, which payments are being made to compensate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10"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such option holders as though they were equityholders at the time of, and entitled to share in, such distribution, including any cash consideration for any repurchase of equity;</w:t>
      </w:r>
      <w:r>
        <w:rPr>
          <w:rFonts w:ascii="Times New Roman;serif" w:hAnsi="Times New Roman;serif"/>
          <w:b w:val="false"/>
          <w:color w:val="0000FF"/>
          <w:sz w:val="22"/>
          <w:u w:val="single"/>
        </w:rPr>
        <w:t>;</w:t>
      </w:r>
      <w:r>
        <w:rPr>
          <w:color w:val="000000"/>
        </w:rPr>
        <w:t xml:space="preserve"> </w:t>
      </w:r>
    </w:p>
    <w:p>
      <w:pPr>
        <w:pStyle w:val="TextBody"/>
        <w:bidi w:val="0"/>
        <w:spacing w:lineRule="auto" w:line="288" w:before="0" w:after="240"/>
        <w:ind w:left="0" w:right="0" w:hanging="720"/>
        <w:jc w:val="left"/>
        <w:rPr/>
      </w:pPr>
      <w:r>
        <w:rPr>
          <w:rFonts w:ascii="Times New Roman;serif" w:hAnsi="Times New Roman;serif"/>
          <w:b w:val="false"/>
          <w:color w:val="000000"/>
          <w:sz w:val="22"/>
        </w:rPr>
        <w:t>(18)    the amount of loss or discount on sale of Securitization Assets, Receivables Assets and related assets in connection with a Qualified Securitization Financing or Receivables Facility</w:t>
      </w:r>
      <w:r>
        <w:rPr>
          <w:color w:val="0000FF"/>
          <w:u w:val="single"/>
        </w:rPr>
        <w:t xml:space="preserve"> </w:t>
      </w:r>
      <w:r>
        <w:rPr>
          <w:rFonts w:ascii="Times New Roman;serif" w:hAnsi="Times New Roman;serif"/>
          <w:b w:val="false"/>
          <w:color w:val="0000FF"/>
          <w:sz w:val="22"/>
          <w:u w:val="single"/>
        </w:rPr>
        <w:t>permitted by this Agreement</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(19)    (i) at the election of the Company, payments to third parties in respect of research and development, including amounts paid upon signing, success, completion and other milestones and other progress payments, to the extent expensed, and (ii) at the election of the Company with respect to any quarterly period, effects of adjustments to accruals and reserves during a period relating to any change in the methodology of calculating reserves for returns, rebates and other chargebacks (including government program rebates);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(20)    (i) the non-cash portion of “straight-line” rent expense will be excluded and (ii) the cash portion of “straight-line” rent expense that exceeds the amount expensed in respect of such rent expense will be included; and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(21)    non-cash charges relating to increases or decreases of deferred tax asset valuation allowances.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addition, to the extent not already excluded (or included, as applicable) from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Company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(including lost profits) with respect to liability or Casualty Events or business interruption. Consolidated Net Income shall be reduced by the amount of distributions for or payments of Permitted Tax Amounts actually made to any direct or indirect parent of such Person in respect of such period in accordance with clause 9(a) of Section 7.05(b), as though such amounts had been paid as Taxes directly by such Person for such periods.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Senior Secured Net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Funded Senior Secured Indebtedness of the Restricted Group as of such date to (b) LTM EBITDA, in each case, calculated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Consolidated Total Net Leverage Ratio</w:t>
      </w:r>
      <w:r>
        <w:rPr>
          <w:color w:val="000000"/>
        </w:rPr>
        <w:t xml:space="preserve">” </w:t>
      </w:r>
      <w:r>
        <w:rPr>
          <w:rFonts w:ascii="Times New Roman;serif" w:hAnsi="Times New Roman;serif"/>
          <w:b w:val="false"/>
          <w:color w:val="000000"/>
          <w:sz w:val="22"/>
        </w:rPr>
        <w:t xml:space="preserve">means, as of any date of determination, the ratio of (a) Consolidated Funded Indebtedness of the Restricted Group as of such date to (b) LTM EBITDA, in each case, calculated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Contingent Obligations</w:t>
      </w:r>
      <w:r>
        <w:rPr>
          <w:color w:val="000000"/>
        </w:rPr>
        <w:t xml:space="preserve">” </w:t>
      </w:r>
      <w:r>
        <w:rPr>
          <w:rFonts w:ascii="Times New Roman;serif" w:hAnsi="Times New Roman;serif"/>
          <w:b w:val="false"/>
          <w:color w:val="000000"/>
          <w:sz w:val="22"/>
        </w:rPr>
        <w:t xml:space="preserve">means, with respect to any Person, any obligation of such Person guaranteeing in any manner, whether directly or indirectly, any Non-Financing Lease Obligation,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11"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dividend or other obligation that does not constitute Indebtedness (“</w:t>
      </w:r>
      <w:r>
        <w:rPr>
          <w:rFonts w:ascii="Times New Roman;serif" w:hAnsi="Times New Roman;serif"/>
          <w:b/>
          <w:color w:val="000000"/>
          <w:sz w:val="22"/>
        </w:rPr>
        <w:t>primary obligations</w:t>
      </w:r>
      <w:r>
        <w:rPr>
          <w:color w:val="000000"/>
        </w:rPr>
        <w:t>”</w:t>
      </w:r>
      <w:r>
        <w:rPr>
          <w:rFonts w:ascii="Times New Roman;serif" w:hAnsi="Times New Roman;serif"/>
          <w:b w:val="false"/>
          <w:color w:val="000000"/>
          <w:sz w:val="22"/>
        </w:rPr>
        <w:t>) of any other Person (the “</w:t>
      </w:r>
      <w:r>
        <w:rPr>
          <w:rFonts w:ascii="Times New Roman;serif" w:hAnsi="Times New Roman;serif"/>
          <w:b/>
          <w:color w:val="000000"/>
          <w:sz w:val="22"/>
        </w:rPr>
        <w:t>primary obligor</w:t>
      </w:r>
      <w:r>
        <w:rPr>
          <w:color w:val="000000"/>
        </w:rPr>
        <w:t>”</w:t>
      </w:r>
      <w:r>
        <w:rPr>
          <w:rFonts w:ascii="Times New Roman;serif" w:hAnsi="Times New Roman;serif"/>
          <w:b w:val="false"/>
          <w:color w:val="000000"/>
          <w:sz w:val="22"/>
        </w:rPr>
        <w:t>), including any obligation of such Person, whether or not contingent: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to purchase any such primary obligation or any property constituting direct or indirect security therefor;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to advance or supply funds: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for the purchase or payment of any such primary obligation;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to maintain the working capital or equity capital of the primary obligor or otherwise to maintain the net worth or solvency of the primary obligor;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to purchase property, securities or services primarily for the purpose of assuring the owner of any such primary obligation of the ability of the primary obligor to make payment of such primary obligation against loss in respect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Contractual Obligation</w:t>
      </w:r>
      <w:r>
        <w:rPr>
          <w:color w:val="000000"/>
        </w:rPr>
        <w:t xml:space="preserve">” </w:t>
      </w:r>
      <w:r>
        <w:rPr>
          <w:rFonts w:ascii="Times New Roman;serif" w:hAnsi="Times New Roman;serif"/>
          <w:b w:val="false"/>
          <w:color w:val="000000"/>
          <w:sz w:val="22"/>
        </w:rPr>
        <w:t>means, as to any Person, any provision of any security issued by such Person, or of any agreement, loan agreement, indenture, mortgage, deed of trust, lease, instrument or other undertaking to which such Person is a party or by which it or any of its property is bound.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Controlled Investment Affiliate</w:t>
      </w:r>
      <w:r>
        <w:rPr>
          <w:color w:val="000000"/>
        </w:rPr>
        <w:t xml:space="preserve">” </w:t>
      </w:r>
      <w:r>
        <w:rPr>
          <w:rFonts w:ascii="Times New Roman;serif" w:hAnsi="Times New Roman;serif"/>
          <w:b w:val="false"/>
          <w:color w:val="000000"/>
          <w:sz w:val="22"/>
        </w:rPr>
        <w:t>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Converted Restricted Subsidiary</w:t>
      </w:r>
      <w:r>
        <w:rPr>
          <w:color w:val="000000"/>
        </w:rPr>
        <w:t xml:space="preserve">” </w:t>
      </w:r>
      <w:r>
        <w:rPr>
          <w:rFonts w:ascii="Times New Roman;serif" w:hAnsi="Times New Roman;serif"/>
          <w:b w:val="false"/>
          <w:color w:val="000000"/>
          <w:sz w:val="22"/>
        </w:rPr>
        <w:t>has the meaning specified in the definition of the term “Consolidated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Converted Unrestricted Subsidiary</w:t>
      </w:r>
      <w:r>
        <w:rPr>
          <w:color w:val="000000"/>
        </w:rPr>
        <w:t xml:space="preserve">” </w:t>
      </w:r>
      <w:r>
        <w:rPr>
          <w:rFonts w:ascii="Times New Roman;serif" w:hAnsi="Times New Roman;serif"/>
          <w:b w:val="false"/>
          <w:color w:val="000000"/>
          <w:sz w:val="22"/>
        </w:rPr>
        <w:t>has the meaning specified in the definition of the term “Consolidated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Covered Entity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10.25(</w:t>
      </w:r>
      <w:r>
        <w:rPr>
          <w:rFonts w:ascii="Times New Roman;serif" w:hAnsi="Times New Roman;serif"/>
          <w:b w:val="false"/>
          <w:color w:val="000000"/>
          <w:sz w:val="22"/>
        </w:rPr>
        <w:t>b).</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Credit Agreement Refinancing Debt</w:t>
      </w:r>
      <w:r>
        <w:rPr>
          <w:color w:val="000000"/>
        </w:rPr>
        <w:t xml:space="preserve">” </w:t>
      </w:r>
      <w:r>
        <w:rPr>
          <w:rFonts w:ascii="Times New Roman;serif" w:hAnsi="Times New Roman;serif"/>
          <w:b w:val="false"/>
          <w:color w:val="000000"/>
          <w:sz w:val="22"/>
        </w:rPr>
        <w:t>means one or more series of (I) senior unsecured loans or notes, (II) senior secured loans or notes secured by a lien on the Collateral on a basis with the Initial Term Loans, (III) senior secured loans or notes secured by a lien on the Collateral on a junior basis to the Initial Term Loans or (IV) senior secured loans or notes secured by a Lien on assets not constituting Collateral, in each case issued in respect of a refinancing of outstanding Indebtedness of any Borrower under any one or more Term Loan Tranches or Revolving Tranches; provided that,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such Credit Agreement Refinancing Debt shall comply with the Incremental Debt Lien/Guarantee Parameters;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if in the form of a term loan facility or notes, such Credit Agreement Refinancing Debt, other than with respect to </w:t>
      </w:r>
      <w:r>
        <w:rPr>
          <w:rFonts w:ascii="Times New Roman;serif" w:hAnsi="Times New Roman;serif"/>
          <w:b w:val="false"/>
          <w:strike/>
          <w:color w:val="FF0000"/>
          <w:sz w:val="22"/>
        </w:rPr>
        <w:t xml:space="preserve">(I) </w:t>
      </w:r>
      <w:r>
        <w:rPr>
          <w:rFonts w:ascii="Times New Roman;serif" w:hAnsi="Times New Roman;serif"/>
          <w:b w:val="false"/>
          <w:color w:val="000000"/>
          <w:sz w:val="22"/>
        </w:rPr>
        <w:t>the initial maturity date for Extendable Bridge Loans/Interim Debt</w:t>
      </w:r>
      <w:r>
        <w:rPr>
          <w:strike/>
          <w:color w:val="FF0000"/>
        </w:rPr>
        <w:t xml:space="preserve"> </w:t>
      </w:r>
      <w:r>
        <w:rPr>
          <w:rFonts w:ascii="Times New Roman;serif" w:hAnsi="Times New Roman;serif"/>
          <w:b w:val="false"/>
          <w:strike/>
          <w:color w:val="FF0000"/>
          <w:sz w:val="22"/>
        </w:rPr>
        <w:t xml:space="preserve">or (II) </w:t>
      </w:r>
      <w:r>
        <w:rPr>
          <w:rFonts w:ascii="Times New Roman;serif" w:hAnsi="Times New Roman;serif"/>
          <w:b w:val="false"/>
          <w:strike/>
          <w:color w:val="008000"/>
          <w:sz w:val="22"/>
        </w:rPr>
        <w:t xml:space="preserve">an aggregate principal amount </w:t>
      </w:r>
      <w:r>
        <w:rPr>
          <w:rFonts w:ascii="Times New Roman;serif" w:hAnsi="Times New Roman;serif"/>
          <w:b w:val="false"/>
          <w:strike/>
          <w:color w:val="FF0000"/>
          <w:sz w:val="22"/>
        </w:rPr>
        <w:t>of term loans not in excess of the Inside Maturity Basket at the time of Incurrence</w:t>
      </w:r>
      <w:r>
        <w:rPr>
          <w:rFonts w:ascii="Times New Roman;serif" w:hAnsi="Times New Roman;serif"/>
          <w:b w:val="false"/>
          <w:color w:val="000000"/>
          <w:sz w:val="22"/>
        </w:rPr>
        <w:t xml:space="preserve">, shall not (i) mature prior to the Latest Maturity Date of the Term Loan Tranche being refinanced or (ii) be subject to any amortization prior to the final maturity thereof (except if such Credit Agreement Refinancing Debt is in the form of term loans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12"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secured on a basis with the Initial Term Loans, customary amortization not to exceed 1.0% per annum), or be subject to any mandatory redemption or prepayment provisions or rights (except (x) customary assets sale, casualty events or similar event, change of control provisions, special mandatory redemptions in connection with customary escrow arrangements, prepayments with excess cash flow (or similar metrics) and proceeds of prohibited indebtedness, and customary acceleration rights after an event of default and (y) customary AHYDO Catch-up Payments);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Net Cash Proceeds of such Credit Agreement Refinancing Debt shall be applied, substantially concurrently with the incurrence thereof, to the repayment or prepayment of outstanding Term Loans under the applicable Term Loan Tranche being so refinanced or to the prepayment and termination of Commitments of outstanding Revolving Credit Loans under the applicable Revolving Tranche being so refinanced, as applicable, and the payment of fees, expenses and premiums, if any, payable in connection therewith.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Credit Extension</w:t>
      </w:r>
      <w:r>
        <w:rPr>
          <w:color w:val="000000"/>
        </w:rPr>
        <w:t xml:space="preserve">” </w:t>
      </w:r>
      <w:r>
        <w:rPr>
          <w:rFonts w:ascii="Times New Roman;serif" w:hAnsi="Times New Roman;serif"/>
          <w:b w:val="false"/>
          <w:color w:val="000000"/>
          <w:sz w:val="22"/>
        </w:rPr>
        <w:t>means each of the following: (a) a Borrowing and (b) an L/C Credit Extension.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Custodian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8.01(f)(iii)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Daily Simple SOFR</w:t>
      </w:r>
      <w:r>
        <w:rPr>
          <w:color w:val="000000"/>
        </w:rPr>
        <w:t xml:space="preserve">” </w:t>
      </w:r>
      <w:r>
        <w:rPr>
          <w:rFonts w:ascii="Times New Roman;serif" w:hAnsi="Times New Roman;serif"/>
          <w:b w:val="false"/>
          <w:color w:val="000000"/>
          <w:sz w:val="22"/>
        </w:rPr>
        <w:t xml:space="preserve">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the Administrative Agent decides that any such convention is not administratively feasible for the Administrative Agent, then the Administrative Agent may establish another convention in its reasonable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Debtor Relief Laws</w:t>
      </w:r>
      <w:r>
        <w:rPr>
          <w:color w:val="000000"/>
        </w:rPr>
        <w:t xml:space="preserve">” </w:t>
      </w:r>
      <w:r>
        <w:rPr>
          <w:rFonts w:ascii="Times New Roman;serif" w:hAnsi="Times New Roman;serif"/>
          <w:b w:val="false"/>
          <w:color w:val="000000"/>
          <w:sz w:val="22"/>
        </w:rPr>
        <w:t>means the Bankruptcy Code of the United States, and all other liquidation, conservatorship, bankruptcy, assignment for the benefit of creditors, moratorium, rearrangement, receivership, insolvency, judicial management, reorganization, or similar debtor relief Laws of the United States or other applicable jurisdictions from time to time in effect and affecting the rights of creditors generally.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Declining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Default</w:t>
      </w:r>
      <w:r>
        <w:rPr>
          <w:color w:val="000000"/>
        </w:rPr>
        <w:t xml:space="preserve">” </w:t>
      </w:r>
      <w:r>
        <w:rPr>
          <w:rFonts w:ascii="Times New Roman;serif" w:hAnsi="Times New Roman;serif"/>
          <w:b w:val="false"/>
          <w:color w:val="000000"/>
          <w:sz w:val="22"/>
        </w:rPr>
        <w:t>means any event or condition that constitutes an Event of Default or that, with the giving of any notice, the passage of time, or both, would be an Event of Default.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Default Rate</w:t>
      </w:r>
      <w:r>
        <w:rPr>
          <w:color w:val="000000"/>
        </w:rPr>
        <w:t xml:space="preserve">” </w:t>
      </w:r>
      <w:r>
        <w:rPr>
          <w:rFonts w:ascii="Times New Roman;serif" w:hAnsi="Times New Roman;serif"/>
          <w:b w:val="false"/>
          <w:color w:val="000000"/>
          <w:sz w:val="22"/>
        </w:rPr>
        <w:t xml:space="preserve">means an interest rate equal to (after as well as before judgment), (a) with respect to any overdue principal for any Loan, the applicable interest rate for such Loan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2.00% per annum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with respect to SOFR Loans or Eurocurrency Rate Loans, the determination of the applicable interest rate is subject to </w:t>
      </w:r>
      <w:r>
        <w:rPr>
          <w:rFonts w:ascii="Times New Roman;serif" w:hAnsi="Times New Roman;serif"/>
          <w:b w:val="false"/>
          <w:color w:val="000000"/>
          <w:sz w:val="22"/>
          <w:u w:val="single"/>
        </w:rPr>
        <w:t>Section 2.02(c)</w:t>
      </w:r>
      <w:r>
        <w:rPr>
          <w:color w:val="000000"/>
        </w:rPr>
        <w:t xml:space="preserve"> </w:t>
      </w:r>
      <w:r>
        <w:rPr>
          <w:rFonts w:ascii="Times New Roman;serif" w:hAnsi="Times New Roman;serif"/>
          <w:b w:val="false"/>
          <w:color w:val="000000"/>
          <w:sz w:val="22"/>
        </w:rPr>
        <w:t xml:space="preserve">to the extent that SOFR Loans or Eurocurrency Rate Loans may not be converted to, or continued as, SOFR Loans or Eurocurrency Rate Loans, as applicable, pursuant thereto) and (b) with respect to any other overdue amount, including overdue interest, the applicable interest rate for ABR Loans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2.00% per annum, in each case, to the fullest extent permitted by applicable Laws.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Defaulting Lender</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2.17(b)</w:t>
      </w:r>
      <w:r>
        <w:rPr>
          <w:rFonts w:ascii="Times New Roman;serif" w:hAnsi="Times New Roman;serif"/>
          <w:b w:val="false"/>
          <w:color w:val="000000"/>
          <w:sz w:val="22"/>
        </w:rPr>
        <w:t xml:space="preserve">, any Lender that (a) has failed to perform any of its funding obligations hereunder, including in respect of its Loans or participations in respect of Letters of Credit within three Business Days of the date required to be funded by it hereunder, (b) has notified the Company or the Administrative Agent that it does not intend to comply with its funding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13"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obligations or has made a public statement to that effect with respect to its funding obligations hereunder or, solely with respect to a Revolving Credit Lender, under other agreements generally in which it commits to extend credit, (c) has failed, within three Business Days after reasonable request by the Administrative Agent, to confirm in a manner satisfactory to the Administrative Agent that it will comply with its funding obligations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Administrative Agent shall request such confirmation upon reasonable request from any L/C Issuer;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such Lender shall cease to be a Defaulting Lender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upon receipt of such confirmation by the Administrative Agent) or (d) has, or has a direct or indirect parent company that has, other than via an Undisclosed Administration,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Lender shall be a Defaulting Lender solely by virtue of (x)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the occurrence of any of the events described in </w:t>
      </w:r>
      <w:r>
        <w:rPr>
          <w:rFonts w:ascii="Times New Roman;serif" w:hAnsi="Times New Roman;serif"/>
          <w:b w:val="false"/>
          <w:color w:val="000000"/>
          <w:sz w:val="22"/>
          <w:u w:val="single"/>
        </w:rPr>
        <w:t>clause (d)(i)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(d)(ii)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(d)(iii)</w:t>
      </w:r>
      <w:r>
        <w:rPr>
          <w:color w:val="000000"/>
        </w:rPr>
        <w:t xml:space="preserve"> </w:t>
      </w:r>
      <w:r>
        <w:rPr>
          <w:rFonts w:ascii="Times New Roman;serif" w:hAnsi="Times New Roman;serif"/>
          <w:b w:val="false"/>
          <w:color w:val="000000"/>
          <w:sz w:val="22"/>
        </w:rPr>
        <w:t xml:space="preserve">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 any one or more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above shall be conclusive and binding absent manifest error, and such Lender shall be deemed to be a Defaulting Lender (subject to </w:t>
      </w:r>
      <w:r>
        <w:rPr>
          <w:rFonts w:ascii="Times New Roman;serif" w:hAnsi="Times New Roman;serif"/>
          <w:b w:val="false"/>
          <w:color w:val="000000"/>
          <w:sz w:val="22"/>
          <w:u w:val="single"/>
        </w:rPr>
        <w:t>Section 2.17(b)</w:t>
      </w:r>
      <w:r>
        <w:rPr>
          <w:rFonts w:ascii="Times New Roman;serif" w:hAnsi="Times New Roman;serif"/>
          <w:b w:val="false"/>
          <w:color w:val="000000"/>
          <w:sz w:val="22"/>
        </w:rPr>
        <w:t>) upon delivery of written notice of such determination to the Administrative Agent, the Company, each L/C Issuer and each Lender,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Designated Non-Cash Consideration</w:t>
      </w:r>
      <w:r>
        <w:rPr>
          <w:color w:val="000000"/>
        </w:rPr>
        <w:t xml:space="preserve">” </w:t>
      </w:r>
      <w:r>
        <w:rPr>
          <w:rFonts w:ascii="Times New Roman;serif" w:hAnsi="Times New Roman;serif"/>
          <w:b w:val="false"/>
          <w:color w:val="000000"/>
          <w:sz w:val="22"/>
        </w:rPr>
        <w:t xml:space="preserve">means the fair market value (as determined in good faith by the Company) of non-cash consideration received by the Company or any of its Restricted Subsidiaries in connection with an Asset Disposition as designated by the Company, which designation may be made at or after the time of the applicable Asset Disposition,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Designated Preferred Stock</w:t>
      </w:r>
      <w:r>
        <w:rPr>
          <w:color w:val="000000"/>
        </w:rPr>
        <w:t xml:space="preserve">” </w:t>
      </w:r>
      <w:r>
        <w:rPr>
          <w:rFonts w:ascii="Times New Roman;serif" w:hAnsi="Times New Roman;serif"/>
          <w:b w:val="false"/>
          <w:color w:val="000000"/>
          <w:sz w:val="22"/>
        </w:rPr>
        <w:t xml:space="preserve">means Preferred Stock of the Company or a direct or indirect parent thereof (other than Disqualified Stock) that is issued for cash (other than to the Company or a Subsidiary of the Company or an employee stock ownership plan or trust established by the Company or any such Subsidiary for the benefit of their employees to the extent funded by the Company or such Subsidiary) and that is designated as “Designated Preferred Stock” pursuant to a certificate of a Responsible Officer of the Company at or prior to the issuance thereof, the Net Cash Proceeds of which are excluded from the calculation set forth in clause (b)(iii) of </w:t>
      </w:r>
      <w:r>
        <w:rPr>
          <w:rFonts w:ascii="Times New Roman;serif" w:hAnsi="Times New Roman;serif"/>
          <w:b w:val="false"/>
          <w:color w:val="000000"/>
          <w:sz w:val="22"/>
          <w:u w:val="single"/>
        </w:rPr>
        <w:t>Section 7.05(a)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Designation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2.19(f)</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Determination Date</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clause (1)(u)(1)</w:t>
      </w:r>
      <w:r>
        <w:rPr>
          <w:strike/>
          <w:color w:val="FF0000"/>
        </w:rPr>
        <w:t xml:space="preserve"> </w:t>
      </w:r>
      <w:r>
        <w:rPr>
          <w:rFonts w:ascii="Times New Roman;serif" w:hAnsi="Times New Roman;serif"/>
          <w:b w:val="false"/>
          <w:strike/>
          <w:color w:val="FF0000"/>
          <w:sz w:val="22"/>
        </w:rPr>
        <w:t>of the definition of “Consolidated EBITDA.”</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14"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Disinterested Director</w:t>
      </w:r>
      <w:r>
        <w:rPr>
          <w:color w:val="000000"/>
        </w:rPr>
        <w:t xml:space="preserve">” </w:t>
      </w:r>
      <w:r>
        <w:rPr>
          <w:rFonts w:ascii="Times New Roman;serif" w:hAnsi="Times New Roman;serif"/>
          <w:b w:val="false"/>
          <w:color w:val="000000"/>
          <w:sz w:val="22"/>
        </w:rPr>
        <w:t>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Company or any Parent Entity or any options, warrants or other rights in respect of such Capital Stock.</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Disposed EBITDA</w:t>
      </w:r>
      <w:r>
        <w:rPr>
          <w:color w:val="000000"/>
        </w:rPr>
        <w:t xml:space="preserve">” </w:t>
      </w:r>
      <w:r>
        <w:rPr>
          <w:rFonts w:ascii="Times New Roman;serif" w:hAnsi="Times New Roman;serif"/>
          <w:b w:val="false"/>
          <w:color w:val="000000"/>
          <w:sz w:val="22"/>
        </w:rPr>
        <w:t>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Disposition</w:t>
      </w:r>
      <w:r>
        <w:rPr>
          <w:color w:val="000000"/>
        </w:rPr>
        <w:t xml:space="preserve">” </w:t>
      </w:r>
      <w:r>
        <w:rPr>
          <w:rFonts w:ascii="Times New Roman;serif" w:hAnsi="Times New Roman;serif"/>
          <w:b w:val="false"/>
          <w:color w:val="000000"/>
          <w:sz w:val="22"/>
        </w:rPr>
        <w:t>has the meaning specified in the definition of “Asset Disposition.”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Disqualified Institution</w:t>
      </w:r>
      <w:r>
        <w:rPr>
          <w:color w:val="000000"/>
        </w:rPr>
        <w:t xml:space="preserve">” </w:t>
      </w:r>
      <w:r>
        <w:rPr>
          <w:rFonts w:ascii="Times New Roman;serif" w:hAnsi="Times New Roman;serif"/>
          <w:b w:val="false"/>
          <w:color w:val="000000"/>
          <w:sz w:val="22"/>
        </w:rPr>
        <w:t xml:space="preserve">means (a) each person identified as a “Disqualified Institution” on a list delivered to the Arrangers by the Company on or prior to January 12, 2022 (as such list may be updated from time to time </w:t>
      </w:r>
      <w:r>
        <w:rPr>
          <w:rFonts w:ascii="Times New Roman;serif" w:hAnsi="Times New Roman;serif"/>
          <w:b w:val="false"/>
          <w:strike/>
          <w:color w:val="FF0000"/>
          <w:sz w:val="22"/>
        </w:rPr>
        <w:t xml:space="preserve">after the Closing </w:t>
      </w:r>
      <w:r>
        <w:rPr>
          <w:rFonts w:ascii="Times New Roman;serif" w:hAnsi="Times New Roman;serif"/>
          <w:b w:val="false"/>
          <w:color w:val="008000"/>
          <w:sz w:val="22"/>
          <w:u w:val="single"/>
        </w:rPr>
        <w:t xml:space="preserve">prior to the </w:t>
      </w:r>
      <w:r>
        <w:rPr>
          <w:rFonts w:ascii="Times New Roman;serif" w:hAnsi="Times New Roman;serif"/>
          <w:b w:val="false"/>
          <w:color w:val="0000FF"/>
          <w:sz w:val="22"/>
          <w:u w:val="single"/>
        </w:rPr>
        <w:t xml:space="preserve">First Amendment Effective </w:t>
      </w:r>
      <w:r>
        <w:rPr>
          <w:rFonts w:ascii="Times New Roman;serif" w:hAnsi="Times New Roman;serif"/>
          <w:b w:val="false"/>
          <w:color w:val="000000"/>
          <w:sz w:val="22"/>
        </w:rPr>
        <w:t xml:space="preserve">Date with the Administrative Agent’s consent (such consent not to be unreasonably withheld, conditioned or delayed)), (b) any Company Competitor identified on a list delivered to the Administrative Agent by the Company on or prior to January 12, 2022 (as such list may be updated from time to time after the Closing Date) and (c) as to any entity referenced in each of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(the “</w:t>
      </w:r>
      <w:r>
        <w:rPr>
          <w:rFonts w:ascii="Times New Roman;serif" w:hAnsi="Times New Roman;serif"/>
          <w:b/>
          <w:color w:val="000000"/>
          <w:sz w:val="22"/>
        </w:rPr>
        <w:t>Primary Disqualified Institution</w:t>
      </w:r>
      <w:r>
        <w:rPr>
          <w:color w:val="000000"/>
        </w:rPr>
        <w:t>”</w:t>
      </w:r>
      <w:r>
        <w:rPr>
          <w:rFonts w:ascii="Times New Roman;serif" w:hAnsi="Times New Roman;serif"/>
          <w:b w:val="false"/>
          <w:color w:val="000000"/>
          <w:sz w:val="22"/>
        </w:rPr>
        <w:t xml:space="preserve">), any of such Primary Disqualified Institution’s Affiliates identified in writing to the Administrative Agent from time to time or otherwise readily identifiable as such by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Institution does not, directly or indirectly, possess the power to direct or cause the direction of the investment policies of such entity;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additional designation permitted by the foregoing shall not apply retroactively to any prior assignment or any pending assignment to any Lender or Participant.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Disqualified Stock</w:t>
      </w:r>
      <w:r>
        <w:rPr>
          <w:color w:val="000000"/>
        </w:rPr>
        <w:t xml:space="preserve">” </w:t>
      </w:r>
      <w:r>
        <w:rPr>
          <w:rFonts w:ascii="Times New Roman;serif" w:hAnsi="Times New Roman;serif"/>
          <w:b w:val="false"/>
          <w:color w:val="000000"/>
          <w:sz w:val="22"/>
        </w:rPr>
        <w:t>means, with respect to any Person, any Capital Stock of such Person which by its terms (or by the terms of any security into which it is convertible or for which it is exchangeable) or upon the happening of any event: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matures or is mandatorily redeemable for cash or in exchange for Indebtedness pursuant to a sinking fund obligation or otherwise;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is or may become (in accordance with its terms) upon the occurrence of certain events or otherwise redeemable or repurchasable for cash or in exchange for Indebtedness at the option of the holder of the Capital Stock in whole or in part,</w:t>
      </w:r>
    </w:p>
    <w:p>
      <w:pPr>
        <w:pStyle w:val="TextBody"/>
        <w:bidi w:val="0"/>
        <w:spacing w:lineRule="auto" w:line="288" w:before="0" w:after="240"/>
        <w:jc w:val="left"/>
        <w:rPr/>
      </w:pPr>
      <w:r>
        <w:rPr>
          <w:rFonts w:ascii="Times New Roman;serif" w:hAnsi="Times New Roman;serif"/>
          <w:b w:val="false"/>
          <w:color w:val="000000"/>
          <w:sz w:val="22"/>
        </w:rPr>
        <w:t xml:space="preserve">in each case on or prior to the earlier of the date that is 91 days after the Latest Maturity Date of the Term Loans at the time of issuance of the respective Disqualified Stock;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issuer thereof to repurchase such Capital Stock upon the occurrence of a change of control or asset sale (howsoever defined or referred to) shall not constitute Disqualified Stock if any such redemption or repurchase obligation is subject to compliance by the </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15"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relevant Person with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that if such Capital Stock is issued to any future, current or former employee, director, officer, manager, contractor, consultant or advisor (or their respective Controlled Investment Affiliates or Immediate Family Members) of the Company, any of its Subsidiaries, any direct or indirect parent of the Company or any other entity in which the Company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Company or its Subsidiaries or by any such plan to such employees (or their respective Controlled Investment Affiliates or Immediate Family Members), such Capital Stock shall not constitute Disqualified Stock solely because it may be required to be repurchased by the Company or its Subsidiaries in order to satisfy applicable statutory or regulatory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Distressed Agent-Related Person</w:t>
      </w:r>
      <w:r>
        <w:rPr>
          <w:color w:val="000000"/>
        </w:rPr>
        <w:t xml:space="preserve">” </w:t>
      </w:r>
      <w:r>
        <w:rPr>
          <w:rFonts w:ascii="Times New Roman;serif" w:hAnsi="Times New Roman;serif"/>
          <w:b w:val="false"/>
          <w:color w:val="000000"/>
          <w:sz w:val="22"/>
        </w:rPr>
        <w:t>has the meaning specified in the definition of “Agent-Related Distress Event.”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Divided LLC</w:t>
      </w:r>
      <w:r>
        <w:rPr>
          <w:color w:val="000000"/>
        </w:rPr>
        <w:t xml:space="preserve">” </w:t>
      </w:r>
      <w:r>
        <w:rPr>
          <w:rFonts w:ascii="Times New Roman;serif" w:hAnsi="Times New Roman;serif"/>
          <w:b w:val="false"/>
          <w:color w:val="000000"/>
          <w:sz w:val="22"/>
        </w:rPr>
        <w:t>means a limited liability company which has been formed upon the consummation of an LLC Division.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Dollar</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 lawful money of the United States. “Dollar Amount” means, at any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with respect to any Loan or Letter of Credit denominated in Dollars, the principal amount thereof then outstanding (or in which such participation is held);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with respect to any Loan denominated in an Alternative Currency or other currency other than Dollars, the principal amount thereof then outstanding in the relevant Alternative Currency, converted to Dollars in accordance with </w:t>
      </w:r>
      <w:r>
        <w:rPr>
          <w:rFonts w:ascii="Times New Roman;serif" w:hAnsi="Times New Roman;serif"/>
          <w:b w:val="false"/>
          <w:color w:val="000000"/>
          <w:sz w:val="22"/>
          <w:u w:val="single"/>
        </w:rPr>
        <w:t>Section 1.08</w:t>
      </w:r>
      <w:r>
        <w:rPr>
          <w:rFonts w:ascii="Times New Roman;serif" w:hAnsi="Times New Roman;serif"/>
          <w:b w:val="false"/>
          <w:color w:val="000000"/>
          <w:sz w:val="22"/>
        </w:rPr>
        <w: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in relation to any Letter of Credit denominated in an Alternative Currency, the principal amount of L/C Obligations in respect thereof converted to Dollars at the Agent’s Spot Rate of Exchange at the time of issuance of any Letter of Credit and as of the first Business Day of each calendar month thereafter so long as such Letter of Credit remains outstanding.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ECF Prepayment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2.05(b)(i)(8)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EEA Financial Institution</w:t>
      </w:r>
      <w:r>
        <w:rPr>
          <w:color w:val="000000"/>
        </w:rPr>
        <w:t xml:space="preserve">” </w:t>
      </w:r>
      <w:r>
        <w:rPr>
          <w:rFonts w:ascii="Times New Roman;serif" w:hAnsi="Times New Roman;serif"/>
          <w:b w:val="false"/>
          <w:color w:val="000000"/>
          <w:sz w:val="22"/>
        </w:rPr>
        <w:t xml:space="preserve">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definition or (c) any financial institution established in an EEA Member Country which is a subsidiary of an institution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of this definition and is subject to consolidated supervision with its parent.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EEA Member Country</w:t>
      </w:r>
      <w:r>
        <w:rPr>
          <w:color w:val="000000"/>
        </w:rPr>
        <w:t xml:space="preserve">” </w:t>
      </w:r>
      <w:r>
        <w:rPr>
          <w:rFonts w:ascii="Times New Roman;serif" w:hAnsi="Times New Roman;serif"/>
          <w:b w:val="false"/>
          <w:color w:val="000000"/>
          <w:sz w:val="22"/>
        </w:rPr>
        <w:t>means any of the member states of the European Union, Iceland, Liechtenstein and Norway.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EEA Resolution Authority</w:t>
      </w:r>
      <w:r>
        <w:rPr>
          <w:color w:val="000000"/>
        </w:rPr>
        <w:t xml:space="preserve">” </w:t>
      </w:r>
      <w:r>
        <w:rPr>
          <w:rFonts w:ascii="Times New Roman;serif" w:hAnsi="Times New Roman;serif"/>
          <w:b w:val="false"/>
          <w:color w:val="000000"/>
          <w:sz w:val="22"/>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Effective Extension Incremental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16"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Election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Eligible Assignee</w:t>
      </w:r>
      <w:r>
        <w:rPr>
          <w:color w:val="000000"/>
        </w:rPr>
        <w:t xml:space="preserve">” </w:t>
      </w:r>
      <w:r>
        <w:rPr>
          <w:rFonts w:ascii="Times New Roman;serif" w:hAnsi="Times New Roman;serif"/>
          <w:b w:val="false"/>
          <w:color w:val="000000"/>
          <w:sz w:val="22"/>
        </w:rPr>
        <w:t xml:space="preserve">means any Person that meets the requirements to be an assignee under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 xml:space="preserve">(subject to receipt of such consents, if any, as may be required for the assignment of the applicable Loan and/or Commitments to such Person under </w:t>
      </w:r>
      <w:r>
        <w:rPr>
          <w:rFonts w:ascii="Times New Roman;serif" w:hAnsi="Times New Roman;serif"/>
          <w:b w:val="false"/>
          <w:color w:val="000000"/>
          <w:sz w:val="22"/>
          <w:u w:val="single"/>
        </w:rPr>
        <w:t>Section 10.07(b)(iii)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EMU</w:t>
      </w:r>
      <w:r>
        <w:rPr>
          <w:color w:val="000000"/>
        </w:rPr>
        <w:t xml:space="preserve">” </w:t>
      </w:r>
      <w:r>
        <w:rPr>
          <w:rFonts w:ascii="Times New Roman;serif" w:hAnsi="Times New Roman;serif"/>
          <w:b w:val="false"/>
          <w:color w:val="000000"/>
          <w:sz w:val="22"/>
        </w:rPr>
        <w:t>means the economic and monetary union as contemplated in the EU Treaty.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EMU Legislation</w:t>
      </w:r>
      <w:r>
        <w:rPr>
          <w:color w:val="000000"/>
        </w:rPr>
        <w:t xml:space="preserve">” </w:t>
      </w:r>
      <w:r>
        <w:rPr>
          <w:rFonts w:ascii="Times New Roman;serif" w:hAnsi="Times New Roman;serif"/>
          <w:b w:val="false"/>
          <w:color w:val="000000"/>
          <w:sz w:val="22"/>
        </w:rPr>
        <w:t>means the legislative measures of the EMU for the introduction of, changeover to, or operation of the Euro in one or more member states.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Enterprise Transformative Event</w:t>
      </w:r>
      <w:r>
        <w:rPr>
          <w:color w:val="000000"/>
        </w:rPr>
        <w:t xml:space="preserve">” </w:t>
      </w:r>
      <w:r>
        <w:rPr>
          <w:rFonts w:ascii="Times New Roman;serif" w:hAnsi="Times New Roman;serif"/>
          <w:b w:val="false"/>
          <w:color w:val="000000"/>
          <w:sz w:val="22"/>
        </w:rPr>
        <w:t>means any merger, acquisition, amalgamation, investment, dividend recapitalization, dissolution, liquidation, consolidation or disposition that either (a) is not permitted by the terms of the Loan Documents immediately prior to the consummation of such transaction or (b) if permitted by the terms of the Loan Documents immediately prior to the consummation of such transaction would not provide the Company and its Restricted Subsidiaries with adequate flexibility under the Loan Documents for the continuation and/or expansion of their combined operations following such consummation, as reasonably determined by the Company acting in good faith.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Environment</w:t>
      </w:r>
      <w:r>
        <w:rPr>
          <w:color w:val="000000"/>
        </w:rPr>
        <w:t xml:space="preserve">” </w:t>
      </w:r>
      <w:r>
        <w:rPr>
          <w:rFonts w:ascii="Times New Roman;serif" w:hAnsi="Times New Roman;serif"/>
          <w:b w:val="false"/>
          <w:color w:val="000000"/>
          <w:sz w:val="22"/>
        </w:rPr>
        <w:t>means ambient air, indoor air, surface water, groundwater, drinking water, land surface, sediments, and subsurface strata and natural resources such as wetlands, flora and fauna.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Environmental Laws</w:t>
      </w:r>
      <w:r>
        <w:rPr>
          <w:color w:val="000000"/>
        </w:rPr>
        <w:t xml:space="preserve">” </w:t>
      </w:r>
      <w:r>
        <w:rPr>
          <w:rFonts w:ascii="Times New Roman;serif" w:hAnsi="Times New Roman;serif"/>
          <w:b w:val="false"/>
          <w:color w:val="000000"/>
          <w:sz w:val="22"/>
        </w:rPr>
        <w:t>means any and all applicable federal, state, provincial, territorial, local and foreign statutes, laws, including common law, regulations, ordinances, rules, judgments, orders, decrees, permits, concessions, grants, franchises, licenses or governmental restrictions relating to pollution, the protection of the Environment, and human health and safety (to the extent relating to exposure to Hazardous Materials), including those related to Hazardous Materials, air emissions and discharges to public pollution control systems.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Environmental Liability</w:t>
      </w:r>
      <w:r>
        <w:rPr>
          <w:color w:val="000000"/>
        </w:rPr>
        <w:t xml:space="preserve">” </w:t>
      </w:r>
      <w:r>
        <w:rPr>
          <w:rFonts w:ascii="Times New Roman;serif" w:hAnsi="Times New Roman;serif"/>
          <w:b w:val="false"/>
          <w:color w:val="000000"/>
          <w:sz w:val="22"/>
        </w:rPr>
        <w:t>means any liability (including any liability for damages, costs of environmental remediation, monitoring or oversight by a Governmental Authority, fines, penalties or indemnities) directly or indirectly resulting from or based upon (a) any actual or alleged violation of any Environmental Law, (b) the generation, use, handling, transportation, storage or treatment of any Hazardous Materials, (c) human exposure to any Hazardous Materials, (d) the Release or threatened Release of any Hazardous Materials into the Environment or (e) any contract, agreement or other binding consensual arrangement to the extent liability is assumed or imposed with respect to any of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Environmental Permit</w:t>
      </w:r>
      <w:r>
        <w:rPr>
          <w:color w:val="000000"/>
        </w:rPr>
        <w:t xml:space="preserve">” </w:t>
      </w:r>
      <w:r>
        <w:rPr>
          <w:rFonts w:ascii="Times New Roman;serif" w:hAnsi="Times New Roman;serif"/>
          <w:b w:val="false"/>
          <w:color w:val="000000"/>
          <w:sz w:val="22"/>
        </w:rPr>
        <w:t>means any permit, approval, identification number, license or other authorization required under any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equity incentives</w:t>
      </w:r>
      <w:r>
        <w:rPr>
          <w:color w:val="000000"/>
        </w:rPr>
        <w:t xml:space="preserve">” </w:t>
      </w:r>
      <w:r>
        <w:rPr>
          <w:rFonts w:ascii="Times New Roman;serif" w:hAnsi="Times New Roman;serif"/>
          <w:b w:val="false"/>
          <w:color w:val="000000"/>
          <w:sz w:val="22"/>
        </w:rPr>
        <w:t xml:space="preserve">has the meaning specified in the definition of “Consolidated Net Income.” “Equity Interests” means Capital Stock and all warrants, options or other rights to acquire Capital Stock (but excluding </w:t>
      </w:r>
      <w:r>
        <w:rPr>
          <w:rFonts w:ascii="Times New Roman;serif" w:hAnsi="Times New Roman;serif"/>
          <w:b w:val="false"/>
          <w:strike/>
          <w:color w:val="FF0000"/>
          <w:sz w:val="22"/>
        </w:rPr>
        <w:t xml:space="preserve">(x) </w:t>
      </w:r>
      <w:r>
        <w:rPr>
          <w:rFonts w:ascii="Times New Roman;serif" w:hAnsi="Times New Roman;serif"/>
          <w:b w:val="false"/>
          <w:color w:val="000000"/>
          <w:sz w:val="22"/>
        </w:rPr>
        <w:t>any Capital Stock that arises only by reason of the happening of a contingency that is outside the control of the holder of such Capital Stock or any debt security that is convertible into, or exchangeable for, Capital Stock</w:t>
      </w:r>
      <w:r>
        <w:rPr>
          <w:strike/>
          <w:color w:val="FF0000"/>
        </w:rPr>
        <w:t xml:space="preserve"> </w:t>
      </w:r>
      <w:r>
        <w:rPr>
          <w:rFonts w:ascii="Times New Roman;serif" w:hAnsi="Times New Roman;serif"/>
          <w:b w:val="false"/>
          <w:strike/>
          <w:color w:val="FF0000"/>
          <w:sz w:val="22"/>
        </w:rPr>
        <w:t>and (y) Permitted Call Spread Swap Agreements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Equity Offering</w:t>
      </w:r>
      <w:r>
        <w:rPr>
          <w:color w:val="000000"/>
        </w:rPr>
        <w:t xml:space="preserve">” </w:t>
      </w:r>
      <w:r>
        <w:rPr>
          <w:rFonts w:ascii="Times New Roman;serif" w:hAnsi="Times New Roman;serif"/>
          <w:b w:val="false"/>
          <w:color w:val="000000"/>
          <w:sz w:val="22"/>
        </w:rPr>
        <w:t xml:space="preserve">means (x) a sale of Capital Stock (other than through the issuance of Disqualified Stock or Designated Preferred Stock or through an Excluded Contribution) other than (a) offerings registered on Form S-8 (or any successor form) under the Securities Act or any similar offering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17"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 other jurisdictions or other securities of the Company or any Parent Entity and (b) issuances of Capital Stock to any Subsidiary of the Company or (y) a cash equity contribution to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ERISA</w:t>
      </w:r>
      <w:r>
        <w:rPr>
          <w:color w:val="000000"/>
        </w:rPr>
        <w:t xml:space="preserve">” </w:t>
      </w:r>
      <w:r>
        <w:rPr>
          <w:rFonts w:ascii="Times New Roman;serif" w:hAnsi="Times New Roman;serif"/>
          <w:b w:val="false"/>
          <w:color w:val="000000"/>
          <w:sz w:val="22"/>
        </w:rPr>
        <w:t>means the Employee Retirement Income Security Act of 1974,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ERISA Affiliate</w:t>
      </w:r>
      <w:r>
        <w:rPr>
          <w:color w:val="000000"/>
        </w:rPr>
        <w:t xml:space="preserve">” </w:t>
      </w:r>
      <w:r>
        <w:rPr>
          <w:rFonts w:ascii="Times New Roman;serif" w:hAnsi="Times New Roman;serif"/>
          <w:b w:val="false"/>
          <w:color w:val="000000"/>
          <w:sz w:val="22"/>
        </w:rPr>
        <w:t>means any Person who together with any Loan Party is treated as a single employer within the meaning of Section 414(b) or (c) of the Code (and Sections 414(m) and (o) of the Code for purposes of provisions relating to Section 412 of the Code) or Section 4001(b) of ERISA.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ERISA Event</w:t>
      </w:r>
      <w:r>
        <w:rPr>
          <w:color w:val="000000"/>
        </w:rPr>
        <w:t xml:space="preserve">” </w:t>
      </w:r>
      <w:r>
        <w:rPr>
          <w:rFonts w:ascii="Times New Roman;serif" w:hAnsi="Times New Roman;serif"/>
          <w:b w:val="false"/>
          <w:color w:val="000000"/>
          <w:sz w:val="22"/>
        </w:rPr>
        <w:t>means (a) a Reportable Event with respect to a Plan; (b)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(within the meaning of Section 4245 of ERISA); (d) the filing of a written notice of intent to terminate or the treatment of a plan amendment as a termination under Section 4041 or 4041A of ERISA, respectively, (e) the institution by the PBGC of, or the receipt of any notice by any Loan Party or any ERISA Affiliate from the PBGC or a plan administrator indicating an intent by the PBGC to institute, proceedings to terminate a Plan or Multiemployer Plan; (f) an event or condition which constitutes grounds under Section 4042 of ERISA for the termination of, or the appointment of a trustee to administer, any Plan or Multiemployer Plan; (g) the determination that any Plan is considered an at-risk plan within the meaning of Section 430 of the Code or Section 303 of ERISA; (h) the determination that any Multiemployer Plan is considered a plan in “endangered”, “critical”, or “critical and declining” status within the meaning of Section 432 of the Code or Section 305 of ERISA; (i) the imposition of any liability under Title IV of ERISA, other than for PBGC premiums due but not delinquent under Section 4007 of ERISA, upon any Loan Party or any ERISA Affiliate; (j) the conditions for the imposition of a Lien under Section 430(k) of the Code or Section 303(k) of ERISA shall have been met with respect to any Plan; or (k) any Foreign Benefit Event.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Erroneous Payment</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Erroneous Payment Deficiency Assignment</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9.19(d)(i)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Erroneous Payment Impacted Class</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9.19(d)(i)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Erroneous Payment Return Deficiency</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9.19(d)(i)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Erroneous Payment Subrogation Rights</w:t>
      </w:r>
      <w:r>
        <w:rPr>
          <w:color w:val="000000"/>
        </w:rPr>
        <w:t xml:space="preserve">” </w:t>
      </w:r>
      <w:r>
        <w:rPr>
          <w:rFonts w:ascii="Times New Roman;serif" w:hAnsi="Times New Roman;serif"/>
          <w:b w:val="false"/>
          <w:color w:val="000000"/>
          <w:sz w:val="22"/>
        </w:rPr>
        <w:t xml:space="preserve">has the meaning assigned to it in </w:t>
      </w:r>
      <w:r>
        <w:rPr>
          <w:rFonts w:ascii="Times New Roman;serif" w:hAnsi="Times New Roman;serif"/>
          <w:b w:val="false"/>
          <w:color w:val="000000"/>
          <w:sz w:val="22"/>
          <w:u w:val="single"/>
        </w:rPr>
        <w:t>Section 9.19(e)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 Bail-In Legislation Schedule</w:t>
      </w:r>
      <w:r>
        <w:rPr>
          <w:color w:val="000000"/>
        </w:rPr>
        <w:t xml:space="preserve">” </w:t>
      </w:r>
      <w:r>
        <w:rPr>
          <w:rFonts w:ascii="Times New Roman;serif" w:hAnsi="Times New Roman;serif"/>
          <w:b w:val="false"/>
          <w:color w:val="000000"/>
          <w:sz w:val="22"/>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 Treaty</w:t>
      </w:r>
      <w:r>
        <w:rPr>
          <w:color w:val="000000"/>
        </w:rPr>
        <w:t xml:space="preserve">” </w:t>
      </w:r>
      <w:r>
        <w:rPr>
          <w:rFonts w:ascii="Times New Roman;serif" w:hAnsi="Times New Roman;serif"/>
          <w:b w:val="false"/>
          <w:color w:val="000000"/>
          <w:sz w:val="22"/>
        </w:rPr>
        <w:t>means the Treaty on European Union.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EURIBOR Rate</w:t>
      </w:r>
      <w:r>
        <w:rPr>
          <w:color w:val="000000"/>
        </w:rPr>
        <w:t xml:space="preserve">” </w:t>
      </w:r>
      <w:r>
        <w:rPr>
          <w:rFonts w:ascii="Times New Roman;serif" w:hAnsi="Times New Roman;serif"/>
          <w:b w:val="false"/>
          <w:color w:val="000000"/>
          <w:sz w:val="22"/>
        </w:rPr>
        <w:t>means, with respect to any Revolving Credit Borrowing denominated in Euros and for any Interest Period, the EURIBOR Screen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EURIBOR Screen Rate</w:t>
      </w:r>
      <w:r>
        <w:rPr>
          <w:color w:val="000000"/>
        </w:rPr>
        <w:t xml:space="preserve">” </w:t>
      </w:r>
      <w:r>
        <w:rPr>
          <w:rFonts w:ascii="Times New Roman;serif" w:hAnsi="Times New Roman;serif"/>
          <w:b w:val="false"/>
          <w:color w:val="000000"/>
          <w:sz w:val="22"/>
        </w:rPr>
        <w:t xml:space="preserve">means the Euro interbank offered rate administered by the European Money Markets Institute (or any other person which takes over the administration of that rate) for the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18"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Euro</w:t>
      </w:r>
      <w:r>
        <w:rPr>
          <w:color w:val="000000"/>
        </w:rPr>
        <w:t xml:space="preserve">” </w:t>
      </w:r>
      <w:r>
        <w:rPr>
          <w:rFonts w:ascii="Times New Roman;serif" w:hAnsi="Times New Roman;serif"/>
          <w:b w:val="false"/>
          <w:color w:val="000000"/>
          <w:sz w:val="22"/>
        </w:rPr>
        <w:t>and “€” means the single currency of the Participating Member States introduced in accordance with the provisions of Article 109(i)4 of the EU Treaty.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Eurocurrency Rate</w:t>
      </w:r>
      <w:r>
        <w:rPr>
          <w:color w:val="000000"/>
        </w:rPr>
        <w:t xml:space="preserve">” </w:t>
      </w:r>
      <w:r>
        <w:rPr>
          <w:rFonts w:ascii="Times New Roman;serif" w:hAnsi="Times New Roman;serif"/>
          <w:b w:val="false"/>
          <w:color w:val="000000"/>
          <w:sz w:val="22"/>
        </w:rPr>
        <w:t xml:space="preserve">means, for any Eurocurrency Rate Loan for any Interest Period: (i) denominated in Euros, the EURIBOR Rate; and (ii) denominated in any Additional Alternative Currency (other than a currency referenced in clause (i) above), the rate designated with respect to such currency at the time such currency is approved by the Administrative Agent and the applicable Lenders pursuant to </w:t>
      </w:r>
      <w:r>
        <w:rPr>
          <w:rFonts w:ascii="Times New Roman;serif" w:hAnsi="Times New Roman;serif"/>
          <w:b w:val="false"/>
          <w:color w:val="000000"/>
          <w:sz w:val="22"/>
          <w:u w:val="single"/>
        </w:rPr>
        <w:t>Section 2.21</w:t>
      </w:r>
      <w:r>
        <w:rPr>
          <w:rFonts w:ascii="Times New Roman;serif" w:hAnsi="Times New Roman;serif"/>
          <w:b w:val="false"/>
          <w:color w:val="000000"/>
          <w:sz w:val="22"/>
        </w:rPr>
        <w:t>,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Eurocurrency Rate Borrowing</w:t>
      </w:r>
      <w:r>
        <w:rPr>
          <w:color w:val="000000"/>
        </w:rPr>
        <w:t xml:space="preserve">” </w:t>
      </w:r>
      <w:r>
        <w:rPr>
          <w:rFonts w:ascii="Times New Roman;serif" w:hAnsi="Times New Roman;serif"/>
          <w:b w:val="false"/>
          <w:color w:val="000000"/>
          <w:sz w:val="22"/>
        </w:rPr>
        <w:t>means, as to any Borrowing, the Eurocurrency Rate Loans comprising such Borrowing.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Eurocurrency Rate Loan</w:t>
      </w:r>
      <w:r>
        <w:rPr>
          <w:color w:val="000000"/>
        </w:rPr>
        <w:t xml:space="preserve">” </w:t>
      </w:r>
      <w:r>
        <w:rPr>
          <w:rFonts w:ascii="Times New Roman;serif" w:hAnsi="Times New Roman;serif"/>
          <w:b w:val="false"/>
          <w:color w:val="000000"/>
          <w:sz w:val="22"/>
        </w:rPr>
        <w:t xml:space="preserve">means a Loan that bears interest based upon a Eurocurrency Rate. “Event of Default” has the meaning specified in </w:t>
      </w:r>
      <w:r>
        <w:rPr>
          <w:rFonts w:ascii="Times New Roman;serif" w:hAnsi="Times New Roman;serif"/>
          <w:b w:val="false"/>
          <w:color w:val="000000"/>
          <w:sz w:val="22"/>
          <w:u w:val="single"/>
        </w:rPr>
        <w:t>Section 8.01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Excess Cash Flow</w:t>
      </w:r>
      <w:r>
        <w:rPr>
          <w:color w:val="000000"/>
        </w:rPr>
        <w:t xml:space="preserve">” </w:t>
      </w:r>
      <w:r>
        <w:rPr>
          <w:rFonts w:ascii="Times New Roman;serif" w:hAnsi="Times New Roman;serif"/>
          <w:b w:val="false"/>
          <w:color w:val="000000"/>
          <w:sz w:val="22"/>
        </w:rPr>
        <w:t>means, with respect to any Excess Cash Flow Period, an amount, not less than zero, equal to:</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(a)    Consolidated Net Income of the Restricted Group for such Excess Cash Flow Period,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(b)    without duplication (in each case, for the Restricted Group on a consolidated basis):</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i/>
          <w:color w:val="000000"/>
          <w:sz w:val="22"/>
        </w:rPr>
        <w:t>minus</w:t>
      </w:r>
      <w:r>
        <w:rPr>
          <w:rFonts w:ascii="Times New Roman;serif" w:hAnsi="Times New Roman;serif"/>
          <w:b w:val="false"/>
          <w:color w:val="000000"/>
          <w:sz w:val="22"/>
        </w:rPr>
        <w:t xml:space="preserve">, repayments, prepayments, repurchases, redemptions and other cash payments made with respect to the principal of any Indebtedness (including principal representing capitalized interest) or the principal component of any Capitalized Lease Obligations of such Person or any of its Restricted Subsidiaries during such period (excluding (A) repayments and prepayments of Indebtedness deducted from the amount of Term Loans required to be prepaid pursuant to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(4)</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2.05(b)(i)(B)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voluntary and mandatory prepayments of Term Loans), but including all premium, make-whole or penalty payments paid in cash (to the extent such payments are not expensed during such period or are not deducted in calculating Consolidated Net Income and such payments are not otherwise prohibited under this Agreement) and all repayments with respect to revolving Indebtedness to the extent accompanied by a corresponding permanent reduction in commitments (excluding repayments of Indebtedness deducted from the amount of Term Loans required to be prepaid pursuant to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(4) of </w:t>
      </w:r>
      <w:r>
        <w:rPr>
          <w:rFonts w:ascii="Times New Roman;serif" w:hAnsi="Times New Roman;serif"/>
          <w:b w:val="false"/>
          <w:color w:val="000000"/>
          <w:sz w:val="22"/>
          <w:u w:val="single"/>
        </w:rPr>
        <w:t>Section 2.05(b)(i)(B)</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with respect to any mandatory prepayment of Indebtedness (other than, for the avoidance of doubt, Term Loans), such prepayments shall only be deducted pursuant to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to the extent not deducted in the computation of net proceeds in respect of the asset disposition or condemnation giving rise thereto;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(A) payments made in cash or accrued by such Person or any of its Restricted Subsidiaries during such period in respect of Restricted Payments (excluding Restricted Payments made pursuant to </w:t>
      </w:r>
      <w:r>
        <w:rPr>
          <w:rFonts w:ascii="Times New Roman;serif" w:hAnsi="Times New Roman;serif"/>
          <w:b w:val="false"/>
          <w:color w:val="000000"/>
          <w:sz w:val="22"/>
          <w:u w:val="single"/>
        </w:rPr>
        <w:t>clause (17)(ii)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7.05(b)</w:t>
      </w:r>
      <w:r>
        <w:rPr>
          <w:rFonts w:ascii="Times New Roman;serif" w:hAnsi="Times New Roman;serif"/>
          <w:b w:val="false"/>
          <w:color w:val="000000"/>
          <w:sz w:val="22"/>
        </w:rPr>
        <w:t xml:space="preserve">) and (B) payments made in cash or accrued in </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75260"/>
                <wp:effectExtent l="0" t="0" r="0" b="0"/>
                <wp:wrapNone/>
                <wp:docPr id="119"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respect of Restricted Payments reducing mandatory prepayments of the Term Loans pursuant to </w:t>
      </w:r>
      <w:r>
        <w:rPr>
          <w:rFonts w:ascii="Times New Roman;serif" w:hAnsi="Times New Roman;serif"/>
          <w:b w:val="false"/>
          <w:color w:val="000000"/>
          <w:sz w:val="22"/>
          <w:u w:val="single"/>
        </w:rPr>
        <w:t>clause (8)</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2.05(b)(i)(B)</w:t>
      </w:r>
      <w:r>
        <w:rPr>
          <w:rFonts w:ascii="Times New Roman;serif" w:hAnsi="Times New Roman;serif"/>
          <w:b w:val="false"/>
          <w:color w:val="000000"/>
          <w:sz w:val="22"/>
        </w:rPr>
        <w:t xml:space="preserve">, in each case other than to the extent that any such Restricted Payments are funded with long-term Indebtedness or Capital Stock;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(A) cash payments made by such Person or any of its Restricted Subsidiaries during such period in respect of Taxes (including distributions and payments for Permitted Tax Amounts), to the extent such payments exceed the amount of tax expense deducted in calculating such Consolidated Net Income and the amount of Tax reserves set aside or payable; (B) cash payments that such Person or any of its Restricted Subsidiaries will be required to make in respect of Taxes (including distributions to any Parent Holding Company in respect of Taxes) within 180 days after the end of such period; provided that amounts described in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will not reduce Excess Cash Flow in subsequent periods, and, to the extent not paid, will increase Excess Cash Flow in the subsequent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(A) cash payments made by such Person or any of its Restricted Subsidiaries during such period in respect of Investments (including, without limitation, any acquisitions and acquisitions of intellectual property) (other than any of the foregoing reducing mandatory prepayments of the Term Loans pursuant to </w:t>
      </w:r>
      <w:r>
        <w:rPr>
          <w:rFonts w:ascii="Times New Roman;serif" w:hAnsi="Times New Roman;serif"/>
          <w:b w:val="false"/>
          <w:color w:val="000000"/>
          <w:sz w:val="22"/>
          <w:u w:val="single"/>
        </w:rPr>
        <w:t>Section 2.05(b)(i)(B)(6)</w:t>
      </w:r>
      <w:r>
        <w:rPr>
          <w:rFonts w:ascii="Times New Roman;serif" w:hAnsi="Times New Roman;serif"/>
          <w:b w:val="false"/>
          <w:color w:val="000000"/>
          <w:sz w:val="22"/>
        </w:rPr>
        <w:t xml:space="preserve">) and (B) cash payments that such Person or any Restricted Subsidiaries has committed to make or is required to make or plans to make in respect of Investments (including, without limitation, any acquisitions and acquisitions of intellectual property) or capital expenditures planned to be consummated or made, in each case, during the period of four consecutive fiscal quarters of the Company following the end of such fiscal year (other than any of the foregoing reducing mandatory prepayments of the Term Loans pursuant to </w:t>
      </w:r>
      <w:r>
        <w:rPr>
          <w:rFonts w:ascii="Times New Roman;serif" w:hAnsi="Times New Roman;serif"/>
          <w:b w:val="false"/>
          <w:color w:val="000000"/>
          <w:sz w:val="22"/>
          <w:u w:val="single"/>
        </w:rPr>
        <w:t>Section 2.05(b)(i)(B)(7)</w:t>
      </w:r>
      <w:r>
        <w:rPr>
          <w:rFonts w:ascii="Times New Roman;serif" w:hAnsi="Times New Roman;serif"/>
          <w:b w:val="false"/>
          <w:color w:val="000000"/>
          <w:sz w:val="22"/>
        </w:rPr>
        <w:t xml:space="preserve">); provided that amounts described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will not reduce Excess Cash Flow in subsequent periods, and, to the extent not paid, will increase Excess Cash Flow in the subsequent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all cash payments and other cash expenditures made by such Person or any of its Restricted Subsidiaries during such period (other than capital expenditures reducing mandatory prepayments of the Term Loans pursuant to </w:t>
      </w:r>
      <w:r>
        <w:rPr>
          <w:rFonts w:ascii="Times New Roman;serif" w:hAnsi="Times New Roman;serif"/>
          <w:b w:val="false"/>
          <w:color w:val="000000"/>
          <w:sz w:val="22"/>
          <w:u w:val="single"/>
        </w:rPr>
        <w:t>Section 2.05(b)(i)(B)(5)</w:t>
      </w:r>
      <w:r>
        <w:rPr>
          <w:rFonts w:ascii="Times New Roman;serif" w:hAnsi="Times New Roman;serif"/>
          <w:b w:val="false"/>
          <w:color w:val="000000"/>
          <w:sz w:val="22"/>
        </w:rPr>
        <w:t xml:space="preserve">) that were not included in determining Consolidated Net Income during such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    all non-cash credits or gains included in calculating such Consolidated Net Income (including insured or indemnified losses referred to in the definition of “Consolidated Net Income” to the extent not reimbursed in cash during such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(vii)    an amount equal to the sum of (A) the increase in the Working Capital of such Person during such period (measured as the excess, if any, of Working Capital at the end of such Excess Cash Flow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Working Capital at the beginning of such Excess Cash Flow Period), if any, </w:t>
      </w:r>
      <w:r>
        <w:rPr>
          <w:rFonts w:ascii="Times New Roman;serif" w:hAnsi="Times New Roman;serif"/>
          <w:b w:val="false"/>
          <w:i/>
          <w:color w:val="000000"/>
          <w:sz w:val="22"/>
        </w:rPr>
        <w:t xml:space="preserve">plus </w:t>
      </w:r>
      <w:r>
        <w:rPr>
          <w:rFonts w:ascii="Times New Roman;serif" w:hAnsi="Times New Roman;serif"/>
          <w:b w:val="false"/>
          <w:color w:val="000000"/>
          <w:sz w:val="22"/>
        </w:rPr>
        <w:t xml:space="preserve">(B) the increase in long-term accounts receivable of such Person and its Restricted Subsidiaries, if any;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(viii)    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(ix)    to the extent not deducted in arriving at Consolidated Net Income, cash fees, expenses and purchase price adjustments (including purchase price holdbacks and earn-out </w:t>
      </w: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120"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obligations) incurred in connection with the Transactions, any acquisition consummated before or after the Closing Date or any Permitted Investment, equity issuance or debt issuance, dispositions, repayment of indebtedness, refinancing transactions (including any amendments) (whether or not consummated) and any Restricted Payment made to pay any of the foregoing incurred by the Company or any direct or indirect parent of the Company (other than those reducing mandatory prepayments of the Term Loans pursuant to </w:t>
      </w:r>
      <w:r>
        <w:rPr>
          <w:rFonts w:ascii="Times New Roman;serif" w:hAnsi="Times New Roman;serif"/>
          <w:b w:val="false"/>
          <w:color w:val="000000"/>
          <w:sz w:val="22"/>
          <w:u w:val="single"/>
        </w:rPr>
        <w:t>Section 2.05(b)(i)(B)(6)</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    the amount of cash payments made in respect of pensions and other post-employment benefits in such period to the extent not deducted in arriving at such Consolidated Net Income;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(xi)    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r>
        <w:rPr>
          <w:rFonts w:ascii="Times New Roman;serif" w:hAnsi="Times New Roman;serif"/>
          <w:b w:val="false"/>
          <w:i/>
          <w:color w:val="000000"/>
          <w:sz w:val="22"/>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2"/>
        </w:rPr>
        <w:t>(xii)    all non-cash charges, losses and expenses (including, without limitation, taxes) of such Person or any of its Restricted Subsidiaries that were deducted in calculating such Consolidated Net Income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in each case, that if any non-cash charge represents an accrual or reserve for cash items in any future period, the cash payment in respect thereof in such future period shall be subtracted from Excess Cash Flow in such future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(xiii)    cash payments made in respect of decreases in current and non-current deferred revenue during such period; </w:t>
      </w:r>
      <w:r>
        <w:rPr>
          <w:rFonts w:ascii="Times New Roman;serif" w:hAnsi="Times New Roman;serif"/>
          <w:b w:val="false"/>
          <w:i/>
          <w:color w:val="000000"/>
          <w:sz w:val="22"/>
        </w:rPr>
        <w:t>minus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(xiv)    cash expenditures in respect of Swap Obligations during such period to the extent not deducted in arriving at such Consolidated Net Income; </w:t>
      </w:r>
      <w:r>
        <w:rPr>
          <w:rFonts w:ascii="Times New Roman;serif" w:hAnsi="Times New Roman;serif"/>
          <w:b w:val="false"/>
          <w:i/>
          <w:color w:val="000000"/>
          <w:sz w:val="22"/>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(xv)    an amount equal to the sum of (A) the decrease in Working Capital of such Person during such period (measured as the excess, if any, of Working Capital at the beginning of such Excess Cash Flow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Working Capital at the end of such Excess Cash Flow Period), if any,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(B) the decrease in long-term accounts receivable of such Person and its Restricted Subsidiaries, if any (other than any such decreases contemplated by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clause (xv)</w:t>
      </w:r>
      <w:r>
        <w:rPr>
          <w:color w:val="000000"/>
        </w:rPr>
        <w:t xml:space="preserve"> </w:t>
      </w:r>
      <w:r>
        <w:rPr>
          <w:rFonts w:ascii="Times New Roman;serif" w:hAnsi="Times New Roman;serif"/>
          <w:b w:val="false"/>
          <w:color w:val="000000"/>
          <w:sz w:val="22"/>
        </w:rPr>
        <w:t xml:space="preserve">that are (x) directly attributable to acquisitions and/or dispositions of a Person or business unit by the Restricted Group during such period, (y) as a result of the reclassification of items from short-term to long-term or vice versa or (z) the application of recapitalization or purchase accounting); </w:t>
      </w:r>
      <w:r>
        <w:rPr>
          <w:rFonts w:ascii="Times New Roman;serif" w:hAnsi="Times New Roman;serif"/>
          <w:b w:val="false"/>
          <w:i/>
          <w:color w:val="000000"/>
          <w:sz w:val="22"/>
        </w:rPr>
        <w:t>plus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(xvi)    all amounts referred to in </w:t>
      </w:r>
      <w:r>
        <w:rPr>
          <w:rFonts w:ascii="Times New Roman;serif" w:hAnsi="Times New Roman;serif"/>
          <w:b w:val="false"/>
          <w:color w:val="000000"/>
          <w:sz w:val="22"/>
          <w:u w:val="single"/>
        </w:rPr>
        <w:t>clauses (b)(i)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(b)(iv)</w:t>
      </w:r>
      <w:r>
        <w:rPr>
          <w:color w:val="000000"/>
        </w:rPr>
        <w:t xml:space="preserve"> </w:t>
      </w:r>
      <w:r>
        <w:rPr>
          <w:rFonts w:ascii="Times New Roman;serif" w:hAnsi="Times New Roman;serif"/>
          <w:b w:val="false"/>
          <w:color w:val="000000"/>
          <w:sz w:val="22"/>
        </w:rPr>
        <w:t>above to the extent funded with the proceeds of the issuance or the incurrence of Indebtedness (other than proceeds of revolving loans) and the sale or issuance of Equity Interests.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Excess Cash Flow Period</w:t>
      </w:r>
      <w:r>
        <w:rPr>
          <w:color w:val="000000"/>
        </w:rPr>
        <w:t xml:space="preserve">” </w:t>
      </w:r>
      <w:r>
        <w:rPr>
          <w:rFonts w:ascii="Times New Roman;serif" w:hAnsi="Times New Roman;serif"/>
          <w:b w:val="false"/>
          <w:color w:val="000000"/>
          <w:sz w:val="22"/>
        </w:rPr>
        <w:t>means any fiscal year of the Company, commencing with the fiscal year ending on September 30, 2023.</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Excess Cash On-Hand</w:t>
      </w:r>
      <w:r>
        <w:rPr>
          <w:color w:val="0000FF"/>
          <w:u w:val="single"/>
        </w:rPr>
        <w:t xml:space="preserve">” </w:t>
      </w:r>
      <w:r>
        <w:rPr>
          <w:rFonts w:ascii="Times New Roman;serif" w:hAnsi="Times New Roman;serif"/>
          <w:b w:val="false"/>
          <w:color w:val="0000FF"/>
          <w:sz w:val="22"/>
          <w:u w:val="single"/>
        </w:rPr>
        <w:t xml:space="preserve">means, as of any date of determination, Unrestricted Cash and Cash Equivalents of the Loan Parties (excluding any Excluded Cash of the Loan Parties) in excess of $35,000,000 for each fiscal month;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xml:space="preserve">, that, if Excess Cash On-Hand in any fiscal month is required to be re-classified to an immediately subsequent month by the Company solely due to timing differences, the Administrative Agent and the First Amendment Lead Arranger may agree to such </w:t>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121"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FF"/>
          <w:sz w:val="22"/>
          <w:u w:val="single"/>
        </w:rPr>
        <w:t xml:space="preserve">variance in writing to the Company in their sole discretion; </w:t>
      </w:r>
      <w:r>
        <w:rPr>
          <w:rFonts w:ascii="Times New Roman;serif" w:hAnsi="Times New Roman;serif"/>
          <w:b w:val="false"/>
          <w:i/>
          <w:color w:val="0000FF"/>
          <w:sz w:val="22"/>
          <w:u w:val="single"/>
        </w:rPr>
        <w:t>provided</w:t>
      </w:r>
      <w:r>
        <w:rPr>
          <w:rFonts w:ascii="Times New Roman;serif" w:hAnsi="Times New Roman;serif"/>
          <w:b w:val="false"/>
          <w:color w:val="008000"/>
          <w:sz w:val="22"/>
          <w:u w:val="single"/>
        </w:rPr>
        <w:t xml:space="preserve">, further, that the aggregate amount of </w:t>
      </w:r>
      <w:r>
        <w:rPr>
          <w:rFonts w:ascii="Times New Roman;serif" w:hAnsi="Times New Roman;serif"/>
          <w:b w:val="false"/>
          <w:color w:val="0000FF"/>
          <w:sz w:val="22"/>
          <w:u w:val="single"/>
        </w:rPr>
        <w:t xml:space="preserve">such reclassification </w:t>
      </w:r>
      <w:r>
        <w:rPr>
          <w:rFonts w:ascii="Times New Roman;serif" w:hAnsi="Times New Roman;serif"/>
          <w:b w:val="false"/>
          <w:color w:val="008000"/>
          <w:sz w:val="22"/>
          <w:u w:val="single"/>
        </w:rPr>
        <w:t xml:space="preserve">shall not exceed </w:t>
      </w:r>
      <w:r>
        <w:rPr>
          <w:rFonts w:ascii="Times New Roman;serif" w:hAnsi="Times New Roman;serif"/>
          <w:b w:val="false"/>
          <w:color w:val="0000FF"/>
          <w:sz w:val="22"/>
          <w:u w:val="single"/>
        </w:rPr>
        <w:t xml:space="preserve">10%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previously specified Excess Cash On-Hand.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Exchange Act</w:t>
      </w:r>
      <w:r>
        <w:rPr>
          <w:color w:val="000000"/>
        </w:rPr>
        <w:t xml:space="preserve">” </w:t>
      </w:r>
      <w:r>
        <w:rPr>
          <w:rFonts w:ascii="Times New Roman;serif" w:hAnsi="Times New Roman;serif"/>
          <w:b w:val="false"/>
          <w:color w:val="000000"/>
          <w:sz w:val="22"/>
        </w:rPr>
        <w:t>means the Securities Exchange Act of 1934, as amended, and the rules and regulations of the SEC promulgated thereunder,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Exchange Agent</w:t>
      </w:r>
      <w:r>
        <w:rPr>
          <w:color w:val="000000"/>
        </w:rPr>
        <w:t xml:space="preserve">” </w:t>
      </w:r>
      <w:r>
        <w:rPr>
          <w:rFonts w:ascii="Times New Roman;serif" w:hAnsi="Times New Roman;serif"/>
          <w:b w:val="false"/>
          <w:color w:val="000000"/>
          <w:sz w:val="22"/>
        </w:rPr>
        <w:t xml:space="preserve">means (a) the Administrative Agent or (b) any other financial institution or advisor employed by the Company (whether or not an Affiliate of the Administrative Agent), after consultation with the Administrative Agent, to act as an arranger in connection with any Permitted Debt Exchange pursuant to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Company shall not designate the Administrative Agent as the Exchange Agent without the written consent of the Administrative Agent (it being understood that the Administrative Agent shall be under no obligation to agree to act as the Exchange Agent); </w:t>
      </w:r>
      <w:r>
        <w:rPr>
          <w:rFonts w:ascii="Times New Roman;serif" w:hAnsi="Times New Roman;serif"/>
          <w:b w:val="false"/>
          <w:i/>
          <w:color w:val="000000"/>
          <w:sz w:val="22"/>
        </w:rPr>
        <w:t>provided, further</w:t>
      </w:r>
      <w:r>
        <w:rPr>
          <w:rFonts w:ascii="Times New Roman;serif" w:hAnsi="Times New Roman;serif"/>
          <w:b w:val="false"/>
          <w:color w:val="000000"/>
          <w:sz w:val="22"/>
        </w:rPr>
        <w:t>, that neither the Company nor any of its Affiliates may act as the Exchange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Exchange Rate</w:t>
      </w:r>
      <w:r>
        <w:rPr>
          <w:color w:val="000000"/>
        </w:rPr>
        <w:t xml:space="preserve">” </w:t>
      </w:r>
      <w:r>
        <w:rPr>
          <w:rFonts w:ascii="Times New Roman;serif" w:hAnsi="Times New Roman;serif"/>
          <w:b w:val="false"/>
          <w:color w:val="000000"/>
          <w:sz w:val="22"/>
        </w:rPr>
        <w:t>means on any day with respect to any currency other than Dollars, the rate at which such currency may be exchanged into Dollars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applicable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Accounts</w:t>
      </w:r>
      <w:r>
        <w:rPr>
          <w:color w:val="000000"/>
        </w:rPr>
        <w:t xml:space="preserve">” </w:t>
      </w:r>
      <w:r>
        <w:rPr>
          <w:rFonts w:ascii="Times New Roman;serif" w:hAnsi="Times New Roman;serif"/>
          <w:b w:val="false"/>
          <w:color w:val="000000"/>
          <w:sz w:val="22"/>
        </w:rPr>
        <w:t>means any account that is used solely as: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payroll, healthcare and other employee wage and benefit accounts,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tax accounts, including, without limitation, sales, use, payroll, and withholding tax accounts,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escrow, defeasance and redemption accounts, in each case maintained for the benefit of a Person that is not a Loan Party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fiduciary or trust accounts, in each case maintained for the benefit of a Person that is not a Loan Party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cash collateral accounts subject to Permitted Liens solely to secure reimbursement obligations in respect of letters of credit (other than Letters of Credit);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(6)    the funds or other property held in or maintained for such purposes in any such account described in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Excluded Cash</w:t>
      </w:r>
      <w:r>
        <w:rPr>
          <w:color w:val="0000FF"/>
          <w:u w:val="single"/>
        </w:rPr>
        <w:t xml:space="preserve">” </w:t>
      </w:r>
      <w:r>
        <w:rPr>
          <w:rFonts w:ascii="Times New Roman;serif" w:hAnsi="Times New Roman;serif"/>
          <w:b w:val="false"/>
          <w:color w:val="0000FF"/>
          <w:sz w:val="22"/>
          <w:u w:val="single"/>
        </w:rPr>
        <w:t xml:space="preserve">means, as of any date of determination: </w:t>
      </w:r>
      <w:r>
        <w:rPr>
          <w:rFonts w:ascii="Times New Roman;serif" w:hAnsi="Times New Roman;serif"/>
          <w:b w:val="false"/>
          <w:color w:val="008000"/>
          <w:sz w:val="22"/>
          <w:u w:val="single"/>
        </w:rPr>
        <w:t xml:space="preserve">(a) any </w:t>
      </w:r>
      <w:r>
        <w:rPr>
          <w:rFonts w:ascii="Times New Roman;serif" w:hAnsi="Times New Roman;serif"/>
          <w:b w:val="false"/>
          <w:color w:val="0000FF"/>
          <w:sz w:val="22"/>
          <w:u w:val="single"/>
        </w:rPr>
        <w:t xml:space="preserve">Unrestricted Cash and Cash Equivalents allocated for, reserved, or otherwise set aside to pay amounts </w:t>
      </w:r>
      <w:r>
        <w:rPr>
          <w:rFonts w:ascii="Times New Roman;serif" w:hAnsi="Times New Roman;serif"/>
          <w:b w:val="false"/>
          <w:color w:val="008000"/>
          <w:sz w:val="22"/>
          <w:u w:val="single"/>
        </w:rPr>
        <w:t xml:space="preserve">permitted to be </w:t>
      </w:r>
      <w:r>
        <w:rPr>
          <w:rFonts w:ascii="Times New Roman;serif" w:hAnsi="Times New Roman;serif"/>
          <w:b w:val="false"/>
          <w:color w:val="0000FF"/>
          <w:sz w:val="22"/>
          <w:u w:val="single"/>
        </w:rPr>
        <w:t xml:space="preserve">paid </w:t>
      </w:r>
      <w:r>
        <w:rPr>
          <w:rFonts w:ascii="Times New Roman;serif" w:hAnsi="Times New Roman;serif"/>
          <w:b w:val="false"/>
          <w:color w:val="008000"/>
          <w:sz w:val="22"/>
          <w:u w:val="single"/>
        </w:rPr>
        <w:t xml:space="preserve">by the Company </w:t>
      </w:r>
      <w:r>
        <w:rPr>
          <w:rFonts w:ascii="Times New Roman;serif" w:hAnsi="Times New Roman;serif"/>
          <w:b w:val="false"/>
          <w:color w:val="0000FF"/>
          <w:sz w:val="22"/>
          <w:u w:val="single"/>
        </w:rPr>
        <w:t xml:space="preserve">or any </w:t>
      </w:r>
      <w:r>
        <w:rPr>
          <w:rFonts w:ascii="Times New Roman;serif" w:hAnsi="Times New Roman;serif"/>
          <w:b w:val="false"/>
          <w:color w:val="008000"/>
          <w:sz w:val="22"/>
          <w:u w:val="single"/>
        </w:rPr>
        <w:t xml:space="preserve">of its Restricted Subsidiaries </w:t>
      </w:r>
      <w:r>
        <w:rPr>
          <w:rFonts w:ascii="Times New Roman;serif" w:hAnsi="Times New Roman;serif"/>
          <w:b w:val="false"/>
          <w:color w:val="0000FF"/>
          <w:sz w:val="22"/>
          <w:u w:val="single"/>
        </w:rPr>
        <w:t xml:space="preserve">in accordance </w:t>
      </w:r>
      <w:r>
        <w:rPr>
          <w:rFonts w:ascii="Times New Roman;serif" w:hAnsi="Times New Roman;serif"/>
          <w:b w:val="false"/>
          <w:color w:val="008000"/>
          <w:sz w:val="22"/>
          <w:u w:val="single"/>
        </w:rPr>
        <w:t xml:space="preserve">with this Agreement and the other Loan </w:t>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75260"/>
                <wp:effectExtent l="0" t="0" r="0" b="0"/>
                <wp:wrapNone/>
                <wp:docPr id="122"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8000"/>
          <w:sz w:val="22"/>
          <w:u w:val="single"/>
        </w:rPr>
        <w:t xml:space="preserve">Documents </w:t>
      </w:r>
      <w:r>
        <w:rPr>
          <w:rFonts w:ascii="Times New Roman;serif" w:hAnsi="Times New Roman;serif"/>
          <w:b w:val="false"/>
          <w:color w:val="0000FF"/>
          <w:sz w:val="22"/>
          <w:u w:val="single"/>
        </w:rPr>
        <w:t xml:space="preserve">due and owing as of such date (or to be due and owing within seven (7) Business Days of such date) for which obligations </w:t>
      </w:r>
      <w:r>
        <w:rPr>
          <w:rFonts w:ascii="Times New Roman;serif" w:hAnsi="Times New Roman;serif"/>
          <w:b w:val="false"/>
          <w:color w:val="008000"/>
          <w:sz w:val="22"/>
          <w:u w:val="single"/>
        </w:rPr>
        <w:t xml:space="preserve">the Company or </w:t>
      </w:r>
      <w:r>
        <w:rPr>
          <w:rFonts w:ascii="Times New Roman;serif" w:hAnsi="Times New Roman;serif"/>
          <w:b w:val="false"/>
          <w:color w:val="0000FF"/>
          <w:sz w:val="22"/>
          <w:u w:val="single"/>
        </w:rPr>
        <w:t xml:space="preserve">any </w:t>
      </w:r>
      <w:r>
        <w:rPr>
          <w:rFonts w:ascii="Times New Roman;serif" w:hAnsi="Times New Roman;serif"/>
          <w:b w:val="false"/>
          <w:color w:val="008000"/>
          <w:sz w:val="22"/>
          <w:u w:val="single"/>
        </w:rPr>
        <w:t>of its Restricted Subsidiaries (</w:t>
      </w:r>
      <w:r>
        <w:rPr>
          <w:rFonts w:ascii="Times New Roman;serif" w:hAnsi="Times New Roman;serif"/>
          <w:b w:val="false"/>
          <w:color w:val="0000FF"/>
          <w:sz w:val="22"/>
          <w:u w:val="single"/>
        </w:rPr>
        <w:t xml:space="preserve">i) has issued checks or has initiated wires or ACH transfers but that have not yet been subtracted from the balance in the relevant account of </w:t>
      </w:r>
      <w:r>
        <w:rPr>
          <w:rFonts w:ascii="Times New Roman;serif" w:hAnsi="Times New Roman;serif"/>
          <w:b w:val="false"/>
          <w:color w:val="008000"/>
          <w:sz w:val="22"/>
          <w:u w:val="single"/>
        </w:rPr>
        <w:t xml:space="preserve">the Company or any of its Restricted Subsidiaries </w:t>
      </w:r>
      <w:r>
        <w:rPr>
          <w:rFonts w:ascii="Times New Roman;serif" w:hAnsi="Times New Roman;serif"/>
          <w:b w:val="false"/>
          <w:color w:val="0000FF"/>
          <w:sz w:val="22"/>
          <w:u w:val="single"/>
        </w:rPr>
        <w:t xml:space="preserve">or (ii) reasonably anticipates in good faith that it will issue checks or initiate wires or ACH transfers within seven (7) Business Days thereafter, (b) any Unrestricted Cash and Cash Equivalents </w:t>
      </w:r>
      <w:r>
        <w:rPr>
          <w:rFonts w:ascii="Times New Roman;serif" w:hAnsi="Times New Roman;serif"/>
          <w:b w:val="false"/>
          <w:color w:val="008000"/>
          <w:sz w:val="22"/>
          <w:u w:val="single"/>
        </w:rPr>
        <w:t xml:space="preserve">deposited with </w:t>
      </w:r>
      <w:r>
        <w:rPr>
          <w:rFonts w:ascii="Times New Roman;serif" w:hAnsi="Times New Roman;serif"/>
          <w:b w:val="false"/>
          <w:color w:val="0000FF"/>
          <w:sz w:val="22"/>
          <w:u w:val="single"/>
        </w:rPr>
        <w:t>any L/C Issuer to cash collateralize Letters of Credit or with a treasury management provider to cash collateralize p-cards, credit cards, or similar products</w:t>
      </w:r>
      <w:r>
        <w:rPr>
          <w:rFonts w:ascii="Times New Roman;serif" w:hAnsi="Times New Roman;serif"/>
          <w:b w:val="false"/>
          <w:color w:val="008000"/>
          <w:sz w:val="22"/>
          <w:u w:val="single"/>
        </w:rPr>
        <w:t xml:space="preserve">, in each case, in </w:t>
      </w:r>
      <w:r>
        <w:rPr>
          <w:rFonts w:ascii="Times New Roman;serif" w:hAnsi="Times New Roman;serif"/>
          <w:b w:val="false"/>
          <w:color w:val="0000FF"/>
          <w:sz w:val="22"/>
          <w:u w:val="single"/>
        </w:rPr>
        <w:t xml:space="preserve">the ordinary course of business and </w:t>
      </w:r>
      <w:r>
        <w:rPr>
          <w:rFonts w:ascii="Times New Roman;serif" w:hAnsi="Times New Roman;serif"/>
          <w:b w:val="false"/>
          <w:color w:val="008000"/>
          <w:sz w:val="22"/>
          <w:u w:val="single"/>
        </w:rPr>
        <w:t xml:space="preserve">to the extent permitted by this Agreement </w:t>
      </w:r>
      <w:r>
        <w:rPr>
          <w:rFonts w:ascii="Times New Roman;serif" w:hAnsi="Times New Roman;serif"/>
          <w:b w:val="false"/>
          <w:color w:val="0000FF"/>
          <w:sz w:val="22"/>
          <w:u w:val="single"/>
        </w:rPr>
        <w:t>and the other Loan Documents, and (c) any Unrestricted Cash and Cash Equivalents in an Excluded Account.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Casualty Event”</w:t>
      </w:r>
      <w:r>
        <w:rPr>
          <w:color w:val="000000"/>
        </w:rPr>
        <w:t xml:space="preserve"> </w:t>
      </w:r>
      <w:r>
        <w:rPr>
          <w:rFonts w:ascii="Times New Roman;serif" w:hAnsi="Times New Roman;serif"/>
          <w:b w:val="false"/>
          <w:color w:val="000000"/>
          <w:sz w:val="22"/>
        </w:rPr>
        <w:t>means a Casualty Event relating to property or assets which, had they been disposed of immediately prior to the applicable Casualty Event, would not have constituted an “Asset Disposition”.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Contributions” means</w:t>
      </w:r>
      <w:r>
        <w:rPr>
          <w:color w:val="000000"/>
        </w:rPr>
        <w:t xml:space="preserve"> </w:t>
      </w:r>
      <w:r>
        <w:rPr>
          <w:rFonts w:ascii="Times New Roman;serif" w:hAnsi="Times New Roman;serif"/>
          <w:b w:val="false"/>
          <w:color w:val="000000"/>
          <w:sz w:val="22"/>
        </w:rPr>
        <w:t>Net Cash Proceeds or property or assets received by the Company as capital contributions to the equity (other than through the issuance of Disqualified Stock or Designated Preferred Stock) of the Company after the Closing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10.07(j)</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Property</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any fee-owned real property and/or any real property interests, leasehold or subleasehold interests,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motor vehicles and other assets or goods subject to certificates of title to the extent a Lien thereon cannot be perfected by filing a UCC financing statement,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goods, chattel paper, investment property, documents of title, instruments, money, intangibles and other assets to the extent a security interest in such goods, chattel paper, investment property, documents of title, instruments, money, intangibles and other assets would result in adverse tax consequences to the Company or the Restricted Group or any of their direct or indirect equity owners (including, without limitation, as a result of any law or regulation in any applicable jurisdiction similar to Section 956 of the Code), or material adverse regulatory or accounting consequences, in each case, as reasonably determined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any goods, chattel paper, investment property, documents of title, instruments, money, intangibles and other assets, in each case, of or in which pledges or security interests in favor of the Collateral Agent are prohibited by applicable Law (including any requirement to obtain the consent of any Governmental Authority or third person under such applicable Law, unless such consent has been obtained) or by any contract binding on such assets at the time of its acquisition and not entered into in contemplation thereof, as reasonably determined by the Company;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any such limitation described in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 xml:space="preserve">on the security interests granted under the Collateral Documents shall only apply to the extent that any such prohibition could not be rendered ineffective pursuant to the UCC or any other applicable Law or principles of equity and shall not apply to any proceeds or receivables thereof, the </w:t>
      </w: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3"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assignment of which is expressly deemed effective under the UCC or other applicable Law (respectively) notwithstanding such prohibition and (ii) in the event of the termination or elimination of any such prohibition contained in any applicable Law, a security interest in such goods, chattel paper, investment property, documents of title, instruments, money, intangibles and other assets shall be automatically and simultaneously granted under the applicable Collateral Documents and shall be included as Collateral,</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any governmental licenses or state or local franchises, charters and authorizations (but not the proceeds thereof), to the extent security interests in favor of the Collateral Agent in such licenses, franchises, charters or authorizations are prohibited or restricted thereby;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any such limitation described in this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Equity Interests in (A) any Person (other than the Company and Wholly Owned Restricted Subsidiaries of the Company) to the extent and for so long as the pledge thereof in favor of the Collateral Agent is not permitted by the terms of such Person’s joint venture agreement or other applicable Organization Documents;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prohibition exists on the Closing Date or at the time such Equity Interests are acquired (so long as such prohibition did not arise in contemplation of the Closing Date or such acquisition), (B) any not-for-profit Subsidiary, (C) any Captive Insurance Subsidiary, (D) any special purpose securitization vehicle (or similar entity), (E) any Unrestricted Subsidiary, (F) any Person which is acquired after the Spin-Off Date to the extent and for so long as such Equity Interests are pledged in respect of Acquired Indebtedness permitted under this Agreement and such pledge constitutes a Permitted Lien and (G) (except to the extent perfected through the filing of a UCC financing statement) any Immaterial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any lease, license or other agreement or any goods or other property subject to a purchase money security interest, Capitalized Lease Obligation or similar arrangement, in each case, permitted under this Agreement, to the extent that a grant of a security interest therein would violate or invalidate such lease, license, capital lease or agreement or purchase money arrangement or create a right of termination in favor of any other party thereto (other than a Loan Party or their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“intent-to-use” trademark applications prior to the filing of a “Statement of Use” or “Amendment to Allege Use”,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any goods or assets sold pursuant to a Qualified Securitization Financing or Receivables Facility or other factoring or receivables arrangement permitted </w:t>
      </w:r>
      <w:r>
        <w:rPr>
          <w:rFonts w:ascii="Times New Roman;serif" w:hAnsi="Times New Roman;serif"/>
          <w:b w:val="false"/>
          <w:strike/>
          <w:color w:val="FF0000"/>
          <w:sz w:val="22"/>
        </w:rPr>
        <w:t>hereunder</w:t>
      </w:r>
      <w:r>
        <w:rPr>
          <w:rFonts w:ascii="Times New Roman;serif" w:hAnsi="Times New Roman;serif"/>
          <w:b w:val="false"/>
          <w:color w:val="0000FF"/>
          <w:sz w:val="22"/>
          <w:u w:val="single"/>
        </w:rPr>
        <w:t>under this Agreement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    Margin Stock,</w:t>
      </w: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24"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    cash pledged solely to secure letter of credit reimbursement obligations to the extent such letters of credit and such pledge are permitted by this Agreement (excluding Cash Collateral securing L/C Obligations under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Excluded Accounts,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(m)    (A) Voting Stock in excess of 65.0% of the total combined voting power of all Voting Stock of any CFC, of any Non-U.S. Subsidiary or of any FSHCO, (B) any Equity Interests of any Subsidiary not directly owned by a Loan Party and (C) the Equity Interests in any Immaterial Subsidiary (except to the extent perfected through the filing of a UCC financing statement)</w:t>
      </w:r>
      <w:r>
        <w:rPr>
          <w:rFonts w:ascii="Times New Roman;serif" w:hAnsi="Times New Roman;serif"/>
          <w:b w:val="false"/>
          <w:strike/>
          <w:color w:val="FF0000"/>
          <w:sz w:val="22"/>
        </w:rPr>
        <w:t>.</w:t>
      </w:r>
      <w:r>
        <w:rPr>
          <w:rFonts w:ascii="Times New Roman;serif" w:hAnsi="Times New Roman;serif"/>
          <w:b w:val="false"/>
          <w:color w:val="0000FF"/>
          <w:sz w:val="22"/>
          <w:u w:val="single"/>
        </w:rPr>
        <w:t>; provided that, notwithstanding the foregoing, the limitations in this clause (m) shall not apply to the pledge by embecta International Holdings I LLC of 100% of the Equity Interests of embecta Luxembourg II S.a.r.l.</w:t>
      </w:r>
      <w:r>
        <w:rPr>
          <w:color w:val="000000"/>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Other goods, chattel paper, investment property, documents of title, instruments, money, intangibles and other assets shall be deemed to be “Excluded Property” if the Administrative Agent and the Company agree in writing that the cost or other consequences of obtaining or perfecting a security interest in such goods, chattel paper, investment property, documents of title, instruments, money, intangibles or other assets is excessive in relation to either the value of such goods, chattel paper, investment property, documents of title, instruments, money, intangibles and other assets as Collateral or to the benefit of the Lenders of the security afforded thereby. Notwithstanding anything herein or the Collateral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Subsidiary</w:t>
      </w:r>
      <w:r>
        <w:rPr>
          <w:color w:val="000000"/>
        </w:rPr>
        <w:t xml:space="preserve">” </w:t>
      </w:r>
      <w:r>
        <w:rPr>
          <w:rFonts w:ascii="Times New Roman;serif" w:hAnsi="Times New Roman;serif"/>
          <w:b w:val="false"/>
          <w:color w:val="000000"/>
          <w:sz w:val="22"/>
        </w:rPr>
        <w:t>means any direct or indirect Subsidiary of the Company that is: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an Unrestricted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not a Wholly Owned Restricted Subsidiary of the Company (other than a Subsidiary that was a Wholly Owned Restricted Subsidiary and that ceases to be a Wholly Owned Restricted Subsidiary as a result of (x) a transaction that is not bona fide or (y) the sale of its Equity Interests with sole intention to release such Subsidiary from its Guarantee of the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(c)    an Immaterial Subsidiary</w:t>
      </w:r>
      <w:r>
        <w:rPr>
          <w:color w:val="0000FF"/>
          <w:u w:val="single"/>
        </w:rPr>
        <w:t xml:space="preserve"> </w:t>
      </w:r>
      <w:r>
        <w:rPr>
          <w:rFonts w:ascii="Times New Roman;serif" w:hAnsi="Times New Roman;serif"/>
          <w:b w:val="false"/>
          <w:color w:val="0000FF"/>
          <w:sz w:val="22"/>
          <w:u w:val="single"/>
        </w:rPr>
        <w:t>that is domiciled in any jurisdiction</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 FSHCO or a CFC (or any direct or indirect Subsidiary of a Subsidiary that is a FSHCO or CFC),</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a Non-U.S. Subsidiary or any direct or indirect Subsidiary of a Non-U.S.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prohibited or restricted by applicable Law from guaranteeing the Facilities, or which would require governmental (including regulatory) consent, approval, license or authorization to provide a guarantee unless, such consent, approval, license or authorization has been received,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(h)    prohibited or restricted from guaranteeing the Facilities by any Contractual Obligation in existence on the Spin-Off Date (but not entered into in contemplation thereof) and is listed on </w:t>
      </w:r>
      <w:r>
        <w:rPr>
          <w:rFonts w:ascii="Times New Roman;serif" w:hAnsi="Times New Roman;serif"/>
          <w:b w:val="false"/>
          <w:color w:val="000000"/>
          <w:sz w:val="22"/>
          <w:u w:val="single"/>
        </w:rPr>
        <w:t>Schedule 1.01(e)</w:t>
      </w:r>
      <w:r>
        <w:rPr>
          <w:color w:val="000000"/>
        </w:rPr>
        <w:t xml:space="preserve"> </w:t>
      </w:r>
      <w:r>
        <w:rPr>
          <w:rFonts w:ascii="Times New Roman;serif" w:hAnsi="Times New Roman;serif"/>
          <w:b w:val="false"/>
          <w:color w:val="000000"/>
          <w:sz w:val="22"/>
        </w:rPr>
        <w:t>hereto and for so long as any such Contractual Obligation exists (or, in the case of any newly-</w:t>
      </w: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25" name="Frame1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acquired Subsidiary, in existence at the time of acquisition thereof but not entered into in contemplation thereof and for so long as any such Contractual Obligation exists),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a Subsidiary with respect to which a guarantee by it of the Facilities would result in </w:t>
      </w:r>
      <w:r>
        <w:rPr>
          <w:rFonts w:ascii="Times New Roman;serif" w:hAnsi="Times New Roman;serif"/>
          <w:b w:val="false"/>
          <w:strike/>
          <w:color w:val="FF0000"/>
          <w:sz w:val="22"/>
        </w:rPr>
        <w:t>an</w:t>
      </w:r>
      <w:r>
        <w:rPr>
          <w:rFonts w:ascii="Times New Roman;serif" w:hAnsi="Times New Roman;serif"/>
          <w:b w:val="false"/>
          <w:color w:val="0000FF"/>
          <w:sz w:val="22"/>
          <w:u w:val="single"/>
        </w:rPr>
        <w:t>a material</w:t>
      </w:r>
      <w:r>
        <w:rPr>
          <w:color w:val="000000"/>
        </w:rPr>
        <w:t xml:space="preserve"> </w:t>
      </w:r>
      <w:r>
        <w:rPr>
          <w:rFonts w:ascii="Times New Roman;serif" w:hAnsi="Times New Roman;serif"/>
          <w:b w:val="false"/>
          <w:color w:val="000000"/>
          <w:sz w:val="22"/>
        </w:rPr>
        <w:t>adverse tax consequence to the Company or the Restricted Group or any of their Subsidiaries or direct or indirect equity owners (including, without limitation, as a result of any law or regulation in any applicable jurisdiction similar to Section 956 of the Code), or material adverse regulatory consequences, in each case, as reasonably determined by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    a not-for-profit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an employee benefit trust or similar construct or a trust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(m)    a special purpose entity,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    a Captive Insurance Subsidiary,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(o)    in the reasonable judgment of the Administrative Agent and the Company, a Subsidiary as to which the cost or other consequences (including any adverse tax consequences) of guaranteeing the Facilities would be excessive in view of the benefits to be obtained by the Lenders therefrom;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subject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if a Subsidiary executes the Guaranty as a “Guarantor,” then it shall not constitute an “Excluded Subsidiary” (unless released from its obligations under the Guaranty, as a “Guarantor” in accordance with the terms hereof and thereof); </w:t>
      </w:r>
      <w:r>
        <w:rPr>
          <w:rFonts w:ascii="Times New Roman;serif" w:hAnsi="Times New Roman;serif"/>
          <w:b w:val="false"/>
          <w:i/>
          <w:color w:val="000000"/>
          <w:sz w:val="22"/>
        </w:rPr>
        <w:t>provided, further</w:t>
      </w:r>
      <w:r>
        <w:rPr>
          <w:rFonts w:ascii="Times New Roman;serif" w:hAnsi="Times New Roman;serif"/>
          <w:b w:val="false"/>
          <w:color w:val="000000"/>
          <w:sz w:val="22"/>
        </w:rPr>
        <w:t>, that no Subsidiary of the Company shall be an Excluded Subsidiary if such Subsidiary is a guarantor with respect to (x) any of the Senior Secured Notes Documents or (y) any other Indebtedness for borrowed money of the Company or a Guarantor or a Co-Borrower (in each case, other than any Guarantor or Co-Borrower that will simultaneously cease to be a Restricted Subsidiary or an Excluded Subsidiary), in an aggregate outstanding principal amount in excess of $</w:t>
      </w:r>
      <w:r>
        <w:rPr>
          <w:rFonts w:ascii="Times New Roman;serif" w:hAnsi="Times New Roman;serif"/>
          <w:b w:val="false"/>
          <w:strike/>
          <w:color w:val="FF0000"/>
          <w:sz w:val="22"/>
        </w:rPr>
        <w:t>300,000,000</w:t>
      </w:r>
      <w:r>
        <w:rPr>
          <w:rFonts w:ascii="Times New Roman;serif" w:hAnsi="Times New Roman;serif"/>
          <w:b w:val="false"/>
          <w:color w:val="0000FF"/>
          <w:sz w:val="22"/>
          <w:u w:val="single"/>
        </w:rPr>
        <w:t>25,000,000</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such other Indebtedness will permit the release of such Subsidiary if such Subsidiary is released from its obligations hereunder, then such Subsidiary shall be released pursuant to this </w:t>
      </w:r>
      <w:r>
        <w:rPr>
          <w:rFonts w:ascii="Times New Roman;serif" w:hAnsi="Times New Roman;serif"/>
          <w:b w:val="false"/>
          <w:color w:val="000000"/>
          <w:sz w:val="22"/>
          <w:u w:val="single"/>
        </w:rPr>
        <w:t>clause (o)</w:t>
      </w:r>
      <w:r>
        <w:rPr>
          <w:rFonts w:ascii="Times New Roman;serif" w:hAnsi="Times New Roman;serif"/>
          <w:b w:val="false"/>
          <w:color w:val="000000"/>
          <w:sz w:val="22"/>
        </w:rPr>
        <w:t>, notwithstanding the foregoing proviso.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 no Borrower shall be deemed to be an Excluded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Swap Obligation</w:t>
      </w:r>
      <w:r>
        <w:rPr>
          <w:color w:val="000000"/>
        </w:rPr>
        <w:t xml:space="preserve">” </w:t>
      </w:r>
      <w:r>
        <w:rPr>
          <w:rFonts w:ascii="Times New Roman;serif" w:hAnsi="Times New Roman;serif"/>
          <w:b w:val="false"/>
          <w:color w:val="000000"/>
          <w:sz w:val="22"/>
        </w:rPr>
        <w:t xml:space="preserve">means, with respect to any Guarantor, (a)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26" name="Frame1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Guarantor as specified in any agreement between the relevant Loan Parties and Hedge Bank applicable to such Swap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Excluded Taxes</w:t>
      </w:r>
      <w:r>
        <w:rPr>
          <w:color w:val="000000"/>
        </w:rPr>
        <w:t xml:space="preserve">” </w:t>
      </w:r>
      <w:r>
        <w:rPr>
          <w:rFonts w:ascii="Times New Roman;serif" w:hAnsi="Times New Roman;serif"/>
          <w:b w:val="false"/>
          <w:color w:val="000000"/>
          <w:sz w:val="22"/>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being treated as a resident or as having a permanent establishment for tax purposes in, or, in the case of any Lender, having its applicable Lending Office located in, the jurisdiction imposing such Tax (or any political subdivision thereof) or (ii) that are Other Connection Taxes, (b) in the case of a Lender, any U.S. federal withholding Taxes imposed pursuant to a Law in effect on the date on which such Lender acquires an interest in the applicable Commitment or, if such Lender did not fund the applicable Loan pursuant to a prior Commitment, the date on which such Lender acquires the applicable interest in such Loan (in each case, other than any Lender acquiring an interest in a Loan or Commitment pursuant to a request by any Loan Party under </w:t>
      </w:r>
      <w:r>
        <w:rPr>
          <w:rFonts w:ascii="Times New Roman;serif" w:hAnsi="Times New Roman;serif"/>
          <w:b w:val="false"/>
          <w:color w:val="000000"/>
          <w:sz w:val="22"/>
          <w:u w:val="single"/>
        </w:rPr>
        <w:t>Section 3.08</w:t>
      </w:r>
      <w:r>
        <w:rPr>
          <w:rFonts w:ascii="Times New Roman;serif" w:hAnsi="Times New Roman;serif"/>
          <w:b w:val="false"/>
          <w:color w:val="000000"/>
          <w:sz w:val="22"/>
        </w:rPr>
        <w:t xml:space="preserve">) or changes its Lending Office, except in each case to the extent that,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additional amounts with respect to such Taxes were payable either to such Lender’s assignor immediately before such Lender acquired the applicable Commitment or Loan or to such Lender immediately before it changes its Lending Office, (c) Taxes attributable to such Recipient’s failure to comply with Section 3.01(h) and (d) any Taxes imposed under FATCA.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Executive Order</w:t>
      </w:r>
      <w:r>
        <w:rPr>
          <w:color w:val="000000"/>
        </w:rPr>
        <w:t xml:space="preserve">” </w:t>
      </w:r>
      <w:r>
        <w:rPr>
          <w:rFonts w:ascii="Times New Roman;serif" w:hAnsi="Times New Roman;serif"/>
          <w:b w:val="false"/>
          <w:color w:val="000000"/>
          <w:sz w:val="22"/>
        </w:rPr>
        <w:t>means Executive Order No. 13224 of September 23, 2001, entitled Blocking Property and Prohibiting Transactions With Persons Who Commit, Threaten to Commit, or Support Terrorism (66 Fed. Reg. 49079 (2001)).</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Revolving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Term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Term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Existing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Extendable Bridge Loans/Interim Debt</w:t>
      </w:r>
      <w:r>
        <w:rPr>
          <w:color w:val="000000"/>
        </w:rPr>
        <w:t xml:space="preserve">” </w:t>
      </w:r>
      <w:r>
        <w:rPr>
          <w:rFonts w:ascii="Times New Roman;serif" w:hAnsi="Times New Roman;serif"/>
          <w:b w:val="false"/>
          <w:color w:val="000000"/>
          <w:sz w:val="22"/>
        </w:rPr>
        <w:t>means customary “bridge” loans, escrow or similar arrangements which by their terms will be converted into loans or other Indebtedness that have, or extended such that they have, a maturity date later than the Latest Maturity Date of all Term Loan Tranches then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Loans Agent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Revolving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Revolving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Term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Term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27" name="Frame1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Extended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Extending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Extension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Extension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Extension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Extension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Extension Request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Facility</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Facilities</w:t>
      </w:r>
      <w:r>
        <w:rPr>
          <w:color w:val="000000"/>
        </w:rPr>
        <w:t xml:space="preserve">” </w:t>
      </w:r>
      <w:r>
        <w:rPr>
          <w:rFonts w:ascii="Times New Roman;serif" w:hAnsi="Times New Roman;serif"/>
          <w:b w:val="false"/>
          <w:color w:val="000000"/>
          <w:sz w:val="22"/>
        </w:rPr>
        <w:t>means any Term Facility and/or any Revolving Credit Facility (including the Letter of Credit Sublimit),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fair market value</w:t>
      </w:r>
      <w:r>
        <w:rPr>
          <w:color w:val="000000"/>
        </w:rPr>
        <w:t xml:space="preserve">” </w:t>
      </w:r>
      <w:r>
        <w:rPr>
          <w:rFonts w:ascii="Times New Roman;serif" w:hAnsi="Times New Roman;serif"/>
          <w:b w:val="false"/>
          <w:color w:val="000000"/>
          <w:sz w:val="22"/>
        </w:rPr>
        <w:t>means, with respect to any asset or property, the price which could be negotiated in an arm’s-length transaction, for cash, between a willing seller and a willing and able buyer; for purposes of this Agreement, fair market value may be conclusively established by means of a certificate of a Responsible Officer or resolutions of the Board of Directors setting out such fair market value as determined by such Responsible Officer or such Board of Directors in good faith.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FATCA</w:t>
      </w:r>
      <w:r>
        <w:rPr>
          <w:color w:val="000000"/>
        </w:rPr>
        <w:t xml:space="preserve">” </w:t>
      </w:r>
      <w:r>
        <w:rPr>
          <w:rFonts w:ascii="Times New Roman;serif" w:hAnsi="Times New Roman;serif"/>
          <w:b w:val="false"/>
          <w:color w:val="000000"/>
          <w:sz w:val="22"/>
        </w:rPr>
        <w:t>means Sections 1471 through 1474 of the Code as of the date hereof (or any amended or successor version that is substantively comparable and not materially more onerous to comply with), any current or future Treasury Regulations thereunder or official administrative interpretations thereof, any agreements entered into pursuant to current Section 1471(b)(1) of the Code (or any amended or successor version described above), any intergovernmental agreement, treaty or convention among Governmental Authorities (and any related Laws) implementing the foregoing.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Federal Funds Effective Rate</w:t>
      </w:r>
      <w:r>
        <w:rPr>
          <w:color w:val="000000"/>
        </w:rPr>
        <w:t xml:space="preserve">” </w:t>
      </w:r>
      <w:r>
        <w:rPr>
          <w:rFonts w:ascii="Times New Roman;serif" w:hAnsi="Times New Roman;serif"/>
          <w:b w:val="false"/>
          <w:color w:val="000000"/>
          <w:sz w:val="22"/>
        </w:rPr>
        <w:t>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provided that if the Federal Funds Effective Rate as so determined would be less than the Floor, such rate shall be deemed to be the Floor for the purposes of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Federal Reserve Board</w:t>
      </w:r>
      <w:r>
        <w:rPr>
          <w:color w:val="000000"/>
        </w:rPr>
        <w:t xml:space="preserve">” </w:t>
      </w:r>
      <w:r>
        <w:rPr>
          <w:rFonts w:ascii="Times New Roman;serif" w:hAnsi="Times New Roman;serif"/>
          <w:b w:val="false"/>
          <w:color w:val="000000"/>
          <w:sz w:val="22"/>
        </w:rPr>
        <w:t>means the Board of Governors of the Federal Reserve System of the United States of America.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Financial Covenant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Financial Covenant Event of Default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First Amendment</w:t>
      </w:r>
      <w:r>
        <w:rPr>
          <w:color w:val="0000FF"/>
          <w:u w:val="single"/>
        </w:rPr>
        <w:t xml:space="preserve">” </w:t>
      </w:r>
      <w:r>
        <w:rPr>
          <w:rFonts w:ascii="Times New Roman;serif" w:hAnsi="Times New Roman;serif"/>
          <w:b w:val="false"/>
          <w:color w:val="0000FF"/>
          <w:sz w:val="22"/>
          <w:u w:val="single"/>
        </w:rPr>
        <w:t xml:space="preserve">means that certain First Amendment to First Lien Credit Agreement dated </w:t>
      </w:r>
      <w:r>
        <w:rPr>
          <w:rFonts w:ascii="Times New Roman;serif" w:hAnsi="Times New Roman;serif"/>
          <w:b w:val="false"/>
          <w:color w:val="008000"/>
          <w:sz w:val="22"/>
          <w:u w:val="single"/>
        </w:rPr>
        <w:t xml:space="preserve">as of the </w:t>
      </w:r>
      <w:r>
        <w:rPr>
          <w:rFonts w:ascii="Times New Roman;serif" w:hAnsi="Times New Roman;serif"/>
          <w:b w:val="false"/>
          <w:color w:val="0000FF"/>
          <w:sz w:val="22"/>
          <w:u w:val="single"/>
        </w:rPr>
        <w:t xml:space="preserve">First Amendment Effective Date by and among the Borrowers, the Guarantors party thereto, the Lenders party thereto, the L/C Issuers party thereto, and MS, as </w:t>
      </w:r>
      <w:r>
        <w:rPr>
          <w:rFonts w:ascii="Times New Roman;serif" w:hAnsi="Times New Roman;serif"/>
          <w:b w:val="false"/>
          <w:color w:val="008000"/>
          <w:sz w:val="22"/>
          <w:u w:val="single"/>
        </w:rPr>
        <w:t>Administrative Agent, Collateral Agent and an L/C Issuer</w:t>
      </w:r>
      <w:r>
        <w:rPr>
          <w:rFonts w:ascii="Times New Roman;serif" w:hAnsi="Times New Roman;serif"/>
          <w:b w:val="false"/>
          <w:color w:val="0000FF"/>
          <w:sz w:val="22"/>
          <w:u w:val="single"/>
        </w:rPr>
        <w: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First Amendment Effective Date</w:t>
      </w:r>
      <w:r>
        <w:rPr>
          <w:color w:val="0000FF"/>
          <w:u w:val="single"/>
        </w:rPr>
        <w:t xml:space="preserve">” </w:t>
      </w:r>
      <w:r>
        <w:rPr>
          <w:rFonts w:ascii="Times New Roman;serif" w:hAnsi="Times New Roman;serif"/>
          <w:b w:val="false"/>
          <w:color w:val="0000FF"/>
          <w:sz w:val="22"/>
          <w:u w:val="single"/>
        </w:rPr>
        <w:t>means August 6, 2026.</w:t>
      </w:r>
    </w:p>
    <w:p>
      <w:pPr>
        <w:pStyle w:val="TextBody"/>
        <w:bidi w:val="0"/>
        <w:spacing w:before="0" w:after="0"/>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75260"/>
                <wp:effectExtent l="0" t="0" r="0" b="0"/>
                <wp:wrapNone/>
                <wp:docPr id="128" name="Frame1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First Amendment Lead Arranger</w:t>
      </w:r>
      <w:r>
        <w:rPr>
          <w:color w:val="0000FF"/>
          <w:u w:val="single"/>
        </w:rPr>
        <w:t xml:space="preserve">” </w:t>
      </w:r>
      <w:r>
        <w:rPr>
          <w:rFonts w:ascii="Times New Roman;serif" w:hAnsi="Times New Roman;serif"/>
          <w:b w:val="false"/>
          <w:color w:val="0000FF"/>
          <w:sz w:val="22"/>
          <w:u w:val="single"/>
        </w:rPr>
        <w:t xml:space="preserve">means </w:t>
      </w:r>
      <w:r>
        <w:rPr>
          <w:rFonts w:ascii="Times New Roman;serif" w:hAnsi="Times New Roman;serif"/>
          <w:b w:val="false"/>
          <w:color w:val="008000"/>
          <w:sz w:val="22"/>
          <w:u w:val="single"/>
        </w:rPr>
        <w:t xml:space="preserve">Wells Fargo </w:t>
      </w:r>
      <w:r>
        <w:rPr>
          <w:rFonts w:ascii="Times New Roman;serif" w:hAnsi="Times New Roman;serif"/>
          <w:b w:val="false"/>
          <w:color w:val="0000FF"/>
          <w:sz w:val="22"/>
          <w:u w:val="single"/>
        </w:rPr>
        <w:t xml:space="preserve">Securities, LLC;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after November 30, 2026, all references herein to </w:t>
      </w:r>
      <w:r>
        <w:rPr>
          <w:rFonts w:ascii="Times New Roman;serif" w:hAnsi="Times New Roman;serif"/>
          <w:b w:val="false"/>
          <w:color w:val="008000"/>
          <w:sz w:val="22"/>
          <w:u w:val="single"/>
        </w:rPr>
        <w:t xml:space="preserve">the First </w:t>
      </w:r>
      <w:r>
        <w:rPr>
          <w:rFonts w:ascii="Times New Roman;serif" w:hAnsi="Times New Roman;serif"/>
          <w:b w:val="false"/>
          <w:color w:val="0000FF"/>
          <w:sz w:val="22"/>
          <w:u w:val="single"/>
        </w:rPr>
        <w:t xml:space="preserve">Amendment Lead Arranger shall be deemed to refer to the Administrative Agent.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First Lien Intercreditor Agreement</w:t>
      </w:r>
      <w:r>
        <w:rPr>
          <w:color w:val="000000"/>
        </w:rPr>
        <w:t xml:space="preserve">” </w:t>
      </w:r>
      <w:r>
        <w:rPr>
          <w:rFonts w:ascii="Times New Roman;serif" w:hAnsi="Times New Roman;serif"/>
          <w:b w:val="false"/>
          <w:color w:val="000000"/>
          <w:sz w:val="22"/>
        </w:rPr>
        <w:t xml:space="preserve">means a First Lien Intercreditor Agreement, substantially in the form of the first lien intercreditor agreement attached as </w:t>
      </w:r>
      <w:r>
        <w:rPr>
          <w:rFonts w:ascii="Times New Roman;serif" w:hAnsi="Times New Roman;serif"/>
          <w:b w:val="false"/>
          <w:color w:val="000000"/>
          <w:sz w:val="22"/>
          <w:u w:val="single"/>
        </w:rPr>
        <w:t>Exhibit G-2</w:t>
      </w:r>
      <w:r>
        <w:rPr>
          <w:rFonts w:ascii="Times New Roman;serif" w:hAnsi="Times New Roman;serif"/>
          <w:b w:val="false"/>
          <w:color w:val="000000"/>
          <w:sz w:val="22"/>
        </w:rPr>
        <w:t>, to be executed on the Spin-Off Date, by and between the Administrative Agent, the Collateral Agent, and U.S. Bank Trust Company, National Association, as the initial other representative and the initial other collateral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First Lien/Second Lien Intercreditor Agreement</w:t>
      </w:r>
      <w:r>
        <w:rPr>
          <w:color w:val="000000"/>
        </w:rPr>
        <w:t xml:space="preserve">” </w:t>
      </w:r>
      <w:r>
        <w:rPr>
          <w:rFonts w:ascii="Times New Roman;serif" w:hAnsi="Times New Roman;serif"/>
          <w:b w:val="false"/>
          <w:color w:val="000000"/>
          <w:sz w:val="22"/>
        </w:rPr>
        <w:t xml:space="preserve">means a First Lien/Second Lien Intercreditor Agreement, substantially in the form of the first lien/second lien intercreditor agreement attached as </w:t>
      </w:r>
      <w:r>
        <w:rPr>
          <w:rFonts w:ascii="Times New Roman;serif" w:hAnsi="Times New Roman;serif"/>
          <w:b w:val="false"/>
          <w:color w:val="000000"/>
          <w:sz w:val="22"/>
          <w:u w:val="single"/>
        </w:rPr>
        <w:t>Exhibit G-1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First Lien Specified Debt</w:t>
      </w:r>
      <w:r>
        <w:rPr>
          <w:color w:val="000000"/>
        </w:rPr>
        <w:t xml:space="preserve">” </w:t>
      </w:r>
      <w:r>
        <w:rPr>
          <w:rFonts w:ascii="Times New Roman;serif" w:hAnsi="Times New Roman;serif"/>
          <w:b w:val="false"/>
          <w:color w:val="000000"/>
          <w:sz w:val="22"/>
        </w:rPr>
        <w:t>means Indebtedness in respect of any Term Facility (including, for the avoidance of doubt, any New Term Facility), any Revolving Credit Facility (including, for the avoidance of doubt, any New Revolving Facility), the Senior Secured Notes, any other loans incurred pursuant to any Loan Document, any Incremental Equivalent Debt, any Ratio Debt, any Permitted Debt Exchange Notes, any Specified Refinancing Debt, any Credit Agreement Refinancing Debt and/or any Refinancing Indebtedness in respect of any of the foregoing, in each case, that is secured by a Lien on the Collateral on a basis with the Initial Term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Fixed Charges</w:t>
      </w:r>
      <w:r>
        <w:rPr>
          <w:color w:val="000000"/>
        </w:rPr>
        <w:t xml:space="preserve">” </w:t>
      </w:r>
      <w:r>
        <w:rPr>
          <w:rFonts w:ascii="Times New Roman;serif" w:hAnsi="Times New Roman;serif"/>
          <w:b w:val="false"/>
          <w:color w:val="000000"/>
          <w:sz w:val="22"/>
        </w:rPr>
        <w:t>means, with respect to any Person for any period, the sum of (without duplication):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Consolidated Interest Expense of such Person for such period;</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(2)    [reserved]; and</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(3)    [reserved].</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(2) </w:t>
      </w:r>
      <w:r>
        <w:rPr>
          <w:rFonts w:ascii="Times New Roman;serif" w:hAnsi="Times New Roman;serif"/>
          <w:b w:val="false"/>
          <w:strike/>
          <w:color w:val="FF0000"/>
          <w:sz w:val="22"/>
        </w:rPr>
        <w:t xml:space="preserve">all cash dividends </w:t>
      </w:r>
      <w:r>
        <w:rPr>
          <w:rFonts w:ascii="Times New Roman;serif" w:hAnsi="Times New Roman;serif"/>
          <w:b w:val="false"/>
          <w:strike/>
          <w:color w:val="008000"/>
          <w:sz w:val="22"/>
        </w:rPr>
        <w:t xml:space="preserve">or other </w:t>
      </w:r>
      <w:r>
        <w:rPr>
          <w:rFonts w:ascii="Times New Roman;serif" w:hAnsi="Times New Roman;serif"/>
          <w:b w:val="false"/>
          <w:strike/>
          <w:color w:val="FF0000"/>
          <w:sz w:val="22"/>
        </w:rPr>
        <w:t xml:space="preserve">distributions paid (excluding items eliminated in consolidation) on any series of Preferred Stock </w:t>
      </w:r>
      <w:r>
        <w:rPr>
          <w:rFonts w:ascii="Times New Roman;serif" w:hAnsi="Times New Roman;serif"/>
          <w:b w:val="false"/>
          <w:strike/>
          <w:color w:val="008000"/>
          <w:sz w:val="22"/>
        </w:rPr>
        <w:t xml:space="preserve">of any Restricted Subsidiary of such Person </w:t>
      </w:r>
      <w:r>
        <w:rPr>
          <w:rFonts w:ascii="Times New Roman;serif" w:hAnsi="Times New Roman;serif"/>
          <w:b w:val="false"/>
          <w:strike/>
          <w:color w:val="FF0000"/>
          <w:sz w:val="22"/>
        </w:rPr>
        <w:t>during such period; and</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(3) </w:t>
      </w:r>
      <w:r>
        <w:rPr>
          <w:rFonts w:ascii="Times New Roman;serif" w:hAnsi="Times New Roman;serif"/>
          <w:b w:val="false"/>
          <w:strike/>
          <w:color w:val="FF0000"/>
          <w:sz w:val="22"/>
        </w:rPr>
        <w:t xml:space="preserve">all cash dividends or other distributions paid (excluding items eliminated in consolidation) on any series of Disqualified Stock </w:t>
      </w:r>
      <w:r>
        <w:rPr>
          <w:rFonts w:ascii="Times New Roman;serif" w:hAnsi="Times New Roman;serif"/>
          <w:b w:val="false"/>
          <w:strike/>
          <w:color w:val="008000"/>
          <w:sz w:val="22"/>
        </w:rPr>
        <w:t xml:space="preserve">of such Person </w:t>
      </w:r>
      <w:r>
        <w:rPr>
          <w:rFonts w:ascii="Times New Roman;serif" w:hAnsi="Times New Roman;serif"/>
          <w:b w:val="false"/>
          <w:strike/>
          <w:color w:val="FF0000"/>
          <w:sz w:val="22"/>
        </w:rPr>
        <w:t>during such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Floor</w:t>
      </w:r>
      <w:r>
        <w:rPr>
          <w:color w:val="000000"/>
        </w:rPr>
        <w:t xml:space="preserve">” </w:t>
      </w:r>
      <w:r>
        <w:rPr>
          <w:rFonts w:ascii="Times New Roman;serif" w:hAnsi="Times New Roman;serif"/>
          <w:b w:val="false"/>
          <w:color w:val="000000"/>
          <w:sz w:val="22"/>
        </w:rPr>
        <w:t>means a rate of interest equal to (x) with respect to any Revolving Credit Borrowing, 0.00% and (y) with respect to any Term Borrowing, 0.50%.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Foreign Benefit Event</w:t>
      </w:r>
      <w:r>
        <w:rPr>
          <w:color w:val="000000"/>
        </w:rPr>
        <w:t xml:space="preserve">” </w:t>
      </w:r>
      <w:r>
        <w:rPr>
          <w:rFonts w:ascii="Times New Roman;serif" w:hAnsi="Times New Roman;serif"/>
          <w:b w:val="false"/>
          <w:color w:val="000000"/>
          <w:sz w:val="22"/>
        </w:rPr>
        <w:t xml:space="preserve">means, with respect to any Foreign Plan, (a) the existence of unfunded liabilities in excess of the amount permitted under any applicable Law, whether or not waived by a Governmental Authority, (b) the failure to make the required contributions or payments, under any applicable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(d) the incurrence of any liability by a Loan Party or any of its Subsidiaries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w:t>
      </w:r>
    </w:p>
    <w:p>
      <w:pPr>
        <w:pStyle w:val="TextBody"/>
        <w:bidi w:val="0"/>
        <w:spacing w:before="0" w:after="0"/>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75260"/>
                <wp:effectExtent l="0" t="0" r="0" b="0"/>
                <wp:wrapNone/>
                <wp:docPr id="129" name="Frame1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any liability by a Loan Party or any of its Subsidiaries, or the imposition on a Loan Party or any of its Subsidiaries of any fine, excise tax or penalty resulting from any noncompliance with any applicable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Foreign Casualty Event</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2.05(b)(viii)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Foreign Disposition</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2.05(b)(viii)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Foreign Plan</w:t>
      </w:r>
      <w:r>
        <w:rPr>
          <w:color w:val="000000"/>
        </w:rPr>
        <w:t xml:space="preserve">” </w:t>
      </w:r>
      <w:r>
        <w:rPr>
          <w:rFonts w:ascii="Times New Roman;serif" w:hAnsi="Times New Roman;serif"/>
          <w:b w:val="false"/>
          <w:color w:val="000000"/>
          <w:sz w:val="22"/>
        </w:rPr>
        <w:t>means any pension benefit plan, fund (including any superannuation fund) or other similar program established, maintained or contributed to by a Loan Party or any of its Subsidiaries primarily for the benefit of employees employed and residing outside the United States (other than plans, funds or other similar programs that are maintained exclusively by a Governmental Authority), and which plan is not subject to ERISA or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Fronting Exposure</w:t>
      </w:r>
      <w:r>
        <w:rPr>
          <w:color w:val="000000"/>
        </w:rPr>
        <w:t xml:space="preserve">” </w:t>
      </w:r>
      <w:r>
        <w:rPr>
          <w:rFonts w:ascii="Times New Roman;serif" w:hAnsi="Times New Roman;serif"/>
          <w:b w:val="false"/>
          <w:color w:val="000000"/>
          <w:sz w:val="22"/>
        </w:rPr>
        <w:t>means, at any time there is a Defaulting Lender, with respect to an L/C Issuer, such Defaulting Lender’s Pro Rata Share of the outstanding L/C Obligations (other than L/C Obligations as to which such Defaulting Lender’s participation obligation has been reallocated to other Non-Defaulting Lenders or Cash Collateralized in accordance with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FSHCO</w:t>
      </w:r>
      <w:r>
        <w:rPr>
          <w:color w:val="000000"/>
        </w:rPr>
        <w:t xml:space="preserve">” </w:t>
      </w:r>
      <w:r>
        <w:rPr>
          <w:rFonts w:ascii="Times New Roman;serif" w:hAnsi="Times New Roman;serif"/>
          <w:b w:val="false"/>
          <w:color w:val="000000"/>
          <w:sz w:val="22"/>
        </w:rPr>
        <w:t>means any direct or indirect Subsidiary of the Company that owns no material assets (directly or indirectly) other than (i) Equity Interests (including, for this purpose, any debt or other instrument treated as equity for U.S. federal income tax purposes (as determined by the Company)) and (ii) indebtedness, in either case of clauses (i) and (ii), in one or more Subsidiaries that are Non-U.S. Subsidiaries, CFCs and/or one or more other FSHCOs.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Fund</w:t>
      </w:r>
      <w:r>
        <w:rPr>
          <w:color w:val="000000"/>
        </w:rPr>
        <w:t xml:space="preserve">” </w:t>
      </w:r>
      <w:r>
        <w:rPr>
          <w:rFonts w:ascii="Times New Roman;serif" w:hAnsi="Times New Roman;serif"/>
          <w:b w:val="false"/>
          <w:color w:val="000000"/>
          <w:sz w:val="22"/>
        </w:rPr>
        <w:t>means any Person (other than a Natural Person) that is (or will be) engaged in making, purchasing, holding or otherwise investing in commercial loans and similar extensions of credit in the ordinary course of its business.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GAAP</w:t>
      </w:r>
      <w:r>
        <w:rPr>
          <w:color w:val="000000"/>
        </w:rPr>
        <w:t xml:space="preserve">” </w:t>
      </w:r>
      <w:r>
        <w:rPr>
          <w:rFonts w:ascii="Times New Roman;serif" w:hAnsi="Times New Roman;serif"/>
          <w:b w:val="false"/>
          <w:color w:val="000000"/>
          <w:sz w:val="22"/>
        </w:rPr>
        <w:t xml:space="preserve">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provided that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(if applicable), or any successor thereto or comparable accounting principle (including pursuant to the Accounting Standards Codification), to value any Indebtedness of the Company or any Subsidiary at “fair value,” as defined therein and (b) the amount of any Indebtedness under GAAP with respect to Capitalized Lease Obligations shall be determined in accordance with the definition of Capitalized Lease Obligations. At any time after the Closing Date, the Company may elect to apply IFRS accounting principles in lieu of GAAP and, upon any such election, references herein to GAAP shall thereafter be construed to mean IFRS (except as otherwise provided in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such election, once made, shall be irrevocable;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any calculation or determination in this Agreement that requires the application of GAAP for periods that include fiscal quarters ended prior to the Company’s election to apply IFRS shall remain as previously calculated or determined in accordance with GAAP. The Company shall give notice of any such election made in accordance with this definition to the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75260"/>
                <wp:effectExtent l="0" t="0" r="0" b="0"/>
                <wp:wrapNone/>
                <wp:docPr id="130" name="Frame1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Agent. For the avoidance of doubt, solely making an election (without any other action) referred to in this definition will not be treated as an incurrence of Indebtedness.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If there occurs a change in IFRS or GAAP, as applicable, and such change would cause a change in the method of calculation of any standards, terms or measures (including all computations of amounts and ratios) used in this Agreement (an “</w:t>
      </w:r>
      <w:r>
        <w:rPr>
          <w:rFonts w:ascii="Times New Roman;serif" w:hAnsi="Times New Roman;serif"/>
          <w:b/>
          <w:color w:val="000000"/>
          <w:sz w:val="22"/>
        </w:rPr>
        <w:t>Accounting Change</w:t>
      </w:r>
      <w:r>
        <w:rPr>
          <w:color w:val="000000"/>
        </w:rPr>
        <w:t>”</w:t>
      </w:r>
      <w:r>
        <w:rPr>
          <w:rFonts w:ascii="Times New Roman;serif" w:hAnsi="Times New Roman;serif"/>
          <w:b w:val="false"/>
          <w:color w:val="000000"/>
          <w:sz w:val="22"/>
        </w:rPr>
        <w:t>), then the Company may elect that such standards, terms or measures shall be calculated as if such Accounting Change had or had not occurred.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All references to an accounting rule, regulation, standard, principal, term or measure, as applicable, in this Agreement (x) with respect to GAAP shall be deemed to refer to the equivalent rule, regulation, standard, principal, term or measure with respect to IFRS (if applicable) and (y) with respect to IFRS shall be deemed to refer to the equivalent rule, regulation, standard, principal, term or measure with respect to GAAP (if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Governmental Authority</w:t>
      </w:r>
      <w:r>
        <w:rPr>
          <w:color w:val="000000"/>
        </w:rPr>
        <w:t xml:space="preserve">” </w:t>
      </w:r>
      <w:r>
        <w:rPr>
          <w:rFonts w:ascii="Times New Roman;serif" w:hAnsi="Times New Roman;serif"/>
          <w:b w:val="false"/>
          <w:color w:val="000000"/>
          <w:sz w:val="22"/>
        </w:rPr>
        <w:t>means any nation or government, any state,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Granting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10.07(g)</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Guarantee</w:t>
      </w:r>
      <w:r>
        <w:rPr>
          <w:color w:val="000000"/>
        </w:rPr>
        <w:t xml:space="preserve">” </w:t>
      </w:r>
      <w:r>
        <w:rPr>
          <w:rFonts w:ascii="Times New Roman;serif" w:hAnsi="Times New Roman;serif"/>
          <w:b w:val="false"/>
          <w:color w:val="000000"/>
          <w:sz w:val="22"/>
        </w:rPr>
        <w:t>means, any obligation, contingent or otherwise, of any Person directly or indirectly guaranteeing any Indebtedness of any other Person, including any such obligation, direct or indirect, contingent or otherwise, of such Person: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entered into primarily for purposes of assuring in any other manner the obligee of such Indebtedness of the payment thereof or to protect such obligee against loss in respect thereof (in whole or in part);</w:t>
      </w:r>
    </w:p>
    <w:p>
      <w:pPr>
        <w:pStyle w:val="TextBody"/>
        <w:bidi w:val="0"/>
        <w:spacing w:lineRule="auto" w:line="288" w:before="0" w:after="240"/>
        <w:ind w:left="0" w:right="0" w:firstLine="720"/>
        <w:jc w:val="left"/>
        <w:rPr/>
      </w:pP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term “Guarantee” will not include (x) endorsements for collection or deposit in the ordinary course of business or consistent with past practice and (y) standard contractual indemnities or product warranties provided in the ordinary course of business, and </w:t>
      </w:r>
      <w:r>
        <w:rPr>
          <w:rFonts w:ascii="Times New Roman;serif" w:hAnsi="Times New Roman;serif"/>
          <w:b w:val="false"/>
          <w:i/>
          <w:color w:val="000000"/>
          <w:sz w:val="22"/>
        </w:rPr>
        <w:t>provided, further</w:t>
      </w:r>
      <w:r>
        <w:rPr>
          <w:rFonts w:ascii="Times New Roman;serif" w:hAnsi="Times New Roman;serif"/>
          <w:b w:val="false"/>
          <w:color w:val="000000"/>
          <w:sz w:val="22"/>
        </w:rPr>
        <w:t>,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Guarantors</w:t>
      </w:r>
      <w:r>
        <w:rPr>
          <w:color w:val="000000"/>
        </w:rPr>
        <w:t xml:space="preserve">” </w:t>
      </w:r>
      <w:r>
        <w:rPr>
          <w:rFonts w:ascii="Times New Roman;serif" w:hAnsi="Times New Roman;serif"/>
          <w:b w:val="false"/>
          <w:color w:val="000000"/>
          <w:sz w:val="22"/>
        </w:rPr>
        <w:t>means, collectively: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as of the Spin-Off Date, the Subsidiaries of the Company listed on </w:t>
      </w:r>
      <w:r>
        <w:rPr>
          <w:rFonts w:ascii="Times New Roman;serif" w:hAnsi="Times New Roman;serif"/>
          <w:b w:val="false"/>
          <w:color w:val="000000"/>
          <w:sz w:val="22"/>
          <w:u w:val="single"/>
        </w:rPr>
        <w:t>Schedule 1</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75260"/>
                <wp:effectExtent l="0" t="0" r="0" b="0"/>
                <wp:wrapNone/>
                <wp:docPr id="131" name="Frame1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each other Subsidiary of the Company that executes and delivers a Guaranty or guaranty supplement pursuant to the Guaranty,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6.16</w:t>
      </w:r>
      <w:r>
        <w:rPr>
          <w:rFonts w:ascii="Times New Roman;serif" w:hAnsi="Times New Roman;serif"/>
          <w:b w:val="false"/>
          <w:color w:val="000000"/>
          <w:sz w:val="22"/>
        </w:rPr>
        <w:t>, in each case of clauses (i) and (ii) unless any such Subsidiary of the Company has ceased to be a Guarantor pursuant to the terms hereof,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each Borrower (except as to its own Obligations), including any Co-Borrower (except as to its own Obligations), unless, in the case of any Co-Borrower, such Co-Borrower has ceased to be a Borrower and a Guarantor pursuant to the terms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the avoidance of doubt, no Excluded Subsidiary shall be a Guarantor, except as provided in the last sentence of </w:t>
      </w:r>
      <w:r>
        <w:rPr>
          <w:rFonts w:ascii="Times New Roman;serif" w:hAnsi="Times New Roman;serif"/>
          <w:b w:val="false"/>
          <w:color w:val="000000"/>
          <w:sz w:val="22"/>
          <w:u w:val="single"/>
        </w:rPr>
        <w:t>Section 6.12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Guaranty</w:t>
      </w:r>
      <w:r>
        <w:rPr>
          <w:color w:val="000000"/>
        </w:rPr>
        <w:t xml:space="preserve">” </w:t>
      </w:r>
      <w:r>
        <w:rPr>
          <w:rFonts w:ascii="Times New Roman;serif" w:hAnsi="Times New Roman;serif"/>
          <w:b w:val="false"/>
          <w:color w:val="000000"/>
          <w:sz w:val="22"/>
        </w:rPr>
        <w:t xml:space="preserve">means, collectively, the Guaranty, to be dated as of the Spin-Off Date, executed by the Loan Parties party thereto, together with each other guaranty and guaranty supplement delivered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6.16</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Guaranty Supplement</w:t>
      </w:r>
      <w:r>
        <w:rPr>
          <w:color w:val="000000"/>
        </w:rPr>
        <w:t xml:space="preserve">” </w:t>
      </w:r>
      <w:r>
        <w:rPr>
          <w:rFonts w:ascii="Times New Roman;serif" w:hAnsi="Times New Roman;serif"/>
          <w:b w:val="false"/>
          <w:color w:val="000000"/>
          <w:sz w:val="22"/>
        </w:rPr>
        <w:t>has the meaning specified in the Guaranty.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Hazardous Materials</w:t>
      </w:r>
      <w:r>
        <w:rPr>
          <w:color w:val="000000"/>
        </w:rPr>
        <w:t xml:space="preserve">” </w:t>
      </w:r>
      <w:r>
        <w:rPr>
          <w:rFonts w:ascii="Times New Roman;serif" w:hAnsi="Times New Roman;serif"/>
          <w:b w:val="false"/>
          <w:color w:val="000000"/>
          <w:sz w:val="22"/>
        </w:rPr>
        <w:t>means all explosive or radioactive substances or wastes, contaminants, pollutants and hazardous or toxic substances, materials or wastes, including petroleum or petroleum distillates, asbestos or asbestos-containing materials, toxic mold, polychlorinated biphenyls, radon gas, infectious or medical wastes and all other toxic substances, materials or wastes of any nature regulated pursuant to any Environmental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Hedge Bank</w:t>
      </w:r>
      <w:r>
        <w:rPr>
          <w:color w:val="000000"/>
        </w:rPr>
        <w:t xml:space="preserve">” </w:t>
      </w:r>
      <w:r>
        <w:rPr>
          <w:rFonts w:ascii="Times New Roman;serif" w:hAnsi="Times New Roman;serif"/>
          <w:b w:val="false"/>
          <w:color w:val="000000"/>
          <w:sz w:val="22"/>
        </w:rPr>
        <w:t xml:space="preserve">means any Person in its capacity as a party to a Swap Contract that: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at the time it enters into a Swap Contract, is a Lender or an Agent or an Affiliate of a Lender or an Agent,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in the case of any Person party to a Swap Contract in effect as of the Closing Date, either is a Lender or an Agent or an Affiliate of a Lender or an Agent as of the Closing Date or becomes a Lender or an Agent or an Affiliate of a Lender within 45 days after the Closing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within 45 days after the time it enters into a Swap Contract, becomes a Lender or an Agent or an Affiliate of a Lender or an Agent,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 whose long-term senior unsecured debt rating is A/A2 by S&amp;P or Moody’s (or their equivalent) or higher or (B) that has been approved in writing by the Administrative Agent,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in the case of any Person described in the foregoing </w:t>
      </w:r>
      <w:r>
        <w:rPr>
          <w:rFonts w:ascii="Times New Roman;serif" w:hAnsi="Times New Roman;serif"/>
          <w:b w:val="false"/>
          <w:color w:val="000000"/>
          <w:sz w:val="22"/>
          <w:u w:val="single"/>
        </w:rPr>
        <w:t>clause (a)(iii)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(iv)</w:t>
      </w:r>
      <w:r>
        <w:rPr>
          <w:rFonts w:ascii="Times New Roman;serif" w:hAnsi="Times New Roman;serif"/>
          <w:b w:val="false"/>
          <w:color w:val="000000"/>
          <w:sz w:val="22"/>
        </w:rPr>
        <w:t>, has been designated by the Company in writing to the Administrative Agent as a “Hedge Bank” for purposes of this Agreement and the other Loan Documents, and</w:t>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32" name="Frame1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to the extent not the Administrative Agent, the Collateral Agent or a Lender hereunder, shall have appointed the Administrative Agent and the Collateral Agent as its agents under the applicable Loan Documents and agreed to be bound by the provisions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as if it were a Lender pursuant to a writing substantially in the form of </w:t>
      </w:r>
      <w:r>
        <w:rPr>
          <w:rFonts w:ascii="Times New Roman;serif" w:hAnsi="Times New Roman;serif"/>
          <w:b w:val="false"/>
          <w:color w:val="000000"/>
          <w:sz w:val="22"/>
          <w:u w:val="single"/>
        </w:rPr>
        <w:t>Exhibit N</w:t>
      </w:r>
      <w:r>
        <w:rPr>
          <w:color w:val="000000"/>
        </w:rPr>
        <w:t xml:space="preserve"> </w:t>
      </w:r>
      <w:r>
        <w:rPr>
          <w:rFonts w:ascii="Times New Roman;serif" w:hAnsi="Times New Roman;serif"/>
          <w:b w:val="false"/>
          <w:color w:val="000000"/>
          <w:sz w:val="22"/>
        </w:rPr>
        <w:t>or otherwise reasonably satisfactory to the Company and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Honor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2.03(d)(i)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IFRS</w:t>
      </w:r>
      <w:r>
        <w:rPr>
          <w:color w:val="000000"/>
        </w:rPr>
        <w:t xml:space="preserve">” </w:t>
      </w:r>
      <w:r>
        <w:rPr>
          <w:rFonts w:ascii="Times New Roman;serif" w:hAnsi="Times New Roman;serif"/>
          <w:b w:val="false"/>
          <w:color w:val="000000"/>
          <w:sz w:val="22"/>
        </w:rPr>
        <w:t>means the international financial reporting standards as issued by the International Accounting Standards Board and adopted by the European Union as in effect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Immaterial Subsidiary</w:t>
      </w:r>
      <w:r>
        <w:rPr>
          <w:color w:val="000000"/>
        </w:rPr>
        <w:t xml:space="preserve">” </w:t>
      </w:r>
      <w:r>
        <w:rPr>
          <w:rFonts w:ascii="Times New Roman;serif" w:hAnsi="Times New Roman;serif"/>
          <w:b w:val="false"/>
          <w:color w:val="000000"/>
          <w:sz w:val="22"/>
        </w:rPr>
        <w:t xml:space="preserve">means, at any date of determination, each Restricted Subsidiary of the Company that (i) has not guaranteed any other Indebtedness of the Company and (ii) (A) has Total Assets and revenues of less than 5.0% of Total Assets and revenues of the Company and its Restricted Subsidiaries on a consolidated basis, and (B) together with all other Immaterial Subsidiaries, has Total Assets and revenues of less than 10.0% of Total Assets and revenues of the Company and its Restricted Subsidiaries on a consolidated basis, in each case for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measured at the end of the most recent fiscal period for which consolidated financial statements are available (which may, at the election of the Company, be internal financial statements) on a </w:t>
      </w:r>
      <w:r>
        <w:rPr>
          <w:rFonts w:ascii="Times New Roman;serif" w:hAnsi="Times New Roman;serif"/>
          <w:b w:val="false"/>
          <w:i/>
          <w:color w:val="000000"/>
          <w:sz w:val="22"/>
        </w:rPr>
        <w:t>pro forma</w:t>
      </w:r>
      <w:r>
        <w:rPr>
          <w:color w:val="000000"/>
        </w:rPr>
        <w:t xml:space="preserve"> </w:t>
      </w:r>
      <w:r>
        <w:rPr>
          <w:rFonts w:ascii="Times New Roman;serif" w:hAnsi="Times New Roman;serif"/>
          <w:b w:val="false"/>
          <w:color w:val="000000"/>
          <w:sz w:val="22"/>
        </w:rPr>
        <w:t>basis giving effect to any acquisitions or dispositions of companies, division or lines of business since such balance sheet date or the start of such four quarter period, as applicable, and on or prior to the date of acquisition of such Subsidiary.</w:t>
      </w:r>
      <w:r>
        <w:rPr>
          <w:color w:val="0000FF"/>
          <w:u w:val="single"/>
        </w:rPr>
        <w:t xml:space="preserve"> </w:t>
      </w:r>
      <w:r>
        <w:rPr>
          <w:rFonts w:ascii="Times New Roman;serif" w:hAnsi="Times New Roman;serif"/>
          <w:b w:val="false"/>
          <w:color w:val="0000FF"/>
          <w:sz w:val="22"/>
          <w:u w:val="single"/>
        </w:rPr>
        <w:t xml:space="preserve">Notwithstanding the foregoing, none of (i) embecta International Holdings I LLC, (ii) embecta International Holdings II LLC, or (iii) embecta Global LLC shall constitute an “Immaterial Subsidiary”. </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Immediate Family Members</w:t>
      </w:r>
      <w:r>
        <w:rPr>
          <w:color w:val="000000"/>
        </w:rPr>
        <w:t xml:space="preserve">” </w:t>
      </w:r>
      <w:r>
        <w:rPr>
          <w:rFonts w:ascii="Times New Roman;serif" w:hAnsi="Times New Roman;serif"/>
          <w:b w:val="false"/>
          <w:color w:val="000000"/>
          <w:sz w:val="22"/>
        </w:rPr>
        <w:t>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Increase Effective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Increased Amount</w:t>
      </w:r>
      <w:r>
        <w:rPr>
          <w:color w:val="000000"/>
        </w:rPr>
        <w:t xml:space="preserve">” </w:t>
      </w:r>
      <w:r>
        <w:rPr>
          <w:rFonts w:ascii="Times New Roman;serif" w:hAnsi="Times New Roman;serif"/>
          <w:b w:val="false"/>
          <w:color w:val="000000"/>
          <w:sz w:val="22"/>
        </w:rPr>
        <w:t>means, with respect to any Indebtedness,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r>
        <w:rPr>
          <w:color w:val="0000FF"/>
          <w:u w:val="single"/>
        </w:rPr>
        <w:t xml:space="preserve"> </w:t>
      </w:r>
      <w:r>
        <w:rPr>
          <w:rFonts w:ascii="Times New Roman;serif" w:hAnsi="Times New Roman;serif"/>
          <w:b w:val="false"/>
          <w:color w:val="0000FF"/>
          <w:sz w:val="22"/>
          <w:u w:val="single"/>
        </w:rPr>
        <w:t>Notwithstanding anything to the contrary contained in this Agreement or any other Loan Document, as set forth in Section 2.14(a), after the First Amendment Effective Date, the “Incremental Amount” shall be $0.</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Arranger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Debt Lien/Guarantee Parameters</w:t>
      </w:r>
      <w:r>
        <w:rPr>
          <w:color w:val="000000"/>
        </w:rPr>
        <w:t xml:space="preserve">” </w:t>
      </w:r>
      <w:r>
        <w:rPr>
          <w:rFonts w:ascii="Times New Roman;serif" w:hAnsi="Times New Roman;serif"/>
          <w:b w:val="false"/>
          <w:color w:val="000000"/>
          <w:sz w:val="22"/>
        </w:rPr>
        <w:t>means with respect to any Credit Agreement Refinancing Debt, Permitted Debt Exchange Notes, New Revolving Facility, New Term Facility, Extended Tranche, Incremental Equivalent Debt, or Specified Refinancing Debt, as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33" name="Frame1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if such debt is borrowed or issued by (x) any Borrower or any Guarantor, it shall not be Guaranteed by any Person that is not a Loan Party or does not become a Loan Party substantially concurrently with the incurrence of such debt, or (y) any Non-Loan Party Subsidiary, the amount thereof shall not exceed </w:t>
      </w:r>
      <w:r>
        <w:rPr>
          <w:rFonts w:ascii="Times New Roman;serif" w:hAnsi="Times New Roman;serif"/>
          <w:b w:val="false"/>
          <w:strike/>
          <w:color w:val="FF0000"/>
          <w:sz w:val="22"/>
        </w:rPr>
        <w:t>the Non-Loan Party Sublimit</w:t>
      </w:r>
      <w:r>
        <w:rPr>
          <w:rFonts w:ascii="Times New Roman;serif" w:hAnsi="Times New Roman;serif"/>
          <w:b w:val="false"/>
          <w:color w:val="0000FF"/>
          <w:sz w:val="22"/>
          <w:u w:val="single"/>
        </w:rPr>
        <w:t>$25,000,000</w:t>
      </w:r>
      <w:r>
        <w:rPr>
          <w:color w:val="000000"/>
        </w:rPr>
        <w:t xml:space="preserve"> </w:t>
      </w:r>
      <w:r>
        <w:rPr>
          <w:rFonts w:ascii="Times New Roman;serif" w:hAnsi="Times New Roman;serif"/>
          <w:b w:val="false"/>
          <w:color w:val="000000"/>
          <w:sz w:val="22"/>
        </w:rPr>
        <w:t>as of the date of Incurrence;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if such debt is secured by a lien on all or any portion of the Collateral, (x) it shall not be secured by any assets other than assets that constitute Collateral, and (y) it shall be secured by a lien on the Collateral on a basis with the Initial Term Loans or secured by a lien on the Collateral on a junior basis to the Initial Term Loans;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if such debt is secured by a lien on all or any portion of the Collateral, such debt shall be subject to Applicable Intercreditor Arrangements.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Equivalent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Equivalent Debt Arranger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2.15(a)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Incremental 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Incur</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incur</w:t>
      </w:r>
      <w:r>
        <w:rPr>
          <w:color w:val="000000"/>
        </w:rPr>
        <w:t xml:space="preserve">” </w:t>
      </w:r>
      <w:r>
        <w:rPr>
          <w:rFonts w:ascii="Times New Roman;serif" w:hAnsi="Times New Roman;serif"/>
          <w:b w:val="false"/>
          <w:color w:val="000000"/>
          <w:sz w:val="22"/>
        </w:rPr>
        <w:t xml:space="preserve">means to issue, create, assume, enter into any Guarantee of, incur, extend or otherwise become liable for; </w:t>
      </w:r>
      <w:r>
        <w:rPr>
          <w:rFonts w:ascii="Times New Roman;serif" w:hAnsi="Times New Roman;serif"/>
          <w:b w:val="false"/>
          <w:i/>
          <w:color w:val="000000"/>
          <w:sz w:val="22"/>
        </w:rPr>
        <w:t>provided, however</w:t>
      </w:r>
      <w:r>
        <w:rPr>
          <w:rFonts w:ascii="Times New Roman;serif" w:hAnsi="Times New Roman;serif"/>
          <w:b w:val="false"/>
          <w:color w:val="000000"/>
          <w:sz w:val="22"/>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Indebtedness</w:t>
      </w:r>
      <w:r>
        <w:rPr>
          <w:color w:val="000000"/>
        </w:rPr>
        <w:t xml:space="preserve">” </w:t>
      </w:r>
      <w:r>
        <w:rPr>
          <w:rFonts w:ascii="Times New Roman;serif" w:hAnsi="Times New Roman;serif"/>
          <w:b w:val="false"/>
          <w:color w:val="000000"/>
          <w:sz w:val="22"/>
        </w:rPr>
        <w:t>means, with respect to any Person on any date of determination (without duplication):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the principal of indebtedness of such Person for borrowed money;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the principal of obligations of such Person evidenced by bonds, debentures, notes or other similar instruments;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all reimbursement obligations of such Person in respect of letters of credit,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(4)    bankers’ acceptances or other similar instruments (the amount of such obligations being equal at any time to the aggregate then undrawn and unexpired amount of such letters of credit or other instruments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the aggregate amount of drawings thereunder that have not been reimbursed) (except to the extent such reimbursement obligations relate to trade payables and such obligations are satisfied within 30 days of incurrence);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(6)    Capitalized Lease Obligations of such Person;</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34" name="Frame1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(7)    the principal component of all obligations, or liquidation preference, of such Person with respect to any Disqualified Stock or, with respect to any Restricted Subsidiary, any Preferred Stock (but excluding, in each case, any accrued dividends);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(8)    the principal component of all Indebtedness of other Persons secured by a Lien on any asset of such Person, whether or not such Indebtedness is assumed by such Person;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amount of such Indebtedness will be the lesser of (a) the fair market value of such asset at such date of determination (as determined in good faith by the Company) and (b) the amount of such Indebtedness of such other Persons;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(9)    Guarantees by such Person of the principal component of Indebtedness of the type referred to in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of other Persons to the extent Guaranteed by such Person;</w:t>
      </w:r>
      <w:r>
        <w:rPr>
          <w:strike/>
          <w:color w:val="FF0000"/>
        </w:rPr>
        <w:t xml:space="preserve"> </w:t>
      </w:r>
      <w:r>
        <w:rPr>
          <w:rFonts w:ascii="Times New Roman;serif" w:hAnsi="Times New Roman;serif"/>
          <w:b w:val="false"/>
          <w:strike/>
          <w:color w:val="FF0000"/>
          <w:sz w:val="22"/>
        </w:rPr>
        <w:t>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(10)    to the extent not otherwise included in this definition, net obligations of such Person under Swap Obligations (the amount of any such obligations to be equal at any time to the net payments under such agreement or arrangement giving rise to such obligation that would be payable by such Person at the termination of such agreement or arrangement);</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(11)    all Attributable Indebtedness </w:t>
      </w:r>
      <w:r>
        <w:rPr>
          <w:rFonts w:ascii="Times New Roman;serif" w:hAnsi="Times New Roman;serif"/>
          <w:b w:val="false"/>
          <w:color w:val="008000"/>
          <w:sz w:val="22"/>
          <w:u w:val="single"/>
        </w:rPr>
        <w:t xml:space="preserve">of such Person </w:t>
      </w:r>
      <w:r>
        <w:rPr>
          <w:rFonts w:ascii="Times New Roman;serif" w:hAnsi="Times New Roman;serif"/>
          <w:b w:val="false"/>
          <w:color w:val="0000FF"/>
          <w:sz w:val="22"/>
          <w:u w:val="single"/>
        </w:rPr>
        <w:t>with respect to such Person’s Synthetic Leases (regardless of whether accounted for as indebtedness under GAAP); and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(12)    the outstanding attributed principal amount under any asset securitization program or factoring arrangement (including, without limitation, </w:t>
      </w:r>
      <w:r>
        <w:rPr>
          <w:rFonts w:ascii="Times New Roman;serif" w:hAnsi="Times New Roman;serif"/>
          <w:b w:val="false"/>
          <w:color w:val="008000"/>
          <w:sz w:val="22"/>
          <w:u w:val="single"/>
        </w:rPr>
        <w:t>obligations under or in respect of Qualified Securitization Financings or Receivables Facilities</w:t>
      </w:r>
      <w:r>
        <w:rPr>
          <w:rFonts w:ascii="Times New Roman;serif" w:hAnsi="Times New Roman;serif"/>
          <w:b w:val="false"/>
          <w:color w:val="0000FF"/>
          <w:sz w:val="22"/>
          <w:u w:val="single"/>
        </w:rPr>
        <w:t>);</w:t>
      </w:r>
    </w:p>
    <w:p>
      <w:pPr>
        <w:pStyle w:val="TextBody"/>
        <w:bidi w:val="0"/>
        <w:spacing w:lineRule="auto" w:line="288" w:before="0" w:after="240"/>
        <w:jc w:val="left"/>
        <w:rPr/>
      </w:pPr>
      <w:r>
        <w:rPr>
          <w:rFonts w:ascii="Times New Roman;serif" w:hAnsi="Times New Roman;serif"/>
          <w:b w:val="false"/>
          <w:color w:val="000000"/>
          <w:sz w:val="22"/>
        </w:rPr>
        <w:t xml:space="preserve">with respect to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above, if and to the extent that any of the foregoing Indebtedness (other than letters of credit and Swap Obligations) would appear as a liability upon a balance sheet (excluding the footnotes thereto) of such Person prepared in accordance with GAAP.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the above provisions, in no event shall the following constitute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Contingent Obligations incurred in the ordinary course of business or consistent with past practice, other than Guarantees or other assumptions of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obligations in respect of Cash Management Agreements;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(iii)    any lease, concession or license of property (or Guarantee thereof) which would be considered an operating lease under GAAP as in effect on the Closing Date, Non-Financing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35"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Lease Obligations, Sale and Leaseback Transactions or any prepayments of deposits received from clients or customers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obligations under any license, permit or other approval (or Guarantees given in respect of such obligations) incurred prior to the Closing Date or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in connection with the purchase by the Company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serif" w:hAnsi="Times New Roman;serif"/>
          <w:b w:val="false"/>
          <w:i/>
          <w:color w:val="000000"/>
          <w:sz w:val="22"/>
        </w:rPr>
        <w:t>provided, however</w:t>
      </w:r>
      <w:r>
        <w:rPr>
          <w:rFonts w:ascii="Times New Roman;serif" w:hAnsi="Times New Roman;serif"/>
          <w:b w:val="false"/>
          <w:color w:val="000000"/>
          <w:sz w:val="22"/>
        </w:rPr>
        <w:t>, that, at the time of closing, the amount of any such payment is not determinable and, to the extent such payment thereafter becomes fixed and determined, the amount is paid in a timely manner;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for the avoidance of doubt, any obligations in respect of workers’ compensation claims, early retirement or termination obligations, pension fund obligations or contributions or similar claims, obligations or contributions or social security or wage Taxes;</w:t>
      </w:r>
    </w:p>
    <w:p>
      <w:pPr>
        <w:pStyle w:val="TextBody"/>
        <w:bidi w:val="0"/>
        <w:spacing w:lineRule="auto" w:line="288" w:before="0" w:after="240"/>
        <w:ind w:left="0" w:right="0" w:firstLine="720"/>
        <w:jc w:val="left"/>
        <w:rPr/>
      </w:pPr>
      <w:r>
        <w:rPr>
          <w:rFonts w:ascii="Times New Roman;serif" w:hAnsi="Times New Roman;serif"/>
          <w:b w:val="false"/>
          <w:color w:val="000000"/>
          <w:sz w:val="22"/>
        </w:rPr>
        <w:t>(vii)    </w:t>
      </w:r>
      <w:r>
        <w:rPr>
          <w:rFonts w:ascii="Times New Roman;serif" w:hAnsi="Times New Roman;serif"/>
          <w:b w:val="false"/>
          <w:strike/>
          <w:color w:val="008000"/>
          <w:sz w:val="22"/>
        </w:rPr>
        <w:t>obligations under or in respect of Qualified Securitization Financings or Receivables Facilities</w:t>
      </w:r>
      <w:r>
        <w:rPr>
          <w:rFonts w:ascii="Times New Roman;serif" w:hAnsi="Times New Roman;serif"/>
          <w:b w:val="false"/>
          <w:color w:val="0000FF"/>
          <w:sz w:val="22"/>
          <w:u w:val="single"/>
        </w:rPr>
        <w:t>[reserved]</w:t>
      </w:r>
      <w:r>
        <w:rPr>
          <w:rFonts w:ascii="Times New Roman;serif" w:hAnsi="Times New Roman;serif"/>
          <w:b w:val="false"/>
          <w:color w:val="000000"/>
          <w:sz w:val="22"/>
        </w:rPr>
        <w: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Indebtedness of any direct or indirect parent of the Company appearing on the balance sheet of the Company solely by reason of push down accounting under GAAP;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(ix)    Capital Stock (other than in the case of clause (6) above, Disqualified Stock);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    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Indemnified Liabilities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Indemnified Taxes</w:t>
      </w:r>
      <w:r>
        <w:rPr>
          <w:color w:val="000000"/>
        </w:rPr>
        <w:t xml:space="preserve">” </w:t>
      </w:r>
      <w:r>
        <w:rPr>
          <w:rFonts w:ascii="Times New Roman;serif" w:hAnsi="Times New Roman;serif"/>
          <w:b w:val="false"/>
          <w:color w:val="000000"/>
          <w:sz w:val="22"/>
        </w:rPr>
        <w:t>means (a) all Taxes, other than Excluded Taxes, imposed on or with respect to any payment made by or on account of any obligation of any Loan Party under any Loan Document and (b) to the extent not otherwise described in (a), all Other Taxes.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Indemnitees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Independent Financial Advisor</w:t>
      </w:r>
      <w:r>
        <w:rPr>
          <w:color w:val="000000"/>
        </w:rPr>
        <w:t xml:space="preserve">” </w:t>
      </w:r>
      <w:r>
        <w:rPr>
          <w:rFonts w:ascii="Times New Roman;serif" w:hAnsi="Times New Roman;serif"/>
          <w:b w:val="false"/>
          <w:color w:val="000000"/>
          <w:sz w:val="22"/>
        </w:rPr>
        <w:t xml:space="preserve">means an accounting, appraisal, investment banking firm or consultant to Persons engaged in Similar Businesses of nationally recognized standing; </w:t>
      </w:r>
      <w:r>
        <w:rPr>
          <w:rFonts w:ascii="Times New Roman;serif" w:hAnsi="Times New Roman;serif"/>
          <w:b w:val="false"/>
          <w:i/>
          <w:color w:val="000000"/>
          <w:sz w:val="22"/>
        </w:rPr>
        <w:t>provided, however</w:t>
      </w:r>
      <w:r>
        <w:rPr>
          <w:rFonts w:ascii="Times New Roman;serif" w:hAnsi="Times New Roman;serif"/>
          <w:b w:val="false"/>
          <w:color w:val="000000"/>
          <w:sz w:val="22"/>
        </w:rPr>
        <w:t>, that such firm or appraiser is not an Affiliate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Information Memorandum</w:t>
      </w:r>
      <w:r>
        <w:rPr>
          <w:color w:val="000000"/>
        </w:rPr>
        <w:t xml:space="preserve">” </w:t>
      </w:r>
      <w:r>
        <w:rPr>
          <w:rFonts w:ascii="Times New Roman;serif" w:hAnsi="Times New Roman;serif"/>
          <w:b w:val="false"/>
          <w:color w:val="000000"/>
          <w:sz w:val="22"/>
        </w:rPr>
        <w:t>means the lender presentation and private supplement thereto dated January 2022.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Agreement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7.06(b)(17)</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36"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Revolving Credit Commitments</w:t>
      </w:r>
      <w:r>
        <w:rPr>
          <w:color w:val="000000"/>
        </w:rPr>
        <w:t xml:space="preserve">” </w:t>
      </w:r>
      <w:r>
        <w:rPr>
          <w:rFonts w:ascii="Times New Roman;serif" w:hAnsi="Times New Roman;serif"/>
          <w:b w:val="false"/>
          <w:color w:val="000000"/>
          <w:sz w:val="22"/>
        </w:rPr>
        <w:t xml:space="preserve">means, as to any Revolving Credit Lender, its obligation to (a) make Revolving Credit Loans to the Company and (b) purchase participations in L/C Obligations, in an aggregate principal amount and/or Dollar Amount not to exceed the amount set forth under the heading “Initial Revolving Credit Commitment” opposite such Lender’s name on </w:t>
      </w:r>
      <w:r>
        <w:rPr>
          <w:rFonts w:ascii="Times New Roman;serif" w:hAnsi="Times New Roman;serif"/>
          <w:b w:val="false"/>
          <w:color w:val="000000"/>
          <w:sz w:val="22"/>
          <w:u w:val="single"/>
        </w:rPr>
        <w:t>Schedule 2.01</w:t>
      </w:r>
      <w:r>
        <w:rPr>
          <w:rFonts w:ascii="Times New Roman;serif" w:hAnsi="Times New Roman;serif"/>
          <w:b w:val="false"/>
          <w:color w:val="000000"/>
          <w:sz w:val="22"/>
        </w:rPr>
        <w:t>, as such amount may be adjusted from time to time in accordance with the terms of this Agreement</w:t>
      </w:r>
      <w:r>
        <w:rPr>
          <w:color w:val="0000FF"/>
          <w:u w:val="single"/>
        </w:rPr>
        <w:t xml:space="preserve"> </w:t>
      </w:r>
      <w:r>
        <w:rPr>
          <w:rFonts w:ascii="Times New Roman;serif" w:hAnsi="Times New Roman;serif"/>
          <w:b w:val="false"/>
          <w:color w:val="0000FF"/>
          <w:sz w:val="22"/>
          <w:u w:val="single"/>
        </w:rPr>
        <w:t>(including, without limitation, as set forth on Annex A to the First Amendment)</w:t>
      </w:r>
      <w:r>
        <w:rPr>
          <w:rFonts w:ascii="Times New Roman;serif" w:hAnsi="Times New Roman;serif"/>
          <w:b w:val="false"/>
          <w:color w:val="000000"/>
          <w:sz w:val="22"/>
        </w:rPr>
        <w:t>. The original Dollar Amount of the Initial Revolving Credit Commitments shall be $</w:t>
      </w:r>
      <w:r>
        <w:rPr>
          <w:rFonts w:ascii="Times New Roman;serif" w:hAnsi="Times New Roman;serif"/>
          <w:b w:val="false"/>
          <w:strike/>
          <w:color w:val="FF0000"/>
          <w:sz w:val="22"/>
        </w:rPr>
        <w:t>500,000,000</w:t>
      </w:r>
      <w:r>
        <w:rPr>
          <w:rFonts w:ascii="Times New Roman;serif" w:hAnsi="Times New Roman;serif"/>
          <w:b w:val="false"/>
          <w:color w:val="0000FF"/>
          <w:sz w:val="22"/>
          <w:u w:val="single"/>
        </w:rPr>
        <w:t>310,000,000</w:t>
      </w:r>
      <w:r>
        <w:rPr>
          <w:color w:val="000000"/>
        </w:rPr>
        <w:t xml:space="preserve"> </w:t>
      </w:r>
      <w:r>
        <w:rPr>
          <w:rFonts w:ascii="Times New Roman;serif" w:hAnsi="Times New Roman;serif"/>
          <w:b w:val="false"/>
          <w:color w:val="000000"/>
          <w:sz w:val="22"/>
        </w:rPr>
        <w:t xml:space="preserve">on the </w:t>
      </w:r>
      <w:r>
        <w:rPr>
          <w:rFonts w:ascii="Times New Roman;serif" w:hAnsi="Times New Roman;serif"/>
          <w:b w:val="false"/>
          <w:strike/>
          <w:color w:val="FF0000"/>
          <w:sz w:val="22"/>
        </w:rPr>
        <w:t>Closing</w:t>
      </w:r>
      <w:r>
        <w:rPr>
          <w:rFonts w:ascii="Times New Roman;serif" w:hAnsi="Times New Roman;serif"/>
          <w:b w:val="false"/>
          <w:color w:val="0000FF"/>
          <w:sz w:val="22"/>
          <w:u w:val="single"/>
        </w:rPr>
        <w:t>First Amendment Effective</w:t>
      </w:r>
      <w:r>
        <w:rPr>
          <w:color w:val="000000"/>
        </w:rPr>
        <w:t xml:space="preserve"> </w:t>
      </w:r>
      <w:r>
        <w:rPr>
          <w:rFonts w:ascii="Times New Roman;serif" w:hAnsi="Times New Roman;serif"/>
          <w:b w:val="false"/>
          <w:color w:val="000000"/>
          <w:sz w:val="22"/>
        </w:rPr>
        <w:t>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Initial Revolving-1 Credit Commitments</w:t>
      </w:r>
      <w:r>
        <w:rPr>
          <w:color w:val="0000FF"/>
          <w:u w:val="single"/>
        </w:rPr>
        <w:t xml:space="preserve">” </w:t>
      </w:r>
      <w:r>
        <w:rPr>
          <w:rFonts w:ascii="Times New Roman;serif" w:hAnsi="Times New Roman;serif"/>
          <w:b w:val="false"/>
          <w:color w:val="0000FF"/>
          <w:sz w:val="22"/>
          <w:u w:val="single"/>
        </w:rPr>
        <w:t xml:space="preserve">means, as to any Revolving-1 Credit Lender, its obligation to (a) make Revolving Credit Loans to the Company and (b) purchase participations in L/C Obligations, in </w:t>
      </w:r>
      <w:r>
        <w:rPr>
          <w:rFonts w:ascii="Times New Roman;serif" w:hAnsi="Times New Roman;serif"/>
          <w:b w:val="false"/>
          <w:color w:val="008000"/>
          <w:sz w:val="22"/>
          <w:u w:val="single"/>
        </w:rPr>
        <w:t xml:space="preserve">an aggregate principal amount </w:t>
      </w:r>
      <w:r>
        <w:rPr>
          <w:rFonts w:ascii="Times New Roman;serif" w:hAnsi="Times New Roman;serif"/>
          <w:b w:val="false"/>
          <w:color w:val="0000FF"/>
          <w:sz w:val="22"/>
          <w:u w:val="single"/>
        </w:rPr>
        <w:t xml:space="preserve">and/or Dollar Amount not to exceed the amount set forth under the heading “Initial Revolving-1 Credit Commitment” opposite such Lender’s name on Schedule 2.01, as such amount may be adjusted </w:t>
      </w:r>
      <w:r>
        <w:rPr>
          <w:rFonts w:ascii="Times New Roman;serif" w:hAnsi="Times New Roman;serif"/>
          <w:b w:val="false"/>
          <w:color w:val="008000"/>
          <w:sz w:val="22"/>
          <w:u w:val="single"/>
        </w:rPr>
        <w:t xml:space="preserve">from time to time </w:t>
      </w:r>
      <w:r>
        <w:rPr>
          <w:rFonts w:ascii="Times New Roman;serif" w:hAnsi="Times New Roman;serif"/>
          <w:b w:val="false"/>
          <w:color w:val="0000FF"/>
          <w:sz w:val="22"/>
          <w:u w:val="single"/>
        </w:rPr>
        <w:t xml:space="preserve">in accordance with the terms of this Agreement (including, without limitation, as set forth on Annex A to the First Amendment). The original Dollar Amount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Initial Revolving-1 Credit Commitments shall be $100,000,000 on the First Amendment Effective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Initial Revolving-2 Credit Commitments</w:t>
      </w:r>
      <w:r>
        <w:rPr>
          <w:color w:val="0000FF"/>
          <w:u w:val="single"/>
        </w:rPr>
        <w:t xml:space="preserve">” </w:t>
      </w:r>
      <w:r>
        <w:rPr>
          <w:rFonts w:ascii="Times New Roman;serif" w:hAnsi="Times New Roman;serif"/>
          <w:b w:val="false"/>
          <w:color w:val="0000FF"/>
          <w:sz w:val="22"/>
          <w:u w:val="single"/>
        </w:rPr>
        <w:t xml:space="preserve">means, as to any Revolving-2 Credit Lender, its obligation to (a) make Revolving Credit Loans </w:t>
      </w:r>
      <w:r>
        <w:rPr>
          <w:rFonts w:ascii="Times New Roman;serif" w:hAnsi="Times New Roman;serif"/>
          <w:b w:val="false"/>
          <w:color w:val="008000"/>
          <w:sz w:val="22"/>
          <w:u w:val="single"/>
        </w:rPr>
        <w:t xml:space="preserve">to the Company </w:t>
      </w:r>
      <w:r>
        <w:rPr>
          <w:rFonts w:ascii="Times New Roman;serif" w:hAnsi="Times New Roman;serif"/>
          <w:b w:val="false"/>
          <w:color w:val="0000FF"/>
          <w:sz w:val="22"/>
          <w:u w:val="single"/>
        </w:rPr>
        <w:t xml:space="preserve">and (b) purchase participations in L/C Obligations, </w:t>
      </w:r>
      <w:r>
        <w:rPr>
          <w:rFonts w:ascii="Times New Roman;serif" w:hAnsi="Times New Roman;serif"/>
          <w:b w:val="false"/>
          <w:color w:val="008000"/>
          <w:sz w:val="22"/>
          <w:u w:val="single"/>
        </w:rPr>
        <w:t xml:space="preserve">in an aggregate principal amount </w:t>
      </w:r>
      <w:r>
        <w:rPr>
          <w:rFonts w:ascii="Times New Roman;serif" w:hAnsi="Times New Roman;serif"/>
          <w:b w:val="false"/>
          <w:color w:val="0000FF"/>
          <w:sz w:val="22"/>
          <w:u w:val="single"/>
        </w:rPr>
        <w:t xml:space="preserve">and/or Dollar Amount not to exceed the amount set forth under the heading “Initial Revolving Credit Commitment” opposite such Lender’s name on Schedule 2.01, as such amount may be adjusted </w:t>
      </w:r>
      <w:r>
        <w:rPr>
          <w:rFonts w:ascii="Times New Roman;serif" w:hAnsi="Times New Roman;serif"/>
          <w:b w:val="false"/>
          <w:color w:val="008000"/>
          <w:sz w:val="22"/>
          <w:u w:val="single"/>
        </w:rPr>
        <w:t xml:space="preserve">from time to time </w:t>
      </w:r>
      <w:r>
        <w:rPr>
          <w:rFonts w:ascii="Times New Roman;serif" w:hAnsi="Times New Roman;serif"/>
          <w:b w:val="false"/>
          <w:color w:val="0000FF"/>
          <w:sz w:val="22"/>
          <w:u w:val="single"/>
        </w:rPr>
        <w:t xml:space="preserve">in accordance with the terms of this Agreement (including, without limitation, as set forth on Annex A to the First Amendment). The original Dollar Amount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 xml:space="preserve">Initial Revolving-2 Credit Commitments shall be $210,000,000 </w:t>
      </w:r>
      <w:r>
        <w:rPr>
          <w:rFonts w:ascii="Times New Roman;serif" w:hAnsi="Times New Roman;serif"/>
          <w:b w:val="false"/>
          <w:color w:val="008000"/>
          <w:sz w:val="22"/>
          <w:u w:val="single"/>
        </w:rPr>
        <w:t xml:space="preserve">on the </w:t>
      </w:r>
      <w:r>
        <w:rPr>
          <w:rFonts w:ascii="Times New Roman;serif" w:hAnsi="Times New Roman;serif"/>
          <w:b w:val="false"/>
          <w:color w:val="0000FF"/>
          <w:sz w:val="22"/>
          <w:u w:val="single"/>
        </w:rPr>
        <w:t>First Amendment Effective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Initial Revolving Tranche</w:t>
      </w:r>
      <w:r>
        <w:rPr>
          <w:color w:val="0000FF"/>
          <w:u w:val="single"/>
        </w:rPr>
        <w:t xml:space="preserve">” </w:t>
      </w:r>
      <w:r>
        <w:rPr>
          <w:rFonts w:ascii="Times New Roman;serif" w:hAnsi="Times New Roman;serif"/>
          <w:b w:val="false"/>
          <w:color w:val="0000FF"/>
          <w:sz w:val="22"/>
          <w:u w:val="single"/>
        </w:rPr>
        <w:t>means the Initial Revolving-1 Tranche or the Initial Revolving-2 Tranche.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Revolving</w:t>
      </w:r>
      <w:r>
        <w:rPr>
          <w:rFonts w:ascii="Times New Roman;serif" w:hAnsi="Times New Roman;serif"/>
          <w:b/>
          <w:color w:val="0000FF"/>
          <w:sz w:val="22"/>
          <w:u w:val="single"/>
        </w:rPr>
        <w:t>-1</w:t>
      </w:r>
      <w:r>
        <w:rPr>
          <w:color w:val="000000"/>
        </w:rPr>
        <w:t xml:space="preserve"> </w:t>
      </w:r>
      <w:r>
        <w:rPr>
          <w:rFonts w:ascii="Times New Roman;serif" w:hAnsi="Times New Roman;serif"/>
          <w:b/>
          <w:color w:val="000000"/>
          <w:sz w:val="22"/>
        </w:rPr>
        <w:t>Tranche</w:t>
      </w:r>
      <w:r>
        <w:rPr>
          <w:color w:val="000000"/>
        </w:rPr>
        <w:t xml:space="preserve">” </w:t>
      </w:r>
      <w:r>
        <w:rPr>
          <w:rFonts w:ascii="Times New Roman;serif" w:hAnsi="Times New Roman;serif"/>
          <w:b w:val="false"/>
          <w:color w:val="000000"/>
          <w:sz w:val="22"/>
        </w:rPr>
        <w:t xml:space="preserve">means the Revolving Tranche established pursuant to </w:t>
      </w:r>
      <w:r>
        <w:rPr>
          <w:rFonts w:ascii="Times New Roman;serif" w:hAnsi="Times New Roman;serif"/>
          <w:b w:val="false"/>
          <w:color w:val="000000"/>
          <w:sz w:val="22"/>
          <w:u w:val="single"/>
        </w:rPr>
        <w:t>Section 2.01(b)</w:t>
      </w:r>
      <w:r>
        <w:rPr>
          <w:color w:val="000000"/>
        </w:rPr>
        <w:t xml:space="preserve"> </w:t>
      </w:r>
      <w:r>
        <w:rPr>
          <w:rFonts w:ascii="Times New Roman;serif" w:hAnsi="Times New Roman;serif"/>
          <w:b w:val="false"/>
          <w:color w:val="000000"/>
          <w:sz w:val="22"/>
        </w:rPr>
        <w:t>on the Closing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Initial Revolving-2 Tranche</w:t>
      </w:r>
      <w:r>
        <w:rPr>
          <w:color w:val="0000FF"/>
          <w:u w:val="single"/>
        </w:rPr>
        <w:t xml:space="preserve">” </w:t>
      </w:r>
      <w:r>
        <w:rPr>
          <w:rFonts w:ascii="Times New Roman;serif" w:hAnsi="Times New Roman;serif"/>
          <w:b w:val="false"/>
          <w:color w:val="0000FF"/>
          <w:sz w:val="22"/>
          <w:u w:val="single"/>
        </w:rPr>
        <w:t>means the Revolving Tranche established pursuant to Section 2.19 on the First Amendment Effective Date.</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Initial Revolving Extension Period</w:t>
      </w:r>
      <w:r>
        <w:rPr>
          <w:color w:val="0000FF"/>
          <w:u w:val="single"/>
        </w:rPr>
        <w:t xml:space="preserve">” </w:t>
      </w:r>
      <w:r>
        <w:rPr>
          <w:rFonts w:ascii="Times New Roman;serif" w:hAnsi="Times New Roman;serif"/>
          <w:b w:val="false"/>
          <w:color w:val="0000FF"/>
          <w:sz w:val="22"/>
          <w:u w:val="single"/>
        </w:rPr>
        <w:t xml:space="preserve">means the period commencing with the First Amendment Effective Date and ending on </w:t>
      </w:r>
      <w:r>
        <w:rPr>
          <w:rFonts w:ascii="Times New Roman;serif" w:hAnsi="Times New Roman;serif"/>
          <w:b w:val="false"/>
          <w:color w:val="008000"/>
          <w:sz w:val="22"/>
          <w:u w:val="single"/>
        </w:rPr>
        <w:t xml:space="preserve">the Maturity Date with respect to the </w:t>
      </w:r>
      <w:r>
        <w:rPr>
          <w:rFonts w:ascii="Times New Roman;serif" w:hAnsi="Times New Roman;serif"/>
          <w:b w:val="false"/>
          <w:color w:val="0000FF"/>
          <w:sz w:val="22"/>
          <w:u w:val="single"/>
        </w:rPr>
        <w:t>Initial Revolving-2 Tranche.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Term Borrowing</w:t>
      </w:r>
      <w:r>
        <w:rPr>
          <w:color w:val="000000"/>
        </w:rPr>
        <w:t xml:space="preserve">” </w:t>
      </w:r>
      <w:r>
        <w:rPr>
          <w:rFonts w:ascii="Times New Roman;serif" w:hAnsi="Times New Roman;serif"/>
          <w:b w:val="false"/>
          <w:color w:val="000000"/>
          <w:sz w:val="22"/>
        </w:rPr>
        <w:t xml:space="preserve">means a borrowing consisting of simultaneous Initial Term Loans made by each of the Initial Term Lenders pursuant to </w:t>
      </w:r>
      <w:r>
        <w:rPr>
          <w:rFonts w:ascii="Times New Roman;serif" w:hAnsi="Times New Roman;serif"/>
          <w:b w:val="false"/>
          <w:color w:val="000000"/>
          <w:sz w:val="22"/>
          <w:u w:val="single"/>
        </w:rPr>
        <w:t>Section 2.01(a)</w:t>
      </w:r>
      <w:r>
        <w:rPr>
          <w:rFonts w:ascii="Times New Roman;serif" w:hAnsi="Times New Roman;serif"/>
          <w:b w:val="false"/>
          <w:color w:val="000000"/>
          <w:sz w:val="22"/>
        </w:rPr>
        <w:t>, in each case, on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Term Commitment</w:t>
      </w:r>
      <w:r>
        <w:rPr>
          <w:color w:val="000000"/>
        </w:rPr>
        <w:t xml:space="preserve">” </w:t>
      </w:r>
      <w:r>
        <w:rPr>
          <w:rFonts w:ascii="Times New Roman;serif" w:hAnsi="Times New Roman;serif"/>
          <w:b w:val="false"/>
          <w:color w:val="000000"/>
          <w:sz w:val="22"/>
        </w:rPr>
        <w:t xml:space="preserve">means, as to each Initial Term Lender, its obligation to make Initial Term Loans to the Borrower pursuant to </w:t>
      </w:r>
      <w:r>
        <w:rPr>
          <w:rFonts w:ascii="Times New Roman;serif" w:hAnsi="Times New Roman;serif"/>
          <w:b w:val="false"/>
          <w:color w:val="000000"/>
          <w:sz w:val="22"/>
          <w:u w:val="single"/>
        </w:rPr>
        <w:t>Section 2.01(a)</w:t>
      </w:r>
      <w:r>
        <w:rPr>
          <w:color w:val="000000"/>
        </w:rPr>
        <w:t xml:space="preserve"> </w:t>
      </w:r>
      <w:r>
        <w:rPr>
          <w:rFonts w:ascii="Times New Roman;serif" w:hAnsi="Times New Roman;serif"/>
          <w:b w:val="false"/>
          <w:color w:val="000000"/>
          <w:sz w:val="22"/>
        </w:rPr>
        <w:t xml:space="preserve">in an aggregate principal amount not to exceed the amount set forth opposite such Initial Term Lender’s name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00"/>
          <w:sz w:val="22"/>
        </w:rPr>
        <w:t>under the caption “Initial Term Commitment” as such amount may be adjusted from time to time in accordance with this Agreement. The initial aggregate amount of the Initial Term Commitments is $950,000,000.</w:t>
      </w:r>
    </w:p>
    <w:p>
      <w:pPr>
        <w:pStyle w:val="TextBody"/>
        <w:bidi w:val="0"/>
        <w:spacing w:before="0" w:after="0"/>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37"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Term Lender</w:t>
      </w:r>
      <w:r>
        <w:rPr>
          <w:color w:val="000000"/>
        </w:rPr>
        <w:t xml:space="preserve">” </w:t>
      </w:r>
      <w:r>
        <w:rPr>
          <w:rFonts w:ascii="Times New Roman;serif" w:hAnsi="Times New Roman;serif"/>
          <w:b w:val="false"/>
          <w:color w:val="000000"/>
          <w:sz w:val="22"/>
        </w:rPr>
        <w:t>means (a) at any time on or prior to the Closing Date, any Lender that has an Initial Term Commitment at such time and (b) at any time after the Closing Date, any Lender that holds Initial Term Loans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Initial Term Loans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2.01(a)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Inside Maturity Basket</w:t>
      </w:r>
      <w:r>
        <w:rPr>
          <w:strike/>
          <w:color w:val="FF0000"/>
        </w:rPr>
        <w:t xml:space="preserve">” </w:t>
      </w:r>
      <w:r>
        <w:rPr>
          <w:rFonts w:ascii="Times New Roman;serif" w:hAnsi="Times New Roman;serif"/>
          <w:b w:val="false"/>
          <w:strike/>
          <w:color w:val="FF0000"/>
          <w:sz w:val="22"/>
        </w:rPr>
        <w:t xml:space="preserve">means, an </w:t>
      </w:r>
      <w:r>
        <w:rPr>
          <w:rFonts w:ascii="Times New Roman;serif" w:hAnsi="Times New Roman;serif"/>
          <w:b w:val="false"/>
          <w:strike/>
          <w:color w:val="008000"/>
          <w:sz w:val="22"/>
        </w:rPr>
        <w:t xml:space="preserve">aggregate principal amount of </w:t>
      </w:r>
      <w:r>
        <w:rPr>
          <w:rFonts w:ascii="Times New Roman;serif" w:hAnsi="Times New Roman;serif"/>
          <w:b w:val="false"/>
          <w:strike/>
          <w:color w:val="FF0000"/>
          <w:sz w:val="22"/>
        </w:rPr>
        <w:t>Indebtedness equal to</w:t>
      </w:r>
      <w:r>
        <w:rPr>
          <w:rFonts w:ascii="Times New Roman;serif" w:hAnsi="Times New Roman;serif"/>
          <w:b w:val="false"/>
          <w:strike/>
          <w:color w:val="008000"/>
          <w:sz w:val="22"/>
        </w:rPr>
        <w:t xml:space="preserve">, when taken together with the aggregate </w:t>
      </w:r>
      <w:r>
        <w:rPr>
          <w:rFonts w:ascii="Times New Roman;serif" w:hAnsi="Times New Roman;serif"/>
          <w:b w:val="false"/>
          <w:strike/>
          <w:color w:val="FF0000"/>
          <w:sz w:val="22"/>
        </w:rPr>
        <w:t xml:space="preserve">outstanding </w:t>
      </w:r>
      <w:r>
        <w:rPr>
          <w:rFonts w:ascii="Times New Roman;serif" w:hAnsi="Times New Roman;serif"/>
          <w:b w:val="false"/>
          <w:strike/>
          <w:color w:val="008000"/>
          <w:sz w:val="22"/>
        </w:rPr>
        <w:t xml:space="preserve">principal amount of all </w:t>
      </w:r>
      <w:r>
        <w:rPr>
          <w:rFonts w:ascii="Times New Roman;serif" w:hAnsi="Times New Roman;serif"/>
          <w:b w:val="false"/>
          <w:strike/>
          <w:color w:val="FF0000"/>
          <w:sz w:val="22"/>
        </w:rPr>
        <w:t>other Indebtedness Incurred in reliance on this definition on or prior to the date of Incurrence of any such Indebtedness</w:t>
      </w:r>
      <w:r>
        <w:rPr>
          <w:rFonts w:ascii="Times New Roman;serif" w:hAnsi="Times New Roman;serif"/>
          <w:b w:val="false"/>
          <w:strike/>
          <w:color w:val="008000"/>
          <w:sz w:val="22"/>
        </w:rPr>
        <w:t>, the greater of (</w:t>
      </w:r>
      <w:r>
        <w:rPr>
          <w:rFonts w:ascii="Times New Roman;serif" w:hAnsi="Times New Roman;serif"/>
          <w:b w:val="false"/>
          <w:strike/>
          <w:color w:val="FF0000"/>
          <w:sz w:val="22"/>
        </w:rPr>
        <w:t>a) $375,000,000 and (b) 75.0% of LTM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Intellectual Property Security Agreement</w:t>
      </w:r>
      <w:r>
        <w:rPr>
          <w:color w:val="000000"/>
        </w:rPr>
        <w:t xml:space="preserve">” </w:t>
      </w:r>
      <w:r>
        <w:rPr>
          <w:rFonts w:ascii="Times New Roman;serif" w:hAnsi="Times New Roman;serif"/>
          <w:b w:val="false"/>
          <w:color w:val="000000"/>
          <w:sz w:val="22"/>
        </w:rPr>
        <w:t xml:space="preserve">means, individually and collectively, the intellectual property security agreement substantially in the form of </w:t>
      </w:r>
      <w:r>
        <w:rPr>
          <w:rFonts w:ascii="Times New Roman;serif" w:hAnsi="Times New Roman;serif"/>
          <w:b w:val="false"/>
          <w:color w:val="000000"/>
          <w:sz w:val="22"/>
          <w:u w:val="single"/>
        </w:rPr>
        <w:t>Exhibit B</w:t>
      </w:r>
      <w:r>
        <w:rPr>
          <w:color w:val="000000"/>
        </w:rPr>
        <w:t xml:space="preserve"> </w:t>
      </w:r>
      <w:r>
        <w:rPr>
          <w:rFonts w:ascii="Times New Roman;serif" w:hAnsi="Times New Roman;serif"/>
          <w:b w:val="false"/>
          <w:color w:val="000000"/>
          <w:sz w:val="22"/>
        </w:rPr>
        <w:t xml:space="preserve">to the Security Agreement, to be dated as of the Spin-Off Date, together with each other intellectual property security agreement or Intellectual Property Security Agreement Supplement executed and delivered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6.16</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Intellectual Property Security Agreement Supplement</w:t>
      </w:r>
      <w:r>
        <w:rPr>
          <w:color w:val="000000"/>
        </w:rPr>
        <w:t xml:space="preserve">” </w:t>
      </w:r>
      <w:r>
        <w:rPr>
          <w:rFonts w:ascii="Times New Roman;serif" w:hAnsi="Times New Roman;serif"/>
          <w:b w:val="false"/>
          <w:color w:val="000000"/>
          <w:sz w:val="22"/>
        </w:rPr>
        <w:t>means, collectively, any intellectual property security agreement supplement entered into in connection with, and pursuant to the terms of, any Intellectual Property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Intercompany License Agreement</w:t>
      </w:r>
      <w:r>
        <w:rPr>
          <w:color w:val="000000"/>
        </w:rPr>
        <w:t xml:space="preserve">” </w:t>
      </w:r>
      <w:r>
        <w:rPr>
          <w:rFonts w:ascii="Times New Roman;serif" w:hAnsi="Times New Roman;serif"/>
          <w:b w:val="false"/>
          <w:color w:val="000000"/>
          <w:sz w:val="22"/>
        </w:rPr>
        <w:t>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Company or a 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Intercompany Subordination Agreement</w:t>
      </w:r>
      <w:r>
        <w:rPr>
          <w:color w:val="000000"/>
        </w:rPr>
        <w:t xml:space="preserve">” </w:t>
      </w:r>
      <w:r>
        <w:rPr>
          <w:rFonts w:ascii="Times New Roman;serif" w:hAnsi="Times New Roman;serif"/>
          <w:b w:val="false"/>
          <w:color w:val="000000"/>
          <w:sz w:val="22"/>
        </w:rPr>
        <w:t xml:space="preserve">means an intercompany subordination agreement, in substantially the form of </w:t>
      </w:r>
      <w:r>
        <w:rPr>
          <w:rFonts w:ascii="Times New Roman;serif" w:hAnsi="Times New Roman;serif"/>
          <w:b w:val="false"/>
          <w:color w:val="000000"/>
          <w:sz w:val="22"/>
          <w:u w:val="single"/>
        </w:rPr>
        <w:t>Exhibit H</w:t>
      </w:r>
      <w:r>
        <w:rPr>
          <w:color w:val="000000"/>
        </w:rPr>
        <w:t xml:space="preserve"> </w:t>
      </w:r>
      <w:r>
        <w:rPr>
          <w:rFonts w:ascii="Times New Roman;serif" w:hAnsi="Times New Roman;serif"/>
          <w:b w:val="false"/>
          <w:color w:val="000000"/>
          <w:sz w:val="22"/>
        </w:rPr>
        <w:t>hereto, or otherwise in form and substance reasonably satisfactory to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Interest Payment Date</w:t>
      </w:r>
      <w:r>
        <w:rPr>
          <w:color w:val="000000"/>
        </w:rPr>
        <w:t xml:space="preserve">” </w:t>
      </w:r>
      <w:r>
        <w:rPr>
          <w:rFonts w:ascii="Times New Roman;serif" w:hAnsi="Times New Roman;serif"/>
          <w:b w:val="false"/>
          <w:color w:val="000000"/>
          <w:sz w:val="22"/>
        </w:rPr>
        <w:t xml:space="preserve">means (a) as to any SOFR Loan or Eurocurrency Rate Loan, the last day of each Interest Period applicable to such Loan and the Maturity Date of the Facility under which such Loan was made; </w:t>
      </w:r>
      <w:r>
        <w:rPr>
          <w:rFonts w:ascii="Times New Roman;serif" w:hAnsi="Times New Roman;serif"/>
          <w:b w:val="false"/>
          <w:i/>
          <w:color w:val="000000"/>
          <w:sz w:val="22"/>
        </w:rPr>
        <w:t>provided, however</w:t>
      </w:r>
      <w:r>
        <w:rPr>
          <w:rFonts w:ascii="Times New Roman;serif" w:hAnsi="Times New Roman;serif"/>
          <w:b w:val="false"/>
          <w:color w:val="000000"/>
          <w:sz w:val="22"/>
        </w:rPr>
        <w:t>, that if any Interest Period for a SOFR Loan or Eurocurrency Rate Loan exceeds three months, the respective dates that fall every three months after the beginning of such Interest Period shall also be Interest Payment Dates; and (b) as to any ABR Loan, the last Business Day of each March, June, September and December, and the Maturity Date of the Facility under which such Loan was made, commencing June 30, 2022.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Interest Period</w:t>
      </w:r>
      <w:r>
        <w:rPr>
          <w:color w:val="000000"/>
        </w:rPr>
        <w:t xml:space="preserve">” </w:t>
      </w:r>
      <w:r>
        <w:rPr>
          <w:rFonts w:ascii="Times New Roman;serif" w:hAnsi="Times New Roman;serif"/>
          <w:b w:val="false"/>
          <w:color w:val="000000"/>
          <w:sz w:val="22"/>
        </w:rPr>
        <w:t xml:space="preserve">means, as to any Borrowing, the period commencing on the date of such Loan or Borrowing and ending on the numerically corresponding day in the calendar month that is one, three or six months thereafter (in each case, subject to the availability thereof), as specified in the applicable Committed Loan Notice;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in respect of a Facility shall extend beyond the Maturity Date of such Facility and (iv) no tenor that has been removed from this definition pursuant to </w:t>
      </w:r>
      <w:r>
        <w:rPr>
          <w:rFonts w:ascii="Times New Roman;serif" w:hAnsi="Times New Roman;serif"/>
          <w:b w:val="false"/>
          <w:color w:val="000000"/>
          <w:sz w:val="22"/>
          <w:u w:val="single"/>
        </w:rPr>
        <w:t>Section 3.04</w:t>
      </w:r>
      <w:r>
        <w:rPr>
          <w:color w:val="000000"/>
        </w:rPr>
        <w:t xml:space="preserve"> </w:t>
      </w:r>
      <w:r>
        <w:rPr>
          <w:rFonts w:ascii="Times New Roman;serif" w:hAnsi="Times New Roman;serif"/>
          <w:b w:val="false"/>
          <w:color w:val="000000"/>
          <w:sz w:val="22"/>
        </w:rPr>
        <w:t xml:space="preserve">shall be available for specification in such Committed Loan Notice. For purposes hereof, the date of a Loan or </w:t>
      </w:r>
    </w:p>
    <w:p>
      <w:pPr>
        <w:pStyle w:val="TextBody"/>
        <w:bidi w:val="0"/>
        <w:spacing w:before="0" w:after="0"/>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38"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Borrowing initially shall be the date on which such Loan or Borrowing is made and thereafter shall be the effective date of the most recent conversion or continuation of such Loan or Borrowing.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 xml:space="preserve">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(exclusive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w:t>
      </w:r>
      <w:r>
        <w:rPr>
          <w:rFonts w:ascii="Times New Roman;serif" w:hAnsi="Times New Roman;serif"/>
          <w:b w:val="false"/>
          <w:i/>
          <w:color w:val="000000"/>
          <w:sz w:val="22"/>
        </w:rPr>
        <w:t>provided, however</w:t>
      </w:r>
      <w:r>
        <w:rPr>
          <w:rFonts w:ascii="Times New Roman;serif" w:hAnsi="Times New Roman;serif"/>
          <w:b w:val="false"/>
          <w:color w:val="000000"/>
          <w:sz w:val="22"/>
        </w:rPr>
        <w:t>, that endorsements of negotiable instruments and documents in the ordinary course of business or consistent with past practice will not be deemed to be an Investment.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purposes of Section 7.05 and the definition of “Unrestricted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(1)    “</w:t>
      </w:r>
      <w:r>
        <w:rPr>
          <w:rFonts w:ascii="Times New Roman;serif" w:hAnsi="Times New Roman;serif"/>
          <w:b/>
          <w:color w:val="000000"/>
          <w:sz w:val="22"/>
        </w:rPr>
        <w:t>Investment</w:t>
      </w:r>
      <w:r>
        <w:rPr>
          <w:color w:val="000000"/>
        </w:rPr>
        <w:t xml:space="preserve">” </w:t>
      </w:r>
      <w:r>
        <w:rPr>
          <w:rFonts w:ascii="Times New Roman;serif" w:hAnsi="Times New Roman;serif"/>
          <w:b w:val="false"/>
          <w:color w:val="000000"/>
          <w:sz w:val="22"/>
        </w:rPr>
        <w:t xml:space="preserve">will include the portion (proportionate to the Company’s equity interest in such Restricted Subsidiary to be designated as an Unrestricted Subsidiary) of the fair market value of the net assets of such Restricted Subsidiary at the time that such Restricted Subsidiary is designated an Unrestricted Subsidiary; </w:t>
      </w:r>
      <w:r>
        <w:rPr>
          <w:rFonts w:ascii="Times New Roman;serif" w:hAnsi="Times New Roman;serif"/>
          <w:b w:val="false"/>
          <w:i/>
          <w:color w:val="000000"/>
          <w:sz w:val="22"/>
        </w:rPr>
        <w:t>provided, however</w:t>
      </w:r>
      <w:r>
        <w:rPr>
          <w:rFonts w:ascii="Times New Roman;serif" w:hAnsi="Times New Roman;serif"/>
          <w:b w:val="false"/>
          <w:color w:val="000000"/>
          <w:sz w:val="22"/>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determined by the Company) of such Subsidiary at the time that such Subsidiary is so re-designated a Restricted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any property transferred to or from an Unrestricted Subsidiary will be valued at its fair market value at the time of such transfer, in each case as determined by the Company;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if the Company or any Restricted Subsidiary issues, sells or otherwise disposes of Capital Stock of a Person that is a Restricted Subsidiary such that, after giving effect thereto, such Person is no longer a Restricted Subsidiary, any investment by the Company or any Restricted Subsidiary in such Person remaining after giving effect thereto shall not be deemed to be an Investment at such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amount of any Investment outstanding at any time shall be the original cost of such Investment, reduced by any dividend, distribution, interest payment, return of capital, repayment or other amount received in cash and Cash Equivalents by the Company or a Restricted Subsidiary in respect of such Investment to the extent such amounts do not increase any other baskets under this Agreement.</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Investment Grade Securities” means:</w:t>
      </w:r>
    </w:p>
    <w:p>
      <w:pPr>
        <w:pStyle w:val="TextBody"/>
        <w:bidi w:val="0"/>
        <w:spacing w:lineRule="auto" w:line="288" w:before="0" w:after="24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(1)    securities issued or directly and fully Guaranteed or insured by the United States government or any agency or instrumentality thereof (other than Cash Equivalents);</w:t>
      </w:r>
    </w:p>
    <w:p>
      <w:pPr>
        <w:pStyle w:val="TextBody"/>
        <w:bidi w:val="0"/>
        <w:spacing w:before="0" w:after="0"/>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39"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(2)    securities issued or directly and fully guaranteed or insured by the Canadian, United Kingdom or Japanese governments, a member state of the European Union, or any agency or instrumentality thereof (other than Cash Equivalents);</w:t>
      </w:r>
    </w:p>
    <w:p>
      <w:pPr>
        <w:pStyle w:val="TextBody"/>
        <w:bidi w:val="0"/>
        <w:spacing w:lineRule="auto" w:line="288" w:before="0" w:after="24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(3)    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Company and its Subsidiaries;</w:t>
      </w:r>
    </w:p>
    <w:p>
      <w:pPr>
        <w:pStyle w:val="TextBody"/>
        <w:bidi w:val="0"/>
        <w:spacing w:lineRule="auto" w:line="288" w:before="0" w:after="240"/>
        <w:ind w:left="0" w:right="0" w:firstLine="810"/>
        <w:jc w:val="left"/>
        <w:rPr/>
      </w:pPr>
      <w:r>
        <w:rPr>
          <w:rFonts w:ascii="Times New Roman;serif" w:hAnsi="Times New Roman;serif"/>
          <w:b w:val="false"/>
          <w:color w:val="000000"/>
          <w:sz w:val="22"/>
        </w:rPr>
        <w:t xml:space="preserve">(4)    investments in any fund that invests exclusively in investments of the type described in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w:t>
      </w:r>
      <w:r>
        <w:rPr>
          <w:color w:val="000000"/>
        </w:rPr>
        <w:t xml:space="preserve"> </w:t>
      </w:r>
      <w:r>
        <w:rPr>
          <w:rFonts w:ascii="Times New Roman;serif" w:hAnsi="Times New Roman;serif"/>
          <w:b w:val="false"/>
          <w:color w:val="000000"/>
          <w:sz w:val="22"/>
        </w:rPr>
        <w:t>above which fund may also hold cash and Cash Equivalents pending investment or distribution; and</w:t>
      </w:r>
    </w:p>
    <w:p>
      <w:pPr>
        <w:pStyle w:val="TextBody"/>
        <w:bidi w:val="0"/>
        <w:spacing w:lineRule="auto" w:line="288" w:before="0" w:after="240"/>
        <w:ind w:left="0" w:right="0" w:firstLine="810"/>
        <w:jc w:val="left"/>
        <w:rPr>
          <w:rFonts w:ascii="Times New Roman;serif" w:hAnsi="Times New Roman;serif"/>
          <w:b w:val="false"/>
          <w:color w:val="000000"/>
          <w:sz w:val="22"/>
        </w:rPr>
      </w:pPr>
      <w:r>
        <w:rPr>
          <w:rFonts w:ascii="Times New Roman;serif" w:hAnsi="Times New Roman;serif"/>
          <w:b w:val="false"/>
          <w:color w:val="000000"/>
          <w:sz w:val="22"/>
        </w:rPr>
        <w:t>(5)    corresponding instruments in countries other than the United States customarily utilized for high quality investments.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IP Rights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5.16</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IRS</w:t>
      </w:r>
      <w:r>
        <w:rPr>
          <w:color w:val="000000"/>
        </w:rPr>
        <w:t xml:space="preserve">” </w:t>
      </w:r>
      <w:r>
        <w:rPr>
          <w:rFonts w:ascii="Times New Roman;serif" w:hAnsi="Times New Roman;serif"/>
          <w:b w:val="false"/>
          <w:color w:val="000000"/>
          <w:sz w:val="22"/>
        </w:rPr>
        <w:t>means the United States Internal Revenue Service.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ISDA CDS Definitions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ISP</w:t>
      </w:r>
      <w:r>
        <w:rPr>
          <w:color w:val="000000"/>
        </w:rPr>
        <w:t xml:space="preserve">” </w:t>
      </w:r>
      <w:r>
        <w:rPr>
          <w:rFonts w:ascii="Times New Roman;serif" w:hAnsi="Times New Roman;serif"/>
          <w:b w:val="false"/>
          <w:color w:val="000000"/>
          <w:sz w:val="22"/>
        </w:rPr>
        <w:t>means, with respect to any Letter of Credit, the “International Standby Practices 1998” International Chamber of Commerce publication number 590 (or such later version thereof as may be in effect at the time of issuance and to which such Letter of Credit is subject).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Issuer Documents</w:t>
      </w:r>
      <w:r>
        <w:rPr>
          <w:color w:val="000000"/>
        </w:rPr>
        <w:t xml:space="preserve">” </w:t>
      </w:r>
      <w:r>
        <w:rPr>
          <w:rFonts w:ascii="Times New Roman;serif" w:hAnsi="Times New Roman;serif"/>
          <w:b w:val="false"/>
          <w:color w:val="000000"/>
          <w:sz w:val="22"/>
        </w:rPr>
        <w:t>means, with respect to any Letter of Credit, the Letter of Credit Application, and any other document, agreement and instrument entered into by the applicable L/C Issuer and the applicable Borrower (or, if applicable, a Restricted Subsidiary) or in favor of such L/C Issuer and relating to such Letter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joint venture</w:t>
      </w:r>
      <w:r>
        <w:rPr>
          <w:color w:val="000000"/>
        </w:rPr>
        <w:t xml:space="preserve">” </w:t>
      </w:r>
      <w:r>
        <w:rPr>
          <w:rFonts w:ascii="Times New Roman;serif" w:hAnsi="Times New Roman;serif"/>
          <w:b w:val="false"/>
          <w:color w:val="000000"/>
          <w:sz w:val="22"/>
        </w:rPr>
        <w:t>means any joint venture or similar arrangement (in each case, regardless of legal formation), including collaboration arrangements, profit sharing arrangements or other contractual arrangements.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Judgment Currency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Junior Indebtedness</w:t>
      </w:r>
      <w:r>
        <w:rPr>
          <w:color w:val="0000FF"/>
          <w:u w:val="single"/>
        </w:rPr>
        <w:t xml:space="preserve">” </w:t>
      </w:r>
      <w:r>
        <w:rPr>
          <w:rFonts w:ascii="Times New Roman;serif" w:hAnsi="Times New Roman;serif"/>
          <w:b w:val="false"/>
          <w:color w:val="0000FF"/>
          <w:sz w:val="22"/>
          <w:u w:val="single"/>
        </w:rPr>
        <w:t xml:space="preserve">means, with respect to the Borrower and its Restricted Subsidiaries, any (a) Subordinated Indebtedness, (b) Indebtedness </w:t>
      </w:r>
      <w:r>
        <w:rPr>
          <w:rFonts w:ascii="Times New Roman;serif" w:hAnsi="Times New Roman;serif"/>
          <w:b w:val="false"/>
          <w:color w:val="008000"/>
          <w:sz w:val="22"/>
          <w:u w:val="single"/>
        </w:rPr>
        <w:t xml:space="preserve">secured by </w:t>
      </w:r>
      <w:r>
        <w:rPr>
          <w:rFonts w:ascii="Times New Roman;serif" w:hAnsi="Times New Roman;serif"/>
          <w:b w:val="false"/>
          <w:color w:val="0000FF"/>
          <w:sz w:val="22"/>
          <w:u w:val="single"/>
        </w:rPr>
        <w:t xml:space="preserve">Liens that </w:t>
      </w:r>
      <w:r>
        <w:rPr>
          <w:rFonts w:ascii="Times New Roman;serif" w:hAnsi="Times New Roman;serif"/>
          <w:b w:val="false"/>
          <w:color w:val="008000"/>
          <w:sz w:val="22"/>
          <w:u w:val="single"/>
        </w:rPr>
        <w:t xml:space="preserve">are junior to the </w:t>
      </w:r>
      <w:r>
        <w:rPr>
          <w:rFonts w:ascii="Times New Roman;serif" w:hAnsi="Times New Roman;serif"/>
          <w:b w:val="false"/>
          <w:color w:val="0000FF"/>
          <w:sz w:val="22"/>
          <w:u w:val="single"/>
        </w:rPr>
        <w:t xml:space="preserve">Liens securing the </w:t>
      </w:r>
      <w:r>
        <w:rPr>
          <w:rFonts w:ascii="Times New Roman;serif" w:hAnsi="Times New Roman;serif"/>
          <w:b w:val="false"/>
          <w:color w:val="008000"/>
          <w:sz w:val="22"/>
          <w:u w:val="single"/>
        </w:rPr>
        <w:t>Obligations and (</w:t>
      </w:r>
      <w:r>
        <w:rPr>
          <w:rFonts w:ascii="Times New Roman;serif" w:hAnsi="Times New Roman;serif"/>
          <w:b w:val="false"/>
          <w:color w:val="0000FF"/>
          <w:sz w:val="22"/>
          <w:u w:val="single"/>
        </w:rPr>
        <w:t xml:space="preserve">c) unsecured Indebtedness </w:t>
      </w:r>
      <w:r>
        <w:rPr>
          <w:rFonts w:ascii="Times New Roman;serif" w:hAnsi="Times New Roman;serif"/>
          <w:b w:val="false"/>
          <w:color w:val="008000"/>
          <w:sz w:val="22"/>
          <w:u w:val="single"/>
        </w:rPr>
        <w:t>(in each case</w:t>
      </w:r>
      <w:r>
        <w:rPr>
          <w:color w:val="008000"/>
          <w:u w:val="single"/>
        </w:rPr>
        <w:t xml:space="preserve"> </w:t>
      </w:r>
      <w:r>
        <w:rPr>
          <w:rFonts w:ascii="Times New Roman;serif" w:hAnsi="Times New Roman;serif"/>
          <w:b w:val="false"/>
          <w:color w:val="008000"/>
          <w:sz w:val="22"/>
          <w:u w:val="single"/>
        </w:rPr>
        <w:t xml:space="preserve">other than </w:t>
      </w:r>
      <w:r>
        <w:rPr>
          <w:rFonts w:ascii="Times New Roman;serif" w:hAnsi="Times New Roman;serif"/>
          <w:b w:val="false"/>
          <w:color w:val="0000FF"/>
          <w:sz w:val="22"/>
          <w:u w:val="single"/>
        </w:rPr>
        <w:t>any permitted intercompany Indebtedness owing to any Loan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Junior Lien Specified Debt</w:t>
      </w:r>
      <w:r>
        <w:rPr>
          <w:color w:val="000000"/>
        </w:rPr>
        <w:t xml:space="preserve">” </w:t>
      </w:r>
      <w:r>
        <w:rPr>
          <w:rFonts w:ascii="Times New Roman;serif" w:hAnsi="Times New Roman;serif"/>
          <w:b w:val="false"/>
          <w:color w:val="000000"/>
          <w:sz w:val="22"/>
        </w:rPr>
        <w:t>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Specified Refinancing Debt, any Credit Agreement Refinancing Debt and/or any Refinancing Indebtedness in respect of any of the foregoing, in each case, that is secured by a Lien on the Collateral on a junior basis to the Initial Term Loans.</w:t>
      </w:r>
    </w:p>
    <w:p>
      <w:pPr>
        <w:pStyle w:val="TextBody"/>
        <w:bidi w:val="0"/>
        <w:spacing w:before="0" w:after="0"/>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40"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Latest Maturity Date</w:t>
      </w:r>
      <w:r>
        <w:rPr>
          <w:color w:val="000000"/>
        </w:rPr>
        <w:t xml:space="preserve">” </w:t>
      </w:r>
      <w:r>
        <w:rPr>
          <w:rFonts w:ascii="Times New Roman;serif" w:hAnsi="Times New Roman;serif"/>
          <w:b w:val="false"/>
          <w:color w:val="000000"/>
          <w:sz w:val="22"/>
        </w:rPr>
        <w:t>means, at any date of determination, the latest maturity or expiration date applicable to any Term Loan Tranche or Revolving Tranche at such time under this Agreement, in each case as extended in accordance with this Agreement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Laws</w:t>
      </w:r>
      <w:r>
        <w:rPr>
          <w:color w:val="000000"/>
        </w:rPr>
        <w:t xml:space="preserve">” </w:t>
      </w:r>
      <w:r>
        <w:rPr>
          <w:rFonts w:ascii="Times New Roman;serif" w:hAnsi="Times New Roman;serif"/>
          <w:b w:val="false"/>
          <w:color w:val="000000"/>
          <w:sz w:val="22"/>
        </w:rPr>
        <w:t>means, collectively, all applicable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 Advance</w:t>
      </w:r>
      <w:r>
        <w:rPr>
          <w:color w:val="000000"/>
        </w:rPr>
        <w:t xml:space="preserve">” </w:t>
      </w:r>
      <w:r>
        <w:rPr>
          <w:rFonts w:ascii="Times New Roman;serif" w:hAnsi="Times New Roman;serif"/>
          <w:b w:val="false"/>
          <w:color w:val="000000"/>
          <w:sz w:val="22"/>
        </w:rPr>
        <w:t>means, with respect to each Revolving Credit Lender, such Lender’s funding of its participation in any L/C Borrowing in accordance with its applicable Pro Rata Share.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 Borrowing</w:t>
      </w:r>
      <w:r>
        <w:rPr>
          <w:color w:val="000000"/>
        </w:rPr>
        <w:t xml:space="preserve">” </w:t>
      </w:r>
      <w:r>
        <w:rPr>
          <w:rFonts w:ascii="Times New Roman;serif" w:hAnsi="Times New Roman;serif"/>
          <w:b w:val="false"/>
          <w:color w:val="000000"/>
          <w:sz w:val="22"/>
        </w:rPr>
        <w:t xml:space="preserve">means an extension of credit resulting from a drawing under any Letter of Credit which has not been reimbursed by the applicable Borrower on the date required under </w:t>
      </w:r>
      <w:r>
        <w:rPr>
          <w:rFonts w:ascii="Times New Roman;serif" w:hAnsi="Times New Roman;serif"/>
          <w:b w:val="false"/>
          <w:color w:val="000000"/>
          <w:sz w:val="22"/>
          <w:u w:val="single"/>
        </w:rPr>
        <w:t>Section 2.03(d)(i)</w:t>
      </w:r>
      <w:r>
        <w:rPr>
          <w:color w:val="000000"/>
        </w:rPr>
        <w:t xml:space="preserve"> </w:t>
      </w:r>
      <w:r>
        <w:rPr>
          <w:rFonts w:ascii="Times New Roman;serif" w:hAnsi="Times New Roman;serif"/>
          <w:b w:val="false"/>
          <w:color w:val="000000"/>
          <w:sz w:val="22"/>
        </w:rPr>
        <w:t>or refinanced as a Revolving Credit Borrowing.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 Credit Extension</w:t>
      </w:r>
      <w:r>
        <w:rPr>
          <w:color w:val="000000"/>
        </w:rPr>
        <w:t xml:space="preserve">” </w:t>
      </w:r>
      <w:r>
        <w:rPr>
          <w:rFonts w:ascii="Times New Roman;serif" w:hAnsi="Times New Roman;serif"/>
          <w:b w:val="false"/>
          <w:color w:val="000000"/>
          <w:sz w:val="22"/>
        </w:rPr>
        <w:t>means, with respect to any Letter of Credit, the issuance thereof or extension of the expiry date thereof, or the reinstatement or increase of the amount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 Issuer</w:t>
      </w:r>
      <w:r>
        <w:rPr>
          <w:color w:val="000000"/>
        </w:rPr>
        <w:t xml:space="preserve">” </w:t>
      </w:r>
      <w:r>
        <w:rPr>
          <w:rFonts w:ascii="Times New Roman;serif" w:hAnsi="Times New Roman;serif"/>
          <w:b w:val="false"/>
          <w:color w:val="000000"/>
          <w:sz w:val="22"/>
        </w:rPr>
        <w:t xml:space="preserve">means (a) each of the L/C Issuers identified on </w:t>
      </w:r>
      <w:r>
        <w:rPr>
          <w:rFonts w:ascii="Times New Roman;serif" w:hAnsi="Times New Roman;serif"/>
          <w:b w:val="false"/>
          <w:color w:val="000000"/>
          <w:sz w:val="22"/>
          <w:u w:val="single"/>
        </w:rPr>
        <w:t>Schedule 1.01(f)</w:t>
      </w:r>
      <w:r>
        <w:rPr>
          <w:color w:val="000000"/>
        </w:rPr>
        <w:t xml:space="preserve"> </w:t>
      </w:r>
      <w:r>
        <w:rPr>
          <w:rFonts w:ascii="Times New Roman;serif" w:hAnsi="Times New Roman;serif"/>
          <w:b w:val="false"/>
          <w:color w:val="000000"/>
          <w:sz w:val="22"/>
        </w:rPr>
        <w:t xml:space="preserve">in their capacity as an issuer of Letters of Credit hereunder (it being understood that none of the L/C Issuers identified in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shall be obligated to issue any letters of credit hereunder other than standby letters of credit in Dollars), and (b) any other Lender reasonably acceptable to the Company and the Administrative Agent (which consent shall not be unreasonably withheld, delayed or conditioned) that agrees to issue Letters of Credit pursuant hereto, in each case in its capacity as an issuer of Letters of Credit hereunder, or any successor issuer of Letters of Credit hereunder, and in each case, applicable Affiliates;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Revolving Credit Lender may provide bank guarantees, bond agreements and other such arrangements under this Agreement, in each case, as agreed in such Revolving Credit Lender’s sole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 Obligations</w:t>
      </w:r>
      <w:r>
        <w:rPr>
          <w:color w:val="000000"/>
        </w:rPr>
        <w:t xml:space="preserve">” </w:t>
      </w:r>
      <w:r>
        <w:rPr>
          <w:rFonts w:ascii="Times New Roman;serif" w:hAnsi="Times New Roman;serif"/>
          <w:b w:val="false"/>
          <w:color w:val="000000"/>
          <w:sz w:val="22"/>
        </w:rPr>
        <w:t xml:space="preserve">means, as at any date of determination, the aggregate amount available to be drawn under all outstanding Letters of Credit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aggregate of all Unreimbursed Amounts, including all L/C Borrowings. For purposes of computing the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1.09</w:t>
      </w:r>
      <w:r>
        <w:rPr>
          <w:rFonts w:ascii="Times New Roman;serif" w:hAnsi="Times New Roman;serif"/>
          <w:b w:val="false"/>
          <w:color w:val="000000"/>
          <w:sz w:val="22"/>
        </w:rPr>
        <w:t>. For all purposes of this Agreement, if on any date of determination a Letter of Credit has expired by its terms but (a) any amount may still be drawn thereunder by reason of the operation of any rule of law or standard practices to which any Letter of Credit is subject (such as Rules 3.13 and 3.14 of the ISP and Article 29 of the UCP) or any express term of the Letter of Credit, such Letter of Credit shall be deemed to be “outstanding” in the amount so remaining available to be drawn, or (b) any drawing was made thereunder on or before the last day permitted thereunder and such drawing has not been honored or refused by the applicable L/C Issuer, such Letter of Credit shall be deemed to be “outstanding” in the amount of such drawing.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LCT Election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LCT Public Offer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LCT Test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1.02(i)</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41"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Lender</w:t>
      </w:r>
      <w:r>
        <w:rPr>
          <w:color w:val="000000"/>
        </w:rPr>
        <w:t xml:space="preserve">” </w:t>
      </w:r>
      <w:r>
        <w:rPr>
          <w:rFonts w:ascii="Times New Roman;serif" w:hAnsi="Times New Roman;serif"/>
          <w:b w:val="false"/>
          <w:color w:val="000000"/>
          <w:sz w:val="22"/>
        </w:rPr>
        <w:t>has the meaning specified in the preamble to this Agreement and, as the context requires, includes each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Lending Office</w:t>
      </w:r>
      <w:r>
        <w:rPr>
          <w:color w:val="000000"/>
        </w:rPr>
        <w:t xml:space="preserve">” </w:t>
      </w:r>
      <w:r>
        <w:rPr>
          <w:rFonts w:ascii="Times New Roman;serif" w:hAnsi="Times New Roman;serif"/>
          <w:b w:val="false"/>
          <w:color w:val="000000"/>
          <w:sz w:val="22"/>
        </w:rPr>
        <w:t>means, as to any Lender, the office or offices or branch of such Lender or any of its Affiliates described as such in such Lender’s Administrative Questionnaire, or such other office or offices or as a Lender or any of its Affiliates may from time to time notify the Administrative Agent.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Letter of Credit</w:t>
      </w:r>
      <w:r>
        <w:rPr>
          <w:color w:val="000000"/>
        </w:rPr>
        <w:t xml:space="preserve">” </w:t>
      </w:r>
      <w:r>
        <w:rPr>
          <w:rFonts w:ascii="Times New Roman;serif" w:hAnsi="Times New Roman;serif"/>
          <w:b w:val="false"/>
          <w:color w:val="000000"/>
          <w:sz w:val="22"/>
        </w:rPr>
        <w:t>means any letter of credit issued, extended or amended hereunder. A Letter of Credit may be a commercial letter of credit or a standby letter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Letter of Credit Application</w:t>
      </w:r>
      <w:r>
        <w:rPr>
          <w:color w:val="000000"/>
        </w:rPr>
        <w:t xml:space="preserve">” </w:t>
      </w:r>
      <w:r>
        <w:rPr>
          <w:rFonts w:ascii="Times New Roman;serif" w:hAnsi="Times New Roman;serif"/>
          <w:b w:val="false"/>
          <w:color w:val="000000"/>
          <w:sz w:val="22"/>
        </w:rPr>
        <w:t xml:space="preserve">means an application and agreement for the issuance or amendment of a Letter of Credit in the form from time to time in use by the applicable L/C Issuer, together with a request for L/C Credit Extension, substantially in the form of </w:t>
      </w:r>
      <w:r>
        <w:rPr>
          <w:rFonts w:ascii="Times New Roman;serif" w:hAnsi="Times New Roman;serif"/>
          <w:b w:val="false"/>
          <w:color w:val="000000"/>
          <w:sz w:val="22"/>
          <w:u w:val="single"/>
        </w:rPr>
        <w:t>Exhibit A-2</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Letter of Credit Sublimit</w:t>
      </w:r>
      <w:r>
        <w:rPr>
          <w:color w:val="000000"/>
        </w:rPr>
        <w:t xml:space="preserve">” </w:t>
      </w:r>
      <w:r>
        <w:rPr>
          <w:rFonts w:ascii="Times New Roman;serif" w:hAnsi="Times New Roman;serif"/>
          <w:b w:val="false"/>
          <w:color w:val="000000"/>
          <w:sz w:val="22"/>
        </w:rPr>
        <w:t>means an amount equal to the Dollar equivalent of $60,500,000. The Letter of Credit Sublimit is part of, and not in addition to, the Revolving Credit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Letter of Credit Sublimit Expiration Date</w:t>
      </w:r>
      <w:r>
        <w:rPr>
          <w:color w:val="000000"/>
        </w:rPr>
        <w:t xml:space="preserve">” </w:t>
      </w:r>
      <w:r>
        <w:rPr>
          <w:rFonts w:ascii="Times New Roman;serif" w:hAnsi="Times New Roman;serif"/>
          <w:b w:val="false"/>
          <w:color w:val="000000"/>
          <w:sz w:val="22"/>
        </w:rPr>
        <w:t xml:space="preserve">means, subject to </w:t>
      </w:r>
      <w:r>
        <w:rPr>
          <w:rFonts w:ascii="Times New Roman;serif" w:hAnsi="Times New Roman;serif"/>
          <w:b w:val="false"/>
          <w:color w:val="000000"/>
          <w:sz w:val="22"/>
          <w:u w:val="single"/>
        </w:rPr>
        <w:t>Section 2.03(a)(ii)(C)</w:t>
      </w:r>
      <w:r>
        <w:rPr>
          <w:rFonts w:ascii="Times New Roman;serif" w:hAnsi="Times New Roman;serif"/>
          <w:b w:val="false"/>
          <w:color w:val="000000"/>
          <w:sz w:val="22"/>
        </w:rPr>
        <w:t>, the day that is five Business Days prior to the scheduled Maturity Date then in effect for the Revolving Credit Facility or the date of termination of the applicable Revolving Credit Commitments (or, if such day is not a Business Day, the immediately preceding Business Day).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Lien</w:t>
      </w:r>
      <w:r>
        <w:rPr>
          <w:color w:val="000000"/>
        </w:rPr>
        <w:t xml:space="preserve">” </w:t>
      </w:r>
      <w:r>
        <w:rPr>
          <w:rFonts w:ascii="Times New Roman;serif" w:hAnsi="Times New Roman;serif"/>
          <w:b w:val="false"/>
          <w:color w:val="000000"/>
          <w:sz w:val="22"/>
        </w:rPr>
        <w:t xml:space="preserve">means any mortgage, pledge, security interest, encumbrance, lien, hypothecation or charge of any kind (including any conditional sale or other title retention agreement or lease in the nature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no event shall Non-Financing Lease Obligations be deemed to constitute a Lien.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Limited Condition Transaction</w:t>
      </w:r>
      <w:r>
        <w:rPr>
          <w:color w:val="000000"/>
        </w:rPr>
        <w:t xml:space="preserve">” </w:t>
      </w:r>
      <w:r>
        <w:rPr>
          <w:rFonts w:ascii="Times New Roman;serif" w:hAnsi="Times New Roman;serif"/>
          <w:b w:val="false"/>
          <w:color w:val="000000"/>
          <w:sz w:val="22"/>
        </w:rPr>
        <w:t>means (1) any Investment or acquisition (whether by merger, amalgamation, consolidation or other business combination or the acquisition of Capital Stock or otherwise and which may include, for the avoidance of doubt, a transaction that may constitute a Change of Control) in or of any assets, business or Person,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asset sale or a disposition and (5) a “Change of Control.”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LLC Conversion</w:t>
      </w:r>
      <w:r>
        <w:rPr>
          <w:color w:val="000000"/>
        </w:rPr>
        <w:t xml:space="preserve">” </w:t>
      </w:r>
      <w:r>
        <w:rPr>
          <w:rFonts w:ascii="Times New Roman;serif" w:hAnsi="Times New Roman;serif"/>
          <w:b w:val="false"/>
          <w:color w:val="000000"/>
          <w:sz w:val="22"/>
        </w:rPr>
        <w:t>means the conversion of any Restricted Subsidiary of the Company that is a U.S. Subsidiary from a corporation into a limited liability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LLC Division</w:t>
      </w:r>
      <w:r>
        <w:rPr>
          <w:color w:val="000000"/>
        </w:rPr>
        <w:t xml:space="preserve">” </w:t>
      </w:r>
      <w:r>
        <w:rPr>
          <w:rFonts w:ascii="Times New Roman;serif" w:hAnsi="Times New Roman;serif"/>
          <w:b w:val="false"/>
          <w:color w:val="000000"/>
          <w:sz w:val="22"/>
        </w:rPr>
        <w:t>means the statutory division of any limited liability company into two or more limited liability companies pursuant to Section 18-217 of the Delaware Limited Liability Company Act or a comparable provision of any other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Loan</w:t>
      </w:r>
      <w:r>
        <w:rPr>
          <w:color w:val="000000"/>
        </w:rPr>
        <w:t xml:space="preserve">” </w:t>
      </w:r>
      <w:r>
        <w:rPr>
          <w:rFonts w:ascii="Times New Roman;serif" w:hAnsi="Times New Roman;serif"/>
          <w:b w:val="false"/>
          <w:color w:val="000000"/>
          <w:sz w:val="22"/>
        </w:rPr>
        <w:t xml:space="preserve">means an extension of credit by a Lender to a Borrower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in the form of a Term Loan, an Extended Term Loan, a Revolving Credit Loan, an Extended Revolving Commitment or a Specified Refinancing Revolving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Loan Documents</w:t>
      </w:r>
      <w:r>
        <w:rPr>
          <w:color w:val="000000"/>
        </w:rPr>
        <w:t xml:space="preserve">” </w:t>
      </w:r>
      <w:r>
        <w:rPr>
          <w:rFonts w:ascii="Times New Roman;serif" w:hAnsi="Times New Roman;serif"/>
          <w:b w:val="false"/>
          <w:color w:val="000000"/>
          <w:sz w:val="22"/>
        </w:rPr>
        <w:t xml:space="preserve">means, collectively, (i) this Agreement, (ii) the Notes, (iii) the Guaranty, (iv) the Collateral Documents, (v) the Intercompany Subordination Agreement, (vi) the First Lien Intercreditor Agreement, (vii) any other intercreditor agreement required to be entered into pursuant to the terms of this Agreement, (viii) any agreement creating or perfecting rights in Cash Collateral pursuant to </w:t>
      </w:r>
    </w:p>
    <w:p>
      <w:pPr>
        <w:pStyle w:val="TextBody"/>
        <w:bidi w:val="0"/>
        <w:spacing w:before="0" w:after="0"/>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42"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 provisions of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of this Agreement, (ix) any Refinancing Amendment and (x) any Co-Borrower Joinder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Loan Parties</w:t>
      </w:r>
      <w:r>
        <w:rPr>
          <w:color w:val="000000"/>
        </w:rPr>
        <w:t xml:space="preserve">” </w:t>
      </w:r>
      <w:r>
        <w:rPr>
          <w:rFonts w:ascii="Times New Roman;serif" w:hAnsi="Times New Roman;serif"/>
          <w:b w:val="false"/>
          <w:color w:val="000000"/>
          <w:sz w:val="22"/>
        </w:rPr>
        <w:t>means, collectively, the Company, each other Borrower and each Guarantor.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LP Division</w:t>
      </w:r>
      <w:r>
        <w:rPr>
          <w:color w:val="000000"/>
        </w:rPr>
        <w:t xml:space="preserve">” </w:t>
      </w:r>
      <w:r>
        <w:rPr>
          <w:rFonts w:ascii="Times New Roman;serif" w:hAnsi="Times New Roman;serif"/>
          <w:b w:val="false"/>
          <w:color w:val="000000"/>
          <w:sz w:val="22"/>
        </w:rPr>
        <w:t xml:space="preserve">means the statutory division of any limited partnership into two or more limited partnerships pursuant to Section 17-220 of the Delaware Limited Partnership Act or a comparable provision </w:t>
      </w:r>
      <w:r>
        <w:rPr>
          <w:rFonts w:ascii="Times New Roman;serif" w:hAnsi="Times New Roman;serif"/>
          <w:b/>
          <w:color w:val="000000"/>
          <w:sz w:val="22"/>
        </w:rPr>
        <w:t>of any other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LTM EBITDA</w:t>
      </w:r>
      <w:r>
        <w:rPr>
          <w:color w:val="000000"/>
        </w:rPr>
        <w:t xml:space="preserve">” </w:t>
      </w:r>
      <w:r>
        <w:rPr>
          <w:rFonts w:ascii="Times New Roman;serif" w:hAnsi="Times New Roman;serif"/>
          <w:b w:val="false"/>
          <w:color w:val="000000"/>
          <w:sz w:val="22"/>
        </w:rPr>
        <w:t xml:space="preserve">means Consolidated EBITDA of the Company measured for the period of the most recent four consecutive fiscal quarters ending prior to the date of such determination for which consolidated financial statements are available (which may, at the election of the Company, be internal financial statements), in each case with such pro forma adjustments as are consistent with the pro forma adjustments set forth in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Majority Lenders</w:t>
      </w:r>
      <w:r>
        <w:rPr>
          <w:color w:val="000000"/>
        </w:rPr>
        <w:t xml:space="preserve">” </w:t>
      </w:r>
      <w:r>
        <w:rPr>
          <w:rFonts w:ascii="Times New Roman;serif" w:hAnsi="Times New Roman;serif"/>
          <w:b w:val="false"/>
          <w:color w:val="000000"/>
          <w:sz w:val="22"/>
        </w:rPr>
        <w:t>of any Tranche or class of Loans, as applicable, means those Non-Defaulting Lenders of such Tranche or class which would constitute the Required Lenders under, and as defined in, this Agreement if all outstanding Obligations of the other Tranches or classes under this Agreement were repaid in full and all Commitments with respect thereto were terminated.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Management Advances</w:t>
      </w:r>
      <w:r>
        <w:rPr>
          <w:color w:val="000000"/>
        </w:rPr>
        <w:t xml:space="preserve">” </w:t>
      </w:r>
      <w:r>
        <w:rPr>
          <w:rFonts w:ascii="Times New Roman;serif" w:hAnsi="Times New Roman;serif"/>
          <w:b w:val="false"/>
          <w:color w:val="000000"/>
          <w:sz w:val="22"/>
        </w:rPr>
        <w:t>means loans or advances made to, or Guarantees with respect to loans or advances made to, future, present or former employees, directors, officers, managers, contractors, consultants or advisors (or their respective Controlled Investment Affiliates or Immediate Family Members) of any direct or indirect parent of the Company, the Company or any 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    (a)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the Company or its Subsidiaries or any direct or indirect parent of the Company with (in the case of this </w:t>
      </w:r>
      <w:r>
        <w:rPr>
          <w:rFonts w:ascii="Times New Roman;serif" w:hAnsi="Times New Roman;serif"/>
          <w:b w:val="false"/>
          <w:color w:val="000000"/>
          <w:sz w:val="22"/>
          <w:u w:val="single"/>
        </w:rPr>
        <w:t>clause (1)(b)</w:t>
      </w:r>
      <w:r>
        <w:rPr>
          <w:rFonts w:ascii="Times New Roman;serif" w:hAnsi="Times New Roman;serif"/>
          <w:b w:val="false"/>
          <w:color w:val="000000"/>
          <w:sz w:val="22"/>
        </w:rPr>
        <w:t>) the approval of the Board of Directors of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in respect of relocation or moving related expenses, payroll advances and other analogous or similar expenses or payroll expenses, in each case incurred in connection with any closing or consolidation of any facility or office;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    not exceeding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25,000,000 and (ii) 5.0% of LTM EBITDA</w:t>
      </w:r>
      <w:r>
        <w:rPr>
          <w:rFonts w:ascii="Times New Roman;serif" w:hAnsi="Times New Roman;serif"/>
          <w:b w:val="false"/>
          <w:color w:val="0000FF"/>
          <w:sz w:val="22"/>
          <w:u w:val="single"/>
        </w:rPr>
        <w:t>2,500,000</w:t>
      </w:r>
      <w:r>
        <w:rPr>
          <w:color w:val="000000"/>
        </w:rPr>
        <w:t xml:space="preserve"> </w:t>
      </w:r>
      <w:r>
        <w:rPr>
          <w:rFonts w:ascii="Times New Roman;serif" w:hAnsi="Times New Roman;serif"/>
          <w:b w:val="false"/>
          <w:color w:val="000000"/>
          <w:sz w:val="22"/>
        </w:rPr>
        <w:t>in the aggregate outstanding at the time of incurrence.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Margin Stock</w:t>
      </w:r>
      <w:r>
        <w:rPr>
          <w:color w:val="000000"/>
        </w:rPr>
        <w:t xml:space="preserve">” </w:t>
      </w:r>
      <w:r>
        <w:rPr>
          <w:rFonts w:ascii="Times New Roman;serif" w:hAnsi="Times New Roman;serif"/>
          <w:b w:val="false"/>
          <w:color w:val="000000"/>
          <w:sz w:val="22"/>
        </w:rPr>
        <w:t>has the meaning assigned to such term in Regulation U of the FRB as from time to time in effect.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Material Adverse Effect</w:t>
      </w:r>
      <w:r>
        <w:rPr>
          <w:color w:val="000000"/>
        </w:rPr>
        <w:t xml:space="preserve">” </w:t>
      </w:r>
      <w:r>
        <w:rPr>
          <w:rFonts w:ascii="Times New Roman;serif" w:hAnsi="Times New Roman;serif"/>
          <w:b w:val="false"/>
          <w:color w:val="000000"/>
          <w:sz w:val="22"/>
        </w:rPr>
        <w:t>means (i) a material adverse effect on the business, assets, property, liabilities (actual or contingent), financial condition or results of operations of the Restricted Group, taken as a whole, (ii) a material adverse effect on the legal validity or legal enforceability of the rights or remedies of the Agents or the Lenders under the Loan Documents (taken as a whole) or (iii) a material adverse effect on the ability of the Loan Parties (taken as a whole) to perform their payment obligations under the Loan Documents (taken as a whole).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Material Indebtedness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8.01(e)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75260"/>
                <wp:effectExtent l="0" t="0" r="0" b="0"/>
                <wp:wrapNone/>
                <wp:docPr id="143"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Material Intellectual Property</w:t>
      </w:r>
      <w:r>
        <w:rPr>
          <w:color w:val="000000"/>
        </w:rPr>
        <w:t xml:space="preserve">” </w:t>
      </w:r>
      <w:r>
        <w:rPr>
          <w:rFonts w:ascii="Times New Roman;serif" w:hAnsi="Times New Roman;serif"/>
          <w:b w:val="false"/>
          <w:color w:val="000000"/>
          <w:sz w:val="22"/>
        </w:rPr>
        <w:t>shall mean intellectual property that is material to the business of the Company and its Restricted Subsidiaries, taken as a whole, as determined by the Company in good faith.</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Material Subsidiary</w:t>
      </w:r>
      <w:r>
        <w:rPr>
          <w:color w:val="000000"/>
        </w:rPr>
        <w:t xml:space="preserve">” </w:t>
      </w:r>
      <w:r>
        <w:rPr>
          <w:rFonts w:ascii="Times New Roman;serif" w:hAnsi="Times New Roman;serif"/>
          <w:b w:val="false"/>
          <w:color w:val="000000"/>
          <w:sz w:val="22"/>
        </w:rPr>
        <w:t>means any Restricted Subsidiary of the Company constituting, or group of Restricted Subsidiaries of the Company in the aggregate constituting (as if such Restricted Subsidiaries constituted a single Subsidiary), a “significant subsidiary” in accordance with Rule 1-02 under Regulation S-X.</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Maturity Date”</w:t>
      </w:r>
      <w:r>
        <w:rPr>
          <w:color w:val="000000"/>
        </w:rPr>
        <w:t xml:space="preserve"> </w:t>
      </w:r>
      <w:r>
        <w:rPr>
          <w:rFonts w:ascii="Times New Roman;serif" w:hAnsi="Times New Roman;serif"/>
          <w:b w:val="false"/>
          <w:color w:val="000000"/>
          <w:sz w:val="22"/>
        </w:rPr>
        <w:t xml:space="preserve">means: (a) </w:t>
      </w:r>
      <w:r>
        <w:rPr>
          <w:rFonts w:ascii="Times New Roman;serif" w:hAnsi="Times New Roman;serif"/>
          <w:b w:val="false"/>
          <w:color w:val="0000FF"/>
          <w:sz w:val="22"/>
          <w:u w:val="single"/>
        </w:rPr>
        <w:t xml:space="preserve">(i) </w:t>
      </w:r>
      <w:r>
        <w:rPr>
          <w:rFonts w:ascii="Times New Roman;serif" w:hAnsi="Times New Roman;serif"/>
          <w:b w:val="false"/>
          <w:color w:val="000000"/>
          <w:sz w:val="22"/>
        </w:rPr>
        <w:t xml:space="preserve">with respect to the </w:t>
      </w:r>
      <w:r>
        <w:rPr>
          <w:rFonts w:ascii="Times New Roman;serif" w:hAnsi="Times New Roman;serif"/>
          <w:b w:val="false"/>
          <w:color w:val="0000FF"/>
          <w:sz w:val="22"/>
          <w:u w:val="single"/>
        </w:rPr>
        <w:t xml:space="preserve">Initial </w:t>
      </w:r>
      <w:r>
        <w:rPr>
          <w:rFonts w:ascii="Times New Roman;serif" w:hAnsi="Times New Roman;serif"/>
          <w:b w:val="false"/>
          <w:color w:val="000000"/>
          <w:sz w:val="22"/>
        </w:rPr>
        <w:t>Revolving</w:t>
      </w:r>
      <w:r>
        <w:rPr>
          <w:strike/>
          <w:color w:val="FF0000"/>
        </w:rPr>
        <w:t xml:space="preserve"> </w:t>
      </w:r>
      <w:r>
        <w:rPr>
          <w:rFonts w:ascii="Times New Roman;serif" w:hAnsi="Times New Roman;serif"/>
          <w:b w:val="false"/>
          <w:strike/>
          <w:color w:val="FF0000"/>
          <w:sz w:val="22"/>
        </w:rPr>
        <w:t>Credit Facility</w:t>
      </w:r>
      <w:r>
        <w:rPr>
          <w:rFonts w:ascii="Times New Roman;serif" w:hAnsi="Times New Roman;serif"/>
          <w:b w:val="false"/>
          <w:color w:val="0000FF"/>
          <w:sz w:val="22"/>
          <w:u w:val="single"/>
        </w:rPr>
        <w:t>-1 Tranche</w:t>
      </w:r>
      <w:r>
        <w:rPr>
          <w:rFonts w:ascii="Times New Roman;serif" w:hAnsi="Times New Roman;serif"/>
          <w:b w:val="false"/>
          <w:color w:val="000000"/>
          <w:sz w:val="22"/>
        </w:rPr>
        <w:t>, the earlier of (</w:t>
      </w:r>
      <w:r>
        <w:rPr>
          <w:rFonts w:ascii="Times New Roman;serif" w:hAnsi="Times New Roman;serif"/>
          <w:b w:val="false"/>
          <w:strike/>
          <w:color w:val="FF0000"/>
          <w:sz w:val="22"/>
        </w:rPr>
        <w:t>i</w:t>
      </w:r>
      <w:r>
        <w:rPr>
          <w:rFonts w:ascii="Times New Roman;serif" w:hAnsi="Times New Roman;serif"/>
          <w:b w:val="false"/>
          <w:color w:val="0000FF"/>
          <w:sz w:val="22"/>
          <w:u w:val="single"/>
        </w:rPr>
        <w:t>A</w:t>
      </w:r>
      <w:r>
        <w:rPr>
          <w:rFonts w:ascii="Times New Roman;serif" w:hAnsi="Times New Roman;serif"/>
          <w:b w:val="false"/>
          <w:color w:val="000000"/>
          <w:sz w:val="22"/>
        </w:rPr>
        <w:t>) the fifth anniversary of the Closing Date and (</w:t>
      </w:r>
      <w:r>
        <w:rPr>
          <w:rFonts w:ascii="Times New Roman;serif" w:hAnsi="Times New Roman;serif"/>
          <w:b w:val="false"/>
          <w:strike/>
          <w:color w:val="FF0000"/>
          <w:sz w:val="22"/>
        </w:rPr>
        <w:t>ii</w:t>
      </w:r>
      <w:r>
        <w:rPr>
          <w:rFonts w:ascii="Times New Roman;serif" w:hAnsi="Times New Roman;serif"/>
          <w:b w:val="false"/>
          <w:color w:val="0000FF"/>
          <w:sz w:val="22"/>
          <w:u w:val="single"/>
        </w:rPr>
        <w:t>B</w:t>
      </w:r>
      <w:r>
        <w:rPr>
          <w:rFonts w:ascii="Times New Roman;serif" w:hAnsi="Times New Roman;serif"/>
          <w:b w:val="false"/>
          <w:color w:val="000000"/>
          <w:sz w:val="22"/>
        </w:rPr>
        <w:t xml:space="preserve">) the date of termination in whole of the </w:t>
      </w:r>
      <w:r>
        <w:rPr>
          <w:rFonts w:ascii="Times New Roman;serif" w:hAnsi="Times New Roman;serif"/>
          <w:b w:val="false"/>
          <w:strike/>
          <w:color w:val="FF0000"/>
          <w:sz w:val="22"/>
        </w:rPr>
        <w:t xml:space="preserve">Revolving </w:t>
      </w:r>
      <w:r>
        <w:rPr>
          <w:rFonts w:ascii="Times New Roman;serif" w:hAnsi="Times New Roman;serif"/>
          <w:b w:val="false"/>
          <w:color w:val="0000FF"/>
          <w:sz w:val="22"/>
          <w:u w:val="single"/>
        </w:rPr>
        <w:t xml:space="preserve">Initial Revolving-1 Credit Commitments </w:t>
      </w:r>
      <w:r>
        <w:rPr>
          <w:rFonts w:ascii="Times New Roman;serif" w:hAnsi="Times New Roman;serif"/>
          <w:b w:val="false"/>
          <w:color w:val="008000"/>
          <w:sz w:val="22"/>
          <w:u w:val="single"/>
        </w:rPr>
        <w:t xml:space="preserve">pursuant to </w:t>
      </w:r>
      <w:r>
        <w:rPr>
          <w:rFonts w:ascii="Times New Roman;serif" w:hAnsi="Times New Roman;serif"/>
          <w:b w:val="false"/>
          <w:color w:val="0000FF"/>
          <w:sz w:val="22"/>
          <w:u w:val="single"/>
        </w:rPr>
        <w:t xml:space="preserve">Section 2.06(a) or 8.02 and (ii) with respect to the Initial Revolving-2 Tranche, the earlier of (A) December 30, 2028 and (B) </w:t>
      </w:r>
      <w:r>
        <w:rPr>
          <w:rFonts w:ascii="Times New Roman;serif" w:hAnsi="Times New Roman;serif"/>
          <w:b w:val="false"/>
          <w:color w:val="008000"/>
          <w:sz w:val="22"/>
          <w:u w:val="single"/>
        </w:rPr>
        <w:t xml:space="preserve">the date </w:t>
      </w:r>
      <w:r>
        <w:rPr>
          <w:rFonts w:ascii="Times New Roman;serif" w:hAnsi="Times New Roman;serif"/>
          <w:b w:val="false"/>
          <w:color w:val="0000FF"/>
          <w:sz w:val="22"/>
          <w:u w:val="single"/>
        </w:rPr>
        <w:t xml:space="preserve">of termination in whole of the Initial Revolving-2 </w:t>
      </w:r>
      <w:r>
        <w:rPr>
          <w:rFonts w:ascii="Times New Roman;serif" w:hAnsi="Times New Roman;serif"/>
          <w:b w:val="false"/>
          <w:color w:val="000000"/>
          <w:sz w:val="22"/>
        </w:rPr>
        <w:t xml:space="preserve">Credit Commitments pursuant to </w:t>
      </w:r>
      <w:r>
        <w:rPr>
          <w:rFonts w:ascii="Times New Roman;serif" w:hAnsi="Times New Roman;serif"/>
          <w:b w:val="false"/>
          <w:color w:val="000000"/>
          <w:sz w:val="22"/>
          <w:u w:val="single"/>
        </w:rPr>
        <w:t>Section 2.06(a)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8.02</w:t>
      </w:r>
      <w:r>
        <w:rPr>
          <w:rFonts w:ascii="Times New Roman;serif" w:hAnsi="Times New Roman;serif"/>
          <w:b w:val="false"/>
          <w:color w:val="000000"/>
          <w:sz w:val="22"/>
        </w:rPr>
        <w:t xml:space="preserve">; and (b) with respect to the Initial Term Loans, the earliest of (i) the seventh anniversary of the Closing Date, (ii) the date of termination in whole of the Initial Term Commitments and (iii) the date that the Initial Term Loans are declared due and payable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reference to Maturity Date with respect to (i) Term Loans and Revolving Credit Commitments that are the subject of Extension pursuant to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and (ii) Term Loans and Revolving Credit Commitments that are incurred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2.18</w:t>
      </w:r>
      <w:r>
        <w:rPr>
          <w:color w:val="000000"/>
        </w:rPr>
        <w:t xml:space="preserve"> </w:t>
      </w:r>
      <w:r>
        <w:rPr>
          <w:rFonts w:ascii="Times New Roman;serif" w:hAnsi="Times New Roman;serif"/>
          <w:b w:val="false"/>
          <w:color w:val="000000"/>
          <w:sz w:val="22"/>
        </w:rPr>
        <w:t>shall, in each case, be the final maturity date as specified in the loan modification documentation, incremental documentation, or specified refinancing documentation, as applicable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Maximum Leverage Requirement</w:t>
      </w:r>
      <w:r>
        <w:rPr>
          <w:color w:val="000000"/>
        </w:rPr>
        <w:t xml:space="preserve">” </w:t>
      </w:r>
      <w:r>
        <w:rPr>
          <w:rFonts w:ascii="Times New Roman;serif" w:hAnsi="Times New Roman;serif"/>
          <w:b w:val="false"/>
          <w:color w:val="000000"/>
          <w:sz w:val="22"/>
        </w:rPr>
        <w:t xml:space="preserve">means, with respect to any request made in reliance on this definition for an increase in any Revolving Tranche or any Term Loan Tranche, for a New Revolving Facility, for a New Term Facility or for the incurrence of Incremental Equivalent Debt and with respect to any Incurrence of Ratio Debt the requirement that,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 xml:space="preserve">, after giving effect to the incurrence of any such increase, such new Facility, such Incremental Equivalent Debt, such Ratio Debt (and, in each case, after giving effect to any acquisition or other transaction referred to in </w:t>
      </w:r>
      <w:r>
        <w:rPr>
          <w:rFonts w:ascii="Times New Roman;serif" w:hAnsi="Times New Roman;serif"/>
          <w:b w:val="false"/>
          <w:color w:val="000000"/>
          <w:sz w:val="22"/>
          <w:u w:val="single"/>
        </w:rPr>
        <w:t>Section 1.10</w:t>
      </w:r>
      <w:r>
        <w:rPr>
          <w:color w:val="000000"/>
        </w:rPr>
        <w:t xml:space="preserve"> </w:t>
      </w:r>
      <w:r>
        <w:rPr>
          <w:rFonts w:ascii="Times New Roman;serif" w:hAnsi="Times New Roman;serif"/>
          <w:b w:val="false"/>
          <w:color w:val="000000"/>
          <w:sz w:val="22"/>
        </w:rPr>
        <w:t>consummated concurrently therewith and all other appropriate pro forma adjustment events and calculated as if any increase in any Revolving Tranche or any New Revolving Facility were fully drawn on the effective date thereof but without netting any portion of the cash proceeds of such Indebtedness then being incurred and without giving effect to any interest expense attributable thereto):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for any such Indebtedness that is secured by a Lien on the Collateral on a basis with the Initial Term Loans, the Consolidated First Lien Net Leverage Ratio on a pro forma basis does not exceed, at the Company’s option, (i) 3.10 to 1.00 or (ii) in the case of Acquisition Indebtedness, the Consolidated First Lien Net Leverage Ratio immediately prior to the incurrence of such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for any such Indebtedness that is secured by a Lien on the Collateral on a junior basis to the Initial Term Loans, the Consolidated Senior Secured Net Leverage Ratio on a pro forma basis does not exceed, at the Company’s option, (i) 3.10 to 1.00 or (ii) in the case of Acquisition Indebtedness, the Consolidated Senior Secured Net Leverage Ratio immediately prior to the incurrence of such Indebtedness;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for any such Indebtedness that is secured by a Lien on assets not constituting Collateral or that is unsecured, at the Company’s option, either (i) (x) the Consolidated Total Net Leverage Ratio on a pro forma basis does not exceed 5.25 to 1.00 or (y) in the case of Acquisition Indebtedness, the </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75260"/>
                <wp:effectExtent l="0" t="0" r="0" b="0"/>
                <wp:wrapNone/>
                <wp:docPr id="144"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Consolidated Total Net Leverage Ratio on a pro forma basis does not exceed the Consolidated Total Net Leverage Ratio immediately prior to the incurrence of such Indebtedness, or (ii) (x) the Consolidated Interest Coverage Ratio on a pro forma basis is not less than 2.00 to 1.00 or (y) in the case of Acquisition Indebtedness, the Consolidated Interest Coverage Ratio on a pro forma basis is not less than the Consolidated Interest Coverage Ratio immediately prior to the incurrence of such Indebtedness.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Maximum Rate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MFN Provision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2.14(f)</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 xml:space="preserve">Minimum Extension </w:t>
      </w:r>
      <w:r>
        <w:rPr>
          <w:rFonts w:ascii="Times New Roman;serif" w:hAnsi="Times New Roman;serif"/>
          <w:b w:val="false"/>
          <w:color w:val="000000"/>
          <w:sz w:val="22"/>
        </w:rPr>
        <w:t xml:space="preserve">Condition” has the meaning specified in </w:t>
      </w:r>
      <w:r>
        <w:rPr>
          <w:rFonts w:ascii="Times New Roman;serif" w:hAnsi="Times New Roman;serif"/>
          <w:b w:val="false"/>
          <w:color w:val="000000"/>
          <w:sz w:val="22"/>
          <w:u w:val="single"/>
        </w:rPr>
        <w:t>Section 2.19(g)</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Minimum Tender Condition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2.20(b)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Moody’s</w:t>
      </w:r>
      <w:r>
        <w:rPr>
          <w:color w:val="000000"/>
        </w:rPr>
        <w:t xml:space="preserve">” </w:t>
      </w:r>
      <w:r>
        <w:rPr>
          <w:rFonts w:ascii="Times New Roman;serif" w:hAnsi="Times New Roman;serif"/>
          <w:b w:val="false"/>
          <w:color w:val="000000"/>
          <w:sz w:val="22"/>
        </w:rPr>
        <w:t>means Moody’s Investors Service, Inc. or any successor to the rating agency business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MS</w:t>
      </w:r>
      <w:r>
        <w:rPr>
          <w:color w:val="000000"/>
        </w:rPr>
        <w:t xml:space="preserve">” </w:t>
      </w:r>
      <w:r>
        <w:rPr>
          <w:rFonts w:ascii="Times New Roman;serif" w:hAnsi="Times New Roman;serif"/>
          <w:b w:val="false"/>
          <w:color w:val="000000"/>
          <w:sz w:val="22"/>
        </w:rPr>
        <w:t>has the meaning specified in the preamble to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Multiemployer Plan</w:t>
      </w:r>
      <w:r>
        <w:rPr>
          <w:color w:val="000000"/>
        </w:rPr>
        <w:t xml:space="preserve">” </w:t>
      </w:r>
      <w:r>
        <w:rPr>
          <w:rFonts w:ascii="Times New Roman;serif" w:hAnsi="Times New Roman;serif"/>
          <w:b w:val="false"/>
          <w:color w:val="000000"/>
          <w:sz w:val="22"/>
        </w:rPr>
        <w:t>means a “multiemployer plan” as defined in Section 4001(a)(3) of ERISA, to which any Loan Party or any ERISA Affiliate makes or is obligated to make contributions or has any liability or obligation, whether fixed or contingent.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Natural Person</w:t>
      </w:r>
      <w:r>
        <w:rPr>
          <w:color w:val="000000"/>
        </w:rPr>
        <w:t xml:space="preserve">” </w:t>
      </w:r>
      <w:r>
        <w:rPr>
          <w:rFonts w:ascii="Times New Roman;serif" w:hAnsi="Times New Roman;serif"/>
          <w:b w:val="false"/>
          <w:color w:val="000000"/>
          <w:sz w:val="22"/>
        </w:rPr>
        <w:t>means (a) any natural person or (b) a holding company, investment vehicle or trust for, or owned and operated for the primary benefit of a natural person.</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Net Cash Proceeds” 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with respect to any Asset Disposition or any Casualty Event (other than an Excluded Casualty Event), the excess, if any, of cash proceeds received (including any cash proceeds received from the sale or other disposition of any Designated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in each case net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(2)    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the Company or any of its Subsidiaries, transfer Taxes, deed or mortgage recording Taxes and Taxes that would be payable in connection with any repatriation of such proceeds), as a consequence of such transaction, including distributions and payments for Permitted Tax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75260"/>
                <wp:effectExtent l="0" t="0" r="0" b="0"/>
                <wp:wrapNone/>
                <wp:docPr id="145"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Amounts made as a result of or in connection with such transaction or any transactions occurring or deemed to occur to effectuate a payment under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all payments made on any Indebtedness which is (x) secured by any assets subject to such transaction, in accordance with the terms of any Lien upon such assets, (y) is owed by a non-Guarantor or (z) which is required by applicable law be repaid out of the proceeds from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all distributions and other payments required to be made to non-controlling interest or minority interest holders (other than any direct or indirect parent of the Company, the Company or any of its Subsidiaries) in Subsidiaries or joint ventures as a result of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all costs associated with unwinding any related Swap Obligations in connection with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(6)    the deduction of appropriate amounts required to be provided by the seller as a reserve, in accordance with GAAP, against any liabilities associated with the assets disposed of in such transaction and retained by the Company or any Restricted Subsidiary after such transaction, including pension and other post-employment benefit liabilities and liabilities related to environmental matters or against any indemnification obligations associated with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(7)    any portion of the purchase price from such transaction placed in escrow, whether for the satisfaction of any indemnification obligations in respect of such transaction, as a reserve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(8)    for adjustments to the purchase price associated with any such transaction or otherwise in connection with such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(9)    the amount of any liabilities (other than Indebtedness in respect of this Agreement and the Senior Secured Notes) directly associated with such asset being sold and retained by the Company or any of its Restricted Subsidiaries;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(10)    the amount of any Restricted Payment made with the proceeds of any such transaction pursuant to </w:t>
      </w:r>
      <w:r>
        <w:rPr>
          <w:rFonts w:ascii="Times New Roman;serif" w:hAnsi="Times New Roman;serif"/>
          <w:b w:val="false"/>
          <w:color w:val="000000"/>
          <w:sz w:val="22"/>
          <w:u w:val="single"/>
        </w:rPr>
        <w:t>Section 7.05(b)(12)(b)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with respect to the incurrence or issuance of any Indebtedness by any Restricted Group Member, the excess, if any, of (i) the sum of the cash received in connection with such incurrence or issuance and in connection with unwinding any related Swap Contract in connection therewith over (ii) the investment banking fees, underwriting discounts and commissions, premiums, expenses, accrued interest and fees related thereto, Taxes paid, reasonably estimated to be payable, Tax reserves set aside or payable or accrued as a liability under GAAP (including, for the avoidance of doubt, any income, withholding and other Taxes payable as a result of the distribution of such proceeds to any Restricted Group Member and including distributions and payments for Permitted Tax Amounts made as a result of or in connection with the issuance of such Indebtedness) and other out-of-pocket expenses and other customary expenses, incurred by any Restricted Group Member in connection with such incurrence or issuance and any costs associated with unwinding any related Swap Contract in connection therewith and, in the case of Indebtedness of any Non-U.S. Subsidiary, deductions in respect of withholding Taxes that are or would otherwise be payable in cash if such funds were repatriated to the United States; and</w:t>
      </w:r>
    </w:p>
    <w:p>
      <w:pPr>
        <w:pStyle w:val="TextBody"/>
        <w:bidi w:val="0"/>
        <w:spacing w:before="0" w:after="0"/>
        <w:jc w:val="lef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46"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with respect to any issuance of Capital Stock by any Person, the excess, if any, of (A) the sum of the cash received in connection with such issuance over (B) the investment banking fees, underwriting discounts and commissions, premiums, expenses and fees related thereto and other out-of-pocket expenses and other customary expenses, incurred by such Person in connection with such issuance;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the case of any issuance of Capital Stock by any direct or indirect parent of the Company, the amount thereof shall be limited to the amount of cash from such issuance of Capital Stock contributed to the capital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Net Short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New Contracts</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clause (1)(v)</w:t>
      </w:r>
      <w:r>
        <w:rPr>
          <w:strike/>
          <w:color w:val="FF0000"/>
        </w:rPr>
        <w:t xml:space="preserve"> </w:t>
      </w:r>
      <w:r>
        <w:rPr>
          <w:rFonts w:ascii="Times New Roman;serif" w:hAnsi="Times New Roman;serif"/>
          <w:b w:val="false"/>
          <w:strike/>
          <w:color w:val="FF0000"/>
          <w:sz w:val="22"/>
        </w:rPr>
        <w:t>of the definition of “Consolidated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Loan Commitments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Revolving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Revolving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Revolving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Term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Term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New Term Loan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Non-Consenting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3.08(c)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Non-Defaulting Lender</w:t>
      </w:r>
      <w:r>
        <w:rPr>
          <w:color w:val="000000"/>
        </w:rPr>
        <w:t xml:space="preserve">” </w:t>
      </w:r>
      <w:r>
        <w:rPr>
          <w:rFonts w:ascii="Times New Roman;serif" w:hAnsi="Times New Roman;serif"/>
          <w:b w:val="false"/>
          <w:color w:val="000000"/>
          <w:sz w:val="22"/>
        </w:rPr>
        <w:t>means any Lender other than a Defaulting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Non-Extending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Non-Financing Lease Obligation</w:t>
      </w:r>
      <w:r>
        <w:rPr>
          <w:color w:val="000000"/>
        </w:rPr>
        <w:t xml:space="preserve">” </w:t>
      </w:r>
      <w:r>
        <w:rPr>
          <w:rFonts w:ascii="Times New Roman;serif" w:hAnsi="Times New Roman;serif"/>
          <w:b w:val="false"/>
          <w:color w:val="000000"/>
          <w:sz w:val="22"/>
        </w:rPr>
        <w:t>means a lease obligation that is not required to be accounted for as a financing or capital lease in accordance with GAAP; provided that all obligations of the Company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 For the avoidance of doubt, a straight-line or operating lease shall be considered a Non-Financing Lease Obligation.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Non-Loan Party Sublimit</w:t>
      </w:r>
      <w:r>
        <w:rPr>
          <w:color w:val="000000"/>
        </w:rPr>
        <w:t xml:space="preserve">” </w:t>
      </w:r>
      <w:r>
        <w:rPr>
          <w:rFonts w:ascii="Times New Roman;serif" w:hAnsi="Times New Roman;serif"/>
          <w:b w:val="false"/>
          <w:color w:val="000000"/>
          <w:sz w:val="22"/>
        </w:rPr>
        <w:t>means an aggregate principal amount equal to</w:t>
      </w:r>
      <w:r>
        <w:rPr>
          <w:rFonts w:ascii="Times New Roman;serif" w:hAnsi="Times New Roman;serif"/>
          <w:b w:val="false"/>
          <w:strike/>
          <w:color w:val="008000"/>
          <w:sz w:val="22"/>
        </w:rPr>
        <w:t xml:space="preserve">, when taken together with the aggregate </w:t>
      </w:r>
      <w:r>
        <w:rPr>
          <w:rFonts w:ascii="Times New Roman;serif" w:hAnsi="Times New Roman;serif"/>
          <w:b w:val="false"/>
          <w:strike/>
          <w:color w:val="FF0000"/>
          <w:sz w:val="22"/>
        </w:rPr>
        <w:t xml:space="preserve">outstanding </w:t>
      </w:r>
      <w:r>
        <w:rPr>
          <w:rFonts w:ascii="Times New Roman;serif" w:hAnsi="Times New Roman;serif"/>
          <w:b w:val="false"/>
          <w:strike/>
          <w:color w:val="008000"/>
          <w:sz w:val="22"/>
        </w:rPr>
        <w:t xml:space="preserve">principal amount of all </w:t>
      </w:r>
      <w:r>
        <w:rPr>
          <w:rFonts w:ascii="Times New Roman;serif" w:hAnsi="Times New Roman;serif"/>
          <w:b w:val="false"/>
          <w:strike/>
          <w:color w:val="FF0000"/>
          <w:sz w:val="22"/>
        </w:rPr>
        <w:t>other Indebtedness Incurred in reliance on this definition, the greater of (a) $150,000,000 and (b) 30.0% of LTM EBITDA</w:t>
      </w:r>
      <w:r>
        <w:rPr>
          <w:color w:val="000000"/>
        </w:rPr>
        <w:t xml:space="preserve"> </w:t>
      </w:r>
      <w:r>
        <w:rPr>
          <w:rFonts w:ascii="Times New Roman;serif" w:hAnsi="Times New Roman;serif"/>
          <w:b w:val="false"/>
          <w:color w:val="0000FF"/>
          <w:sz w:val="22"/>
          <w:u w:val="single"/>
        </w:rPr>
        <w:t>$10,000,000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Non-Loan Party Subsidiary</w:t>
      </w:r>
      <w:r>
        <w:rPr>
          <w:color w:val="000000"/>
        </w:rPr>
        <w:t xml:space="preserve">” </w:t>
      </w:r>
      <w:r>
        <w:rPr>
          <w:rFonts w:ascii="Times New Roman;serif" w:hAnsi="Times New Roman;serif"/>
          <w:b w:val="false"/>
          <w:color w:val="000000"/>
          <w:sz w:val="22"/>
        </w:rPr>
        <w:t>means any Restricted Subsidiary of the Company that is not a Borrower or a Guarantor.</w:t>
      </w: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4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Non-U.S. Lender</w:t>
      </w:r>
      <w:r>
        <w:rPr>
          <w:color w:val="000000"/>
        </w:rPr>
        <w:t xml:space="preserve">” </w:t>
      </w:r>
      <w:r>
        <w:rPr>
          <w:rFonts w:ascii="Times New Roman;serif" w:hAnsi="Times New Roman;serif"/>
          <w:b w:val="false"/>
          <w:color w:val="000000"/>
          <w:sz w:val="22"/>
        </w:rPr>
        <w:t>means a lender that is not a U.S.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Non-U.S. Subsidiary</w:t>
      </w:r>
      <w:r>
        <w:rPr>
          <w:color w:val="000000"/>
        </w:rPr>
        <w:t xml:space="preserve">” </w:t>
      </w:r>
      <w:r>
        <w:rPr>
          <w:rFonts w:ascii="Times New Roman;serif" w:hAnsi="Times New Roman;serif"/>
          <w:b w:val="false"/>
          <w:color w:val="000000"/>
          <w:sz w:val="22"/>
        </w:rPr>
        <w:t>means any direct or indirect Subsidiary of the Company that is not a U.S.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Note</w:t>
      </w:r>
      <w:r>
        <w:rPr>
          <w:color w:val="000000"/>
        </w:rPr>
        <w:t xml:space="preserve">” </w:t>
      </w:r>
      <w:r>
        <w:rPr>
          <w:rFonts w:ascii="Times New Roman;serif" w:hAnsi="Times New Roman;serif"/>
          <w:b w:val="false"/>
          <w:color w:val="000000"/>
          <w:sz w:val="22"/>
        </w:rPr>
        <w:t>means a Term Note or a Revolving Credit Note,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NPL</w:t>
      </w:r>
      <w:r>
        <w:rPr>
          <w:color w:val="000000"/>
        </w:rPr>
        <w:t xml:space="preserve">” </w:t>
      </w:r>
      <w:r>
        <w:rPr>
          <w:rFonts w:ascii="Times New Roman;serif" w:hAnsi="Times New Roman;serif"/>
          <w:b w:val="false"/>
          <w:color w:val="000000"/>
          <w:sz w:val="22"/>
        </w:rPr>
        <w:t>means the National Priorities List under CERCLA.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NYFRB</w:t>
      </w:r>
      <w:r>
        <w:rPr>
          <w:color w:val="000000"/>
        </w:rPr>
        <w:t xml:space="preserve">” </w:t>
      </w:r>
      <w:r>
        <w:rPr>
          <w:rFonts w:ascii="Times New Roman;serif" w:hAnsi="Times New Roman;serif"/>
          <w:b w:val="false"/>
          <w:color w:val="000000"/>
          <w:sz w:val="22"/>
        </w:rPr>
        <w:t>means the Federal Reserve Bank of New York.</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NYFRB Rate</w:t>
      </w:r>
      <w:r>
        <w:rPr>
          <w:color w:val="000000"/>
        </w:rPr>
        <w:t xml:space="preserve">” </w:t>
      </w:r>
      <w:r>
        <w:rPr>
          <w:rFonts w:ascii="Times New Roman;serif" w:hAnsi="Times New Roman;serif"/>
          <w:b w:val="false"/>
          <w:color w:val="000000"/>
          <w:sz w:val="22"/>
        </w:rPr>
        <w:t>means, for any day, the greater of (a) the Federal Funds Effective Rate in effect on such day and (b) the Overnight Bank Funding Rate in effect on such day (or for any day that is not a Business Day, for the immediately preceding Business Day); provided that if none of such rates are published for any day that is a Business Day, the term “NYFRB Rate” means the rate for a federal funds transaction quoted at 11:00 a.m. on such day received by the Administrative Agent from a federal funds broker of recognized standing selected by 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NYFRB’s Website</w:t>
      </w:r>
      <w:r>
        <w:rPr>
          <w:color w:val="000000"/>
        </w:rPr>
        <w:t xml:space="preserve">” </w:t>
      </w:r>
      <w:r>
        <w:rPr>
          <w:rFonts w:ascii="Times New Roman;serif" w:hAnsi="Times New Roman;serif"/>
          <w:b w:val="false"/>
          <w:color w:val="000000"/>
          <w:sz w:val="22"/>
        </w:rPr>
        <w:t>means the website of the NYFRB at http://www.newyorkfed.org, or any successor source.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Obligations</w:t>
      </w:r>
      <w:r>
        <w:rPr>
          <w:color w:val="000000"/>
        </w:rPr>
        <w:t xml:space="preserve">” </w:t>
      </w:r>
      <w:r>
        <w:rPr>
          <w:rFonts w:ascii="Times New Roman;serif" w:hAnsi="Times New Roman;serif"/>
          <w:b w:val="false"/>
          <w:color w:val="000000"/>
          <w:sz w:val="22"/>
        </w:rPr>
        <w:t xml:space="preserve">means all advances to, and debts, liabilities, obligations, covenants and duties of, any Loan Party arising under any Loan Document or otherwise with respect to any Loan, Letter of Credit, and obligations of any Loan Party or any Restricted Subsidiary arising under any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provided that (a) obligations of any Loan Party or any Restricted Subsidiary under any Secured Cash Management Agreement or Secured Hedge Agreement shall be secured and guaranteed pursuant to the Collateral Documents only to the extent that, and for so long as, the other Obligations are so secured and guaranteed, (b) any release of Collateral or Guarantors effected in the manner permitted by this Agreement shall not require the consent of holders of obligations under Secured Hedge Agreements or Secured Cash Management Agreements and (c) the Obligations with respect to any Guarantor shall not include Excluded Swap Obligations of such Guarantor. Without limiting the generality of the foregoing, the Obligations of the Loan Parties under the Loan Documents include (a) the obligation to pay principal, interest, Letter of Credit commissions, charges, expenses, fees, indemnities and other amounts payable by any Loan Party under any Loan Document and (b) the obligation of any Loan Party to reimburse any amount in respect of any of the foregoing pursuant to </w:t>
      </w:r>
      <w:r>
        <w:rPr>
          <w:rFonts w:ascii="Times New Roman;serif" w:hAnsi="Times New Roman;serif"/>
          <w:b w:val="false"/>
          <w:color w:val="000000"/>
          <w:sz w:val="22"/>
          <w:u w:val="single"/>
        </w:rPr>
        <w:t>Section 10.04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OFAC</w:t>
      </w:r>
      <w:r>
        <w:rPr>
          <w:color w:val="000000"/>
        </w:rPr>
        <w:t xml:space="preserve">” </w:t>
      </w:r>
      <w:r>
        <w:rPr>
          <w:rFonts w:ascii="Times New Roman;serif" w:hAnsi="Times New Roman;serif"/>
          <w:b w:val="false"/>
          <w:color w:val="000000"/>
          <w:sz w:val="22"/>
        </w:rPr>
        <w:t>has the meaning specified in the definition of “Sanctions Laws and Regulations.”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OID</w:t>
      </w:r>
      <w:r>
        <w:rPr>
          <w:color w:val="000000"/>
        </w:rPr>
        <w:t xml:space="preserve">” </w:t>
      </w:r>
      <w:r>
        <w:rPr>
          <w:rFonts w:ascii="Times New Roman;serif" w:hAnsi="Times New Roman;serif"/>
          <w:b w:val="false"/>
          <w:color w:val="000000"/>
          <w:sz w:val="22"/>
        </w:rPr>
        <w:t>means original issue discount.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Organization Documents</w:t>
      </w:r>
      <w:r>
        <w:rPr>
          <w:color w:val="000000"/>
        </w:rPr>
        <w:t xml:space="preserve">” </w:t>
      </w:r>
      <w:r>
        <w:rPr>
          <w:rFonts w:ascii="Times New Roman;serif" w:hAnsi="Times New Roman;serif"/>
          <w:b w:val="false"/>
          <w:color w:val="000000"/>
          <w:sz w:val="22"/>
        </w:rPr>
        <w:t xml:space="preserve">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 jurisdiction) and (c) with respect to any </w:t>
      </w: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4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partnership, joint venture, trust or other form of business entity, the partnership, joint venture, trust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Connection Taxes</w:t>
      </w:r>
      <w:r>
        <w:rPr>
          <w:color w:val="000000"/>
        </w:rPr>
        <w:t xml:space="preserve">” </w:t>
      </w:r>
      <w:r>
        <w:rPr>
          <w:rFonts w:ascii="Times New Roman;serif" w:hAnsi="Times New Roman;serif"/>
          <w:b w:val="false"/>
          <w:color w:val="000000"/>
          <w:sz w:val="22"/>
        </w:rPr>
        <w:t>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Letter of Credit, or sold or assigned an interest in any Loan, Loan Document or Letter of Credit).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LC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2.03(c)(v)</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Specified Debt</w:t>
      </w:r>
      <w:r>
        <w:rPr>
          <w:color w:val="000000"/>
        </w:rPr>
        <w:t xml:space="preserve">” </w:t>
      </w:r>
      <w:r>
        <w:rPr>
          <w:rFonts w:ascii="Times New Roman;serif" w:hAnsi="Times New Roman;serif"/>
          <w:b w:val="false"/>
          <w:color w:val="000000"/>
          <w:sz w:val="22"/>
        </w:rPr>
        <w:t>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Specified Refinancing Debt, any Credit Agreement Refinancing Debt, any Refinancing Indebtedness in respect of any of the foregoing, in each case, that is secured by a Lien on assets not constituting Collateral or unsecured.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Other Taxes</w:t>
      </w:r>
      <w:r>
        <w:rPr>
          <w:color w:val="000000"/>
        </w:rPr>
        <w:t xml:space="preserve">” </w:t>
      </w:r>
      <w:r>
        <w:rPr>
          <w:rFonts w:ascii="Times New Roman;serif" w:hAnsi="Times New Roman;serif"/>
          <w:b w:val="false"/>
          <w:color w:val="000000"/>
          <w:sz w:val="22"/>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that are imposed with respect to an assignment (other than an assignment made pursuant to </w:t>
      </w:r>
      <w:r>
        <w:rPr>
          <w:rFonts w:ascii="Times New Roman;serif" w:hAnsi="Times New Roman;serif"/>
          <w:b w:val="false"/>
          <w:color w:val="000000"/>
          <w:sz w:val="22"/>
          <w:u w:val="single"/>
        </w:rPr>
        <w:t>Section 3.08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Outstanding Amount</w:t>
      </w:r>
      <w:r>
        <w:rPr>
          <w:color w:val="000000"/>
        </w:rPr>
        <w:t xml:space="preserve">” </w:t>
      </w:r>
      <w:r>
        <w:rPr>
          <w:rFonts w:ascii="Times New Roman;serif" w:hAnsi="Times New Roman;serif"/>
          <w:b w:val="false"/>
          <w:color w:val="000000"/>
          <w:sz w:val="22"/>
        </w:rPr>
        <w:t>means: (a) with respect to the Term Loans, Revolving Credit Loans, Specified Refinancing Term Loans and Specified Refinancing Revolving Loans on any date, the aggregate outstanding principal Dollar Amount thereof after giving effect to any Borrowings and prepayments or repayments of the Term Loans, Revolving Credit Loans (including any refinancing of outstanding unpaid drawings under Letters of Credit or L/C Credit Extensions as a Revolving Credit Borrowing), Specified Refinancing Term Loans and Specified Refinancing Revolving Loans, as applicable, occurring on such date; and (b) with respect to any L/C Obligations on any date, the Dollar Amount of such L/C Obligations on such date after giving effect to any L/C Credit Extension occurring on such date and any other changes in the aggregate Dollar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Dollar Amount available for drawing under Letters of Credit taking effect on such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Overnight Bank Funding Rate</w:t>
      </w:r>
      <w:r>
        <w:rPr>
          <w:color w:val="000000"/>
        </w:rPr>
        <w:t xml:space="preserve">” </w:t>
      </w:r>
      <w:r>
        <w:rPr>
          <w:rFonts w:ascii="Times New Roman;serif" w:hAnsi="Times New Roman;serif"/>
          <w:b w:val="false"/>
          <w:color w:val="000000"/>
          <w:sz w:val="22"/>
        </w:rPr>
        <w:t>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4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Owen Mumford Acquisition</w:t>
      </w:r>
      <w:r>
        <w:rPr>
          <w:color w:val="0000FF"/>
          <w:u w:val="single"/>
        </w:rPr>
        <w:t xml:space="preserve">” </w:t>
      </w:r>
      <w:r>
        <w:rPr>
          <w:rFonts w:ascii="Times New Roman;serif" w:hAnsi="Times New Roman;serif"/>
          <w:b w:val="false"/>
          <w:color w:val="0000FF"/>
          <w:sz w:val="22"/>
          <w:u w:val="single"/>
        </w:rPr>
        <w:t xml:space="preserve">means the acquisition of Owen Mumford Holdings Limited, </w:t>
      </w:r>
      <w:r>
        <w:rPr>
          <w:rFonts w:ascii="Times New Roman;serif" w:hAnsi="Times New Roman;serif"/>
          <w:b w:val="false"/>
          <w:color w:val="008000"/>
          <w:sz w:val="22"/>
          <w:u w:val="single"/>
        </w:rPr>
        <w:t xml:space="preserve">pursuant to the </w:t>
      </w:r>
      <w:r>
        <w:rPr>
          <w:rFonts w:ascii="Times New Roman;serif" w:hAnsi="Times New Roman;serif"/>
          <w:b w:val="false"/>
          <w:color w:val="0000FF"/>
          <w:sz w:val="22"/>
          <w:u w:val="single"/>
        </w:rPr>
        <w:t>Agreement for the Sale and Purchase of Owen Mumford Holdings Limited dated March 19, 2026 between the persons listed therein, as sellers, and the Company, as purchaser (as the same may be amended, modified or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Parent Entity</w:t>
      </w:r>
      <w:r>
        <w:rPr>
          <w:color w:val="000000"/>
        </w:rPr>
        <w:t xml:space="preserve">” </w:t>
      </w:r>
      <w:r>
        <w:rPr>
          <w:rFonts w:ascii="Times New Roman;serif" w:hAnsi="Times New Roman;serif"/>
          <w:b w:val="false"/>
          <w:color w:val="000000"/>
          <w:sz w:val="22"/>
        </w:rPr>
        <w:t>means any direct or indirect parent of the Company which holds directly or indirectly 100.0% of the equity interests of the Company and which does not hold Capital Stock in any other Person (except for any other Parent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Parent Entity Expenses</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fees, costs and expenses (including all legal, accounting and other professional fees, costs and expenses) incurred or paid by any direct or indirect parent of the Company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the Loans, the Guarantees or any other Indebtedness of the Company or any Restricted Subsidiary, including in respect of any reports filed or delivered with respect to the Securities Act, Exchange Act or the respective rules and regulations promulgated thereunder;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customary salary, bonus, severance, indemnity, insurance (including premiums therefor) and other benefits payable to any employee, director, officer, manager, contractor, consultant or advisor of any direct or indirect parent of the Company or other Persons under its articles, charter, by-laws, partnership agreement or other organizational documents or pursuant to written agreements with any such Person to the extent relating to the Company and its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(x) general corporate operating and overhead fees, costs and expenses, (including all legal, accounting and other professional fees, costs and expenses, and director and officer insurance (including premiums therefor)) and, following the first public offering of the Capital Stock of any direct or indirect parent of the Company, listing fees and other costs and expenses attributable to being a publicly traded company of any direct or indirect parent of the Company and (y) other operational expenses of any direct or indirect parent of the Company related to the ownership or operation of the business of the Company or any of the Restricted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expenses incurred by any direct or indirect parent of the Company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direct or indirect parent;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Company to the Lenders when taken as a whole, as compared to the management services or similar agreements as in effect immediately prior to such amendment or replacement), solely to the extent such amounts are not paid directly by the Company or its Subsidiaries;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(6)    amounts to finance Investments that would otherwise be permitted to be made pursuant to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if made by the Company or a Restricted Subsidiary;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 such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5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Payment shall be made substantially concurrently with the closing of such Investment, (B) such direct or indirect parent shall, immediately following the closing thereof, cause (1) all property acquired (whether assets or Capital Stock) to be contributed to the capital of the Company or one of its Restricted Subsidiaries or (2) the merger, consolidation or amalgamation of the Person formed or acquired by or merged or consolidated with the Company or one of its Restricted Subsidiaries (to the extent not prohibited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in order to consummate such Investment, (C) such direct or indirect parent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Agreement and such consideration or other payment is included as a Restricted Payment under this Agreement, (D) any property received by the Company shall not increase amounts available for Restricted Payments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7.05(a)</w:t>
      </w:r>
      <w:r>
        <w:rPr>
          <w:color w:val="000000"/>
        </w:rPr>
        <w:t xml:space="preserve"> </w:t>
      </w:r>
      <w:r>
        <w:rPr>
          <w:rFonts w:ascii="Times New Roman;serif" w:hAnsi="Times New Roman;serif"/>
          <w:b w:val="false"/>
          <w:color w:val="000000"/>
          <w:sz w:val="22"/>
        </w:rPr>
        <w:t xml:space="preserve">and (E) such Investment shall be deemed to be made by the Company or such Restricted Subsidiary pursuant to a provision of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or pursuant to the definition of “Permitted Investment.”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Parent Holding Company</w:t>
      </w:r>
      <w:r>
        <w:rPr>
          <w:color w:val="000000"/>
        </w:rPr>
        <w:t xml:space="preserve">” </w:t>
      </w:r>
      <w:r>
        <w:rPr>
          <w:rFonts w:ascii="Times New Roman;serif" w:hAnsi="Times New Roman;serif"/>
          <w:b w:val="false"/>
          <w:color w:val="000000"/>
          <w:sz w:val="22"/>
        </w:rPr>
        <w:t>means any direct or indirect parent entity of the Company which holds directly or indirectly 100.0% of the Equity Interests of the Company and which does not hold Capital Stock in any other Person (except for any other Parent Holding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Participant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Participant 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10.07(m)</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Participating Member State</w:t>
      </w:r>
      <w:r>
        <w:rPr>
          <w:color w:val="000000"/>
        </w:rPr>
        <w:t xml:space="preserve">” </w:t>
      </w:r>
      <w:r>
        <w:rPr>
          <w:rFonts w:ascii="Times New Roman;serif" w:hAnsi="Times New Roman;serif"/>
          <w:b w:val="false"/>
          <w:color w:val="000000"/>
          <w:sz w:val="22"/>
        </w:rPr>
        <w:t>means each state as described in any EMU Legislation.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PATRIOT Act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10.22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Payment Block</w:t>
      </w:r>
      <w:r>
        <w:rPr>
          <w:color w:val="000000"/>
        </w:rPr>
        <w:t xml:space="preserve">” </w:t>
      </w:r>
      <w:r>
        <w:rPr>
          <w:rFonts w:ascii="Times New Roman;serif" w:hAnsi="Times New Roman;serif"/>
          <w:b w:val="false"/>
          <w:color w:val="000000"/>
          <w:sz w:val="22"/>
        </w:rPr>
        <w:t xml:space="preserve">means any of the circumstances described in </w:t>
      </w:r>
      <w:r>
        <w:rPr>
          <w:rFonts w:ascii="Times New Roman;serif" w:hAnsi="Times New Roman;serif"/>
          <w:b w:val="false"/>
          <w:color w:val="000000"/>
          <w:sz w:val="22"/>
          <w:u w:val="single"/>
        </w:rPr>
        <w:t>Section 2.05(b)(viii)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(ix)</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PBGC</w:t>
      </w:r>
      <w:r>
        <w:rPr>
          <w:color w:val="000000"/>
        </w:rPr>
        <w:t xml:space="preserve">” </w:t>
      </w:r>
      <w:r>
        <w:rPr>
          <w:rFonts w:ascii="Times New Roman;serif" w:hAnsi="Times New Roman;serif"/>
          <w:b w:val="false"/>
          <w:color w:val="000000"/>
          <w:sz w:val="22"/>
        </w:rPr>
        <w:t>means the Pension Benefit Guaranty Corporation.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Pension Funding Rules</w:t>
      </w:r>
      <w:r>
        <w:rPr>
          <w:color w:val="000000"/>
        </w:rPr>
        <w:t xml:space="preserve">” </w:t>
      </w:r>
      <w:r>
        <w:rPr>
          <w:rFonts w:ascii="Times New Roman;serif" w:hAnsi="Times New Roman;serif"/>
          <w:b w:val="false"/>
          <w:color w:val="000000"/>
          <w:sz w:val="22"/>
        </w:rPr>
        <w:t>means the rules of the Code and ERISA regarding minimum required contributions (including any installment payment thereof) to Plans and as set forth in Section 412 and 430 of the Code and Sections 302 and 303 of ERISA.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Perfection Certificate</w:t>
      </w:r>
      <w:r>
        <w:rPr>
          <w:color w:val="000000"/>
        </w:rPr>
        <w:t xml:space="preserve">” </w:t>
      </w:r>
      <w:r>
        <w:rPr>
          <w:rFonts w:ascii="Times New Roman;serif" w:hAnsi="Times New Roman;serif"/>
          <w:b w:val="false"/>
          <w:color w:val="000000"/>
          <w:sz w:val="22"/>
        </w:rPr>
        <w:t>shall mean the Perfection Certificate, dated as of the Spin-Off Date, executed and delivered by the Loan Parties and each other Perfection Certificate or any supplement thereto delivered by any of the Loan Parties pursuant to the terms 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Perfection Exceptions”</w:t>
      </w:r>
      <w:r>
        <w:rPr>
          <w:color w:val="000000"/>
        </w:rPr>
        <w:t xml:space="preserve"> </w:t>
      </w:r>
      <w:r>
        <w:rPr>
          <w:rFonts w:ascii="Times New Roman;serif" w:hAnsi="Times New Roman;serif"/>
          <w:b w:val="false"/>
          <w:color w:val="000000"/>
          <w:sz w:val="22"/>
        </w:rPr>
        <w:t>means that no Loan Party shall be required 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enter into control agreements with respect to, or otherwise perfect any security interest by “control” (or similar arrangements) over, commodities accounts, securities accounts, deposit accounts, futures accounts, other bank accounts, cash and cash equivalents and accounts related to the clearing, payment processing and similar operations of the Restricted Group,</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perfect the security interest in the following other than by the filing of a UCC financing statement: (1) letter-of-credit rights (as defined in the UCC), (2) commercial tort claims (as defined in the UCC), (3) Fixtures (as defined in the UCC), except to the extent that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5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are Equipment (as defined in the UCC) and (4) Assigned Agreements (as defined in the Security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send notices to account debtors or other contractual third-parties unless an Event of Default has occurred,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enter into, make or obtain any (x) security documents to be governed by the law of any jurisdiction outside of the United States or (y) other non-U.S. law filings or non-U.S. consents or corporate or organizational action in respect of security, including with respect to any share pledges and any intellectual property registered in any non-U.S. jurisdiction;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foregoing clause (iv) shall not affect the requirements to </w:t>
      </w:r>
      <w:r>
        <w:rPr>
          <w:rFonts w:ascii="Times New Roman;serif" w:hAnsi="Times New Roman;serif"/>
          <w:b w:val="false"/>
          <w:color w:val="0000FF"/>
          <w:sz w:val="22"/>
          <w:u w:val="single"/>
        </w:rPr>
        <w:t xml:space="preserve">(a) </w:t>
      </w:r>
      <w:r>
        <w:rPr>
          <w:rFonts w:ascii="Times New Roman;serif" w:hAnsi="Times New Roman;serif"/>
          <w:b w:val="false"/>
          <w:color w:val="000000"/>
          <w:sz w:val="22"/>
        </w:rPr>
        <w:t>deliver certificates and related stock powers in respect of Equity Interest of Non-U.S. Subsidiaries constituting Collateral that would otherwise be required to be delivered pursuant to the Collateral Documents</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 (b) effect the pledge by embecta International Holdings I LLC of 100% of the Equity Interests of embecta Luxembourg II S.a.r.l, pursuant to Luxembourg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deliver landlord waivers, estoppels or collateral access letters,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enter into any source code escrow arrangement or be obligated to register intellectual property.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Periodic Term SOFR Determination Day</w:t>
      </w:r>
      <w:r>
        <w:rPr>
          <w:color w:val="000000"/>
        </w:rPr>
        <w:t xml:space="preserve">” </w:t>
      </w:r>
      <w:r>
        <w:rPr>
          <w:rFonts w:ascii="Times New Roman;serif" w:hAnsi="Times New Roman;serif"/>
          <w:b w:val="false"/>
          <w:color w:val="000000"/>
          <w:sz w:val="22"/>
        </w:rPr>
        <w:t>has the meaning specified in the definition of “Term SOFR”.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Asset Swap</w:t>
      </w:r>
      <w:r>
        <w:rPr>
          <w:color w:val="000000"/>
        </w:rPr>
        <w:t xml:space="preserve">” </w:t>
      </w:r>
      <w:r>
        <w:rPr>
          <w:rFonts w:ascii="Times New Roman;serif" w:hAnsi="Times New Roman;serif"/>
          <w:b w:val="false"/>
          <w:color w:val="000000"/>
          <w:sz w:val="22"/>
        </w:rPr>
        <w:t xml:space="preserve">means the concurrent purchase and sale or exchange of assets used or useful in a Similar Business or a combination of such assets and cash or Cash Equivalents between the Company or any of its Restricted Subsidiaries and another Person;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cash or Cash Equivalents received in excess of the value of any cash or Cash Equivalents sold or exchanged must be applied in accordance with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Permitted Call Spread Swap Agreements</w:t>
      </w:r>
      <w:r>
        <w:rPr>
          <w:strike/>
          <w:color w:val="FF0000"/>
        </w:rPr>
        <w:t xml:space="preserve">” </w:t>
      </w:r>
      <w:r>
        <w:rPr>
          <w:rFonts w:ascii="Times New Roman;serif" w:hAnsi="Times New Roman;serif"/>
          <w:b w:val="false"/>
          <w:strike/>
          <w:color w:val="FF0000"/>
          <w:sz w:val="22"/>
        </w:rPr>
        <w:t xml:space="preserve">shall mean </w:t>
      </w:r>
      <w:r>
        <w:rPr>
          <w:rFonts w:ascii="Times New Roman;serif" w:hAnsi="Times New Roman;serif"/>
          <w:b w:val="false"/>
          <w:strike/>
          <w:color w:val="008000"/>
          <w:sz w:val="22"/>
        </w:rPr>
        <w:t xml:space="preserve">(a) a </w:t>
      </w:r>
      <w:r>
        <w:rPr>
          <w:rFonts w:ascii="Times New Roman;serif" w:hAnsi="Times New Roman;serif"/>
          <w:b w:val="false"/>
          <w:strike/>
          <w:color w:val="FF0000"/>
          <w:sz w:val="22"/>
        </w:rPr>
        <w:t xml:space="preserve">Swap Contract </w:t>
      </w:r>
      <w:r>
        <w:rPr>
          <w:rFonts w:ascii="Times New Roman;serif" w:hAnsi="Times New Roman;serif"/>
          <w:b w:val="false"/>
          <w:strike/>
          <w:color w:val="008000"/>
          <w:sz w:val="22"/>
        </w:rPr>
        <w:t xml:space="preserve">pursuant to </w:t>
      </w:r>
      <w:r>
        <w:rPr>
          <w:rFonts w:ascii="Times New Roman;serif" w:hAnsi="Times New Roman;serif"/>
          <w:b w:val="false"/>
          <w:strike/>
          <w:color w:val="FF0000"/>
          <w:sz w:val="22"/>
        </w:rPr>
        <w:t xml:space="preserve">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w:t>
      </w:r>
      <w:r>
        <w:rPr>
          <w:rFonts w:ascii="Times New Roman;serif" w:hAnsi="Times New Roman;serif"/>
          <w:b w:val="false"/>
          <w:strike/>
          <w:color w:val="008000"/>
          <w:sz w:val="22"/>
        </w:rPr>
        <w:t xml:space="preserve">of such </w:t>
      </w:r>
      <w:r>
        <w:rPr>
          <w:rFonts w:ascii="Times New Roman;serif" w:hAnsi="Times New Roman;serif"/>
          <w:b w:val="false"/>
          <w:strike/>
          <w:color w:val="FF0000"/>
          <w:sz w:val="22"/>
        </w:rPr>
        <w:t xml:space="preserve">Person generally being converted into, or exchanged for, other Equity Interests, securities, property or assets), the cash value thereof or a combination thereof </w:t>
      </w:r>
      <w:r>
        <w:rPr>
          <w:rFonts w:ascii="Times New Roman;serif" w:hAnsi="Times New Roman;serif"/>
          <w:b w:val="false"/>
          <w:strike/>
          <w:color w:val="008000"/>
          <w:sz w:val="22"/>
        </w:rPr>
        <w:t xml:space="preserve">from time to time </w:t>
      </w:r>
      <w:r>
        <w:rPr>
          <w:rFonts w:ascii="Times New Roman;serif" w:hAnsi="Times New Roman;serif"/>
          <w:b w:val="false"/>
          <w:strike/>
          <w:color w:val="FF0000"/>
          <w:sz w:val="22"/>
        </w:rPr>
        <w:t xml:space="preserve">upon exercise of such option </w:t>
      </w:r>
      <w:r>
        <w:rPr>
          <w:rFonts w:ascii="Times New Roman;serif" w:hAnsi="Times New Roman;serif"/>
          <w:b w:val="false"/>
          <w:strike/>
          <w:color w:val="008000"/>
          <w:sz w:val="22"/>
        </w:rPr>
        <w:t xml:space="preserve">and (b) </w:t>
      </w:r>
      <w:r>
        <w:rPr>
          <w:rFonts w:ascii="Times New Roman;serif" w:hAnsi="Times New Roman;serif"/>
          <w:b w:val="false"/>
          <w:strike/>
          <w:color w:val="FF0000"/>
          <w:sz w:val="22"/>
        </w:rPr>
        <w:t xml:space="preserve">if entered into by such Person in connection with any Swap Contract described in </w:t>
      </w:r>
      <w:r>
        <w:rPr>
          <w:rFonts w:ascii="Times New Roman;serif" w:hAnsi="Times New Roman;serif"/>
          <w:b w:val="false"/>
          <w:strike/>
          <w:color w:val="FF0000"/>
          <w:sz w:val="22"/>
          <w:u w:val="single"/>
        </w:rPr>
        <w:t>clause (a)</w:t>
      </w:r>
      <w:r>
        <w:rPr>
          <w:strike/>
          <w:color w:val="FF0000"/>
        </w:rPr>
        <w:t xml:space="preserve"> </w:t>
      </w:r>
      <w:r>
        <w:rPr>
          <w:rFonts w:ascii="Times New Roman;serif" w:hAnsi="Times New Roman;serif"/>
          <w:b w:val="false"/>
          <w:strike/>
          <w:color w:val="FF0000"/>
          <w:sz w:val="22"/>
        </w:rPr>
        <w:t>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w:t>
      </w:r>
      <w:r>
        <w:rPr>
          <w:rFonts w:ascii="Times New Roman;serif" w:hAnsi="Times New Roman;serif"/>
          <w:b w:val="false"/>
          <w:strike/>
          <w:color w:val="008000"/>
          <w:sz w:val="22"/>
        </w:rPr>
        <w:t xml:space="preserve">, in each case </w:t>
      </w:r>
      <w:r>
        <w:rPr>
          <w:rFonts w:ascii="Times New Roman;serif" w:hAnsi="Times New Roman;serif"/>
          <w:b w:val="false"/>
          <w:strike/>
          <w:color w:val="FF0000"/>
          <w:sz w:val="22"/>
        </w:rPr>
        <w:t xml:space="preserve">entered into by such Person </w:t>
      </w:r>
      <w:r>
        <w:rPr>
          <w:rFonts w:ascii="Times New Roman;serif" w:hAnsi="Times New Roman;serif"/>
          <w:b w:val="false"/>
          <w:strike/>
          <w:color w:val="008000"/>
          <w:sz w:val="22"/>
        </w:rPr>
        <w:t xml:space="preserve">in connection with the </w:t>
      </w:r>
      <w:r>
        <w:rPr>
          <w:rFonts w:ascii="Times New Roman;serif" w:hAnsi="Times New Roman;serif"/>
          <w:b w:val="false"/>
          <w:strike/>
          <w:color w:val="FF0000"/>
          <w:sz w:val="22"/>
        </w:rPr>
        <w:t xml:space="preserve">issuance of Permitted Convertible Notes; </w:t>
      </w:r>
      <w:r>
        <w:rPr>
          <w:rFonts w:ascii="Times New Roman;serif" w:hAnsi="Times New Roman;serif"/>
          <w:b w:val="false"/>
          <w:i/>
          <w:strike/>
          <w:color w:val="FF0000"/>
          <w:sz w:val="22"/>
        </w:rPr>
        <w:t>provided</w:t>
      </w:r>
      <w:r>
        <w:rPr>
          <w:strike/>
          <w:color w:val="FF0000"/>
        </w:rPr>
        <w:t xml:space="preserve"> </w:t>
      </w:r>
      <w:r>
        <w:rPr>
          <w:rFonts w:ascii="Times New Roman;serif" w:hAnsi="Times New Roman;serif"/>
          <w:b w:val="false"/>
          <w:strike/>
          <w:color w:val="FF0000"/>
          <w:sz w:val="22"/>
        </w:rPr>
        <w:t>that the terms, conditions and covenants of each such Swap Contract shall be customary or more favorable to than customary for Swap Contracts of such type (as determined by the Company in good faith).</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Permitted Convertible Notes</w:t>
      </w:r>
      <w:r>
        <w:rPr>
          <w:strike/>
          <w:color w:val="FF0000"/>
        </w:rPr>
        <w:t xml:space="preserve">” </w:t>
      </w:r>
      <w:r>
        <w:rPr>
          <w:rFonts w:ascii="Times New Roman;serif" w:hAnsi="Times New Roman;serif"/>
          <w:b w:val="false"/>
          <w:strike/>
          <w:color w:val="FF0000"/>
          <w:sz w:val="22"/>
        </w:rPr>
        <w:t xml:space="preserve">shall mean any notes issued by the Company or any direct or indirect parent of the Company that are convertible into common stock of the Company or any direct or indirect parent of the Company (or other Equity Interests, securities, property or assets following a merger </w:t>
      </w: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5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event or other event or circumstance resulting in the common stock of the Company or any direct or indirect parent of the Company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provided that the issuance of such notes is permitted under </w:t>
      </w:r>
      <w:r>
        <w:rPr>
          <w:rFonts w:ascii="Times New Roman;serif" w:hAnsi="Times New Roman;serif"/>
          <w:b w:val="false"/>
          <w:strike/>
          <w:color w:val="FF0000"/>
          <w:sz w:val="22"/>
          <w:u w:val="single"/>
        </w:rPr>
        <w:t>Section 7.01</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7.01(b)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Debt Exchange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2.20(a)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Debt Exchange Notes</w:t>
      </w:r>
      <w:r>
        <w:rPr>
          <w:color w:val="000000"/>
        </w:rPr>
        <w:t xml:space="preserve">” </w:t>
      </w:r>
      <w:r>
        <w:rPr>
          <w:rFonts w:ascii="Times New Roman;serif" w:hAnsi="Times New Roman;serif"/>
          <w:b w:val="false"/>
          <w:color w:val="000000"/>
          <w:sz w:val="22"/>
        </w:rPr>
        <w:t xml:space="preserve">means Indebtedness in the form of unsecured, first lien, second lien or other junior lien notes;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Indebtedness: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does not mature or have scheduled amortization payments of principal and is not subject to mandatory redemption, repurchase, prepayment or sinking fund obligations (except (w) customary offers or obligations to repurchase, repay or redeem upon a change of control, asset sale, casualty or condemnation event or initial public offering, (x) maturity payments and customary mandatory prepayments for Extendable Bridge Loans/Interim Debt </w:t>
      </w:r>
      <w:r>
        <w:rPr>
          <w:rFonts w:ascii="Times New Roman;serif" w:hAnsi="Times New Roman;serif"/>
          <w:b w:val="false"/>
          <w:strike/>
          <w:color w:val="FF0000"/>
          <w:sz w:val="22"/>
        </w:rPr>
        <w:t xml:space="preserve">and </w:t>
      </w:r>
      <w:r>
        <w:rPr>
          <w:rFonts w:ascii="Times New Roman;serif" w:hAnsi="Times New Roman;serif"/>
          <w:b w:val="false"/>
          <w:strike/>
          <w:color w:val="008000"/>
          <w:sz w:val="22"/>
        </w:rPr>
        <w:t xml:space="preserve">Indebtedness incurred pursuant to </w:t>
      </w:r>
      <w:r>
        <w:rPr>
          <w:rFonts w:ascii="Times New Roman;serif" w:hAnsi="Times New Roman;serif"/>
          <w:b w:val="false"/>
          <w:strike/>
          <w:color w:val="FF0000"/>
          <w:sz w:val="22"/>
        </w:rPr>
        <w:t xml:space="preserve">the Inside Maturity Basket </w:t>
      </w:r>
      <w:r>
        <w:rPr>
          <w:rFonts w:ascii="Times New Roman;serif" w:hAnsi="Times New Roman;serif"/>
          <w:b w:val="false"/>
          <w:color w:val="000000"/>
          <w:sz w:val="22"/>
        </w:rPr>
        <w:t>which may have a maturity date earlier than the Latest Maturity Date for the then outstanding Initial Term Loans, (y) special mandatory redemptions in connection with customary escrow arrangements and customary acceleration rights after an event of default or (z) AHYDO Catch-up Payments), in each case prior to the Latest Maturity Date for the applicable then outstanding Initial Term Loans at the time such Indebtedness is incurred,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shall comply with the Incremental Debt Lien/Guarantee Parameters.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Debt Exchange Offer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2.20(a)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Intercompany Activities</w:t>
      </w:r>
      <w:r>
        <w:rPr>
          <w:color w:val="000000"/>
        </w:rPr>
        <w:t xml:space="preserve">” </w:t>
      </w:r>
      <w:r>
        <w:rPr>
          <w:rFonts w:ascii="Times New Roman;serif" w:hAnsi="Times New Roman;serif"/>
          <w:b w:val="false"/>
          <w:color w:val="000000"/>
          <w:sz w:val="22"/>
        </w:rPr>
        <w:t xml:space="preserve">means any transactions (A) between or among the Company and its Restricted Subsidiaries that are </w:t>
      </w:r>
      <w:r>
        <w:rPr>
          <w:rFonts w:ascii="Times New Roman;serif" w:hAnsi="Times New Roman;serif"/>
          <w:b w:val="false"/>
          <w:color w:val="0000FF"/>
          <w:sz w:val="22"/>
          <w:u w:val="single"/>
        </w:rPr>
        <w:t xml:space="preserve">(i) </w:t>
      </w:r>
      <w:r>
        <w:rPr>
          <w:rFonts w:ascii="Times New Roman;serif" w:hAnsi="Times New Roman;serif"/>
          <w:b w:val="false"/>
          <w:color w:val="000000"/>
          <w:sz w:val="22"/>
        </w:rPr>
        <w:t>entered into in the ordinary course of business</w:t>
      </w:r>
      <w:r>
        <w:rPr>
          <w:strike/>
          <w:color w:val="FF0000"/>
        </w:rPr>
        <w:t xml:space="preserve"> </w:t>
      </w:r>
      <w:r>
        <w:rPr>
          <w:rFonts w:ascii="Times New Roman;serif" w:hAnsi="Times New Roman;serif"/>
          <w:b w:val="false"/>
          <w:strike/>
          <w:color w:val="FF0000"/>
          <w:sz w:val="22"/>
        </w:rPr>
        <w:t>or</w:t>
      </w:r>
      <w:r>
        <w:rPr>
          <w:rFonts w:ascii="Times New Roman;serif" w:hAnsi="Times New Roman;serif"/>
          <w:b w:val="false"/>
          <w:color w:val="0000FF"/>
          <w:sz w:val="22"/>
          <w:u w:val="single"/>
        </w:rPr>
        <w:t>, (ii)</w:t>
      </w:r>
      <w:r>
        <w:rPr>
          <w:color w:val="000000"/>
        </w:rPr>
        <w:t xml:space="preserve"> </w:t>
      </w:r>
      <w:r>
        <w:rPr>
          <w:rFonts w:ascii="Times New Roman;serif" w:hAnsi="Times New Roman;serif"/>
          <w:b w:val="false"/>
          <w:color w:val="000000"/>
          <w:sz w:val="22"/>
        </w:rPr>
        <w:t>consistent with past practice of the Company and its Restricted Subsidiaries</w:t>
      </w:r>
      <w:r>
        <w:rPr>
          <w:rFonts w:ascii="Times New Roman;serif" w:hAnsi="Times New Roman;serif"/>
          <w:b w:val="false"/>
          <w:color w:val="0000FF"/>
          <w:sz w:val="22"/>
          <w:u w:val="single"/>
        </w:rPr>
        <w:t>, (iii) not materially adverse to the interests of the Lenders,</w:t>
      </w:r>
      <w:r>
        <w:rPr>
          <w:color w:val="000000"/>
        </w:rPr>
        <w:t xml:space="preserve"> </w:t>
      </w:r>
      <w:r>
        <w:rPr>
          <w:rFonts w:ascii="Times New Roman;serif" w:hAnsi="Times New Roman;serif"/>
          <w:b w:val="false"/>
          <w:color w:val="000000"/>
          <w:sz w:val="22"/>
        </w:rPr>
        <w:t>and</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(iv)</w:t>
      </w:r>
      <w:r>
        <w:rPr>
          <w:color w:val="000000"/>
        </w:rPr>
        <w:t xml:space="preserve"> </w:t>
      </w:r>
      <w:r>
        <w:rPr>
          <w:rFonts w:ascii="Times New Roman;serif" w:hAnsi="Times New Roman;serif"/>
          <w:b w:val="false"/>
          <w:color w:val="000000"/>
          <w:sz w:val="22"/>
        </w:rPr>
        <w:t>in the reasonable determination of the Company are necessary or advisable in connection with the ownership or operation of the business of the Company and its Restricted Subsidiaries, including (</w:t>
      </w:r>
      <w:r>
        <w:rPr>
          <w:rFonts w:ascii="Times New Roman;serif" w:hAnsi="Times New Roman;serif"/>
          <w:b w:val="false"/>
          <w:strike/>
          <w:color w:val="FF0000"/>
          <w:sz w:val="22"/>
        </w:rPr>
        <w:t>i</w:t>
      </w:r>
      <w:r>
        <w:rPr>
          <w:rFonts w:ascii="Times New Roman;serif" w:hAnsi="Times New Roman;serif"/>
          <w:b w:val="false"/>
          <w:color w:val="0000FF"/>
          <w:sz w:val="22"/>
          <w:u w:val="single"/>
        </w:rPr>
        <w:t>a</w:t>
      </w:r>
      <w:r>
        <w:rPr>
          <w:rFonts w:ascii="Times New Roman;serif" w:hAnsi="Times New Roman;serif"/>
          <w:b w:val="false"/>
          <w:color w:val="000000"/>
          <w:sz w:val="22"/>
        </w:rPr>
        <w:t>) payroll, cash management, purchasing, insurance and hedging arrangements; (</w:t>
      </w:r>
      <w:r>
        <w:rPr>
          <w:rFonts w:ascii="Times New Roman;serif" w:hAnsi="Times New Roman;serif"/>
          <w:b w:val="false"/>
          <w:strike/>
          <w:color w:val="FF0000"/>
          <w:sz w:val="22"/>
        </w:rPr>
        <w:t>ii</w:t>
      </w:r>
      <w:r>
        <w:rPr>
          <w:rFonts w:ascii="Times New Roman;serif" w:hAnsi="Times New Roman;serif"/>
          <w:b w:val="false"/>
          <w:color w:val="0000FF"/>
          <w:sz w:val="22"/>
          <w:u w:val="single"/>
        </w:rPr>
        <w:t>b</w:t>
      </w:r>
      <w:r>
        <w:rPr>
          <w:rFonts w:ascii="Times New Roman;serif" w:hAnsi="Times New Roman;serif"/>
          <w:b w:val="false"/>
          <w:color w:val="000000"/>
          <w:sz w:val="22"/>
        </w:rPr>
        <w:t>) management, technology and licensing arrangements; and (</w:t>
      </w:r>
      <w:r>
        <w:rPr>
          <w:rFonts w:ascii="Times New Roman;serif" w:hAnsi="Times New Roman;serif"/>
          <w:b w:val="false"/>
          <w:strike/>
          <w:color w:val="FF0000"/>
          <w:sz w:val="22"/>
        </w:rPr>
        <w:t>iii</w:t>
      </w:r>
      <w:r>
        <w:rPr>
          <w:rFonts w:ascii="Times New Roman;serif" w:hAnsi="Times New Roman;serif"/>
          <w:b w:val="false"/>
          <w:color w:val="0000FF"/>
          <w:sz w:val="22"/>
          <w:u w:val="single"/>
        </w:rPr>
        <w:t>c</w:t>
      </w:r>
      <w:r>
        <w:rPr>
          <w:rFonts w:ascii="Times New Roman;serif" w:hAnsi="Times New Roman;serif"/>
          <w:b w:val="false"/>
          <w:color w:val="000000"/>
          <w:sz w:val="22"/>
        </w:rPr>
        <w:t>) customary loyalty and rewards programs; and (B) between or among the Company, its Restricted Subsidiaries and any Captive Insurance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Investments</w:t>
      </w:r>
      <w:r>
        <w:rPr>
          <w:color w:val="000000"/>
        </w:rPr>
        <w:t xml:space="preserve">” </w:t>
      </w:r>
      <w:r>
        <w:rPr>
          <w:rFonts w:ascii="Times New Roman;serif" w:hAnsi="Times New Roman;serif"/>
          <w:b w:val="false"/>
          <w:color w:val="000000"/>
          <w:sz w:val="22"/>
        </w:rPr>
        <w:t>means (in each case, by the Company or any of the Restricted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(1)    Investments in (a) a Restricted Subsidiary (including the Capital Stock of, or guarantees of obligations of, a Restricted Subsidiary) or the Company or (b) a Person (including the Capital Stock of any such Person) that will, upon the making of such Investment, become a Restricted Subsidiary;</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any Investments </w:t>
      </w:r>
      <w:r>
        <w:rPr>
          <w:rFonts w:ascii="Times New Roman;serif" w:hAnsi="Times New Roman;serif"/>
          <w:b w:val="false"/>
          <w:color w:val="008000"/>
          <w:sz w:val="22"/>
          <w:u w:val="single"/>
        </w:rPr>
        <w:t xml:space="preserve">in the form </w:t>
      </w:r>
      <w:r>
        <w:rPr>
          <w:rFonts w:ascii="Times New Roman;serif" w:hAnsi="Times New Roman;serif"/>
          <w:b w:val="false"/>
          <w:color w:val="0000FF"/>
          <w:sz w:val="22"/>
          <w:u w:val="single"/>
        </w:rPr>
        <w:t xml:space="preserve">of loans or advances made by any Loan Party to any Non-Loan Party Subsidiary pursuant to this clause (1) shall be evidenced by a demand note </w:t>
      </w:r>
      <w:r>
        <w:rPr>
          <w:rFonts w:ascii="Times New Roman;serif" w:hAnsi="Times New Roman;serif"/>
          <w:b w:val="false"/>
          <w:color w:val="008000"/>
          <w:sz w:val="22"/>
          <w:u w:val="single"/>
        </w:rPr>
        <w:t xml:space="preserve">in form and substance reasonably satisfactory to the Administrative Agent </w:t>
      </w:r>
      <w:r>
        <w:rPr>
          <w:rFonts w:ascii="Times New Roman;serif" w:hAnsi="Times New Roman;serif"/>
          <w:b w:val="false"/>
          <w:color w:val="0000FF"/>
          <w:sz w:val="22"/>
          <w:u w:val="single"/>
        </w:rPr>
        <w:t xml:space="preserve">and shall be pledged and delivered to the Administrative Agent;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xml:space="preserve">, </w:t>
      </w:r>
      <w:r>
        <w:rPr>
          <w:rFonts w:ascii="Times New Roman;serif" w:hAnsi="Times New Roman;serif"/>
          <w:b w:val="false"/>
          <w:i/>
          <w:color w:val="0000FF"/>
          <w:sz w:val="22"/>
          <w:u w:val="single"/>
        </w:rPr>
        <w:t>further</w:t>
      </w:r>
      <w:r>
        <w:rPr>
          <w:rFonts w:ascii="Times New Roman;serif" w:hAnsi="Times New Roman;serif"/>
          <w:b w:val="false"/>
          <w:color w:val="0000FF"/>
          <w:sz w:val="22"/>
          <w:u w:val="single"/>
        </w:rPr>
        <w:t xml:space="preserve">, that the aggregate </w:t>
      </w: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5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FF"/>
          <w:sz w:val="22"/>
          <w:u w:val="single"/>
        </w:rPr>
        <w:t xml:space="preserve">amount of Investments </w:t>
      </w:r>
      <w:r>
        <w:rPr>
          <w:rFonts w:ascii="Times New Roman;serif" w:hAnsi="Times New Roman;serif"/>
          <w:b w:val="false"/>
          <w:color w:val="008000"/>
          <w:sz w:val="22"/>
          <w:u w:val="single"/>
        </w:rPr>
        <w:t xml:space="preserve">by the Company or any </w:t>
      </w:r>
      <w:r>
        <w:rPr>
          <w:rFonts w:ascii="Times New Roman;serif" w:hAnsi="Times New Roman;serif"/>
          <w:b w:val="false"/>
          <w:color w:val="0000FF"/>
          <w:sz w:val="22"/>
          <w:u w:val="single"/>
        </w:rPr>
        <w:t xml:space="preserve">Loan Party in any Non-Loan Party Subsidiaries </w:t>
      </w:r>
      <w:r>
        <w:rPr>
          <w:rFonts w:ascii="Times New Roman;serif" w:hAnsi="Times New Roman;serif"/>
          <w:b w:val="false"/>
          <w:color w:val="008000"/>
          <w:sz w:val="22"/>
          <w:u w:val="single"/>
        </w:rPr>
        <w:t xml:space="preserve">pursuant to this </w:t>
      </w:r>
      <w:r>
        <w:rPr>
          <w:rFonts w:ascii="Times New Roman;serif" w:hAnsi="Times New Roman;serif"/>
          <w:b w:val="false"/>
          <w:color w:val="0000FF"/>
          <w:sz w:val="22"/>
          <w:u w:val="single"/>
        </w:rPr>
        <w:t xml:space="preserve">clause (1) shall not exceed $10,000,000 at any </w:t>
      </w:r>
      <w:r>
        <w:rPr>
          <w:rFonts w:ascii="Times New Roman;serif" w:hAnsi="Times New Roman;serif"/>
          <w:b w:val="false"/>
          <w:color w:val="008000"/>
          <w:sz w:val="22"/>
          <w:u w:val="single"/>
        </w:rPr>
        <w:t>time outstanding</w:t>
      </w:r>
      <w:r>
        <w:rPr>
          <w:rFonts w:ascii="Times New Roman;serif" w:hAnsi="Times New Roman;serif"/>
          <w:b w:val="false"/>
          <w:color w:val="0000FF"/>
          <w:sz w:val="22"/>
          <w:u w:val="single"/>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    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 and any Investment held by such Person;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Investment was not acquired by such Person in contemplation of such acquisition, merger, amalgamation, consolidation, combination, transfer or conveyance;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Investments in cash, Cash Equivalents or Investment Grade Securities;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(4)    Investments in receivables owing to the Company or any Restricted Subsidiary created or acquired in the ordinary course of business or consistent with past practice;</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the aggregate amount of Investments by the Company </w:t>
      </w:r>
      <w:r>
        <w:rPr>
          <w:rFonts w:ascii="Times New Roman;serif" w:hAnsi="Times New Roman;serif"/>
          <w:b w:val="false"/>
          <w:color w:val="008000"/>
          <w:sz w:val="22"/>
          <w:u w:val="single"/>
        </w:rPr>
        <w:t xml:space="preserve">or any </w:t>
      </w:r>
      <w:r>
        <w:rPr>
          <w:rFonts w:ascii="Times New Roman;serif" w:hAnsi="Times New Roman;serif"/>
          <w:b w:val="false"/>
          <w:color w:val="0000FF"/>
          <w:sz w:val="22"/>
          <w:u w:val="single"/>
        </w:rPr>
        <w:t>Loan Party in any Non-Loan Party Subsidiaries pursuant to this clause (4) shall not exceed $10,000,000 at any time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(5)    Investments in payroll, travel, entertainment, relocation, moving related and similar advances that are made in the ordinary course of business or consistent with past practice;</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Investments pursuant to this clause (5) shall not exceed $2,500,000 at any time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(6)    Management Advances;</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all Management Advances shall not exceed $2,500,000 at any time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(7)    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Company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pStyle w:val="TextBody"/>
        <w:bidi w:val="0"/>
        <w:spacing w:lineRule="auto" w:line="288" w:before="0" w:after="240"/>
        <w:ind w:left="0" w:right="0" w:firstLine="720"/>
        <w:jc w:val="left"/>
        <w:rPr/>
      </w:pPr>
      <w:r>
        <w:rPr>
          <w:rFonts w:ascii="Times New Roman;serif" w:hAnsi="Times New Roman;serif"/>
          <w:b w:val="false"/>
          <w:color w:val="000000"/>
          <w:sz w:val="22"/>
        </w:rPr>
        <w:t>(8)    Investments made as a result of the receipt of promissory notes or other non-cash consideration (including earn-outs) from a sale or other disposition of property or assets</w:t>
      </w:r>
      <w:r>
        <w:rPr>
          <w:color w:val="0000FF"/>
          <w:u w:val="single"/>
        </w:rPr>
        <w:t xml:space="preserve"> </w:t>
      </w:r>
      <w:r>
        <w:rPr>
          <w:rFonts w:ascii="Times New Roman;serif" w:hAnsi="Times New Roman;serif"/>
          <w:b w:val="false"/>
          <w:color w:val="0000FF"/>
          <w:sz w:val="22"/>
          <w:u w:val="single"/>
        </w:rPr>
        <w:t>permitted under this Agreement</w:t>
      </w:r>
      <w:r>
        <w:rPr>
          <w:rFonts w:ascii="Times New Roman;serif" w:hAnsi="Times New Roman;serif"/>
          <w:b w:val="false"/>
          <w:color w:val="000000"/>
          <w:sz w:val="22"/>
        </w:rPr>
        <w:t>, including an Asset Disposition;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(9)    Investments (a) existing or pursuant to binding commitments, agreements or arrangements in effect on the Closing Date and any modification, replacement, renewal, reinvestment or extension thereof;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amount of any such Investment may not be increased pursuant to this </w:t>
      </w:r>
      <w:r>
        <w:rPr>
          <w:rFonts w:ascii="Times New Roman;serif" w:hAnsi="Times New Roman;serif"/>
          <w:b w:val="false"/>
          <w:color w:val="000000"/>
          <w:sz w:val="22"/>
          <w:u w:val="single"/>
        </w:rPr>
        <w:t>clause (9)</w:t>
      </w:r>
      <w:r>
        <w:rPr>
          <w:color w:val="000000"/>
        </w:rPr>
        <w:t xml:space="preserve"> </w:t>
      </w:r>
      <w:r>
        <w:rPr>
          <w:rFonts w:ascii="Times New Roman;serif" w:hAnsi="Times New Roman;serif"/>
          <w:b w:val="false"/>
          <w:color w:val="000000"/>
          <w:sz w:val="22"/>
        </w:rPr>
        <w:t xml:space="preserve">except (i) as required by the terms of such Investment or binding commitment as in existence on the Closing Date (including in respect of any unused commitment),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accrued but unpaid interest (including any accretion of interest, original issue discount or the issuance of pay-in-kind securities) and premium payable by the terms of such Indebtedness thereon and fees and expenses associated therewith as of the Closing Date or </w:t>
      </w: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5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(ii) as otherwise permitted under this Agreement and (b) made after the Closing Date in joint ventures of the Company or any of its Restricted Subsidiaries existing on the Closing Date;</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Investments pursuant to this clause (9)(b) shall not exceed $5,000,000 at any time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(10)    Swap Obligations, which transactions or obligations are not prohibited by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(11)    pledges or deposits with respect to leases or utilities provided to third parties in the ordinary course of business or Liens otherwise described in the definition of “Permitted Liens” or made in connection with Liens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(12)    </w:t>
      </w:r>
      <w:r>
        <w:rPr>
          <w:rFonts w:ascii="Times New Roman;serif" w:hAnsi="Times New Roman;serif"/>
          <w:b w:val="false"/>
          <w:strike/>
          <w:color w:val="FF0000"/>
          <w:sz w:val="22"/>
        </w:rPr>
        <w:t>any Investment to the extent made using Capital Stock of the Company (other than Disqualified Stock) or Capital Stock of any direct or indirect parent of the Company or any Unrestricted Subsidiary as consideration</w:t>
      </w:r>
      <w:r>
        <w:rPr>
          <w:rFonts w:ascii="Times New Roman;serif" w:hAnsi="Times New Roman;serif"/>
          <w:b w:val="false"/>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(13)    any transaction to the extent constituting an Investment that is permitted by and made in accordance with the provisions of </w:t>
      </w:r>
      <w:r>
        <w:rPr>
          <w:rFonts w:ascii="Times New Roman;serif" w:hAnsi="Times New Roman;serif"/>
          <w:b w:val="false"/>
          <w:color w:val="000000"/>
          <w:sz w:val="22"/>
          <w:u w:val="single"/>
        </w:rPr>
        <w:t>Section 6.18(b)</w:t>
      </w:r>
      <w:r>
        <w:rPr>
          <w:color w:val="000000"/>
        </w:rPr>
        <w:t xml:space="preserve"> </w:t>
      </w:r>
      <w:r>
        <w:rPr>
          <w:rFonts w:ascii="Times New Roman;serif" w:hAnsi="Times New Roman;serif"/>
          <w:b w:val="false"/>
          <w:color w:val="000000"/>
          <w:sz w:val="22"/>
        </w:rPr>
        <w:t xml:space="preserve">(except those described in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w:t>
      </w:r>
      <w:r>
        <w:rPr>
          <w:color w:val="000000"/>
        </w:rPr>
        <w:t xml:space="preserve"> </w:t>
      </w:r>
      <w:r>
        <w:rPr>
          <w:rFonts w:ascii="Times New Roman;serif" w:hAnsi="Times New Roman;serif"/>
          <w:b w:val="false"/>
          <w:color w:val="000000"/>
          <w:sz w:val="22"/>
        </w:rPr>
        <w:t>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(14)    Investments consisting of (i) purchases or other acquisitions of inventory, supplies, materials, equipment and similar assets </w:t>
      </w:r>
      <w:r>
        <w:rPr>
          <w:rFonts w:ascii="Times New Roman;serif" w:hAnsi="Times New Roman;serif"/>
          <w:b w:val="false"/>
          <w:color w:val="0000FF"/>
          <w:sz w:val="22"/>
          <w:u w:val="single"/>
        </w:rPr>
        <w:t xml:space="preserve">in the ordinary course of business </w:t>
      </w:r>
      <w:r>
        <w:rPr>
          <w:rFonts w:ascii="Times New Roman;serif" w:hAnsi="Times New Roman;serif"/>
          <w:b w:val="false"/>
          <w:color w:val="000000"/>
          <w:sz w:val="22"/>
        </w:rPr>
        <w:t>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r>
        <w:rPr>
          <w:color w:val="0000FF"/>
          <w:u w:val="single"/>
        </w:rPr>
        <w:t xml:space="preserve"> </w:t>
      </w:r>
      <w:r>
        <w:rPr>
          <w:rFonts w:ascii="Times New Roman;serif" w:hAnsi="Times New Roman;serif"/>
          <w:b w:val="false"/>
          <w:color w:val="0000FF"/>
          <w:sz w:val="22"/>
          <w:u w:val="single"/>
        </w:rPr>
        <w:t>in each case in this clause (ii) not interfering, individually or in the aggregate, in any material respect with the business of the Company and its Restricted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(15)    (i) Guarantees of Indebtedness not prohibited by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(16)    Investments consisting of earnest money deposits required in connection with a purchase agreement, or letter of intent, or other acquisitions to the extent not otherwise prohibited by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(17)    Investments of a Restricted Subsidiary acquired after the Closing Date or of an entity merged or amalgamated into or consolidated with the Company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(18)    any Investment in any Subsidiary or any joint venture in the ordinary course of business or consistent with past practice (including any cash management arrangements, cash pooling arrangements, intercompany loans or activities related thereto);</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the aggregate principal amount of Investments in joint ventures made or permitted to exist </w:t>
      </w:r>
      <w:r>
        <w:rPr>
          <w:rFonts w:ascii="Times New Roman;serif" w:hAnsi="Times New Roman;serif"/>
          <w:b w:val="false"/>
          <w:color w:val="008000"/>
          <w:sz w:val="22"/>
          <w:u w:val="single"/>
        </w:rPr>
        <w:t>pursuant to clause (</w:t>
      </w:r>
      <w:r>
        <w:rPr>
          <w:rFonts w:ascii="Times New Roman;serif" w:hAnsi="Times New Roman;serif"/>
          <w:b w:val="false"/>
          <w:color w:val="0000FF"/>
          <w:sz w:val="22"/>
          <w:u w:val="single"/>
        </w:rPr>
        <w:t xml:space="preserve">18) shall not exceed $5,000,000 at any time outstanding; </w:t>
      </w: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5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(19)    contributions to a “rabbi” trust for the benefit of any employee, director, officer, manager, contractor, consultant, advisor or other service providers or other grantor trust subject to claims of creditors in the case of a bankruptcy of the Company, and Investments relating to non-qualified deferred payment plans in the ordinary course of business or consistent with past practice;</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(20) </w:t>
      </w:r>
      <w:r>
        <w:rPr>
          <w:rFonts w:ascii="Times New Roman;serif" w:hAnsi="Times New Roman;serif"/>
          <w:b w:val="false"/>
          <w:strike/>
          <w:color w:val="FF0000"/>
          <w:sz w:val="22"/>
        </w:rPr>
        <w:t xml:space="preserve">Investments in joint ventures and similar entities and Unrestricted Subsidiaries having an aggregate fair market value, taken together with all other Investments made pursuant to this clause that are at that time outstanding, not to exceed the greater of (i) $175,000,000 and (ii) 35.0% of LTM EBITDA (with the fair market value of each Investment being measured at the time made and without giving effect to subsequent changes in value), </w:t>
      </w:r>
      <w:r>
        <w:rPr>
          <w:rFonts w:ascii="Times New Roman;serif" w:hAnsi="Times New Roman;serif"/>
          <w:b w:val="false"/>
          <w:i/>
          <w:strike/>
          <w:color w:val="FF0000"/>
          <w:sz w:val="22"/>
        </w:rPr>
        <w:t>plus</w:t>
      </w:r>
      <w:r>
        <w:rPr>
          <w:strike/>
          <w:color w:val="FF0000"/>
        </w:rPr>
        <w:t xml:space="preserve"> </w:t>
      </w:r>
      <w:r>
        <w:rPr>
          <w:rFonts w:ascii="Times New Roman;serif" w:hAnsi="Times New Roman;serif"/>
          <w:b w:val="false"/>
          <w:strike/>
          <w:color w:val="FF0000"/>
          <w:sz w:val="22"/>
        </w:rPr>
        <w:t xml:space="preserve">the amount of any returns (including dividends, payments, interest, distributions, returns of principal, profits on sale, repayments, income and similar amounts) in respect of such Investments (without duplication for purposes of </w:t>
      </w:r>
      <w:r>
        <w:rPr>
          <w:rFonts w:ascii="Times New Roman;serif" w:hAnsi="Times New Roman;serif"/>
          <w:b w:val="false"/>
          <w:strike/>
          <w:color w:val="FF0000"/>
          <w:sz w:val="22"/>
          <w:u w:val="single"/>
        </w:rPr>
        <w:t>Section 7.05</w:t>
      </w:r>
      <w:r>
        <w:rPr>
          <w:strike/>
          <w:color w:val="FF0000"/>
        </w:rPr>
        <w:t xml:space="preserve"> </w:t>
      </w:r>
      <w:r>
        <w:rPr>
          <w:rFonts w:ascii="Times New Roman;serif" w:hAnsi="Times New Roman;serif"/>
          <w:b w:val="false"/>
          <w:strike/>
          <w:color w:val="FF0000"/>
          <w:sz w:val="22"/>
        </w:rPr>
        <w:t xml:space="preserve">of any amounts applied pursuant to </w:t>
      </w:r>
      <w:r>
        <w:rPr>
          <w:rFonts w:ascii="Times New Roman;serif" w:hAnsi="Times New Roman;serif"/>
          <w:b w:val="false"/>
          <w:strike/>
          <w:color w:val="FF0000"/>
          <w:sz w:val="22"/>
          <w:u w:val="single"/>
        </w:rPr>
        <w:t>clause (b)</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7.05(a)</w:t>
      </w:r>
      <w:r>
        <w:rPr>
          <w:rFonts w:ascii="Times New Roman;serif" w:hAnsi="Times New Roman;serif"/>
          <w:b w:val="false"/>
          <w:strike/>
          <w:color w:val="FF0000"/>
          <w:sz w:val="22"/>
        </w:rPr>
        <w:t xml:space="preserve">) with the fair market value of each Investment being measured at the time made and without giving effect to subsequent changes in value; </w:t>
      </w:r>
      <w:r>
        <w:rPr>
          <w:rFonts w:ascii="Times New Roman;serif" w:hAnsi="Times New Roman;serif"/>
          <w:b w:val="false"/>
          <w:i/>
          <w:strike/>
          <w:color w:val="FF0000"/>
          <w:sz w:val="22"/>
        </w:rPr>
        <w:t>provided, however</w:t>
      </w:r>
      <w:r>
        <w:rPr>
          <w:rFonts w:ascii="Times New Roman;serif" w:hAnsi="Times New Roman;serif"/>
          <w:b w:val="false"/>
          <w:strike/>
          <w:color w:val="FF0000"/>
          <w:sz w:val="22"/>
        </w:rPr>
        <w:t xml:space="preserve">,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w:t>
      </w:r>
      <w:r>
        <w:rPr>
          <w:rFonts w:ascii="Times New Roman;serif" w:hAnsi="Times New Roman;serif"/>
          <w:b w:val="false"/>
          <w:strike/>
          <w:color w:val="FF0000"/>
          <w:sz w:val="22"/>
          <w:u w:val="single"/>
        </w:rPr>
        <w:t>clause (1)</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(2)</w:t>
      </w:r>
      <w:r>
        <w:rPr>
          <w:strike/>
          <w:color w:val="FF0000"/>
        </w:rPr>
        <w:t xml:space="preserve"> </w:t>
      </w:r>
      <w:r>
        <w:rPr>
          <w:rFonts w:ascii="Times New Roman;serif" w:hAnsi="Times New Roman;serif"/>
          <w:b w:val="false"/>
          <w:strike/>
          <w:color w:val="FF0000"/>
          <w:sz w:val="22"/>
        </w:rPr>
        <w:t>above and shall cease to have been made pursuant to this clause;</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(20)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(21)    additional Investments having an aggregate fair market value, taken together with all other Investments made pursuant to this clause that are at that time outstanding, not to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300,000,000 and (ii) 60.0% of LTM EBITDA</w:t>
      </w:r>
      <w:r>
        <w:rPr>
          <w:rFonts w:ascii="Times New Roman;serif" w:hAnsi="Times New Roman;serif"/>
          <w:b w:val="false"/>
          <w:color w:val="0000FF"/>
          <w:sz w:val="22"/>
          <w:u w:val="single"/>
        </w:rPr>
        <w:t>20,000,000</w:t>
      </w:r>
      <w:r>
        <w:rPr>
          <w:color w:val="000000"/>
        </w:rPr>
        <w:t xml:space="preserve"> </w:t>
      </w:r>
      <w:r>
        <w:rPr>
          <w:rFonts w:ascii="Times New Roman;serif" w:hAnsi="Times New Roman;serif"/>
          <w:b w:val="false"/>
          <w:color w:val="000000"/>
          <w:sz w:val="22"/>
        </w:rPr>
        <w:t xml:space="preserve">(with the fair market value of each Investment being measured at the time made and without giving effect to subsequent changes in value),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amount of any returns (including dividends, payments, interest, distributions, returns of principal, profits on sale, repayments, income and similar amounts) in respect of such Investments (without duplication for purposes of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of any amounts applied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7.05(a)</w:t>
      </w:r>
      <w:r>
        <w:rPr>
          <w:rFonts w:ascii="Times New Roman;serif" w:hAnsi="Times New Roman;serif"/>
          <w:b w:val="false"/>
          <w:color w:val="000000"/>
          <w:sz w:val="22"/>
        </w:rPr>
        <w:t xml:space="preserve">) with the fair market value of each Investment being measured at the time made and without giving effect to subsequent changes in value;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above and shall cease to have been made pursuant to this clause;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(22)    any Investment in a Similar Business having an aggregate fair market value, taken together with all other Investments made pursuant to this clause that are at that time outstanding, not to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125,000,000 and (ii) 25.0% of LTM EBITDA</w:t>
      </w:r>
      <w:r>
        <w:rPr>
          <w:rFonts w:ascii="Times New Roman;serif" w:hAnsi="Times New Roman;serif"/>
          <w:b w:val="false"/>
          <w:color w:val="0000FF"/>
          <w:sz w:val="22"/>
          <w:u w:val="single"/>
        </w:rPr>
        <w:t>10,000,000</w:t>
      </w:r>
      <w:r>
        <w:rPr>
          <w:color w:val="000000"/>
        </w:rPr>
        <w:t xml:space="preserve"> </w:t>
      </w:r>
      <w:r>
        <w:rPr>
          <w:rFonts w:ascii="Times New Roman;serif" w:hAnsi="Times New Roman;serif"/>
          <w:b w:val="false"/>
          <w:color w:val="000000"/>
          <w:sz w:val="22"/>
        </w:rPr>
        <w:t xml:space="preserve">(with the fair market value of each Investment being measured at the time made and without giving effect to subsequent changes in value),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amount of any returns (including dividends, payments, interest, distributions, returns of principal, profits on sale, repayments, income and similar amounts) in respect of such Investments (without duplication for purposes of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 xml:space="preserve">of any amounts applied pursuant to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7.05(a)</w:t>
      </w:r>
      <w:r>
        <w:rPr>
          <w:rFonts w:ascii="Times New Roman;serif" w:hAnsi="Times New Roman;serif"/>
          <w:b w:val="false"/>
          <w:color w:val="000000"/>
          <w:sz w:val="22"/>
        </w:rPr>
        <w:t xml:space="preserve">) with the fair market value of each Investment being measured at the time made and without giving effect to subsequent changes in value;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any Investment pursuant to this clause is made in any Person that is not the Company or a Restricted Subsidiary at the date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5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making of such Investment and such Person becomes the Company or a Restricted Subsidiary after such date, such Investment shall thereafter be deemed to have been made pursuant to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(2)</w:t>
      </w:r>
      <w:r>
        <w:rPr>
          <w:color w:val="000000"/>
        </w:rPr>
        <w:t xml:space="preserve"> </w:t>
      </w:r>
      <w:r>
        <w:rPr>
          <w:rFonts w:ascii="Times New Roman;serif" w:hAnsi="Times New Roman;serif"/>
          <w:b w:val="false"/>
          <w:color w:val="000000"/>
          <w:sz w:val="22"/>
        </w:rPr>
        <w:t>above and shall cease to have been made pursuant to this clause;</w:t>
      </w:r>
    </w:p>
    <w:p>
      <w:pPr>
        <w:pStyle w:val="TextBody"/>
        <w:bidi w:val="0"/>
        <w:spacing w:lineRule="auto" w:line="288" w:before="0" w:after="240"/>
        <w:ind w:left="0" w:right="0" w:firstLine="720"/>
        <w:jc w:val="left"/>
        <w:rPr/>
      </w:pPr>
      <w:r>
        <w:rPr>
          <w:rFonts w:ascii="Times New Roman;serif" w:hAnsi="Times New Roman;serif"/>
          <w:b w:val="false"/>
          <w:color w:val="000000"/>
          <w:sz w:val="22"/>
        </w:rPr>
        <w:t>(23)    (i)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r>
        <w:rPr>
          <w:rFonts w:ascii="Times New Roman;serif" w:hAnsi="Times New Roman;serif"/>
          <w:b w:val="false"/>
          <w:color w:val="0000FF"/>
          <w:sz w:val="22"/>
          <w:u w:val="single"/>
        </w:rPr>
        <w:t xml:space="preserve">, in each case, to the extent </w:t>
      </w:r>
      <w:r>
        <w:rPr>
          <w:rFonts w:ascii="Times New Roman;serif" w:hAnsi="Times New Roman;serif"/>
          <w:b w:val="false"/>
          <w:color w:val="008000"/>
          <w:sz w:val="22"/>
          <w:u w:val="single"/>
        </w:rPr>
        <w:t>permitted under Section 7.01(</w:t>
      </w:r>
      <w:r>
        <w:rPr>
          <w:rFonts w:ascii="Times New Roman;serif" w:hAnsi="Times New Roman;serif"/>
          <w:b w:val="false"/>
          <w:color w:val="0000FF"/>
          <w:sz w:val="22"/>
          <w:u w:val="single"/>
        </w:rPr>
        <w:t>b)(15)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(24)    Investments in connection with the Transactions;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(25)    </w:t>
      </w:r>
      <w:r>
        <w:rPr>
          <w:rFonts w:ascii="Times New Roman;serif" w:hAnsi="Times New Roman;serif"/>
          <w:b w:val="false"/>
          <w:strike/>
          <w:color w:val="FF0000"/>
          <w:sz w:val="22"/>
        </w:rPr>
        <w:t>repurchases of the Senior Secured Notes</w:t>
      </w:r>
      <w:r>
        <w:rPr>
          <w:rFonts w:ascii="Times New Roman;serif" w:hAnsi="Times New Roman;serif"/>
          <w:b w:val="false"/>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(26)    Investments by an Unrestricted Subsidiary entered into prior to the day such Unrestricted Subsidiary is redesignated as a Restricted Subsidiary as described under the definition of “Unrestricted Subsidiary”;</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such Investments shall not exceed $5,000,000 at any time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(27)    guaranty and indemnification obligations arising in connection with surety bonds issued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(28)    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(29)    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(30)    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(31)    any Investment by any Captive Insurance Subsidiary in connection with the provision of insurance to the Company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(32)    </w:t>
      </w:r>
      <w:r>
        <w:rPr>
          <w:rFonts w:ascii="Times New Roman;serif" w:hAnsi="Times New Roman;serif"/>
          <w:b w:val="false"/>
          <w:strike/>
          <w:color w:val="FF0000"/>
          <w:sz w:val="22"/>
        </w:rPr>
        <w:t xml:space="preserve">non-cash </w:t>
      </w:r>
      <w:r>
        <w:rPr>
          <w:rFonts w:ascii="Times New Roman;serif" w:hAnsi="Times New Roman;serif"/>
          <w:b w:val="false"/>
          <w:color w:val="000000"/>
          <w:sz w:val="22"/>
        </w:rPr>
        <w:t xml:space="preserve">Investments in connection with </w:t>
      </w:r>
      <w:r>
        <w:rPr>
          <w:rFonts w:ascii="Times New Roman;serif" w:hAnsi="Times New Roman;serif"/>
          <w:b w:val="false"/>
          <w:color w:val="0000FF"/>
          <w:sz w:val="22"/>
          <w:u w:val="single"/>
        </w:rPr>
        <w:t xml:space="preserve">(a) </w:t>
      </w:r>
      <w:r>
        <w:rPr>
          <w:rFonts w:ascii="Times New Roman;serif" w:hAnsi="Times New Roman;serif"/>
          <w:b w:val="false"/>
          <w:color w:val="000000"/>
          <w:sz w:val="22"/>
        </w:rPr>
        <w:t>tax planning and reorganization activities</w:t>
      </w:r>
      <w:r>
        <w:rPr>
          <w:rFonts w:ascii="Times New Roman;serif" w:hAnsi="Times New Roman;serif"/>
          <w:b w:val="false"/>
          <w:strike/>
          <w:color w:val="FF0000"/>
          <w:sz w:val="22"/>
        </w:rPr>
        <w:t>, and Investments in connection with</w:t>
      </w:r>
      <w:r>
        <w:rPr>
          <w:color w:val="000000"/>
        </w:rPr>
        <w:t xml:space="preserve"> </w:t>
      </w:r>
      <w:r>
        <w:rPr>
          <w:rFonts w:ascii="Times New Roman;serif" w:hAnsi="Times New Roman;serif"/>
          <w:b w:val="false"/>
          <w:color w:val="0000FF"/>
          <w:sz w:val="22"/>
          <w:u w:val="single"/>
        </w:rPr>
        <w:t>in the ordinary course of business or consistent with past business practices, (b)</w:t>
      </w:r>
      <w:r>
        <w:rPr>
          <w:color w:val="000000"/>
        </w:rPr>
        <w:t xml:space="preserve"> </w:t>
      </w:r>
      <w:r>
        <w:rPr>
          <w:rFonts w:ascii="Times New Roman;serif" w:hAnsi="Times New Roman;serif"/>
          <w:b w:val="false"/>
          <w:color w:val="000000"/>
          <w:sz w:val="22"/>
        </w:rPr>
        <w:t>any Permitted Intercompany Activities</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 (c) any</w:t>
      </w:r>
      <w:r>
        <w:rPr>
          <w:color w:val="000000"/>
        </w:rPr>
        <w:t xml:space="preserve"> </w:t>
      </w:r>
      <w:r>
        <w:rPr>
          <w:rFonts w:ascii="Times New Roman;serif" w:hAnsi="Times New Roman;serif"/>
          <w:b w:val="false"/>
          <w:color w:val="000000"/>
          <w:sz w:val="22"/>
        </w:rPr>
        <w:t xml:space="preserve">Permitted Tax </w:t>
      </w:r>
      <w:r>
        <w:rPr>
          <w:rFonts w:ascii="Times New Roman;serif" w:hAnsi="Times New Roman;serif"/>
          <w:b w:val="false"/>
          <w:strike/>
          <w:color w:val="FF0000"/>
          <w:sz w:val="22"/>
        </w:rPr>
        <w:t>Restructuring and related transactions</w:t>
      </w:r>
      <w:r>
        <w:rPr>
          <w:rFonts w:ascii="Times New Roman;serif" w:hAnsi="Times New Roman;serif"/>
          <w:b w:val="false"/>
          <w:color w:val="0000FF"/>
          <w:sz w:val="22"/>
          <w:u w:val="single"/>
        </w:rPr>
        <w:t>Restructurings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5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(33)    Investments made from casualty insurance proceeds in connection with the replacement, substitution, restoration or repair of assets on account of a Casualty Event;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such Investments, to the extent utilizing the casualty insurance proceeds with respect to any asset owned by a Loan Party, shall not be made in any Non-Loan Party Subsidiary; </w:t>
      </w:r>
      <w:r>
        <w:rPr>
          <w:rFonts w:ascii="Times New Roman;serif" w:hAnsi="Times New Roman;serif"/>
          <w:b w:val="false"/>
          <w:color w:val="000000"/>
          <w:sz w:val="22"/>
        </w:rPr>
        <w:t>and</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(34) </w:t>
      </w:r>
      <w:r>
        <w:rPr>
          <w:rFonts w:ascii="Times New Roman;serif" w:hAnsi="Times New Roman;serif"/>
          <w:b w:val="false"/>
          <w:strike/>
          <w:color w:val="FF0000"/>
          <w:sz w:val="22"/>
        </w:rPr>
        <w:t xml:space="preserve">any other Investment </w:t>
      </w:r>
      <w:r>
        <w:rPr>
          <w:rFonts w:ascii="Times New Roman;serif" w:hAnsi="Times New Roman;serif"/>
          <w:b w:val="false"/>
          <w:strike/>
          <w:color w:val="008000"/>
          <w:sz w:val="22"/>
        </w:rPr>
        <w:t xml:space="preserve">so long as </w:t>
      </w:r>
      <w:r>
        <w:rPr>
          <w:rFonts w:ascii="Times New Roman;serif" w:hAnsi="Times New Roman;serif"/>
          <w:b w:val="false"/>
          <w:strike/>
          <w:color w:val="FF0000"/>
          <w:sz w:val="22"/>
        </w:rPr>
        <w:t>(x</w:t>
      </w:r>
      <w:r>
        <w:rPr>
          <w:rFonts w:ascii="Times New Roman;serif" w:hAnsi="Times New Roman;serif"/>
          <w:b w:val="false"/>
          <w:strike/>
          <w:color w:val="008000"/>
          <w:sz w:val="22"/>
        </w:rPr>
        <w:t xml:space="preserve">) no Default or Event of Default pursuant to </w:t>
      </w:r>
      <w:r>
        <w:rPr>
          <w:rFonts w:ascii="Times New Roman;serif" w:hAnsi="Times New Roman;serif"/>
          <w:b w:val="false"/>
          <w:strike/>
          <w:color w:val="FF0000"/>
          <w:sz w:val="22"/>
          <w:u w:val="single"/>
        </w:rPr>
        <w:t>Section 8.01(a)</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(f)</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(g)</w:t>
      </w:r>
      <w:r>
        <w:rPr>
          <w:strike/>
          <w:color w:val="FF0000"/>
        </w:rPr>
        <w:t xml:space="preserve"> </w:t>
      </w:r>
      <w:r>
        <w:rPr>
          <w:rFonts w:ascii="Times New Roman;serif" w:hAnsi="Times New Roman;serif"/>
          <w:b w:val="false"/>
          <w:strike/>
          <w:color w:val="FF0000"/>
          <w:sz w:val="22"/>
        </w:rPr>
        <w:t>exists and (y) immediately after giving pro forma effect to the Investment and the incurrence of any Indebtedness the net proceeds of which are used to make such Investment, the Consolidated Total Net Leverage Ratio shall be no greater than 3.10 to 1.00.</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(34)    [reserved].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Notwithstanding anything to the contrary contained in this Agreement, including, without limitation, this defined term, Section 7.01 and Section 7.05, the </w:t>
      </w:r>
      <w:r>
        <w:rPr>
          <w:rFonts w:ascii="Times New Roman;serif" w:hAnsi="Times New Roman;serif"/>
          <w:b w:val="false"/>
          <w:color w:val="008000"/>
          <w:sz w:val="22"/>
          <w:u w:val="single"/>
        </w:rPr>
        <w:t xml:space="preserve">aggregate principal amount of </w:t>
      </w:r>
      <w:r>
        <w:rPr>
          <w:rFonts w:ascii="Times New Roman;serif" w:hAnsi="Times New Roman;serif"/>
          <w:b w:val="false"/>
          <w:color w:val="0000FF"/>
          <w:sz w:val="22"/>
          <w:u w:val="single"/>
        </w:rPr>
        <w:t>Investments by the Loan Parties in the Non-Loan Party Subsidiaries, including, without limitation, the aggregate principal amount of all Guarantees by the Loan Parties of Indebtedness or other obligations of the Non-Loan Party Subsidiaries</w:t>
      </w:r>
      <w:r>
        <w:rPr>
          <w:rFonts w:ascii="Times New Roman;serif" w:hAnsi="Times New Roman;serif"/>
          <w:b w:val="false"/>
          <w:color w:val="008000"/>
          <w:sz w:val="22"/>
          <w:u w:val="single"/>
        </w:rPr>
        <w:t xml:space="preserve">, when taken together with the aggregate principal amount of all </w:t>
      </w:r>
      <w:r>
        <w:rPr>
          <w:rFonts w:ascii="Times New Roman;serif" w:hAnsi="Times New Roman;serif"/>
          <w:b w:val="false"/>
          <w:color w:val="0000FF"/>
          <w:sz w:val="22"/>
          <w:u w:val="single"/>
        </w:rPr>
        <w:t xml:space="preserve">Indebtedness owed by the Non-Loan Party Subsidiaries to the Loan Parties, shall not exceed </w:t>
      </w:r>
      <w:r>
        <w:rPr>
          <w:rFonts w:ascii="Times New Roman;serif" w:hAnsi="Times New Roman;serif"/>
          <w:b w:val="false"/>
          <w:color w:val="008000"/>
          <w:sz w:val="22"/>
          <w:u w:val="single"/>
        </w:rPr>
        <w:t>the Non-Loan Party Sublimit</w:t>
      </w:r>
      <w:r>
        <w:rPr>
          <w:rFonts w:ascii="Times New Roman;serif" w:hAnsi="Times New Roman;serif"/>
          <w:b w:val="false"/>
          <w:color w:val="0000FF"/>
          <w:sz w:val="22"/>
          <w:u w:val="single"/>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Liens</w:t>
      </w:r>
      <w:r>
        <w:rPr>
          <w:color w:val="000000"/>
        </w:rPr>
        <w:t xml:space="preserve">” </w:t>
      </w:r>
      <w:r>
        <w:rPr>
          <w:rFonts w:ascii="Times New Roman;serif" w:hAnsi="Times New Roman;serif"/>
          <w:b w:val="false"/>
          <w:color w:val="000000"/>
          <w:sz w:val="22"/>
        </w:rPr>
        <w:t>means, with respect to any Person: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    Liens on assets or property of a Restricted Subsidiary that is not a Guarantor securing Indebtedness and other </w:t>
      </w:r>
      <w:r>
        <w:rPr>
          <w:rFonts w:ascii="Times New Roman;serif" w:hAnsi="Times New Roman;serif"/>
          <w:b w:val="false"/>
          <w:strike/>
          <w:color w:val="FF0000"/>
          <w:sz w:val="22"/>
        </w:rPr>
        <w:t>Obligations</w:t>
      </w:r>
      <w:r>
        <w:rPr>
          <w:rFonts w:ascii="Times New Roman;serif" w:hAnsi="Times New Roman;serif"/>
          <w:b w:val="false"/>
          <w:color w:val="0000FF"/>
          <w:sz w:val="22"/>
          <w:u w:val="single"/>
        </w:rPr>
        <w:t>obligations</w:t>
      </w:r>
      <w:r>
        <w:rPr>
          <w:color w:val="000000"/>
        </w:rPr>
        <w:t xml:space="preserve"> </w:t>
      </w:r>
      <w:r>
        <w:rPr>
          <w:rFonts w:ascii="Times New Roman;serif" w:hAnsi="Times New Roman;serif"/>
          <w:b w:val="false"/>
          <w:color w:val="000000"/>
          <w:sz w:val="22"/>
        </w:rPr>
        <w:t>of any Restricted Subsidiary that is not a Guarantor;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    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serif" w:hAnsi="Times New Roman;serif"/>
          <w:b w:val="false"/>
          <w:color w:val="000000"/>
          <w:sz w:val="22"/>
          <w:u w:val="single"/>
        </w:rPr>
        <w:t>clause (a)</w:t>
      </w:r>
      <w:r>
        <w:rPr>
          <w:rFonts w:ascii="Times New Roman;serif" w:hAnsi="Times New Roman;serif"/>
          <w:b w:val="false"/>
          <w:color w:val="000000"/>
          <w:sz w:val="22"/>
        </w:rPr>
        <w:t>,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    Liens with respect to outstanding motor vehicle fines and Liens imposed by law or regulation, including carriers’, warehousemen’s, mechanics’, landlords’, suppliers’, materialmen’s, repairmen’s, architects’, construction contractors’ or other similar Liens, in each case (x) for amounts not overdue for a period of more than 60 days or, if more than 60 days overdue, are unfiled and no other action has been taken to enforce such Liens or that are being </w:t>
      </w: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5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contested in good faith by appropriate proceedings or (y) so long as such Liens do not individually or in the aggregate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Liens for Taxes, assessments or other governmental charges, in each case (x) (i) that are not overdue for a period of more than 60 days, (ii) that are not yet payable or subject to penalties for nonpayment, (iii) that are being contested in good faith by appropriate proceedings and with respect to which appropriate reserves required pursuant to GAAP (or other applicable accounting principles) have been made in respect thereof or (iv) for property Taxes on property of the Company or one of its Subsidiaries that the Company (or the applicable Subsidiary) has determined to abandon if the sole recourse for such Tax is to such property or (y) so long as such Liens do not individually or in the aggregate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Company and its Restricted Subsidiaries, taken as a whole;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(6)    Liens (a) securing Swap Obligations, Obligations in respect of Cash Management Agreements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Company or any Subsidiary or consistent with past practice or (iii) relating to purchase orders and other agreements entered into with customers of the Company or any Restricted Subsidiary in the ordinary course of business or consistent with past practice; (c) on cash accounts securing Indebtedness and other Obligations permitted to be incurred under </w:t>
      </w:r>
      <w:r>
        <w:rPr>
          <w:rFonts w:ascii="Times New Roman;serif" w:hAnsi="Times New Roman;serif"/>
          <w:b w:val="false"/>
          <w:color w:val="000000"/>
          <w:sz w:val="22"/>
          <w:u w:val="single"/>
        </w:rPr>
        <w:t>clause (8)(e)</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7.01(b)</w:t>
      </w:r>
      <w:r>
        <w:rPr>
          <w:color w:val="000000"/>
        </w:rPr>
        <w:t xml:space="preserve"> </w:t>
      </w:r>
      <w:r>
        <w:rPr>
          <w:rFonts w:ascii="Times New Roman;serif" w:hAnsi="Times New Roman;serif"/>
          <w:b w:val="false"/>
          <w:color w:val="000000"/>
          <w:sz w:val="22"/>
        </w:rPr>
        <w:t>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(7)    leases, licenses, subleases and sublicenses of assets (including real property, intellectual property, software and other technology rights), in each case entered into in the </w:t>
      </w:r>
    </w:p>
    <w:p>
      <w:pPr>
        <w:pStyle w:val="TextBody"/>
        <w:bidi w:val="0"/>
        <w:spacing w:before="0" w:after="0"/>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5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ordinary course of business, consistent with past practice or, with respect to intellectual property, software and other technology rights, that are not material to the conduct of the business of the Company and its Restricted Subsidiaries, taken as a whole;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(8)    Liens securing or otherwise arising out of judgments, decrees, attachments, orders or awards not giving rise to an Event of Default under </w:t>
      </w:r>
      <w:r>
        <w:rPr>
          <w:rFonts w:ascii="Times New Roman;serif" w:hAnsi="Times New Roman;serif"/>
          <w:b w:val="false"/>
          <w:color w:val="000000"/>
          <w:sz w:val="22"/>
          <w:u w:val="single"/>
        </w:rPr>
        <w:t>Section 8.01(h)</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(9)    </w:t>
      </w:r>
      <w:r>
        <w:rPr>
          <w:rFonts w:ascii="Times New Roman;serif" w:hAnsi="Times New Roman;serif"/>
          <w:b w:val="false"/>
          <w:strike/>
          <w:color w:val="FF0000"/>
          <w:sz w:val="22"/>
        </w:rPr>
        <w:t xml:space="preserve">Liens </w:t>
      </w:r>
      <w:r>
        <w:rPr>
          <w:rFonts w:ascii="Times New Roman;serif" w:hAnsi="Times New Roman;serif"/>
          <w:b w:val="false"/>
          <w:color w:val="000000"/>
          <w:sz w:val="22"/>
        </w:rPr>
        <w:t xml:space="preserve">(a) </w:t>
      </w:r>
      <w:r>
        <w:rPr>
          <w:rFonts w:ascii="Times New Roman;serif" w:hAnsi="Times New Roman;serif"/>
          <w:b w:val="false"/>
          <w:color w:val="0000FF"/>
          <w:sz w:val="22"/>
          <w:u w:val="single"/>
        </w:rPr>
        <w:t xml:space="preserve">Liens </w:t>
      </w:r>
      <w:r>
        <w:rPr>
          <w:rFonts w:ascii="Times New Roman;serif" w:hAnsi="Times New Roman;serif"/>
          <w:b w:val="false"/>
          <w:color w:val="000000"/>
          <w:sz w:val="22"/>
        </w:rPr>
        <w:t xml:space="preserve">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 the aggregate principal amount of Indebtedness secured by such Liens is otherwise permitted to be incurred under </w:t>
      </w:r>
      <w:r>
        <w:rPr>
          <w:rFonts w:ascii="Times New Roman;serif" w:hAnsi="Times New Roman;serif"/>
          <w:b w:val="false"/>
          <w:strike/>
          <w:color w:val="FF0000"/>
          <w:sz w:val="22"/>
        </w:rPr>
        <w:t>this Agreement</w:t>
      </w:r>
      <w:r>
        <w:rPr>
          <w:rFonts w:ascii="Times New Roman;serif" w:hAnsi="Times New Roman;serif"/>
          <w:b w:val="false"/>
          <w:color w:val="0000FF"/>
          <w:sz w:val="22"/>
          <w:u w:val="single"/>
        </w:rPr>
        <w:t>Section 7.01</w:t>
      </w:r>
      <w:r>
        <w:rPr>
          <w:color w:val="000000"/>
        </w:rPr>
        <w:t xml:space="preserve"> </w:t>
      </w:r>
      <w:r>
        <w:rPr>
          <w:rFonts w:ascii="Times New Roman;serif" w:hAnsi="Times New Roman;serif"/>
          <w:b w:val="false"/>
          <w:color w:val="000000"/>
          <w:sz w:val="22"/>
        </w:rPr>
        <w:t>and (ii) any such Liens may not extend to any assets or property of the Company or any Restricted Subsidiary other than the assets or property the acquisition, leasing, expansion, construction, installation, replacement, repair or improvement and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(10)    Liens arising from UCC financing statements, including precautionary financing statements (or similar filings) regarding operating leases or consignments entered into by the Company and its Restricted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(11)    Liens existing on the Closing Date, including any Liens securing any Refinancing Indebtedness of any Indebtedness secured by such Liens;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(12)    Liens on property, other assets or shares of stock of a Person at the time such Person becomes a Subsidiary (or at the time the Company or a Subsidiary acquires such property, other assets or shares of stock, including any acquisition by means of a merger, amalgamation, consolidation or other business combination transaction with or into the Company or any Restricted Subsidiary);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Liens are not created in anticipation of such other Person becoming a Subsidiary (or such acquisition of such property, other assets or stock); </w:t>
      </w:r>
      <w:r>
        <w:rPr>
          <w:rFonts w:ascii="Times New Roman;serif" w:hAnsi="Times New Roman;serif"/>
          <w:b w:val="false"/>
          <w:i/>
          <w:color w:val="000000"/>
          <w:sz w:val="22"/>
        </w:rPr>
        <w:t>provided, further</w:t>
      </w:r>
      <w:r>
        <w:rPr>
          <w:rFonts w:ascii="Times New Roman;serif" w:hAnsi="Times New Roman;serif"/>
          <w:b w:val="false"/>
          <w:color w:val="000000"/>
          <w:sz w:val="22"/>
        </w:rPr>
        <w:t>, that such Liens are limited to all or part of the same property, other assets or stock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property and assets affixed or appurtenant thereto and additions, improvements, accessions, proceeds, dividends or distributions thereof, including (i) after-acquired property that is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(13)    Liens securing </w:t>
      </w:r>
      <w:r>
        <w:rPr>
          <w:rFonts w:ascii="Times New Roman;serif" w:hAnsi="Times New Roman;serif"/>
          <w:b w:val="false"/>
          <w:strike/>
          <w:color w:val="FF0000"/>
          <w:sz w:val="22"/>
        </w:rPr>
        <w:t xml:space="preserve">Obligations relating to </w:t>
      </w:r>
      <w:r>
        <w:rPr>
          <w:rFonts w:ascii="Times New Roman;serif" w:hAnsi="Times New Roman;serif"/>
          <w:b w:val="false"/>
          <w:color w:val="000000"/>
          <w:sz w:val="22"/>
        </w:rPr>
        <w:t xml:space="preserve">any Indebtedness or other obligations of the Company or a Restricted Subsidiary owing to the Company or a Restricted Subsidiary, </w:t>
      </w:r>
      <w:r>
        <w:rPr>
          <w:rFonts w:ascii="Times New Roman;serif" w:hAnsi="Times New Roman;serif"/>
          <w:b w:val="false"/>
          <w:strike/>
          <w:color w:val="FF0000"/>
          <w:sz w:val="22"/>
        </w:rPr>
        <w:t xml:space="preserve">or </w:t>
      </w:r>
    </w:p>
    <w:p>
      <w:pPr>
        <w:pStyle w:val="TextBody"/>
        <w:bidi w:val="0"/>
        <w:spacing w:before="0" w:after="0"/>
        <w:jc w:val="left"/>
        <w:rPr/>
      </w:pPr>
      <w:r>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75260"/>
                <wp:effectExtent l="0" t="0" r="0" b="0"/>
                <wp:wrapNone/>
                <wp:docPr id="160" name="Frame1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Liens in favor of the Company or any Restricted Subsidiary or the Agents</w:t>
      </w:r>
      <w:r>
        <w:rPr>
          <w:rFonts w:ascii="Times New Roman;serif" w:hAnsi="Times New Roman;serif"/>
          <w:b w:val="false"/>
          <w:color w:val="0000FF"/>
          <w:sz w:val="22"/>
          <w:u w:val="single"/>
        </w:rPr>
        <w:t>in each case in the ordinary course of business or consistent with past practices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(14)    Liens securing Refinancing Indebtedness incurred to refinance Indebtedness that was previously so secured, and permitted to be secured under this Agreement;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any such Lien is limited to all or part of the same property or assets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(15)    (a)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(16)    any encumbrance or restriction (including put and call arrangements) with respect to Capital Stock of any joint venture secured financing arrangement, joint venture or similar arrangement pursuant to any joint venture secured financing arrangement, joint venture or similar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(17)    Liens on property or assets under construction (and related rights) in favor of a contractor or developer or arising from progress or partial payments by a third party relating to such property or assets;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(18)    Liens arising out of conditional sale, title retention, hire purchase, consignment or similar arrangements for the sale or purchase of goods entered into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(19)    Liens securing Indebtedness and other obligations in respect of (a) the Facilities, including any Letters of Credit, any New Loan Commitment and any Extended Loans and (b) obligations of the Company or any Subsidiary in respect of any obligations in respect of Cash Management Agreements, Secured Hedge Agreements or Swap Obligations provided by any lender party to this Agreement or Affiliate of such lender or any other Hedge Bank or Cash Management Bank (or any Person that was a lender or an Affiliate of a lender at the time the applicable agreements in respect of such Obligations in respect of Cash Management Agreements or Swap Obligation were entered into), including all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(20)    Liens securing Indebtedness and other obligations under </w:t>
      </w:r>
      <w:r>
        <w:rPr>
          <w:rFonts w:ascii="Times New Roman;serif" w:hAnsi="Times New Roman;serif"/>
          <w:b w:val="false"/>
          <w:color w:val="000000"/>
          <w:sz w:val="22"/>
          <w:u w:val="single"/>
        </w:rPr>
        <w:t>clause (5)</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7.01(b)</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Liens shall only be permitted if such Liens are limited to all or part of the same property or assets, including Capital Stock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property and assets affixed or appurtenant thereto and additions, improvements, accessions, proceeds, dividends or distributions thereof, including after-acquired property that is (i) affixed or incorporated into the property or </w:t>
      </w:r>
    </w:p>
    <w:p>
      <w:pPr>
        <w:pStyle w:val="TextBody"/>
        <w:bidi w:val="0"/>
        <w:spacing w:before="0" w:after="0"/>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75260"/>
                <wp:effectExtent l="0" t="0" r="0" b="0"/>
                <wp:wrapNone/>
                <wp:docPr id="161" name="Frame1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Company or any Restricted Subsidiary, in any transaction to which such Indebtedness or other Obligation relates;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(21)    Liens securing Indebtedness and other obligations under </w:t>
      </w:r>
      <w:r>
        <w:rPr>
          <w:rFonts w:ascii="Times New Roman;serif" w:hAnsi="Times New Roman;serif"/>
          <w:b w:val="false"/>
          <w:color w:val="000000"/>
          <w:sz w:val="22"/>
          <w:u w:val="single"/>
        </w:rPr>
        <w:t>clause (</w:t>
      </w:r>
      <w:r>
        <w:rPr>
          <w:rFonts w:ascii="Times New Roman;serif" w:hAnsi="Times New Roman;serif"/>
          <w:b w:val="false"/>
          <w:strike/>
          <w:color w:val="FF0000"/>
          <w:sz w:val="22"/>
          <w:u w:val="single"/>
        </w:rPr>
        <w:t>1)</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w:t>
      </w:r>
      <w:r>
        <w:rPr>
          <w:rFonts w:ascii="Times New Roman;serif" w:hAnsi="Times New Roman;serif"/>
          <w:b w:val="false"/>
          <w:color w:val="000000"/>
          <w:sz w:val="22"/>
          <w:u w:val="single"/>
        </w:rPr>
        <w:t>4)(c)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(11)</w:t>
      </w:r>
      <w:r>
        <w:rPr>
          <w:color w:val="000000"/>
        </w:rPr>
        <w:t xml:space="preserve"> </w:t>
      </w:r>
      <w:r>
        <w:rPr>
          <w:rFonts w:ascii="Times New Roman;serif" w:hAnsi="Times New Roman;serif"/>
          <w:b w:val="false"/>
          <w:color w:val="000000"/>
          <w:sz w:val="22"/>
        </w:rPr>
        <w:t>(</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in the case of </w:t>
      </w:r>
      <w:r>
        <w:rPr>
          <w:rFonts w:ascii="Times New Roman;serif" w:hAnsi="Times New Roman;serif"/>
          <w:b w:val="false"/>
          <w:color w:val="000000"/>
          <w:sz w:val="22"/>
          <w:u w:val="single"/>
        </w:rPr>
        <w:t>clause (11)</w:t>
      </w:r>
      <w:r>
        <w:rPr>
          <w:rFonts w:ascii="Times New Roman;serif" w:hAnsi="Times New Roman;serif"/>
          <w:b w:val="false"/>
          <w:color w:val="000000"/>
          <w:sz w:val="22"/>
        </w:rPr>
        <w:t xml:space="preserve">, such Liens cover only the assets of non-Guarantors) or </w:t>
      </w:r>
      <w:r>
        <w:rPr>
          <w:rFonts w:ascii="Times New Roman;serif" w:hAnsi="Times New Roman;serif"/>
          <w:b w:val="false"/>
          <w:color w:val="000000"/>
          <w:sz w:val="22"/>
          <w:u w:val="single"/>
        </w:rPr>
        <w:t>(17)</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7.01(b)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(22)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(23)    Liens on Capital Stock </w:t>
      </w:r>
      <w:r>
        <w:rPr>
          <w:rFonts w:ascii="Times New Roman;serif" w:hAnsi="Times New Roman;serif"/>
          <w:b w:val="false"/>
          <w:strike/>
          <w:color w:val="FF0000"/>
          <w:sz w:val="22"/>
        </w:rPr>
        <w:t xml:space="preserve">or other securities or assets </w:t>
      </w:r>
      <w:r>
        <w:rPr>
          <w:rFonts w:ascii="Times New Roman;serif" w:hAnsi="Times New Roman;serif"/>
          <w:b w:val="false"/>
          <w:color w:val="000000"/>
          <w:sz w:val="22"/>
        </w:rPr>
        <w:t xml:space="preserve">of any Unrestricted </w:t>
      </w:r>
      <w:r>
        <w:rPr>
          <w:rFonts w:ascii="Times New Roman;serif" w:hAnsi="Times New Roman;serif"/>
          <w:b w:val="false"/>
          <w:color w:val="0000FF"/>
          <w:sz w:val="22"/>
          <w:u w:val="single"/>
        </w:rPr>
        <w:t xml:space="preserve">Subsidiary </w:t>
      </w:r>
      <w:r>
        <w:rPr>
          <w:rFonts w:ascii="Times New Roman;serif" w:hAnsi="Times New Roman;serif"/>
          <w:b w:val="false"/>
          <w:color w:val="008000"/>
          <w:sz w:val="22"/>
          <w:u w:val="single"/>
        </w:rPr>
        <w:t xml:space="preserve">that is </w:t>
      </w:r>
      <w:r>
        <w:rPr>
          <w:rFonts w:ascii="Times New Roman;serif" w:hAnsi="Times New Roman;serif"/>
          <w:b w:val="false"/>
          <w:color w:val="0000FF"/>
          <w:sz w:val="22"/>
          <w:u w:val="single"/>
        </w:rPr>
        <w:t xml:space="preserve">owned </w:t>
      </w:r>
      <w:r>
        <w:rPr>
          <w:rFonts w:ascii="Times New Roman;serif" w:hAnsi="Times New Roman;serif"/>
          <w:b w:val="false"/>
          <w:color w:val="008000"/>
          <w:sz w:val="22"/>
          <w:u w:val="single"/>
        </w:rPr>
        <w:t xml:space="preserve">by the Company or any Restricted </w:t>
      </w:r>
      <w:r>
        <w:rPr>
          <w:rFonts w:ascii="Times New Roman;serif" w:hAnsi="Times New Roman;serif"/>
          <w:b w:val="false"/>
          <w:color w:val="000000"/>
          <w:sz w:val="22"/>
        </w:rPr>
        <w:t>Subsidiary that secure Indebtedness or other obligations of such Unrestricted Subsidiary;</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w:t>
      </w:r>
      <w:r>
        <w:rPr>
          <w:rFonts w:ascii="Times New Roman;serif" w:hAnsi="Times New Roman;serif"/>
          <w:b w:val="false"/>
          <w:color w:val="008000"/>
          <w:sz w:val="22"/>
          <w:u w:val="single"/>
        </w:rPr>
        <w:t xml:space="preserve">the aggregate amount of </w:t>
      </w:r>
      <w:r>
        <w:rPr>
          <w:rFonts w:ascii="Times New Roman;serif" w:hAnsi="Times New Roman;serif"/>
          <w:b w:val="false"/>
          <w:color w:val="0000FF"/>
          <w:sz w:val="22"/>
          <w:u w:val="single"/>
        </w:rPr>
        <w:t>Indebtedness or other obligations secured by Liens pursuant to this clause (23) shall not exceed $5,000,000 at any time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(24)    Liens deemed to exist in connection with Investments permitted under </w:t>
      </w:r>
      <w:r>
        <w:rPr>
          <w:rFonts w:ascii="Times New Roman;serif" w:hAnsi="Times New Roman;serif"/>
          <w:b w:val="false"/>
          <w:color w:val="000000"/>
          <w:sz w:val="22"/>
          <w:u w:val="single"/>
        </w:rPr>
        <w:t>clause (4)</w:t>
      </w:r>
      <w:r>
        <w:rPr>
          <w:color w:val="000000"/>
        </w:rPr>
        <w:t xml:space="preserve"> </w:t>
      </w:r>
      <w:r>
        <w:rPr>
          <w:rFonts w:ascii="Times New Roman;serif" w:hAnsi="Times New Roman;serif"/>
          <w:b w:val="false"/>
          <w:color w:val="000000"/>
          <w:sz w:val="22"/>
        </w:rPr>
        <w:t>of the definition of “Cash Equivalents”;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(25)    Liens on (i) goods the purchase price of which is financed by a documentary letter of credit issued for the account of the Company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pStyle w:val="TextBody"/>
        <w:bidi w:val="0"/>
        <w:spacing w:lineRule="auto" w:line="288" w:before="0" w:after="240"/>
        <w:ind w:left="0" w:right="0" w:firstLine="720"/>
        <w:jc w:val="left"/>
        <w:rPr/>
      </w:pPr>
      <w:r>
        <w:rPr>
          <w:rFonts w:ascii="Times New Roman;serif" w:hAnsi="Times New Roman;serif"/>
          <w:b w:val="false"/>
          <w:color w:val="000000"/>
          <w:sz w:val="22"/>
        </w:rPr>
        <w:t>(26)    Liens on vehicles or equipment of the Company or any Restricted Subsidiary in the ordinary course of business or consistent with past practice;</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Indebtedness or other obligations secured by Liens pursuant to this clause (26) shall not exceed $10,000,000 at any time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(27)    Liens on assets or securities deemed to arise in connection with and solely as a result of the execution, delivery or performance of contracts to sell such assets or securities if such sale is otherwise not prohibited by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(28)    (a)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(29)    Liens solely on any cash earnest money deposits made in connection with any letter of intent or purchase agreement permitted under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(30)    Liens (i) on cash advances or escrow deposits in favor of the seller of any property to be acquired in an Investment permitted under this Agreement to be applied against the </w:t>
      </w:r>
    </w:p>
    <w:p>
      <w:pPr>
        <w:pStyle w:val="TextBody"/>
        <w:bidi w:val="0"/>
        <w:spacing w:before="0" w:after="0"/>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75260"/>
                <wp:effectExtent l="0" t="0" r="0" b="0"/>
                <wp:wrapNone/>
                <wp:docPr id="162" name="Frame1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applicable, would have been permitted on the date of the creation of such Lien;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(31)    Liens securing Indebtedness and other obligations in an aggregate principal amount not to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250,000,000 and (ii) 50.0% of LTM EBITDA at the time incurred</w:t>
      </w:r>
      <w:r>
        <w:rPr>
          <w:rFonts w:ascii="Times New Roman;serif" w:hAnsi="Times New Roman;serif"/>
          <w:b w:val="false"/>
          <w:color w:val="0000FF"/>
          <w:sz w:val="22"/>
          <w:u w:val="single"/>
        </w:rPr>
        <w:t>25,000,000 at any time outstanding</w:t>
      </w:r>
      <w:r>
        <w:rPr>
          <w:color w:val="000000"/>
        </w:rPr>
        <w:t xml:space="preserve"> </w:t>
      </w:r>
      <w:r>
        <w:rPr>
          <w:rFonts w:ascii="Times New Roman;serif" w:hAnsi="Times New Roman;serif"/>
          <w:b w:val="false"/>
          <w:color w:val="000000"/>
          <w:sz w:val="22"/>
        </w:rPr>
        <w:t>and any Liens securing any Refinancing Indebtedness of any Indebtedness secured by such Liens;</w:t>
      </w:r>
    </w:p>
    <w:p>
      <w:pPr>
        <w:pStyle w:val="TextBody"/>
        <w:bidi w:val="0"/>
        <w:spacing w:lineRule="auto" w:line="288" w:before="0" w:after="240"/>
        <w:ind w:left="0" w:right="0" w:firstLine="720"/>
        <w:jc w:val="left"/>
        <w:rPr/>
      </w:pPr>
      <w:r>
        <w:rPr>
          <w:rFonts w:ascii="Times New Roman;serif" w:hAnsi="Times New Roman;serif"/>
          <w:b w:val="false"/>
          <w:color w:val="000000"/>
          <w:sz w:val="22"/>
        </w:rPr>
        <w:t>(32)    </w:t>
      </w:r>
      <w:r>
        <w:rPr>
          <w:rFonts w:ascii="Times New Roman;serif" w:hAnsi="Times New Roman;serif"/>
          <w:b w:val="false"/>
          <w:strike/>
          <w:color w:val="FF0000"/>
          <w:sz w:val="22"/>
        </w:rPr>
        <w:t xml:space="preserve">Liens then existing </w:t>
      </w:r>
      <w:r>
        <w:rPr>
          <w:rFonts w:ascii="Times New Roman;serif" w:hAnsi="Times New Roman;serif"/>
          <w:b w:val="false"/>
          <w:strike/>
          <w:color w:val="008000"/>
          <w:sz w:val="22"/>
        </w:rPr>
        <w:t xml:space="preserve">with respect to </w:t>
      </w:r>
      <w:r>
        <w:rPr>
          <w:rFonts w:ascii="Times New Roman;serif" w:hAnsi="Times New Roman;serif"/>
          <w:b w:val="false"/>
          <w:strike/>
          <w:color w:val="FF0000"/>
          <w:sz w:val="22"/>
        </w:rPr>
        <w:t xml:space="preserve">assets of an Unrestricted Subsidiary on the day such Unrestricted Subsidiary is redesignated as a Restricted Subsidiary as described under </w:t>
      </w:r>
      <w:r>
        <w:rPr>
          <w:rFonts w:ascii="Times New Roman;serif" w:hAnsi="Times New Roman;serif"/>
          <w:b w:val="false"/>
          <w:strike/>
          <w:color w:val="008000"/>
          <w:sz w:val="22"/>
        </w:rPr>
        <w:t>the definition of “</w:t>
      </w:r>
      <w:r>
        <w:rPr>
          <w:rFonts w:ascii="Times New Roman;serif" w:hAnsi="Times New Roman;serif"/>
          <w:b w:val="false"/>
          <w:strike/>
          <w:color w:val="FF0000"/>
          <w:sz w:val="22"/>
        </w:rPr>
        <w:t>Unrestricted Subsidiary”</w:t>
      </w:r>
      <w:r>
        <w:rPr>
          <w:rFonts w:ascii="Times New Roman;serif" w:hAnsi="Times New Roman;serif"/>
          <w:b w:val="false"/>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(33)    </w:t>
      </w:r>
      <w:r>
        <w:rPr>
          <w:rFonts w:ascii="Times New Roman;serif" w:hAnsi="Times New Roman;serif"/>
          <w:b w:val="false"/>
          <w:strike/>
          <w:color w:val="FF0000"/>
          <w:sz w:val="22"/>
        </w:rPr>
        <w:t xml:space="preserve">Liens securing Indebtedness and other obligations </w:t>
      </w:r>
      <w:r>
        <w:rPr>
          <w:rFonts w:ascii="Times New Roman;serif" w:hAnsi="Times New Roman;serif"/>
          <w:b w:val="false"/>
          <w:strike/>
          <w:color w:val="008000"/>
          <w:sz w:val="22"/>
        </w:rPr>
        <w:t xml:space="preserve">permitted under </w:t>
      </w:r>
      <w:r>
        <w:rPr>
          <w:rFonts w:ascii="Times New Roman;serif" w:hAnsi="Times New Roman;serif"/>
          <w:b w:val="false"/>
          <w:strike/>
          <w:color w:val="008000"/>
          <w:sz w:val="22"/>
          <w:u w:val="single"/>
        </w:rPr>
        <w:t>Section 7.01(</w:t>
      </w:r>
      <w:r>
        <w:rPr>
          <w:rFonts w:ascii="Times New Roman;serif" w:hAnsi="Times New Roman;serif"/>
          <w:b w:val="false"/>
          <w:strike/>
          <w:color w:val="FF0000"/>
          <w:sz w:val="22"/>
          <w:u w:val="single"/>
        </w:rPr>
        <w:t>a)</w:t>
      </w:r>
      <w:r>
        <w:rPr>
          <w:rFonts w:ascii="Times New Roman;serif" w:hAnsi="Times New Roman;serif"/>
          <w:b w:val="false"/>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(34)    </w:t>
      </w:r>
      <w:r>
        <w:rPr>
          <w:rFonts w:ascii="Times New Roman;serif" w:hAnsi="Times New Roman;serif"/>
          <w:b w:val="false"/>
          <w:strike/>
          <w:color w:val="FF0000"/>
          <w:sz w:val="22"/>
        </w:rPr>
        <w:t xml:space="preserve">Liens deemed to exist in connection with Investments in repurchase agreements permitted under </w:t>
      </w:r>
      <w:r>
        <w:rPr>
          <w:rFonts w:ascii="Times New Roman;serif" w:hAnsi="Times New Roman;serif"/>
          <w:b w:val="false"/>
          <w:strike/>
          <w:color w:val="FF0000"/>
          <w:sz w:val="22"/>
          <w:u w:val="single"/>
        </w:rPr>
        <w:t>Section 7.05</w:t>
      </w:r>
      <w:r>
        <w:rPr>
          <w:rFonts w:ascii="Times New Roman;serif" w:hAnsi="Times New Roman;serif"/>
          <w:b w:val="false"/>
          <w:strike/>
          <w:color w:val="008000"/>
          <w:sz w:val="22"/>
        </w:rPr>
        <w:t xml:space="preserve">; </w:t>
      </w:r>
      <w:r>
        <w:rPr>
          <w:rFonts w:ascii="Times New Roman;serif" w:hAnsi="Times New Roman;serif"/>
          <w:b w:val="false"/>
          <w:i/>
          <w:strike/>
          <w:color w:val="008000"/>
          <w:sz w:val="22"/>
        </w:rPr>
        <w:t>provided</w:t>
      </w:r>
      <w:r>
        <w:rPr>
          <w:strike/>
          <w:color w:val="008000"/>
        </w:rPr>
        <w:t xml:space="preserve"> </w:t>
      </w:r>
      <w:r>
        <w:rPr>
          <w:rFonts w:ascii="Times New Roman;serif" w:hAnsi="Times New Roman;serif"/>
          <w:b w:val="false"/>
          <w:strike/>
          <w:color w:val="008000"/>
          <w:sz w:val="22"/>
        </w:rPr>
        <w:t xml:space="preserve">that such </w:t>
      </w:r>
      <w:r>
        <w:rPr>
          <w:rFonts w:ascii="Times New Roman;serif" w:hAnsi="Times New Roman;serif"/>
          <w:b w:val="false"/>
          <w:strike/>
          <w:color w:val="FF0000"/>
          <w:sz w:val="22"/>
        </w:rPr>
        <w:t>Liens do not extend to any assets other than those that are the subject of such repurchase agreement;</w:t>
      </w:r>
      <w:r>
        <w:rPr>
          <w:rFonts w:ascii="Times New Roman;serif" w:hAnsi="Times New Roman;serif"/>
          <w:b w:val="false"/>
          <w:color w:val="0000FF"/>
          <w:sz w:val="22"/>
          <w:u w:val="single"/>
        </w:rPr>
        <w:t>[reserved];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(35)    Liens arising in connection with a Qualified Securitization Financing or a Receivables Facility</w:t>
      </w:r>
      <w:r>
        <w:rPr>
          <w:rFonts w:ascii="Times New Roman;serif" w:hAnsi="Times New Roman;serif"/>
          <w:b w:val="false"/>
          <w:strike/>
          <w:color w:val="FF0000"/>
          <w:sz w:val="22"/>
        </w:rPr>
        <w:t>, and back-up Liens in connection with any other factoring, securitization or similar arrangement;</w:t>
      </w:r>
      <w:r>
        <w:rPr>
          <w:rFonts w:ascii="Times New Roman;serif" w:hAnsi="Times New Roman;serif"/>
          <w:b w:val="false"/>
          <w:color w:val="0000FF"/>
          <w:sz w:val="22"/>
          <w:u w:val="single"/>
        </w:rPr>
        <w:t xml:space="preserve">;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that the related Indebtedness with respect to such Liens pursuant to this clause (35) shall not exceed $75,000,000 at any time outstanding;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(36)    Settlement Liens;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(37)    rights of recapture of unused real property in favor of the seller of such property set forth in customary purchase agreements and related arrangements with any government, statutory or regulatory authority.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(38)    the rights reserved to or vested in any Person or government, statutory or regulatory authority by the terms of any lease, license, franchise, grant or permit held by the Company or any Restricted Subsidiary or by a statutory provision, to terminate any such lease, license, franchise, grant or permit, or to require annual or periodic payments as a condition to the continuance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(39)    restrictive covenants affecting the use to which real property may be put and Liens or covenants restricting or prohibiting access to or from lands abutting on controlled access highways or covenants affecting the use to which lands may be put;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Liens or covenants do not interfere with the ordinary conduct of the business of the Company or any 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(40)    Liens on property, assets or Permitted Investments used to defease or to satisfy or discharge Indebtedness;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such defeasance, satisfaction or discharge is not prohibited by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75260"/>
                <wp:effectExtent l="0" t="0" r="0" b="0"/>
                <wp:wrapNone/>
                <wp:docPr id="163" name="Frame1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(41)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(42)    Liens securing the Senior Secured Notes (other than any Additional Notes (as defined in the applicable Senior Secured Notes Documents)) and the related Guarantees;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(43)    Liens on assets securing any Indebtedness owed to any Captive Insurance Subsidiary by the Company or any 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(44)    Liens arising in connection with any Permitted Intercompany Activities</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and any</w:t>
      </w:r>
      <w:r>
        <w:rPr>
          <w:color w:val="000000"/>
        </w:rPr>
        <w:t xml:space="preserve"> </w:t>
      </w:r>
      <w:r>
        <w:rPr>
          <w:rFonts w:ascii="Times New Roman;serif" w:hAnsi="Times New Roman;serif"/>
          <w:b w:val="false"/>
          <w:color w:val="000000"/>
          <w:sz w:val="22"/>
        </w:rPr>
        <w:t xml:space="preserve">Permitted Tax </w:t>
      </w:r>
      <w:r>
        <w:rPr>
          <w:rFonts w:ascii="Times New Roman;serif" w:hAnsi="Times New Roman;serif"/>
          <w:b w:val="false"/>
          <w:strike/>
          <w:color w:val="FF0000"/>
          <w:sz w:val="22"/>
        </w:rPr>
        <w:t>Restructuring and related transactions</w:t>
      </w:r>
      <w:r>
        <w:rPr>
          <w:rFonts w:ascii="Times New Roman;serif" w:hAnsi="Times New Roman;serif"/>
          <w:b w:val="false"/>
          <w:color w:val="0000FF"/>
          <w:sz w:val="22"/>
          <w:u w:val="single"/>
        </w:rPr>
        <w:t>Restructurings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(45)    Liens securing Permitted Debt Exchange Notes;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(46)    Liens arising in connection with the Transactions.</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Notwithstanding anything to the contrary contained in this Agreement, including, without limitation, this defined term or Section 7.02, the aggregate principal amount </w:t>
      </w:r>
      <w:r>
        <w:rPr>
          <w:rFonts w:ascii="Times New Roman;serif" w:hAnsi="Times New Roman;serif"/>
          <w:b w:val="false"/>
          <w:color w:val="008000"/>
          <w:sz w:val="22"/>
          <w:u w:val="single"/>
        </w:rPr>
        <w:t xml:space="preserve">of Indebtedness of the </w:t>
      </w:r>
      <w:r>
        <w:rPr>
          <w:rFonts w:ascii="Times New Roman;serif" w:hAnsi="Times New Roman;serif"/>
          <w:b w:val="false"/>
          <w:color w:val="0000FF"/>
          <w:sz w:val="22"/>
          <w:u w:val="single"/>
        </w:rPr>
        <w:t>Loan Parties to the Non-Loan Party Subsidiaries secured by a Lien shall not exceed $10,000,000.</w:t>
      </w:r>
    </w:p>
    <w:p>
      <w:pPr>
        <w:pStyle w:val="TextBody"/>
        <w:bidi w:val="0"/>
        <w:spacing w:lineRule="auto" w:line="288" w:before="0" w:after="240"/>
        <w:ind w:left="0" w:right="0" w:firstLine="720"/>
        <w:jc w:val="left"/>
        <w:rPr/>
      </w:pPr>
      <w:r>
        <w:rPr>
          <w:rFonts w:ascii="Times New Roman;serif" w:hAnsi="Times New Roman;serif"/>
          <w:b w:val="false"/>
          <w:color w:val="000000"/>
          <w:sz w:val="22"/>
        </w:rPr>
        <w:t>In the event that a Permitted Lien meets the criteria of more than one of the types of Permitted Liens (at the time of incurrence</w:t>
      </w:r>
      <w:r>
        <w:rPr>
          <w:strike/>
          <w:color w:val="FF0000"/>
        </w:rPr>
        <w:t xml:space="preserve"> </w:t>
      </w:r>
      <w:r>
        <w:rPr>
          <w:rFonts w:ascii="Times New Roman;serif" w:hAnsi="Times New Roman;serif"/>
          <w:b w:val="false"/>
          <w:strike/>
          <w:color w:val="FF0000"/>
          <w:sz w:val="22"/>
        </w:rPr>
        <w:t>or at a later date</w:t>
      </w:r>
      <w:r>
        <w:rPr>
          <w:rFonts w:ascii="Times New Roman;serif" w:hAnsi="Times New Roman;serif"/>
          <w:b w:val="false"/>
          <w:color w:val="000000"/>
          <w:sz w:val="22"/>
        </w:rPr>
        <w:t xml:space="preserve">), the Company in its sole discretion may </w:t>
      </w:r>
      <w:r>
        <w:rPr>
          <w:rFonts w:ascii="Times New Roman;serif" w:hAnsi="Times New Roman;serif"/>
          <w:b w:val="false"/>
          <w:strike/>
          <w:color w:val="FF0000"/>
          <w:sz w:val="22"/>
        </w:rPr>
        <w:t>divide, classify or from time to time reclassify</w:t>
      </w:r>
      <w:r>
        <w:rPr>
          <w:rFonts w:ascii="Times New Roman;serif" w:hAnsi="Times New Roman;serif"/>
          <w:b w:val="false"/>
          <w:color w:val="0000FF"/>
          <w:sz w:val="22"/>
          <w:u w:val="single"/>
        </w:rPr>
        <w:t>at the time such Permitted Lien is incurred divide and classify</w:t>
      </w:r>
      <w:r>
        <w:rPr>
          <w:color w:val="000000"/>
        </w:rPr>
        <w:t xml:space="preserve"> </w:t>
      </w:r>
      <w:r>
        <w:rPr>
          <w:rFonts w:ascii="Times New Roman;serif" w:hAnsi="Times New Roman;serif"/>
          <w:b w:val="false"/>
          <w:color w:val="000000"/>
          <w:sz w:val="22"/>
        </w:rPr>
        <w:t>all or any portion of such Permitted Lien in any manner that complies with this Agreement and such Permitted Lien shall be treated as having been made pursuant only to the clause or clauses of the definition of Permitted Lien to which such Permitted Lien has been classified</w:t>
      </w:r>
      <w:r>
        <w:rPr>
          <w:strike/>
          <w:color w:val="FF0000"/>
        </w:rPr>
        <w:t xml:space="preserve"> </w:t>
      </w:r>
      <w:r>
        <w:rPr>
          <w:rFonts w:ascii="Times New Roman;serif" w:hAnsi="Times New Roman;serif"/>
          <w:b w:val="false"/>
          <w:strike/>
          <w:color w:val="FF0000"/>
          <w:sz w:val="22"/>
        </w:rPr>
        <w:t>or reclassified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Payments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7.05(b)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Tax Amount</w:t>
      </w:r>
      <w:r>
        <w:rPr>
          <w:color w:val="000000"/>
        </w:rPr>
        <w:t xml:space="preserve">” </w:t>
      </w:r>
      <w:r>
        <w:rPr>
          <w:rFonts w:ascii="Times New Roman;serif" w:hAnsi="Times New Roman;serif"/>
          <w:b w:val="false"/>
          <w:color w:val="000000"/>
          <w:sz w:val="22"/>
        </w:rPr>
        <w:t>means (a) for any taxable period for which the Company is a member (or is an entity treated as disregarded from a member) of a group filing a consolidated, group, affiliate, unitary, combined, or similar income or similar tax return with any direct or indirect parent of the Company, any income or similar Taxes for which such parent is liable that are attributable to the taxable income of the Company and its applicable Subsidiaries up to an amount not to exceed with respect to such taxable period the amount of any such Taxes that the Company and such Subsidiaries would have been required to pay on a separate company basis or on a consolidated basis calculated as if the Company and such Subsidiaries had paid Tax on a consolidated, combined, group, affiliated, unitary or similar basis on behalf of a consolidated, combined, affiliated, unitary or similar group consisting only of the Company and such Subsidiaries for all relevant taxable periods; provided that, such amount attributable to the taxable income of an Unrestricted Subsidiary for each taxable period shall not exceed the amount actually paid by such Unrestricted Subsidiary to any Loan Party for such purpose and (b) franchise and similar taxes required to be paid by any direct or indirect parent of the Company to maintain its organizational existence.</w:t>
      </w:r>
    </w:p>
    <w:p>
      <w:pPr>
        <w:pStyle w:val="TextBody"/>
        <w:bidi w:val="0"/>
        <w:spacing w:before="0" w:after="0"/>
        <w:jc w:val="left"/>
        <w:rPr/>
      </w:pPr>
      <w:r>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75260"/>
                <wp:effectExtent l="0" t="0" r="0" b="0"/>
                <wp:wrapNone/>
                <wp:docPr id="164" name="Frame1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Permitted Tax Restructuring</w:t>
      </w:r>
      <w:r>
        <w:rPr>
          <w:color w:val="000000"/>
        </w:rPr>
        <w:t xml:space="preserve">” </w:t>
      </w:r>
      <w:r>
        <w:rPr>
          <w:rFonts w:ascii="Times New Roman;serif" w:hAnsi="Times New Roman;serif"/>
          <w:b w:val="false"/>
          <w:color w:val="000000"/>
          <w:sz w:val="22"/>
        </w:rPr>
        <w:t xml:space="preserve">means any reorganizations, restructuring, and other activities related to Tax planning, Tax reorganization, or any Tax restructuring entered into prior to, on or after the </w:t>
      </w:r>
      <w:r>
        <w:rPr>
          <w:rFonts w:ascii="Times New Roman;serif" w:hAnsi="Times New Roman;serif"/>
          <w:b w:val="false"/>
          <w:strike/>
          <w:color w:val="FF0000"/>
          <w:sz w:val="22"/>
        </w:rPr>
        <w:t>date hereof</w:t>
      </w:r>
      <w:r>
        <w:rPr>
          <w:rFonts w:ascii="Times New Roman;serif" w:hAnsi="Times New Roman;serif"/>
          <w:b w:val="false"/>
          <w:color w:val="0000FF"/>
          <w:sz w:val="22"/>
          <w:u w:val="single"/>
        </w:rPr>
        <w:t>First Amendment Effective Date to the extent described in that certain Summary of Project Northwestern delivered to the Administrative Agent on August 4, 2026 and</w:t>
      </w:r>
      <w:r>
        <w:rPr>
          <w:color w:val="000000"/>
        </w:rPr>
        <w:t xml:space="preserve"> </w:t>
      </w:r>
      <w:r>
        <w:rPr>
          <w:rFonts w:ascii="Times New Roman;serif" w:hAnsi="Times New Roman;serif"/>
          <w:b w:val="false"/>
          <w:color w:val="000000"/>
          <w:sz w:val="22"/>
        </w:rPr>
        <w:t xml:space="preserve">so long as such Permitted Tax Restructuring is not materially adverse to the </w:t>
      </w:r>
      <w:r>
        <w:rPr>
          <w:rFonts w:ascii="Times New Roman;serif" w:hAnsi="Times New Roman;serif"/>
          <w:b w:val="false"/>
          <w:strike/>
          <w:color w:val="FF0000"/>
          <w:sz w:val="22"/>
        </w:rPr>
        <w:t xml:space="preserve">holders of the Loans </w:t>
      </w:r>
      <w:r>
        <w:rPr>
          <w:rFonts w:ascii="Times New Roman;serif" w:hAnsi="Times New Roman;serif"/>
          <w:b w:val="false"/>
          <w:strike/>
          <w:color w:val="008000"/>
          <w:sz w:val="22"/>
        </w:rPr>
        <w:t xml:space="preserve">(as determined </w:t>
      </w:r>
      <w:r>
        <w:rPr>
          <w:rFonts w:ascii="Times New Roman;serif" w:hAnsi="Times New Roman;serif"/>
          <w:b w:val="false"/>
          <w:strike/>
          <w:color w:val="FF0000"/>
          <w:sz w:val="22"/>
        </w:rPr>
        <w:t xml:space="preserve">by the Company </w:t>
      </w:r>
      <w:r>
        <w:rPr>
          <w:rFonts w:ascii="Times New Roman;serif" w:hAnsi="Times New Roman;serif"/>
          <w:b w:val="false"/>
          <w:strike/>
          <w:color w:val="008000"/>
          <w:sz w:val="22"/>
        </w:rPr>
        <w:t>in good faith</w:t>
      </w:r>
      <w:r>
        <w:rPr>
          <w:rFonts w:ascii="Times New Roman;serif" w:hAnsi="Times New Roman;serif"/>
          <w:b w:val="false"/>
          <w:color w:val="0000FF"/>
          <w:sz w:val="22"/>
          <w:u w:val="single"/>
        </w:rPr>
        <w:t>Lenders (in their capacities as lenders to the Borrower</w:t>
      </w:r>
      <w:r>
        <w:rPr>
          <w:rFonts w:ascii="Times New Roman;serif" w:hAnsi="Times New Roman;serif"/>
          <w:b w:val="false"/>
          <w:color w:val="000000"/>
          <w:sz w:val="22"/>
        </w:rPr>
        <w:t>). For purposes of clarity, a Permitted Tax Restructuring may include (but is not limited to</w:t>
      </w:r>
      <w:r>
        <w:rPr>
          <w:rFonts w:ascii="Times New Roman;serif" w:hAnsi="Times New Roman;serif"/>
          <w:b w:val="false"/>
          <w:color w:val="008000"/>
          <w:sz w:val="22"/>
          <w:u w:val="single"/>
        </w:rPr>
        <w:t xml:space="preserve">, except to the extent </w:t>
      </w:r>
      <w:r>
        <w:rPr>
          <w:rFonts w:ascii="Times New Roman;serif" w:hAnsi="Times New Roman;serif"/>
          <w:b w:val="false"/>
          <w:color w:val="0000FF"/>
          <w:sz w:val="22"/>
          <w:u w:val="single"/>
        </w:rPr>
        <w:t>set forth in the Summary of Project Northwestern referenced above</w:t>
      </w:r>
      <w:r>
        <w:rPr>
          <w:rFonts w:ascii="Times New Roman;serif" w:hAnsi="Times New Roman;serif"/>
          <w:b w:val="false"/>
          <w:color w:val="000000"/>
          <w:sz w:val="22"/>
        </w:rPr>
        <w:t>) reorganizations, restructurings, and other activities related to Tax planning, Tax reorganization, or any Tax restructuring entered into by or among any direct or indirect parent of the Company, the Company and any Subsidiary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Person</w:t>
      </w:r>
      <w:r>
        <w:rPr>
          <w:color w:val="000000"/>
        </w:rPr>
        <w:t xml:space="preserve">” </w:t>
      </w:r>
      <w:r>
        <w:rPr>
          <w:rFonts w:ascii="Times New Roman;serif" w:hAnsi="Times New Roman;serif"/>
          <w:b w:val="false"/>
          <w:color w:val="000000"/>
          <w:sz w:val="22"/>
        </w:rPr>
        <w:t>means any individual, corporation, partnership, joint venture, association, joint-stock company, trust, unincorporated organization, limited liability company, government or any agency or political subdivision thereof or any other entity.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Plan</w:t>
      </w:r>
      <w:r>
        <w:rPr>
          <w:color w:val="000000"/>
        </w:rPr>
        <w:t xml:space="preserve">” </w:t>
      </w:r>
      <w:r>
        <w:rPr>
          <w:rFonts w:ascii="Times New Roman;serif" w:hAnsi="Times New Roman;serif"/>
          <w:b w:val="false"/>
          <w:color w:val="000000"/>
          <w:sz w:val="22"/>
        </w:rPr>
        <w:t>means any “employee benefit plan” (other than a Multiemployer Plan) within the meaning of Section 3(3) of ERISA that is maintained or is contributed to by a Loan Party or any ERISA Affiliate or under which any Loan Party or ERISA Affiliate has any liability or obligation, whether fixed or contingent, and, in any case, is subject to Title IV of ERISA or the Pension Funding Rules. For greater certainty, “Plan” excludes any Foreign Plan.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Platform”</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Pledged Debt</w:t>
      </w:r>
      <w:r>
        <w:rPr>
          <w:color w:val="000000"/>
        </w:rPr>
        <w:t xml:space="preserve">” </w:t>
      </w:r>
      <w:r>
        <w:rPr>
          <w:rFonts w:ascii="Times New Roman;serif" w:hAnsi="Times New Roman;serif"/>
          <w:b w:val="false"/>
          <w:color w:val="000000"/>
          <w:sz w:val="22"/>
        </w:rPr>
        <w:t>means “Pledged Debt” (or similar term) as defined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Pledged Interests</w:t>
      </w:r>
      <w:r>
        <w:rPr>
          <w:color w:val="000000"/>
        </w:rPr>
        <w:t xml:space="preserve">” </w:t>
      </w:r>
      <w:r>
        <w:rPr>
          <w:rFonts w:ascii="Times New Roman;serif" w:hAnsi="Times New Roman;serif"/>
          <w:b w:val="false"/>
          <w:color w:val="000000"/>
          <w:sz w:val="22"/>
        </w:rPr>
        <w:t>means “Pledged Interests” (or similar term) as defined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Pounds Sterling</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w:t>
      </w:r>
      <w:r>
        <w:rPr>
          <w:color w:val="000000"/>
        </w:rPr>
        <w:t xml:space="preserve">” </w:t>
      </w:r>
      <w:r>
        <w:rPr>
          <w:rFonts w:ascii="Times New Roman;serif" w:hAnsi="Times New Roman;serif"/>
          <w:b w:val="false"/>
          <w:color w:val="000000"/>
          <w:sz w:val="22"/>
        </w:rPr>
        <w:t>means freely transferable lawful money of the United Kingdom (expressed in Pounds Sterling).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Preferred Stock,</w:t>
      </w:r>
      <w:r>
        <w:rPr>
          <w:color w:val="000000"/>
        </w:rPr>
        <w:t xml:space="preserve">” </w:t>
      </w:r>
      <w:r>
        <w:rPr>
          <w:rFonts w:ascii="Times New Roman;serif" w:hAnsi="Times New Roman;serif"/>
          <w:b w:val="false"/>
          <w:color w:val="000000"/>
          <w:sz w:val="22"/>
        </w:rPr>
        <w:t>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Prepayment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Prepayment-Based Incremental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Prepayment Date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Primary Disqualified Institution</w:t>
      </w:r>
      <w:r>
        <w:rPr>
          <w:color w:val="000000"/>
        </w:rPr>
        <w:t xml:space="preserve">” </w:t>
      </w:r>
      <w:r>
        <w:rPr>
          <w:rFonts w:ascii="Times New Roman;serif" w:hAnsi="Times New Roman;serif"/>
          <w:b w:val="false"/>
          <w:color w:val="000000"/>
          <w:sz w:val="22"/>
        </w:rPr>
        <w:t>has the meaning specified in the definition of “Disqualified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primary obligations</w:t>
      </w:r>
      <w:r>
        <w:rPr>
          <w:color w:val="000000"/>
        </w:rPr>
        <w:t xml:space="preserve">” </w:t>
      </w:r>
      <w:r>
        <w:rPr>
          <w:rFonts w:ascii="Times New Roman;serif" w:hAnsi="Times New Roman;serif"/>
          <w:b w:val="false"/>
          <w:color w:val="000000"/>
          <w:sz w:val="22"/>
        </w:rPr>
        <w:t>has the meaning specified in the definition of “Contingent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primary obligor</w:t>
      </w:r>
      <w:r>
        <w:rPr>
          <w:color w:val="000000"/>
        </w:rPr>
        <w:t xml:space="preserve">” </w:t>
      </w:r>
      <w:r>
        <w:rPr>
          <w:rFonts w:ascii="Times New Roman;serif" w:hAnsi="Times New Roman;serif"/>
          <w:b w:val="false"/>
          <w:color w:val="000000"/>
          <w:sz w:val="22"/>
        </w:rPr>
        <w:t>has the meaning specified in the definition of “Contingent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75260"/>
                <wp:effectExtent l="0" t="0" r="0" b="0"/>
                <wp:wrapNone/>
                <wp:docPr id="165" name="Frame1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Prime Rate</w:t>
      </w:r>
      <w:r>
        <w:rPr>
          <w:color w:val="000000"/>
        </w:rPr>
        <w:t xml:space="preserve">” </w:t>
      </w:r>
      <w:r>
        <w:rPr>
          <w:rFonts w:ascii="Times New Roman;serif" w:hAnsi="Times New Roman;serif"/>
          <w:b w:val="false"/>
          <w:color w:val="000000"/>
          <w:sz w:val="22"/>
        </w:rPr>
        <w:t xml:space="preserve">means, for any day, the rate of interest last quoted by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 xml:space="preserve">as the “Prime Rate” in the U.S. for such day or, if </w:t>
      </w:r>
      <w:r>
        <w:rPr>
          <w:rFonts w:ascii="Times New Roman;serif" w:hAnsi="Times New Roman;serif"/>
          <w:b w:val="false"/>
          <w:i/>
          <w:color w:val="000000"/>
          <w:sz w:val="22"/>
        </w:rPr>
        <w:t>The Wall Street Journal</w:t>
      </w:r>
      <w:r>
        <w:rPr>
          <w:color w:val="000000"/>
        </w:rPr>
        <w:t xml:space="preserve"> </w:t>
      </w:r>
      <w:r>
        <w:rPr>
          <w:rFonts w:ascii="Times New Roman;serif" w:hAnsi="Times New Roman;serif"/>
          <w:b w:val="false"/>
          <w:color w:val="000000"/>
          <w:sz w:val="22"/>
        </w:rPr>
        <w:t>ceases to quote such rate, the highest per annum interest rate published by the FRB in Federal Reserve Statistical Release H.15 (519) (Selected Interest Rates) as the “bank prime loan” rate for such day or, if such rate is no longer quoted therein, any similar rate quoted therein (as determined by the Administrative Agent) or any similar release by the FRB (as determined by the Administrative Agent), in each case, for such day. Each change in the Prime Rate shall be effective on the date that such change is publicly announced or quoted as being effective.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Pro Rata Share</w:t>
      </w:r>
      <w:r>
        <w:rPr>
          <w:color w:val="000000"/>
        </w:rPr>
        <w:t xml:space="preserve">” </w:t>
      </w:r>
      <w:r>
        <w:rPr>
          <w:rFonts w:ascii="Times New Roman;serif" w:hAnsi="Times New Roman;serif"/>
          <w:b w:val="false"/>
          <w:color w:val="000000"/>
          <w:sz w:val="22"/>
        </w:rPr>
        <w:t xml:space="preserve">means, with respect to each Lender and any Facility or all the Facilities or any Tranche or all the Tranches (as applicable) at any time, a fraction (expressed as a percentage, carried out to the ninth decimal place, and subject to adjustment as provided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the numerator of which is the amount of the Commitments of such Lender under the applicable Facility or the Facilities or Tranche or Tranches (and, in the case of any Term Loan Tranche after the applicable borrowing date and without duplication, the outstanding principal amount of Term Loans under such Tranche, of such Lender, at such time) at such time and the denominator of which is the amount of the Aggregate Commitments under the applicable Facility or the Facilities or Tranche or Tranches at such time (and, in the case of any Term Loan Tranche and without duplication, the outstanding principal amount of Term Loans under such Tranche, at such time);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if the commitment of each Lender to make Loans and the obligation of each L/C Issuer to make L/C Credit Extensions have been terminated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serif" w:hAnsi="Times New Roman;serif"/>
          <w:b w:val="false"/>
          <w:color w:val="000000"/>
          <w:sz w:val="22"/>
          <w:u w:val="single"/>
        </w:rPr>
        <w:t>Schedule 2.01</w:t>
      </w:r>
      <w:r>
        <w:rPr>
          <w:color w:val="000000"/>
        </w:rPr>
        <w:t xml:space="preserve"> </w:t>
      </w:r>
      <w:r>
        <w:rPr>
          <w:rFonts w:ascii="Times New Roman;serif" w:hAnsi="Times New Roman;serif"/>
          <w:b w:val="false"/>
          <w:color w:val="0000FF"/>
          <w:sz w:val="22"/>
          <w:u w:val="single"/>
        </w:rPr>
        <w:t xml:space="preserve">(as updated on Annex A to the First Amendment with respect to each of the Initial Revolving-1 Credit Commitments, the Initial Revolving-2 Credit Commitments and the Initial Revolving Credit Commitments) </w:t>
      </w:r>
      <w:r>
        <w:rPr>
          <w:rFonts w:ascii="Times New Roman;serif" w:hAnsi="Times New Roman;serif"/>
          <w:b w:val="false"/>
          <w:color w:val="000000"/>
          <w:sz w:val="22"/>
        </w:rPr>
        <w:t>or in the Assignment and Assumption pursuant to which such Lender became a party hereto,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Projections</w:t>
      </w:r>
      <w:r>
        <w:rPr>
          <w:color w:val="000000"/>
        </w:rPr>
        <w:t xml:space="preserve">” </w:t>
      </w:r>
      <w:r>
        <w:rPr>
          <w:rFonts w:ascii="Times New Roman;serif" w:hAnsi="Times New Roman;serif"/>
          <w:b w:val="false"/>
          <w:color w:val="000000"/>
          <w:sz w:val="22"/>
        </w:rPr>
        <w:t>means the projections of the Company and its Subsidiaries included in the Information Memorandum and any other projections, financial estimates, forecast and any other forward-looking statements (including statements with respect to booked business) of such entities furnished to the Lenders or the Agents in writing by or on behalf of the Company or any of its Subsidiaries prior to the Closing Date.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PTE</w:t>
      </w:r>
      <w:r>
        <w:rPr>
          <w:color w:val="000000"/>
        </w:rPr>
        <w:t xml:space="preserve">” </w:t>
      </w:r>
      <w:r>
        <w:rPr>
          <w:rFonts w:ascii="Times New Roman;serif" w:hAnsi="Times New Roman;serif"/>
          <w:b w:val="false"/>
          <w:color w:val="000000"/>
          <w:sz w:val="22"/>
        </w:rPr>
        <w:t>means a prohibited transaction class exemption issued by the U.S. Department of Labor, as any such exemption may be amended from time to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Public Company Costs</w:t>
      </w:r>
      <w:r>
        <w:rPr>
          <w:color w:val="000000"/>
        </w:rPr>
        <w:t xml:space="preserve">” </w:t>
      </w:r>
      <w:r>
        <w:rPr>
          <w:rFonts w:ascii="Times New Roman;serif" w:hAnsi="Times New Roman;serif"/>
          <w:b w:val="false"/>
          <w:color w:val="000000"/>
          <w:sz w:val="22"/>
        </w:rPr>
        <w:t>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Public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75260"/>
                <wp:effectExtent l="0" t="0" r="0" b="0"/>
                <wp:wrapNone/>
                <wp:docPr id="166" name="Frame1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Public Side Information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6.02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Purchase Money Obligations</w:t>
      </w:r>
      <w:r>
        <w:rPr>
          <w:color w:val="000000"/>
        </w:rPr>
        <w:t xml:space="preserve">” </w:t>
      </w:r>
      <w:r>
        <w:rPr>
          <w:rFonts w:ascii="Times New Roman;serif" w:hAnsi="Times New Roman;serif"/>
          <w:b w:val="false"/>
          <w:color w:val="000000"/>
          <w:sz w:val="22"/>
        </w:rPr>
        <w:t>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Qualified Securitization Financing</w:t>
      </w:r>
      <w:r>
        <w:rPr>
          <w:color w:val="000000"/>
        </w:rPr>
        <w:t xml:space="preserve">” </w:t>
      </w:r>
      <w:r>
        <w:rPr>
          <w:rFonts w:ascii="Times New Roman;serif" w:hAnsi="Times New Roman;serif"/>
          <w:b w:val="false"/>
          <w:color w:val="000000"/>
          <w:sz w:val="22"/>
        </w:rPr>
        <w:t>means any Securitization Facility that meets the following conditions: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Board of Directors shall have determined in good faith that such Securitization Facility (including financing terms, covenants, termination events and other provisions) is in the aggregate economically fair and reasonable to the Company and its Restricted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all sales of Securitization Assets and related assets by the Company or any Restricted Subsidiary to the Securitization Subsidiary or any other Person are made for fair consideration (as determined in good faith by the Company)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the financing terms, covenants, termination events and other provisions thereof shall be fair and reasonable terms (as determined in good faith by the Company) and may include Standard Securitization Undertakings.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Ratio-Based Incremental Facility</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Ratio Debt</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7.01</w:t>
      </w:r>
      <w:r>
        <w:rPr>
          <w:rFonts w:ascii="Times New Roman;serif" w:hAnsi="Times New Roman;serif"/>
          <w:b w:val="false"/>
          <w:strike/>
          <w:color w:val="008000"/>
          <w:sz w:val="22"/>
          <w:u w:val="single"/>
        </w:rPr>
        <w:t>(a)</w:t>
      </w:r>
      <w:r>
        <w:rPr>
          <w:rFonts w:ascii="Times New Roman;serif" w:hAnsi="Times New Roman;serif"/>
          <w:b w:val="false"/>
          <w:strike/>
          <w:color w:val="008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Receivables Assets</w:t>
      </w:r>
      <w:r>
        <w:rPr>
          <w:color w:val="000000"/>
        </w:rPr>
        <w:t xml:space="preserve">” </w:t>
      </w:r>
      <w:r>
        <w:rPr>
          <w:rFonts w:ascii="Times New Roman;serif" w:hAnsi="Times New Roman;serif"/>
          <w:b w:val="false"/>
          <w:color w:val="000000"/>
          <w:sz w:val="22"/>
        </w:rPr>
        <w:t>means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Receivables Facility</w:t>
      </w:r>
      <w:r>
        <w:rPr>
          <w:color w:val="000000"/>
        </w:rPr>
        <w:t xml:space="preserve">” </w:t>
      </w:r>
      <w:r>
        <w:rPr>
          <w:rFonts w:ascii="Times New Roman;serif" w:hAnsi="Times New Roman;serif"/>
          <w:b w:val="false"/>
          <w:color w:val="000000"/>
          <w:sz w:val="22"/>
        </w:rPr>
        <w:t xml:space="preserve">means </w:t>
      </w:r>
      <w:r>
        <w:rPr>
          <w:rFonts w:ascii="Times New Roman;serif" w:hAnsi="Times New Roman;serif"/>
          <w:b w:val="false"/>
          <w:strike/>
          <w:color w:val="FF0000"/>
          <w:sz w:val="22"/>
        </w:rPr>
        <w:t xml:space="preserve">(x) </w:t>
      </w:r>
      <w:r>
        <w:rPr>
          <w:rFonts w:ascii="Times New Roman;serif" w:hAnsi="Times New Roman;serif"/>
          <w:b w:val="false"/>
          <w:color w:val="000000"/>
          <w:sz w:val="22"/>
        </w:rPr>
        <w:t xml:space="preserve">the receivables factoring arrangement pursuant to the </w:t>
      </w:r>
      <w:r>
        <w:rPr>
          <w:rFonts w:ascii="Times New Roman;serif" w:hAnsi="Times New Roman;serif"/>
          <w:b w:val="false"/>
          <w:strike/>
          <w:color w:val="FF0000"/>
          <w:sz w:val="22"/>
        </w:rPr>
        <w:t>Master Factoring</w:t>
      </w:r>
      <w:r>
        <w:rPr>
          <w:rFonts w:ascii="Times New Roman;serif" w:hAnsi="Times New Roman;serif"/>
          <w:b w:val="false"/>
          <w:color w:val="0000FF"/>
          <w:sz w:val="22"/>
          <w:u w:val="single"/>
        </w:rPr>
        <w:t>Key Account Program</w:t>
      </w:r>
      <w:r>
        <w:rPr>
          <w:color w:val="000000"/>
        </w:rPr>
        <w:t xml:space="preserve"> </w:t>
      </w:r>
      <w:r>
        <w:rPr>
          <w:rFonts w:ascii="Times New Roman;serif" w:hAnsi="Times New Roman;serif"/>
          <w:b w:val="false"/>
          <w:color w:val="000000"/>
          <w:sz w:val="22"/>
        </w:rPr>
        <w:t xml:space="preserve">Agreement </w:t>
      </w:r>
      <w:r>
        <w:rPr>
          <w:rFonts w:ascii="Times New Roman;serif" w:hAnsi="Times New Roman;serif"/>
          <w:b w:val="false"/>
          <w:strike/>
          <w:color w:val="008000"/>
          <w:sz w:val="22"/>
        </w:rPr>
        <w:t xml:space="preserve">to be </w:t>
      </w:r>
      <w:r>
        <w:rPr>
          <w:rFonts w:ascii="Times New Roman;serif" w:hAnsi="Times New Roman;serif"/>
          <w:b w:val="false"/>
          <w:strike/>
          <w:color w:val="FF0000"/>
          <w:sz w:val="22"/>
        </w:rPr>
        <w:t xml:space="preserve">entered into </w:t>
      </w:r>
      <w:r>
        <w:rPr>
          <w:rFonts w:ascii="Times New Roman;serif" w:hAnsi="Times New Roman;serif"/>
          <w:b w:val="false"/>
          <w:color w:val="000000"/>
          <w:sz w:val="22"/>
        </w:rPr>
        <w:t xml:space="preserve">by and between </w:t>
      </w:r>
      <w:r>
        <w:rPr>
          <w:rFonts w:ascii="Times New Roman;serif" w:hAnsi="Times New Roman;serif"/>
          <w:b w:val="false"/>
          <w:strike/>
          <w:color w:val="FF0000"/>
          <w:sz w:val="22"/>
        </w:rPr>
        <w:t xml:space="preserve">BD </w:t>
      </w:r>
      <w:r>
        <w:rPr>
          <w:rFonts w:ascii="Times New Roman;serif" w:hAnsi="Times New Roman;serif"/>
          <w:b w:val="false"/>
          <w:color w:val="008000"/>
          <w:sz w:val="22"/>
          <w:u w:val="single"/>
        </w:rPr>
        <w:t xml:space="preserve">U.S. </w:t>
      </w:r>
      <w:r>
        <w:rPr>
          <w:rFonts w:ascii="Times New Roman;serif" w:hAnsi="Times New Roman;serif"/>
          <w:b w:val="false"/>
          <w:color w:val="0000FF"/>
          <w:sz w:val="22"/>
          <w:u w:val="single"/>
        </w:rPr>
        <w:t xml:space="preserve">Bank </w:t>
      </w:r>
      <w:r>
        <w:rPr>
          <w:rFonts w:ascii="Times New Roman;serif" w:hAnsi="Times New Roman;serif"/>
          <w:b w:val="false"/>
          <w:color w:val="008000"/>
          <w:sz w:val="22"/>
          <w:u w:val="single"/>
        </w:rPr>
        <w:t xml:space="preserve">National Association </w:t>
      </w:r>
      <w:r>
        <w:rPr>
          <w:rFonts w:ascii="Times New Roman;serif" w:hAnsi="Times New Roman;serif"/>
          <w:b w:val="false"/>
          <w:color w:val="000000"/>
          <w:sz w:val="22"/>
        </w:rPr>
        <w:t xml:space="preserve">and/or certain of its Subsidiaries, on one hand, and the Company and/or certain of its Subsidiaries, on the other hand </w:t>
      </w:r>
      <w:r>
        <w:rPr>
          <w:rFonts w:ascii="Times New Roman;serif" w:hAnsi="Times New Roman;serif"/>
          <w:b w:val="false"/>
          <w:strike/>
          <w:color w:val="008000"/>
          <w:sz w:val="22"/>
        </w:rPr>
        <w:t xml:space="preserve">in connection with the </w:t>
      </w:r>
      <w:r>
        <w:rPr>
          <w:rFonts w:ascii="Times New Roman;serif" w:hAnsi="Times New Roman;serif"/>
          <w:b w:val="false"/>
          <w:strike/>
          <w:color w:val="FF0000"/>
          <w:sz w:val="22"/>
        </w:rPr>
        <w:t xml:space="preserve">Transactions, </w:t>
      </w:r>
      <w:r>
        <w:rPr>
          <w:rFonts w:ascii="Times New Roman;serif" w:hAnsi="Times New Roman;serif"/>
          <w:b w:val="false"/>
          <w:color w:val="000000"/>
          <w:sz w:val="22"/>
        </w:rPr>
        <w:t xml:space="preserve">(as such agreement may be amended, </w:t>
      </w:r>
      <w:r>
        <w:rPr>
          <w:rFonts w:ascii="Times New Roman;serif" w:hAnsi="Times New Roman;serif"/>
          <w:b w:val="false"/>
          <w:color w:val="0000FF"/>
          <w:sz w:val="22"/>
          <w:u w:val="single"/>
        </w:rPr>
        <w:t xml:space="preserve">refinanced, </w:t>
      </w:r>
      <w:r>
        <w:rPr>
          <w:rFonts w:ascii="Times New Roman;serif" w:hAnsi="Times New Roman;serif"/>
          <w:b w:val="false"/>
          <w:color w:val="000000"/>
          <w:sz w:val="22"/>
        </w:rPr>
        <w:t xml:space="preserve">replaced, supplemented or modified from time to time </w:t>
      </w:r>
      <w:r>
        <w:rPr>
          <w:rFonts w:ascii="Times New Roman;serif" w:hAnsi="Times New Roman;serif"/>
          <w:b w:val="false"/>
          <w:strike/>
          <w:color w:val="FF0000"/>
          <w:sz w:val="22"/>
        </w:rPr>
        <w:t xml:space="preserve">either </w:t>
      </w:r>
      <w:r>
        <w:rPr>
          <w:rFonts w:ascii="Times New Roman;serif" w:hAnsi="Times New Roman;serif"/>
          <w:b w:val="false"/>
          <w:color w:val="000000"/>
          <w:sz w:val="22"/>
        </w:rPr>
        <w:t xml:space="preserve">(i) in a manner not materially adverse to the interests of the Lenders </w:t>
      </w:r>
      <w:r>
        <w:rPr>
          <w:rFonts w:ascii="Times New Roman;serif" w:hAnsi="Times New Roman;serif"/>
          <w:b w:val="false"/>
          <w:strike/>
          <w:color w:val="FF0000"/>
          <w:sz w:val="22"/>
        </w:rPr>
        <w:t>or</w:t>
      </w:r>
      <w:r>
        <w:rPr>
          <w:rFonts w:ascii="Times New Roman;serif" w:hAnsi="Times New Roman;serif"/>
          <w:b w:val="false"/>
          <w:color w:val="0000FF"/>
          <w:sz w:val="22"/>
          <w:u w:val="single"/>
        </w:rPr>
        <w:t>(in their capacities as lenders),</w:t>
      </w:r>
      <w:r>
        <w:rPr>
          <w:color w:val="000000"/>
        </w:rPr>
        <w:t xml:space="preserve"> </w:t>
      </w:r>
      <w:r>
        <w:rPr>
          <w:rFonts w:ascii="Times New Roman;serif" w:hAnsi="Times New Roman;serif"/>
          <w:b w:val="false"/>
          <w:color w:val="000000"/>
          <w:sz w:val="22"/>
        </w:rPr>
        <w:t>(ii) on arm’s-length terms (as determined in good faith by the Company)</w:t>
      </w:r>
      <w:r>
        <w:rPr>
          <w:rFonts w:ascii="Times New Roman;serif" w:hAnsi="Times New Roman;serif"/>
          <w:b w:val="false"/>
          <w:strike/>
          <w:color w:val="FF0000"/>
          <w:sz w:val="22"/>
        </w:rPr>
        <w:t xml:space="preserve">) and (y) any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and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w:t>
      </w:r>
    </w:p>
    <w:p>
      <w:pPr>
        <w:pStyle w:val="TextBody"/>
        <w:bidi w:val="0"/>
        <w:spacing w:before="0" w:after="0"/>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75260"/>
                <wp:effectExtent l="0" t="0" r="0" b="0"/>
                <wp:wrapNone/>
                <wp:docPr id="167" name="Frame1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Undertakings, and shall include any guaranty in respect of such arrangements.</w:t>
      </w:r>
      <w:r>
        <w:rPr>
          <w:color w:val="000000"/>
        </w:rPr>
        <w:t xml:space="preserve"> </w:t>
      </w:r>
      <w:r>
        <w:rPr>
          <w:rFonts w:ascii="Times New Roman;serif" w:hAnsi="Times New Roman;serif"/>
          <w:b w:val="false"/>
          <w:color w:val="0000FF"/>
          <w:sz w:val="22"/>
          <w:u w:val="single"/>
        </w:rPr>
        <w:t>and (iii) the aggregate principal amount of such receivables factoring arrangement shall not be increased).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Recipient</w:t>
      </w:r>
      <w:r>
        <w:rPr>
          <w:color w:val="000000"/>
        </w:rPr>
        <w:t xml:space="preserve">” </w:t>
      </w:r>
      <w:r>
        <w:rPr>
          <w:rFonts w:ascii="Times New Roman;serif" w:hAnsi="Times New Roman;serif"/>
          <w:b w:val="false"/>
          <w:color w:val="000000"/>
          <w:sz w:val="22"/>
        </w:rPr>
        <w:t>means the Administrative Agent, any Lender or any L/C Issuer.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Reference Period</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1.10(a)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Refinancing Amendment</w:t>
      </w:r>
      <w:r>
        <w:rPr>
          <w:color w:val="000000"/>
        </w:rPr>
        <w:t xml:space="preserve">” </w:t>
      </w:r>
      <w:r>
        <w:rPr>
          <w:rFonts w:ascii="Times New Roman;serif" w:hAnsi="Times New Roman;serif"/>
          <w:b w:val="false"/>
          <w:color w:val="000000"/>
          <w:sz w:val="22"/>
        </w:rPr>
        <w:t xml:space="preserve">means an amendment to this Agreement, in form and substance reasonably satisfactory to the Administrative Agent, among the Company, the Administrative Agent and the Lenders providing Specified Refinancing Debt, effecting the incurrence of such Specified Refinancing Debt in accordance with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Refinancing Indebtedness</w:t>
      </w:r>
      <w:r>
        <w:rPr>
          <w:color w:val="000000"/>
        </w:rPr>
        <w:t xml:space="preserve">” </w:t>
      </w:r>
      <w:r>
        <w:rPr>
          <w:rFonts w:ascii="Times New Roman;serif" w:hAnsi="Times New Roman;serif"/>
          <w:b w:val="false"/>
          <w:color w:val="000000"/>
          <w:sz w:val="22"/>
        </w:rPr>
        <w:t xml:space="preserve">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the Company that refinances Indebtedness of any Restricted Subsidiary and Indebtedness of any Restricted Subsidiary that refinances Indebtedness of the Company or a Restricted Subsidiary) including Indebtedness that refinances Refinancing Indebtedness, and Indebtedness incurred pursuant to a commitment that refinances any Indebtedness or unutilized commitment; </w:t>
      </w:r>
      <w:r>
        <w:rPr>
          <w:rFonts w:ascii="Times New Roman;serif" w:hAnsi="Times New Roman;serif"/>
          <w:b w:val="false"/>
          <w:i/>
          <w:color w:val="000000"/>
          <w:sz w:val="22"/>
        </w:rPr>
        <w:t>provided, however</w:t>
      </w:r>
      <w:r>
        <w:rPr>
          <w:rFonts w:ascii="Times New Roman;serif" w:hAnsi="Times New Roman;serif"/>
          <w:b w:val="false"/>
          <w:color w:val="000000"/>
          <w:sz w:val="22"/>
        </w:rPr>
        <w:t>,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    (a) such Refinancing Indebtedness (x) has a Weighted Average Life to Maturity at the time such Refinancing Indebtedness is incurred which is not less than the remaining Weighted Average Life to Maturity of the Indebtedness being refunded, refinanced, replaced, exchanged, renewed, repaid or extended or (y) requires no or nominal payments in cash (other than interest payments) prior to the date that is 91 days after the Latest Maturity Date for the then outstanding Initial Term Loans; </w:t>
      </w:r>
      <w:r>
        <w:rPr>
          <w:rFonts w:ascii="Times New Roman;serif" w:hAnsi="Times New Roman;serif"/>
          <w:b w:val="false"/>
          <w:strike/>
          <w:color w:val="FF0000"/>
          <w:sz w:val="22"/>
        </w:rPr>
        <w:t xml:space="preserve">and </w:t>
      </w:r>
      <w:r>
        <w:rPr>
          <w:rFonts w:ascii="Times New Roman;serif" w:hAnsi="Times New Roman;serif"/>
          <w:b w:val="false"/>
          <w:color w:val="000000"/>
          <w:sz w:val="22"/>
        </w:rPr>
        <w:t>(b) to the extent such Refinancing Indebtedness refinances Subordinated Indebtedness, Disqualified Stock or Preferred Stock, such Refinancing Indebtedness is Subordinated Indebtedness, Disqualified Stock or Preferred Stock, respectively, and, in the case of Subordinated Indebtedness, is subordinated to the Loans on customary terms (as determined by the Company in good faith);</w:t>
      </w:r>
      <w:r>
        <w:rPr>
          <w:color w:val="0000FF"/>
          <w:u w:val="single"/>
        </w:rPr>
        <w:t xml:space="preserve"> </w:t>
      </w:r>
      <w:r>
        <w:rPr>
          <w:rFonts w:ascii="Times New Roman;serif" w:hAnsi="Times New Roman;serif"/>
          <w:b w:val="false"/>
          <w:color w:val="0000FF"/>
          <w:sz w:val="22"/>
          <w:u w:val="single"/>
        </w:rPr>
        <w:t>and (c) shall not be secured by (i) </w:t>
      </w:r>
      <w:r>
        <w:rPr>
          <w:rFonts w:ascii="Times New Roman;serif" w:hAnsi="Times New Roman;serif"/>
          <w:b w:val="false"/>
          <w:color w:val="008000"/>
          <w:sz w:val="22"/>
          <w:u w:val="single"/>
        </w:rPr>
        <w:t xml:space="preserve">Liens on assets </w:t>
      </w:r>
      <w:r>
        <w:rPr>
          <w:rFonts w:ascii="Times New Roman;serif" w:hAnsi="Times New Roman;serif"/>
          <w:b w:val="false"/>
          <w:color w:val="0000FF"/>
          <w:sz w:val="22"/>
          <w:u w:val="single"/>
        </w:rPr>
        <w:t>other than assets securing the Indebtedness being refunded, refinanced, replaced, exchanged, renewed, repaid or extended at the time of such refunding, refinancing, replacement, exchange, renewal, repayment or extension or (ii) Liens having a higher priority than the Liens, if any, securing the Indebtedness being refunded, refinanced, replaced, exchanged, renewed, repaid or extended at the time of such refunding, refinancing, replacement, exchange, renewal, repayment or extension;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Refinancing Indebtedness shall not include: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Indebtedness of a Subsidiary of the Company that is not a Guarantor that refinances Indebtedness of any Borrower or a Guarantor;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Indebtedness of the Company or a Restricted Subsidiary that refinances Indebtedness of an Unrestricted Subsidiary;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(y) an amount equal to any unutilized commitment relating to the Indebtedness being refinanced or otherwise then outstanding under a financing arrangement being refinanced to the extent the unutilized commitment being refinanced could </w:t>
      </w:r>
    </w:p>
    <w:p>
      <w:pPr>
        <w:pStyle w:val="TextBody"/>
        <w:bidi w:val="0"/>
        <w:spacing w:before="0" w:after="0"/>
        <w:jc w:val="left"/>
        <w:rPr/>
      </w:pPr>
      <w:r>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75260"/>
                <wp:effectExtent l="0" t="0" r="0" b="0"/>
                <wp:wrapNone/>
                <wp:docPr id="168" name="Frame1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be drawn in compliance with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immediately prior to such refinancing,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(z) accrued and unpaid interest, dividends, premiums (including tender premiums), defeasance costs, underwriting discounts, fees, costs and expenses (including original issue discount, upfront fees or similar fees) in connection with such refinancing.</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Refunding Capital Stock</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Register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Regulated Bank</w:t>
      </w:r>
      <w:r>
        <w:rPr>
          <w:color w:val="000000"/>
        </w:rPr>
        <w:t xml:space="preserve">” </w:t>
      </w:r>
      <w:r>
        <w:rPr>
          <w:rFonts w:ascii="Times New Roman;serif" w:hAnsi="Times New Roman;serif"/>
          <w:b w:val="false"/>
          <w:color w:val="000000"/>
          <w:sz w:val="22"/>
        </w:rPr>
        <w:t xml:space="preserve">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serif" w:hAnsi="Times New Roman;serif"/>
          <w:b w:val="false"/>
          <w:color w:val="000000"/>
          <w:sz w:val="22"/>
          <w:u w:val="single"/>
        </w:rPr>
        <w:t>clause (iii)</w:t>
      </w:r>
      <w:r>
        <w:rPr>
          <w:rFonts w:ascii="Times New Roman;serif" w:hAnsi="Times New Roman;serif"/>
          <w:b w:val="false"/>
          <w:color w:val="000000"/>
          <w:sz w:val="22"/>
        </w:rPr>
        <w:t>; or (v) any other U.S. or non-U.S. depository institution or any branch, agency or similar office thereof supervised by a bank regulatory authority in any jurisdiction.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Regulation S-X</w:t>
      </w:r>
      <w:r>
        <w:rPr>
          <w:color w:val="000000"/>
        </w:rPr>
        <w:t xml:space="preserve">” </w:t>
      </w:r>
      <w:r>
        <w:rPr>
          <w:rFonts w:ascii="Times New Roman;serif" w:hAnsi="Times New Roman;serif"/>
          <w:b w:val="false"/>
          <w:color w:val="000000"/>
          <w:sz w:val="22"/>
        </w:rPr>
        <w:t>means Regulation S-X under the Securities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Related Parties</w:t>
      </w:r>
      <w:r>
        <w:rPr>
          <w:color w:val="000000"/>
        </w:rPr>
        <w:t xml:space="preserve">” </w:t>
      </w:r>
      <w:r>
        <w:rPr>
          <w:rFonts w:ascii="Times New Roman;serif" w:hAnsi="Times New Roman;serif"/>
          <w:b w:val="false"/>
          <w:color w:val="000000"/>
          <w:sz w:val="22"/>
        </w:rPr>
        <w:t>means, with respect to any Person, such Person’s Affiliates and the partners, members, directors, managers, officers, employees, agents, attorneys-in-fact, trustees and advisors of such Person and of such Person’s Affiliates.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Release</w:t>
      </w:r>
      <w:r>
        <w:rPr>
          <w:color w:val="000000"/>
        </w:rPr>
        <w:t xml:space="preserve">” </w:t>
      </w:r>
      <w:r>
        <w:rPr>
          <w:rFonts w:ascii="Times New Roman;serif" w:hAnsi="Times New Roman;serif"/>
          <w:b w:val="false"/>
          <w:color w:val="000000"/>
          <w:sz w:val="22"/>
        </w:rPr>
        <w:t>means any release, spill, emission, leaking, pumping, pouring, injection, escaping, deposit, disposal, discharge, dispersal, dumping, leaching, movement or migration of any Hazardous Materials into or through the Environment (including the abandonment or disposal of any barrels, containers or other closed receptacles containing any Hazardous Material).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Relevant Governmental Body</w:t>
      </w:r>
      <w:r>
        <w:rPr>
          <w:color w:val="000000"/>
        </w:rPr>
        <w:t xml:space="preserve">” </w:t>
      </w:r>
      <w:r>
        <w:rPr>
          <w:rFonts w:ascii="Times New Roman;serif" w:hAnsi="Times New Roman;serif"/>
          <w:b w:val="false"/>
          <w:color w:val="000000"/>
          <w:sz w:val="22"/>
        </w:rPr>
        <w:t>means (a) with respect to a Benchmark Replacement in respect of Obligations, interest, fees, commissions or other amounts denominated in, or calculated with respect to, Dollars, the FRB and/or the NYFRB, or a committee officially endorsed or convened by the FRB and/or the NYFRB or any successor thereto and (b) with respect to a Benchmark Replacement in respect of Obligations, interest, fees, commissions or other amounts denominated in, or calculated with respect to, any Alternative Currency,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Relevant Transaction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Remaining Obligations</w:t>
      </w:r>
      <w:r>
        <w:rPr>
          <w:color w:val="000000"/>
        </w:rPr>
        <w:t xml:space="preserve">” </w:t>
      </w:r>
      <w:r>
        <w:rPr>
          <w:rFonts w:ascii="Times New Roman;serif" w:hAnsi="Times New Roman;serif"/>
          <w:b w:val="false"/>
          <w:color w:val="000000"/>
          <w:sz w:val="22"/>
        </w:rPr>
        <w:t>means contingent indemnification obligations as to which no claim has been asserted and obligations and liabilities under Secured Cash Management Agreements and Secured Hedge Agreements, and Letters of Credit that have been Cash Collateralized or as to which arrangements satisfactory to the L/C Issuer that issued such Letters of Credit shall have been made.</w:t>
      </w:r>
    </w:p>
    <w:p>
      <w:pPr>
        <w:pStyle w:val="TextBody"/>
        <w:bidi w:val="0"/>
        <w:spacing w:before="0" w:after="0"/>
        <w:jc w:val="left"/>
        <w:rPr/>
      </w:pPr>
      <w:r>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75260"/>
                <wp:effectExtent l="0" t="0" r="0" b="0"/>
                <wp:wrapNone/>
                <wp:docPr id="169" name="Frame1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Replaceable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3.08(a)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Reportable Event</w:t>
      </w:r>
      <w:r>
        <w:rPr>
          <w:color w:val="000000"/>
        </w:rPr>
        <w:t xml:space="preserve">” </w:t>
      </w:r>
      <w:r>
        <w:rPr>
          <w:rFonts w:ascii="Times New Roman;serif" w:hAnsi="Times New Roman;serif"/>
          <w:b w:val="false"/>
          <w:color w:val="000000"/>
          <w:sz w:val="22"/>
        </w:rPr>
        <w:t>means any of the events set forth in Section 4043(c) of ERISA or the regulations issued thereunder, other than events for which the 30-day notice period has been waived.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Repricing Event” means</w:t>
      </w:r>
      <w:r>
        <w:rPr>
          <w:color w:val="000000"/>
        </w:rPr>
        <w:t xml:space="preserve"> </w:t>
      </w:r>
      <w:r>
        <w:rPr>
          <w:rFonts w:ascii="Times New Roman;serif" w:hAnsi="Times New Roman;serif"/>
          <w:b w:val="false"/>
          <w:color w:val="000000"/>
          <w:sz w:val="22"/>
        </w:rPr>
        <w:t xml:space="preserve">(i) any prepayment or repayment of any tranche of Initial Term Loans, in whole or in part, with the proceeds of, or conversion of any portion of such Initial Term Loans into, any new or replacement tranche of broadly-syndicated term loans of like currency under credit facilities incurred for the primary purpose (as determined by the Company in good faith) of repaying, refinancing, or replacing the Initial Term Loans with loans bearing interest with an All-in Yield less than the All-in Yield applicable to such portion of the Initial Term Loans (as such comparative yields are determined in the reasonable judgment of the Administrative Agent in consultation with the Company, consistent with generally accepted financial practices), (ii) any amendment to any tranche of Initial Term Loans that reduces the All-in Yield applicable to the Initial Term Loans and (iii) any prepayment, repayment, refinancing, substitution or replacement of Initial Term Loans by any Lender pursuant to </w:t>
      </w:r>
      <w:r>
        <w:rPr>
          <w:rFonts w:ascii="Times New Roman;serif" w:hAnsi="Times New Roman;serif"/>
          <w:b w:val="false"/>
          <w:color w:val="000000"/>
          <w:sz w:val="22"/>
          <w:u w:val="single"/>
        </w:rPr>
        <w:t>Section 3.08</w:t>
      </w:r>
      <w:r>
        <w:rPr>
          <w:color w:val="000000"/>
        </w:rPr>
        <w:t xml:space="preserve"> </w:t>
      </w:r>
      <w:r>
        <w:rPr>
          <w:rFonts w:ascii="Times New Roman;serif" w:hAnsi="Times New Roman;serif"/>
          <w:b w:val="false"/>
          <w:color w:val="000000"/>
          <w:sz w:val="22"/>
        </w:rPr>
        <w:t xml:space="preserve">as a result of, or in connection with, such Lender not agreeing to or otherwise consenting to any waiver, consent, modification or amendment referred to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notwithstanding the foregoing, in no event shall any prepayment or repayment or amendment (or assignment) effected in connection with a transaction that would, if consummated, constitute a Change of Control or an Enterprise Transformative Event constitute a Repricing Event.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Request for Credit Extension</w:t>
      </w:r>
      <w:r>
        <w:rPr>
          <w:color w:val="000000"/>
        </w:rPr>
        <w:t xml:space="preserve">” </w:t>
      </w:r>
      <w:r>
        <w:rPr>
          <w:rFonts w:ascii="Times New Roman;serif" w:hAnsi="Times New Roman;serif"/>
          <w:b w:val="false"/>
          <w:color w:val="000000"/>
          <w:sz w:val="22"/>
        </w:rPr>
        <w:t>means (a) with respect to a Borrowing, conversion or continuation of Loans, a Committed Loan Notice and (b) with respect to an L/C Credit Extension, a Letter of Credit Application.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Required Lenders</w:t>
      </w:r>
      <w:r>
        <w:rPr>
          <w:color w:val="000000"/>
        </w:rPr>
        <w:t xml:space="preserve">” </w:t>
      </w:r>
      <w:r>
        <w:rPr>
          <w:rFonts w:ascii="Times New Roman;serif" w:hAnsi="Times New Roman;serif"/>
          <w:b w:val="false"/>
          <w:color w:val="000000"/>
          <w:sz w:val="22"/>
        </w:rPr>
        <w:t xml:space="preserve">means, as of any date of determination, Lenders having more than 50.0% of the sum of the (a) Total Outstandings (with the aggregate amount of each Lender’s risk participation and funded participation in L/C Obligations being deemed “held” by such Lender for purposes of this definition) and (b) aggregate unused Revolving Credit Commitments;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unused Revolving Credit Commitment of, and the portion of the Total Outstandings held by any Defaulting Lender shall be excluded for purposes of making a determination of Required Lenders; </w:t>
      </w:r>
      <w:r>
        <w:rPr>
          <w:rFonts w:ascii="Times New Roman;serif" w:hAnsi="Times New Roman;serif"/>
          <w:b w:val="false"/>
          <w:i/>
          <w:color w:val="000000"/>
          <w:sz w:val="22"/>
        </w:rPr>
        <w:t>provided, further</w:t>
      </w:r>
      <w:r>
        <w:rPr>
          <w:rFonts w:ascii="Times New Roman;serif" w:hAnsi="Times New Roman;serif"/>
          <w:b w:val="false"/>
          <w:color w:val="000000"/>
          <w:sz w:val="22"/>
        </w:rPr>
        <w:t>, that, for purposes of this definition, the outstanding principal amount of Alternative Currency Loans as of any date of determination shall be determined using the Dollar Amount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Required Revolving Lenders</w:t>
      </w:r>
      <w:r>
        <w:rPr>
          <w:color w:val="000000"/>
        </w:rPr>
        <w:t xml:space="preserve">” </w:t>
      </w:r>
      <w:r>
        <w:rPr>
          <w:rFonts w:ascii="Times New Roman;serif" w:hAnsi="Times New Roman;serif"/>
          <w:b w:val="false"/>
          <w:color w:val="000000"/>
          <w:sz w:val="22"/>
        </w:rPr>
        <w:t xml:space="preserve">means, as of any date of determination, Revolving Credit Lenders holding more than 50.0% of the sum of (a) 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unused Revolving Credit Commitment of, and the portion of the Total Revolving Credit Outstandings held or deemed held by, any Defaulting Lender shall be excluded for purposes of making a determination of Required Revolving Lenders; </w:t>
      </w:r>
      <w:r>
        <w:rPr>
          <w:rFonts w:ascii="Times New Roman;serif" w:hAnsi="Times New Roman;serif"/>
          <w:b w:val="false"/>
          <w:i/>
          <w:color w:val="000000"/>
          <w:sz w:val="22"/>
        </w:rPr>
        <w:t>provided, further</w:t>
      </w:r>
      <w:r>
        <w:rPr>
          <w:rFonts w:ascii="Times New Roman;serif" w:hAnsi="Times New Roman;serif"/>
          <w:b w:val="false"/>
          <w:color w:val="000000"/>
          <w:sz w:val="22"/>
        </w:rPr>
        <w:t>, that, for purposes of this definition, the outstanding principal amount of Alternative Currency Loans as of any date of determination shall be determined using the Dollar Amount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Reserved Indebtedness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1.12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Resolution Authority</w:t>
      </w:r>
      <w:r>
        <w:rPr>
          <w:color w:val="000000"/>
        </w:rPr>
        <w:t xml:space="preserve">” </w:t>
      </w:r>
      <w:r>
        <w:rPr>
          <w:rFonts w:ascii="Times New Roman;serif" w:hAnsi="Times New Roman;serif"/>
          <w:b w:val="false"/>
          <w:color w:val="000000"/>
          <w:sz w:val="22"/>
        </w:rPr>
        <w:t>means an EEA Resolution Authority or, with respect to any UK Financial Institution, a UK Resolution Authority.</w:t>
      </w:r>
    </w:p>
    <w:p>
      <w:pPr>
        <w:pStyle w:val="TextBody"/>
        <w:bidi w:val="0"/>
        <w:spacing w:before="0" w:after="0"/>
        <w:jc w:val="left"/>
        <w:rPr/>
      </w:pPr>
      <w:r>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75260"/>
                <wp:effectExtent l="0" t="0" r="0" b="0"/>
                <wp:wrapNone/>
                <wp:docPr id="170" name="Frame1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Responsible Officer</w:t>
      </w:r>
      <w:r>
        <w:rPr>
          <w:color w:val="000000"/>
        </w:rPr>
        <w:t xml:space="preserve">” </w:t>
      </w:r>
      <w:r>
        <w:rPr>
          <w:rFonts w:ascii="Times New Roman;serif" w:hAnsi="Times New Roman;serif"/>
          <w:b w:val="false"/>
          <w:color w:val="000000"/>
          <w:sz w:val="22"/>
        </w:rPr>
        <w:t>means the chief executive officer, representative, director, manager, president, vice president, executive vice president, chief financial officer, treasurer or assistant treasurer, secretary or assistant secretary, an authorized signatory, an attorney-in-fact (to the extent empowered by the Board of Directors/managers of the Company)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Restricted Group</w:t>
      </w:r>
      <w:r>
        <w:rPr>
          <w:color w:val="000000"/>
        </w:rPr>
        <w:t xml:space="preserve">” </w:t>
      </w:r>
      <w:r>
        <w:rPr>
          <w:rFonts w:ascii="Times New Roman;serif" w:hAnsi="Times New Roman;serif"/>
          <w:b w:val="false"/>
          <w:color w:val="000000"/>
          <w:sz w:val="22"/>
        </w:rPr>
        <w:t>means the collective reference to from and after the Spin-Off Date, the Company and its Restricted Subsidiaries, and “Restricted Group Member” means any one of them.</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Restricted Investment</w:t>
      </w:r>
      <w:r>
        <w:rPr>
          <w:color w:val="000000"/>
        </w:rPr>
        <w:t xml:space="preserve">” </w:t>
      </w:r>
      <w:r>
        <w:rPr>
          <w:rFonts w:ascii="Times New Roman;serif" w:hAnsi="Times New Roman;serif"/>
          <w:b w:val="false"/>
          <w:color w:val="000000"/>
          <w:sz w:val="22"/>
        </w:rPr>
        <w:t xml:space="preserve">means any Investment other than a Permitted Investment. “Restricted Payment” has the meaning specified in </w:t>
      </w:r>
      <w:r>
        <w:rPr>
          <w:rFonts w:ascii="Times New Roman;serif" w:hAnsi="Times New Roman;serif"/>
          <w:b w:val="false"/>
          <w:color w:val="000000"/>
          <w:sz w:val="22"/>
          <w:u w:val="single"/>
        </w:rPr>
        <w:t>Section 7.05(a)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Restricted Subsidiary</w:t>
      </w:r>
      <w:r>
        <w:rPr>
          <w:color w:val="000000"/>
        </w:rPr>
        <w:t xml:space="preserve">” </w:t>
      </w:r>
      <w:r>
        <w:rPr>
          <w:rFonts w:ascii="Times New Roman;serif" w:hAnsi="Times New Roman;serif"/>
          <w:b w:val="false"/>
          <w:color w:val="000000"/>
          <w:sz w:val="22"/>
        </w:rPr>
        <w:t>means any Subsidiary of a Person other than an Unrestricted Subsidiary of such Person. Unless otherwise indicated in this Agreement, all references to Restricted Subsidiaries shall mean Restricted Subsidiaries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Retained Asset Excess Proceeds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2.05(b)(ii)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Retained Declined Proceeds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Retained Excess Cash Flow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Commitment Increase Lender</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Borrowing</w:t>
      </w:r>
      <w:r>
        <w:rPr>
          <w:color w:val="000000"/>
        </w:rPr>
        <w:t xml:space="preserve">” </w:t>
      </w:r>
      <w:r>
        <w:rPr>
          <w:rFonts w:ascii="Times New Roman;serif" w:hAnsi="Times New Roman;serif"/>
          <w:b w:val="false"/>
          <w:color w:val="000000"/>
          <w:sz w:val="22"/>
        </w:rPr>
        <w:t xml:space="preserve">means a borrowing under the Revolving Credit Facility consisting of simultaneous Revolving Credit Loans of the same Type and, in the case of SOFR Loans or Eurocurrency Rate Loans, having the same Interest Period made by each of the Revolving Credit Lenders pursuant to </w:t>
      </w:r>
      <w:r>
        <w:rPr>
          <w:rFonts w:ascii="Times New Roman;serif" w:hAnsi="Times New Roman;serif"/>
          <w:b w:val="false"/>
          <w:color w:val="000000"/>
          <w:sz w:val="22"/>
          <w:u w:val="single"/>
        </w:rPr>
        <w:t>Section 2.01(b)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Commitment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Commitments</w:t>
      </w:r>
      <w:r>
        <w:rPr>
          <w:color w:val="000000"/>
        </w:rPr>
        <w:t xml:space="preserve">” </w:t>
      </w:r>
      <w:r>
        <w:rPr>
          <w:rFonts w:ascii="Times New Roman;serif" w:hAnsi="Times New Roman;serif"/>
          <w:b w:val="false"/>
          <w:color w:val="000000"/>
          <w:sz w:val="22"/>
        </w:rPr>
        <w:t>means, as to any Revolving Credit Lender, (i) its Initial Revolving Credit Commitment, (ii) its Revolving Credit Commitment Increase, (iii) its New Revolving Commitment or (iv) its Specified Refinancing Revolving Credit Commitment. The amount of each Revolving Credit Lender’s Initial Revolving Credit Commitment is as set forth in the definition thereof and the amount of each Lender’s other Revolving Credit Commitments shall be as set forth in the Assignment and Assumption or in the amendment or agreement relating to the respective Revolving Credit Commitment Increase, New Revolving Commitment or Specified Refinancing Revolving Credit Commitment pursuant to which such Lender shall have assumed its Revolving Credit Commitment, as applicable, as such amounts may be adjusted from time to time in accordance with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Facility</w:t>
      </w:r>
      <w:r>
        <w:rPr>
          <w:color w:val="000000"/>
        </w:rPr>
        <w:t xml:space="preserve">” </w:t>
      </w:r>
      <w:r>
        <w:rPr>
          <w:rFonts w:ascii="Times New Roman;serif" w:hAnsi="Times New Roman;serif"/>
          <w:b w:val="false"/>
          <w:color w:val="000000"/>
          <w:sz w:val="22"/>
        </w:rPr>
        <w:t>means, at any time, the aggregate amount of the Revolving Credit Lenders’ Revolving Credit Commitments in respect of any Revolving Tranche at such time</w:t>
      </w:r>
      <w:r>
        <w:rPr>
          <w:color w:val="0000FF"/>
          <w:u w:val="single"/>
        </w:rPr>
        <w:t xml:space="preserve"> </w:t>
      </w:r>
      <w:r>
        <w:rPr>
          <w:rFonts w:ascii="Times New Roman;serif" w:hAnsi="Times New Roman;serif"/>
          <w:b w:val="false"/>
          <w:color w:val="0000FF"/>
          <w:sz w:val="22"/>
          <w:u w:val="single"/>
        </w:rPr>
        <w:t>(and, where applicable, the aggregate amount of the Revolving Credit Lenders’ Revolving Credit Commitments in respect of all Revolving Tranches at such time)</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75260"/>
                <wp:effectExtent l="0" t="0" r="0" b="0"/>
                <wp:wrapNone/>
                <wp:docPr id="171" name="Frame1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Lender</w:t>
      </w:r>
      <w:r>
        <w:rPr>
          <w:color w:val="000000"/>
        </w:rPr>
        <w:t xml:space="preserve">” </w:t>
      </w:r>
      <w:r>
        <w:rPr>
          <w:rFonts w:ascii="Times New Roman;serif" w:hAnsi="Times New Roman;serif"/>
          <w:b w:val="false"/>
          <w:color w:val="000000"/>
          <w:sz w:val="22"/>
        </w:rPr>
        <w:t>means, at any time, any Lender that has a Revolving Credit Commitment or that holds any Outstanding Amount in respect of Revolving Credit Loans and/or L/C Obligations at such time (and after the termination of all Revolving Credit Commitments, any Lender that holds any Outstanding Amount in respect of Revolving Credit Loans and/or L/C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Loan</w:t>
      </w:r>
      <w:r>
        <w:rPr>
          <w:color w:val="000000"/>
        </w:rPr>
        <w:t xml:space="preserve">” </w:t>
      </w:r>
      <w:r>
        <w:rPr>
          <w:rFonts w:ascii="Times New Roman;serif" w:hAnsi="Times New Roman;serif"/>
          <w:b w:val="false"/>
          <w:color w:val="000000"/>
          <w:sz w:val="22"/>
        </w:rPr>
        <w:t xml:space="preserve">means an advance made by any Revolving Credit Lender under any Revolving Credit Facility (including, for the avoidance of doubt, </w:t>
      </w:r>
      <w:r>
        <w:rPr>
          <w:rFonts w:ascii="Times New Roman;serif" w:hAnsi="Times New Roman;serif"/>
          <w:b w:val="false"/>
          <w:strike/>
          <w:color w:val="FF0000"/>
          <w:sz w:val="22"/>
        </w:rPr>
        <w:t>the</w:t>
      </w:r>
      <w:r>
        <w:rPr>
          <w:rFonts w:ascii="Times New Roman;serif" w:hAnsi="Times New Roman;serif"/>
          <w:b w:val="false"/>
          <w:color w:val="0000FF"/>
          <w:sz w:val="22"/>
          <w:u w:val="single"/>
        </w:rPr>
        <w:t>each</w:t>
      </w:r>
      <w:r>
        <w:rPr>
          <w:color w:val="000000"/>
        </w:rPr>
        <w:t xml:space="preserve"> </w:t>
      </w:r>
      <w:r>
        <w:rPr>
          <w:rFonts w:ascii="Times New Roman;serif" w:hAnsi="Times New Roman;serif"/>
          <w:b w:val="false"/>
          <w:color w:val="000000"/>
          <w:sz w:val="22"/>
        </w:rPr>
        <w:t>Initial Revolving Tranche).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Credit Note</w:t>
      </w:r>
      <w:r>
        <w:rPr>
          <w:color w:val="000000"/>
        </w:rPr>
        <w:t xml:space="preserve">” </w:t>
      </w:r>
      <w:r>
        <w:rPr>
          <w:rFonts w:ascii="Times New Roman;serif" w:hAnsi="Times New Roman;serif"/>
          <w:b w:val="false"/>
          <w:color w:val="000000"/>
          <w:sz w:val="22"/>
        </w:rPr>
        <w:t xml:space="preserve">means a promissory note of the applicable Borrower payable to any Revolving Credit Lender or its registered assigns, in substantially the form of </w:t>
      </w:r>
      <w:r>
        <w:rPr>
          <w:rFonts w:ascii="Times New Roman;serif" w:hAnsi="Times New Roman;serif"/>
          <w:b w:val="false"/>
          <w:color w:val="000000"/>
          <w:sz w:val="22"/>
          <w:u w:val="single"/>
        </w:rPr>
        <w:t>Exhibit B-2</w:t>
      </w:r>
      <w:r>
        <w:rPr>
          <w:color w:val="000000"/>
        </w:rPr>
        <w:t xml:space="preserve"> </w:t>
      </w:r>
      <w:r>
        <w:rPr>
          <w:rFonts w:ascii="Times New Roman;serif" w:hAnsi="Times New Roman;serif"/>
          <w:b w:val="false"/>
          <w:color w:val="000000"/>
          <w:sz w:val="22"/>
        </w:rPr>
        <w:t>hereto, evidencing the aggregate indebtedness of the applicable Borrower to such Revolving Credit Lender resulting from the Revolving Credit Loans made by such Revolving Credit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Revolving Tranche</w:t>
      </w:r>
      <w:r>
        <w:rPr>
          <w:color w:val="000000"/>
        </w:rPr>
        <w:t xml:space="preserve">” </w:t>
      </w:r>
      <w:r>
        <w:rPr>
          <w:rFonts w:ascii="Times New Roman;serif" w:hAnsi="Times New Roman;serif"/>
          <w:b w:val="false"/>
          <w:color w:val="000000"/>
          <w:sz w:val="22"/>
        </w:rPr>
        <w:t>means (a) the Revolving Credit Facility pursuant to which Revolving Credit Loans, New Revolving Loans or Letters of Credit are made and (b) any Specified Refinancing Debt constituting revolving credit facility commitments, in each case, including the extensions of credit made thereunder. Additional Revolving Tranches may be added after the Closing Date pursuant to the terms hereof (e.g., New Revolving Commitments and Extended Revolving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S&amp;P</w:t>
      </w:r>
      <w:r>
        <w:rPr>
          <w:color w:val="000000"/>
        </w:rPr>
        <w:t xml:space="preserve">” </w:t>
      </w:r>
      <w:r>
        <w:rPr>
          <w:rFonts w:ascii="Times New Roman;serif" w:hAnsi="Times New Roman;serif"/>
          <w:b w:val="false"/>
          <w:color w:val="000000"/>
          <w:sz w:val="22"/>
        </w:rPr>
        <w:t>means Standard &amp; Poor’s Ratings Services, a Standard &amp; Poor’s Financial Services LLC business or any successor to the rating agency business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Sale and Leaseback Transaction</w:t>
      </w:r>
      <w:r>
        <w:rPr>
          <w:color w:val="000000"/>
        </w:rPr>
        <w:t xml:space="preserve">” </w:t>
      </w:r>
      <w:r>
        <w:rPr>
          <w:rFonts w:ascii="Times New Roman;serif" w:hAnsi="Times New Roman;serif"/>
          <w:b w:val="false"/>
          <w:color w:val="000000"/>
          <w:sz w:val="22"/>
        </w:rPr>
        <w:t>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Sanctioned Country</w:t>
      </w:r>
      <w:r>
        <w:rPr>
          <w:color w:val="000000"/>
        </w:rPr>
        <w:t xml:space="preserve">” </w:t>
      </w:r>
      <w:r>
        <w:rPr>
          <w:rFonts w:ascii="Times New Roman;serif" w:hAnsi="Times New Roman;serif"/>
          <w:b w:val="false"/>
          <w:color w:val="000000"/>
          <w:sz w:val="22"/>
        </w:rPr>
        <w:t>means, at any time, a country, region, or territory that is the subject of a general export, import, financial, investment or other trade-related embargo under any Sanctions Laws and Regulations, which as of the date of this Agreement consist of Cuba, Iran, North Korea, Syria and the Crimea Region of Ukraine.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Sanctioned Person</w:t>
      </w:r>
      <w:r>
        <w:rPr>
          <w:color w:val="000000"/>
        </w:rPr>
        <w:t xml:space="preserve">” </w:t>
      </w:r>
      <w:r>
        <w:rPr>
          <w:rFonts w:ascii="Times New Roman;serif" w:hAnsi="Times New Roman;serif"/>
          <w:b w:val="false"/>
          <w:color w:val="000000"/>
          <w:sz w:val="22"/>
        </w:rPr>
        <w:t xml:space="preserve">means, at any time, any Person that is the subject or target of Sanctions Laws and Regulations, including (a) any Person listed in any Sanctions Laws and Regulations-related lists of designated Persons maintained by the U.S. government (including OFAC’s Specially Designated Nationals and Blocked Parties List, the U.S. Department of State’s list of Debarred Parties, and the U.S. Department of Commerce’s Entity List), the United Nations Security Council, Her Majesty’s Treasury of the United Kingdom or any European Union member state, (b) any Person located, operating, organized, or resident in a Sanctioned Country, and (c) any Person owned or controlled by any Person or Persons described in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Sanctions Laws and Regulations</w:t>
      </w:r>
      <w:r>
        <w:rPr>
          <w:color w:val="000000"/>
        </w:rPr>
        <w:t xml:space="preserve">” </w:t>
      </w:r>
      <w:r>
        <w:rPr>
          <w:rFonts w:ascii="Times New Roman;serif" w:hAnsi="Times New Roman;serif"/>
          <w:b w:val="false"/>
          <w:color w:val="000000"/>
          <w:sz w:val="22"/>
        </w:rPr>
        <w:t xml:space="preserve">means (i) any economic or financial sanctions or other requirements imposed by or based upon the obligations or authorities set forth in the U.S. International Emergency Economic Powers Act (50 U.S.C. §§ 1701 </w:t>
      </w:r>
      <w:r>
        <w:rPr>
          <w:rFonts w:ascii="Times New Roman;serif" w:hAnsi="Times New Roman;serif"/>
          <w:b w:val="false"/>
          <w:i/>
          <w:color w:val="000000"/>
          <w:sz w:val="22"/>
        </w:rPr>
        <w:t>et seq</w:t>
      </w:r>
      <w:r>
        <w:rPr>
          <w:rFonts w:ascii="Times New Roman;serif" w:hAnsi="Times New Roman;serif"/>
          <w:b w:val="false"/>
          <w:color w:val="000000"/>
          <w:sz w:val="22"/>
        </w:rPr>
        <w:t xml:space="preserve">.), the U.S. Trading with the Enemy Act (50 U.S.C. App. §§ 1 </w:t>
      </w:r>
      <w:r>
        <w:rPr>
          <w:rFonts w:ascii="Times New Roman;serif" w:hAnsi="Times New Roman;serif"/>
          <w:b w:val="false"/>
          <w:i/>
          <w:color w:val="000000"/>
          <w:sz w:val="22"/>
        </w:rPr>
        <w:t>et seq</w:t>
      </w:r>
      <w:r>
        <w:rPr>
          <w:rFonts w:ascii="Times New Roman;serif" w:hAnsi="Times New Roman;serif"/>
          <w:b w:val="false"/>
          <w:color w:val="000000"/>
          <w:sz w:val="22"/>
        </w:rPr>
        <w:t xml:space="preserve">.), the Export Administration Act, the Export Administration Regulations, the U.S. Syria Accountability and Lebanese Sovereignty Act, the U.S. Comprehensive Iran Sanctions, Accountability, and Divestment Act of 2010, the Iran Sanctions Act of 1996, Section 1245 of the National Defense Authorization Act of 2012, all as amended, or any of the foreign assets control regulations (including 31 C.F.R., Subtitle B, Chapter V, as amended) or any other law or executive order relating thereto administered by the U.S. Department of the Treasury Office of Foreign Assets Control </w:t>
      </w:r>
    </w:p>
    <w:p>
      <w:pPr>
        <w:pStyle w:val="TextBody"/>
        <w:bidi w:val="0"/>
        <w:spacing w:before="0" w:after="0"/>
        <w:jc w:val="left"/>
        <w:rPr/>
      </w:pPr>
      <w:r>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75260"/>
                <wp:effectExtent l="0" t="0" r="0" b="0"/>
                <wp:wrapNone/>
                <wp:docPr id="172" name="Frame1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w:t>
      </w:r>
      <w:r>
        <w:rPr>
          <w:rFonts w:ascii="Times New Roman;serif" w:hAnsi="Times New Roman;serif"/>
          <w:b/>
          <w:color w:val="000000"/>
          <w:sz w:val="22"/>
        </w:rPr>
        <w:t>OFAC</w:t>
      </w:r>
      <w:r>
        <w:rPr>
          <w:color w:val="000000"/>
        </w:rPr>
        <w:t>”</w:t>
      </w:r>
      <w:r>
        <w:rPr>
          <w:rFonts w:ascii="Times New Roman;serif" w:hAnsi="Times New Roman;serif"/>
          <w:b w:val="false"/>
          <w:color w:val="000000"/>
          <w:sz w:val="22"/>
        </w:rPr>
        <w:t>), the U.S. Department of Commerce, the U.S. Department of State, and any similar law, regulation, or executive order that may be enacted, from time to time, by the United States government and (ii) any economic or financial sanctions or other requirements imposed under similar laws or regulations enacted by the European Union or any member state thereof or the United Kingdom, or administered, enacted or enforced by the respective governmental institutions or agencies of any of the foregoing, including, without limitation, Her Majesty’s Treasury of the United Kingdom, that apply to the Loan Parties or any of their respective Subsidiaries (as any of the foregoing laws may from time to time be amended, renewed, extended or replaced).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w:t>
      </w:r>
      <w:r>
        <w:rPr>
          <w:color w:val="000000"/>
        </w:rPr>
        <w:t xml:space="preserve">” </w:t>
      </w:r>
      <w:r>
        <w:rPr>
          <w:rFonts w:ascii="Times New Roman;serif" w:hAnsi="Times New Roman;serif"/>
          <w:b w:val="false"/>
          <w:color w:val="000000"/>
          <w:sz w:val="22"/>
        </w:rPr>
        <w:t>means the U.S. Securities and Exchange Commission or any Governmental Authority succeeding to any of its principal functions.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Section 2.19 Additional Amendment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Secured Cash Management Agreement</w:t>
      </w:r>
      <w:r>
        <w:rPr>
          <w:color w:val="000000"/>
        </w:rPr>
        <w:t xml:space="preserve">” </w:t>
      </w:r>
      <w:r>
        <w:rPr>
          <w:rFonts w:ascii="Times New Roman;serif" w:hAnsi="Times New Roman;serif"/>
          <w:b w:val="false"/>
          <w:color w:val="000000"/>
          <w:sz w:val="22"/>
        </w:rPr>
        <w:t>means any Cash Management Agreement that is entered into by and between any Loan Party or any Restricted Subsidiary and any Cash Management Bank, except for any such Cash Management Agreement designated by the Company in writing to the Administrative Agent and the relevant Cash Management Bank as an “unsecured cash management agreement” as of the Closing Date or, if later, on or about the time of entering into such Cash Management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Secured Hedge Agreement</w:t>
      </w:r>
      <w:r>
        <w:rPr>
          <w:color w:val="000000"/>
        </w:rPr>
        <w:t xml:space="preserve">” </w:t>
      </w:r>
      <w:r>
        <w:rPr>
          <w:rFonts w:ascii="Times New Roman;serif" w:hAnsi="Times New Roman;serif"/>
          <w:b w:val="false"/>
          <w:color w:val="000000"/>
          <w:sz w:val="22"/>
        </w:rPr>
        <w:t>means any Swap Contract that is entered into by and between any Loan Party or any Restricted Subsidiary and any Hedge Bank, except for any such Swap Contract designated by the Company and the applicable Hedge Bank in writing to the Administrative Agent as an “unsecured hedge agreement” as of the Closing Date or, if later, as of the time of entering into such Swap Contract.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Secured Obligations</w:t>
      </w:r>
      <w:r>
        <w:rPr>
          <w:color w:val="000000"/>
        </w:rPr>
        <w:t xml:space="preserve">” </w:t>
      </w:r>
      <w:r>
        <w:rPr>
          <w:rFonts w:ascii="Times New Roman;serif" w:hAnsi="Times New Roman;serif"/>
          <w:b w:val="false"/>
          <w:color w:val="000000"/>
          <w:sz w:val="22"/>
        </w:rPr>
        <w:t>has the meaning specified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Secured Parties</w:t>
      </w:r>
      <w:r>
        <w:rPr>
          <w:color w:val="000000"/>
        </w:rPr>
        <w:t xml:space="preserve">” </w:t>
      </w:r>
      <w:r>
        <w:rPr>
          <w:rFonts w:ascii="Times New Roman;serif" w:hAnsi="Times New Roman;serif"/>
          <w:b w:val="false"/>
          <w:color w:val="000000"/>
          <w:sz w:val="22"/>
        </w:rPr>
        <w:t xml:space="preserve">means, collectively, the Administrative Agent, the Collateral Agent, the Lenders (including, for the avoidance of doubt, the L/C Issuers),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 to time pursuant to </w:t>
      </w:r>
      <w:r>
        <w:rPr>
          <w:rFonts w:ascii="Times New Roman;serif" w:hAnsi="Times New Roman;serif"/>
          <w:b w:val="false"/>
          <w:color w:val="000000"/>
          <w:sz w:val="22"/>
          <w:u w:val="single"/>
        </w:rPr>
        <w:t>Article IX</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Securities Act</w:t>
      </w:r>
      <w:r>
        <w:rPr>
          <w:color w:val="000000"/>
        </w:rPr>
        <w:t xml:space="preserve">” </w:t>
      </w:r>
      <w:r>
        <w:rPr>
          <w:rFonts w:ascii="Times New Roman;serif" w:hAnsi="Times New Roman;serif"/>
          <w:b w:val="false"/>
          <w:color w:val="000000"/>
          <w:sz w:val="22"/>
        </w:rPr>
        <w:t>means the Securities Act of 1933, as amended, and the rules and regulations of the SEC promulgated thereunder, as amended.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Securitization Asset”</w:t>
      </w:r>
      <w:r>
        <w:rPr>
          <w:color w:val="000000"/>
        </w:rPr>
        <w:t xml:space="preserve"> </w:t>
      </w:r>
      <w:r>
        <w:rPr>
          <w:rFonts w:ascii="Times New Roman;serif" w:hAnsi="Times New Roman;serif"/>
          <w:b w:val="false"/>
          <w:color w:val="000000"/>
          <w:sz w:val="22"/>
        </w:rPr>
        <w:t>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Securitization Facility</w:t>
      </w:r>
      <w:r>
        <w:rPr>
          <w:color w:val="000000"/>
        </w:rPr>
        <w:t xml:space="preserve">” </w:t>
      </w:r>
      <w:r>
        <w:rPr>
          <w:rFonts w:ascii="Times New Roman;serif" w:hAnsi="Times New Roman;serif"/>
          <w:b w:val="false"/>
          <w:color w:val="000000"/>
          <w:sz w:val="22"/>
        </w:rPr>
        <w:t xml:space="preserve">means any of one or more securitization, financing, factoring or sales transactions, as amended, supplemented, modified, extended, renewed, restated or refunded from time to time, pursuant to which the Company or any of its Restricted Subsidiaries sells, transfers, pledges or </w:t>
      </w:r>
    </w:p>
    <w:p>
      <w:pPr>
        <w:pStyle w:val="TextBody"/>
        <w:bidi w:val="0"/>
        <w:spacing w:before="0" w:after="0"/>
        <w:jc w:val="left"/>
        <w:rPr/>
      </w:pPr>
      <w:r>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75260"/>
                <wp:effectExtent l="0" t="0" r="0" b="0"/>
                <wp:wrapNone/>
                <wp:docPr id="173" name="Frame1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otherwise conveys any Securitization Assets (whether now existing or arising in the future) to a Securitization Subsidiary or any other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Securitization Fees</w:t>
      </w:r>
      <w:r>
        <w:rPr>
          <w:color w:val="000000"/>
        </w:rPr>
        <w:t xml:space="preserve">” </w:t>
      </w:r>
      <w:r>
        <w:rPr>
          <w:rFonts w:ascii="Times New Roman;serif" w:hAnsi="Times New Roman;serif"/>
          <w:b w:val="false"/>
          <w:color w:val="000000"/>
          <w:sz w:val="22"/>
        </w:rPr>
        <w:t>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Securitization Repurchase Obligation</w:t>
      </w:r>
      <w:r>
        <w:rPr>
          <w:color w:val="000000"/>
        </w:rPr>
        <w:t xml:space="preserve">” </w:t>
      </w:r>
      <w:r>
        <w:rPr>
          <w:rFonts w:ascii="Times New Roman;serif" w:hAnsi="Times New Roman;serif"/>
          <w:b w:val="false"/>
          <w:color w:val="000000"/>
          <w:sz w:val="22"/>
        </w:rPr>
        <w:t>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Securitization Subsidiary</w:t>
      </w:r>
      <w:r>
        <w:rPr>
          <w:color w:val="000000"/>
        </w:rPr>
        <w:t xml:space="preserve">” </w:t>
      </w:r>
      <w:r>
        <w:rPr>
          <w:rFonts w:ascii="Times New Roman;serif" w:hAnsi="Times New Roman;serif"/>
          <w:b w:val="false"/>
          <w:color w:val="000000"/>
          <w:sz w:val="22"/>
        </w:rPr>
        <w:t>means any Subsidiary of the Company in each case formed for the purpose of and that solely engages in one or more Qualified Securitization Financings or Receivables Facilities and other activities reasonably related thereto or another Person formed for this purpose.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Security Agreement</w:t>
      </w:r>
      <w:r>
        <w:rPr>
          <w:color w:val="000000"/>
        </w:rPr>
        <w:t xml:space="preserve">” </w:t>
      </w:r>
      <w:r>
        <w:rPr>
          <w:rFonts w:ascii="Times New Roman;serif" w:hAnsi="Times New Roman;serif"/>
          <w:b w:val="false"/>
          <w:color w:val="000000"/>
          <w:sz w:val="22"/>
        </w:rPr>
        <w:t xml:space="preserve">means, collectively, the First Lien Security Agreement, dated as of the Spin-Off Date, executed by and among the Loan Parties party thereto and the Collateral Agent, together with each other security agreement and Security Agreement Supplement executed and delivered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6.16</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Security Agreement Supplement</w:t>
      </w:r>
      <w:r>
        <w:rPr>
          <w:color w:val="000000"/>
        </w:rPr>
        <w:t xml:space="preserve">” </w:t>
      </w:r>
      <w:r>
        <w:rPr>
          <w:rFonts w:ascii="Times New Roman;serif" w:hAnsi="Times New Roman;serif"/>
          <w:b w:val="false"/>
          <w:color w:val="000000"/>
          <w:sz w:val="22"/>
        </w:rPr>
        <w:t>means the Security Agreement Supplements, as defined in the Security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SEMS</w:t>
      </w:r>
      <w:r>
        <w:rPr>
          <w:color w:val="000000"/>
        </w:rPr>
        <w:t xml:space="preserve">” </w:t>
      </w:r>
      <w:r>
        <w:rPr>
          <w:rFonts w:ascii="Times New Roman;serif" w:hAnsi="Times New Roman;serif"/>
          <w:b w:val="false"/>
          <w:color w:val="000000"/>
          <w:sz w:val="22"/>
        </w:rPr>
        <w:t>means the Superfund Enterprise Management System maintained by the U.S. Environmental Protection Agency.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Senior Secured Notes</w:t>
      </w:r>
      <w:r>
        <w:rPr>
          <w:color w:val="000000"/>
        </w:rPr>
        <w:t xml:space="preserve">” </w:t>
      </w:r>
      <w:r>
        <w:rPr>
          <w:rFonts w:ascii="Times New Roman;serif" w:hAnsi="Times New Roman;serif"/>
          <w:b w:val="false"/>
          <w:color w:val="000000"/>
          <w:sz w:val="22"/>
        </w:rPr>
        <w:t>means the 5.000% Senior Secured Notes and the 6.750% Senior Secured Notes.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Senior Secured Notes Documents</w:t>
      </w:r>
      <w:r>
        <w:rPr>
          <w:color w:val="000000"/>
        </w:rPr>
        <w:t xml:space="preserve">” </w:t>
      </w:r>
      <w:r>
        <w:rPr>
          <w:rFonts w:ascii="Times New Roman;serif" w:hAnsi="Times New Roman;serif"/>
          <w:b w:val="false"/>
          <w:color w:val="000000"/>
          <w:sz w:val="22"/>
        </w:rPr>
        <w:t>means the 5.000% Senior Secured Notes Indenture, the 6.750% Senior Secured Notes Indenture and, in each case, the other transaction documents referred to therein (including any related guarantee, security agreement, the notes and the notes purchase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Series LLC</w:t>
      </w:r>
      <w:r>
        <w:rPr>
          <w:color w:val="000000"/>
        </w:rPr>
        <w:t xml:space="preserve">” </w:t>
      </w:r>
      <w:r>
        <w:rPr>
          <w:rFonts w:ascii="Times New Roman;serif" w:hAnsi="Times New Roman;serif"/>
          <w:b w:val="false"/>
          <w:color w:val="000000"/>
          <w:sz w:val="22"/>
        </w:rPr>
        <w:t>shall mean any series of a limited liability company (including any protected or registered series) established in accordance with Section 18-215(b) or 18-218 of the Delaware Limited Liability Company Act or a comparable provision of any other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Series LP</w:t>
      </w:r>
      <w:r>
        <w:rPr>
          <w:color w:val="000000"/>
        </w:rPr>
        <w:t xml:space="preserve">” </w:t>
      </w:r>
      <w:r>
        <w:rPr>
          <w:rFonts w:ascii="Times New Roman;serif" w:hAnsi="Times New Roman;serif"/>
          <w:b w:val="false"/>
          <w:color w:val="000000"/>
          <w:sz w:val="22"/>
        </w:rPr>
        <w:t>shall mean any series of a limited partnership (including any protected or registered series) established in accordance with Section 17-218(b) or 17-221 of the Delaware Limited Partnership Act or a comparable provision of any other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w:t>
      </w:r>
      <w:r>
        <w:rPr>
          <w:color w:val="000000"/>
        </w:rPr>
        <w:t xml:space="preserve">” </w:t>
      </w:r>
      <w:r>
        <w:rPr>
          <w:rFonts w:ascii="Times New Roman;serif" w:hAnsi="Times New Roman;serif"/>
          <w:b w:val="false"/>
          <w:color w:val="000000"/>
          <w:sz w:val="22"/>
        </w:rPr>
        <w:t>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pStyle w:val="TextBody"/>
        <w:bidi w:val="0"/>
        <w:spacing w:before="0" w:after="0"/>
        <w:jc w:val="left"/>
        <w:rPr/>
      </w:pPr>
      <w:r>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75260"/>
                <wp:effectExtent l="0" t="0" r="0" b="0"/>
                <wp:wrapNone/>
                <wp:docPr id="174" name="Frame1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 Asset</w:t>
      </w:r>
      <w:r>
        <w:rPr>
          <w:color w:val="000000"/>
        </w:rPr>
        <w:t xml:space="preserve">” </w:t>
      </w:r>
      <w:r>
        <w:rPr>
          <w:rFonts w:ascii="Times New Roman;serif" w:hAnsi="Times New Roman;serif"/>
          <w:b w:val="false"/>
          <w:color w:val="000000"/>
          <w:sz w:val="22"/>
        </w:rPr>
        <w:t>means any cash, receivable or other property, including a Settlement Receivable, due or conveyed to a Person in consideration for a Settlement made or arranged, or to be made or arranged, by such Person or an Affiliate of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 Indebtedness</w:t>
      </w:r>
      <w:r>
        <w:rPr>
          <w:color w:val="000000"/>
        </w:rPr>
        <w:t xml:space="preserve">” </w:t>
      </w:r>
      <w:r>
        <w:rPr>
          <w:rFonts w:ascii="Times New Roman;serif" w:hAnsi="Times New Roman;serif"/>
          <w:b w:val="false"/>
          <w:color w:val="000000"/>
          <w:sz w:val="22"/>
        </w:rPr>
        <w:t>means any payment or reimbursement obligation in respect of a Settlement Payment.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 Lien</w:t>
      </w:r>
      <w:r>
        <w:rPr>
          <w:color w:val="000000"/>
        </w:rPr>
        <w:t xml:space="preserve">” </w:t>
      </w:r>
      <w:r>
        <w:rPr>
          <w:rFonts w:ascii="Times New Roman;serif" w:hAnsi="Times New Roman;serif"/>
          <w:b w:val="false"/>
          <w:color w:val="000000"/>
          <w:sz w:val="22"/>
        </w:rPr>
        <w:t>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 Payment</w:t>
      </w:r>
      <w:r>
        <w:rPr>
          <w:color w:val="000000"/>
        </w:rPr>
        <w:t xml:space="preserve">” </w:t>
      </w:r>
      <w:r>
        <w:rPr>
          <w:rFonts w:ascii="Times New Roman;serif" w:hAnsi="Times New Roman;serif"/>
          <w:b w:val="false"/>
          <w:color w:val="000000"/>
          <w:sz w:val="22"/>
        </w:rPr>
        <w:t>means the transfer, or contractual undertaking (including by automated clearing house transaction) to effect a transfer, of cash or other property to effect a Settlement.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Settlement Receivable</w:t>
      </w:r>
      <w:r>
        <w:rPr>
          <w:color w:val="000000"/>
        </w:rPr>
        <w:t xml:space="preserve">” </w:t>
      </w:r>
      <w:r>
        <w:rPr>
          <w:rFonts w:ascii="Times New Roman;serif" w:hAnsi="Times New Roman;serif"/>
          <w:b w:val="false"/>
          <w:color w:val="000000"/>
          <w:sz w:val="22"/>
        </w:rPr>
        <w:t>means any general intangible, payment intangible, or instrument representing or reflecting an obligation to make payments to or for the benefit of a Person in consideration for a Settlement made or arranged, or to be made or arranged, by such Person.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Similar Business</w:t>
      </w:r>
      <w:r>
        <w:rPr>
          <w:color w:val="000000"/>
        </w:rPr>
        <w:t xml:space="preserve">” </w:t>
      </w:r>
      <w:r>
        <w:rPr>
          <w:rFonts w:ascii="Times New Roman;serif" w:hAnsi="Times New Roman;serif"/>
          <w:b w:val="false"/>
          <w:color w:val="000000"/>
          <w:sz w:val="22"/>
        </w:rPr>
        <w:t xml:space="preserve">means (a) any businesses, services or activities engaged in by the Company or any of its Subsidiaries or any Associates on the Spin-Off Date (after giving effect to the Transactions), (b) any businesses, services and activities engaged in by the Company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and any Subsidiary thereof. For the avoidance of doubt, any Person that invests in or owns Capital Stock or Indebtedness of another Person that is engaged in a Similar Business shall be deemed to be engaged in a Similar Business.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SOFR</w:t>
      </w:r>
      <w:r>
        <w:rPr>
          <w:color w:val="000000"/>
        </w:rPr>
        <w:t xml:space="preserve">” </w:t>
      </w:r>
      <w:r>
        <w:rPr>
          <w:rFonts w:ascii="Times New Roman;serif" w:hAnsi="Times New Roman;serif"/>
          <w:b w:val="false"/>
          <w:color w:val="000000"/>
          <w:sz w:val="22"/>
        </w:rPr>
        <w:t>means a rate equal to the secured overnight financing rate as administered by the SOFR Administrator.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SOFR Administrator</w:t>
      </w:r>
      <w:r>
        <w:rPr>
          <w:color w:val="000000"/>
        </w:rPr>
        <w:t xml:space="preserve">” </w:t>
      </w:r>
      <w:r>
        <w:rPr>
          <w:rFonts w:ascii="Times New Roman;serif" w:hAnsi="Times New Roman;serif"/>
          <w:b w:val="false"/>
          <w:color w:val="000000"/>
          <w:sz w:val="22"/>
        </w:rPr>
        <w:t>means the Federal Reserve Bank of New York (or a successor administrator of the secured overnight financing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SOFR Borrowing</w:t>
      </w:r>
      <w:r>
        <w:rPr>
          <w:color w:val="000000"/>
        </w:rPr>
        <w:t xml:space="preserve">” </w:t>
      </w:r>
      <w:r>
        <w:rPr>
          <w:rFonts w:ascii="Times New Roman;serif" w:hAnsi="Times New Roman;serif"/>
          <w:b w:val="false"/>
          <w:color w:val="000000"/>
          <w:sz w:val="22"/>
        </w:rPr>
        <w:t xml:space="preserve">means, as to any Borrowing, the SOFR Loans comprising such Borrowing. “SOFR Loan” means a Loan that bears interest at a rate based on Term SOFR, other than pursuant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of the definition of “Alternate Base Rate”.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Sold Entity or Business</w:t>
      </w:r>
      <w:r>
        <w:rPr>
          <w:color w:val="000000"/>
        </w:rPr>
        <w:t xml:space="preserve">” </w:t>
      </w:r>
      <w:r>
        <w:rPr>
          <w:rFonts w:ascii="Times New Roman;serif" w:hAnsi="Times New Roman;serif"/>
          <w:b w:val="false"/>
          <w:color w:val="000000"/>
          <w:sz w:val="22"/>
        </w:rPr>
        <w:t>has the meaning specified in the definition of the term “Consolidated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Solvent</w:t>
      </w:r>
      <w:r>
        <w:rPr>
          <w:color w:val="000000"/>
        </w:rPr>
        <w:t xml:space="preserve">” </w:t>
      </w:r>
      <w:r>
        <w:rPr>
          <w:rFonts w:ascii="Times New Roman;serif" w:hAnsi="Times New Roman;serif"/>
          <w:b w:val="false"/>
          <w:color w:val="000000"/>
          <w:sz w:val="22"/>
        </w:rPr>
        <w:t xml:space="preserve">means, with respect to the Company and its Restricted Subsidiaries on any date of determination, that on such date (a) the sum of the debt (including contingent liabilities) of such Person, taken as a whole, does not exceed the fair value of the present assets of the Company and its Restricted Subsidiaries, taken as a whole, (b) the fair salable value of the assets of the Company and the Restricted Subsidiaries, taken as a whole, is not less than the amount that will be required to pay the probable liabilities (including contingent liabilities) of the Company and its Restricted Subsidiaries, taken as a whole, on their debts as they become absolute and matured, (c) the capital of the Company and its Restricted Subsidiaries, taken as a whole, is not unreasonably small in relation to the business of the Company and its Restricted Subsidiaries, taken as a whole, as contemplated on such date of determination </w:t>
      </w:r>
    </w:p>
    <w:p>
      <w:pPr>
        <w:pStyle w:val="TextBody"/>
        <w:bidi w:val="0"/>
        <w:spacing w:before="0" w:after="0"/>
        <w:jc w:val="left"/>
        <w:rPr/>
      </w:pPr>
      <w:r>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75260"/>
                <wp:effectExtent l="0" t="0" r="0" b="0"/>
                <wp:wrapNone/>
                <wp:docPr id="175" name="Frame1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(d) the Company and its Restricted Subsidiaries, taken as a whole, do not intend to incur debts (including current obligations and contingent liabilities) beyond their ability to pay such debts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SPC</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10.07(g)</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Special Payment</w:t>
      </w:r>
      <w:r>
        <w:rPr>
          <w:color w:val="000000"/>
        </w:rPr>
        <w:t xml:space="preserve">” </w:t>
      </w:r>
      <w:r>
        <w:rPr>
          <w:rFonts w:ascii="Times New Roman;serif" w:hAnsi="Times New Roman;serif"/>
          <w:b w:val="false"/>
          <w:color w:val="000000"/>
          <w:sz w:val="22"/>
        </w:rPr>
        <w:t>has the meaning given to such term in the definition of “Transactions.”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Existing Tranche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2.19(a)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Refinancing Agent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Refinancing Debt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rPr>
        <w:t xml:space="preserve">Specified Refinancing Revolving Credit Commitment” 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w:t>
      </w:r>
      <w:r>
        <w:rPr>
          <w:color w:val="000000"/>
        </w:rPr>
        <w:t xml:space="preserve"> </w:t>
      </w:r>
      <w:r>
        <w:rPr>
          <w:rFonts w:ascii="Times New Roman;serif" w:hAnsi="Times New Roman;serif"/>
          <w:b w:val="false"/>
          <w:color w:val="000000"/>
          <w:sz w:val="22"/>
        </w:rPr>
        <w:t>Refinancing Revolving Loans” means Specified Refinancing Debt constituting revolving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Refinancing Term Commitment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Refinancing Term Facilities</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2.18(a)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Refinancing Term Loans</w:t>
      </w:r>
      <w:r>
        <w:rPr>
          <w:color w:val="000000"/>
        </w:rPr>
        <w:t xml:space="preserve">” </w:t>
      </w:r>
      <w:r>
        <w:rPr>
          <w:rFonts w:ascii="Times New Roman;serif" w:hAnsi="Times New Roman;serif"/>
          <w:b w:val="false"/>
          <w:color w:val="000000"/>
          <w:sz w:val="22"/>
        </w:rPr>
        <w:t>means Specified Refinancing Debt constituting term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Specified Representations</w:t>
      </w:r>
      <w:r>
        <w:rPr>
          <w:color w:val="000000"/>
        </w:rPr>
        <w:t xml:space="preserve">” </w:t>
      </w:r>
      <w:r>
        <w:rPr>
          <w:rFonts w:ascii="Times New Roman;serif" w:hAnsi="Times New Roman;serif"/>
          <w:b w:val="false"/>
          <w:color w:val="000000"/>
          <w:sz w:val="22"/>
        </w:rPr>
        <w:t xml:space="preserve">means the representations and warranties made solely by the Company and the Guarantors in </w:t>
      </w:r>
      <w:r>
        <w:rPr>
          <w:rFonts w:ascii="Times New Roman;serif" w:hAnsi="Times New Roman;serif"/>
          <w:b w:val="false"/>
          <w:color w:val="000000"/>
          <w:sz w:val="22"/>
          <w:u w:val="single"/>
        </w:rPr>
        <w:t>Section 5.01(a)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5.02(a)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5.20</w:t>
      </w:r>
      <w:r>
        <w:rPr>
          <w:color w:val="000000"/>
        </w:rPr>
        <w:t xml:space="preserve"> </w:t>
      </w:r>
      <w:r>
        <w:rPr>
          <w:rFonts w:ascii="Times New Roman;serif" w:hAnsi="Times New Roman;serif"/>
          <w:b w:val="false"/>
          <w:color w:val="000000"/>
          <w:sz w:val="22"/>
        </w:rPr>
        <w:t xml:space="preserve">(in each case, after giving effect to the Transactions, and in the case of the representations and warranties made pursuant to </w:t>
      </w:r>
      <w:r>
        <w:rPr>
          <w:rFonts w:ascii="Times New Roman;serif" w:hAnsi="Times New Roman;serif"/>
          <w:b w:val="false"/>
          <w:color w:val="000000"/>
          <w:sz w:val="22"/>
          <w:u w:val="single"/>
        </w:rPr>
        <w:t>Sections 5.19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5.20</w:t>
      </w:r>
      <w:r>
        <w:rPr>
          <w:rFonts w:ascii="Times New Roman;serif" w:hAnsi="Times New Roman;serif"/>
          <w:b w:val="false"/>
          <w:color w:val="000000"/>
          <w:sz w:val="22"/>
        </w:rPr>
        <w:t>, to be limited to the use of proceeds not violating the Laws referenced therein).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Spinco Business</w:t>
      </w:r>
      <w:r>
        <w:rPr>
          <w:color w:val="000000"/>
        </w:rPr>
        <w:t xml:space="preserve">” </w:t>
      </w:r>
      <w:r>
        <w:rPr>
          <w:rFonts w:ascii="Times New Roman;serif" w:hAnsi="Times New Roman;serif"/>
          <w:b w:val="false"/>
          <w:color w:val="000000"/>
          <w:sz w:val="22"/>
        </w:rPr>
        <w:t>has the meaning given to such term in the definition of “Transactions.”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Spin-Off</w:t>
      </w:r>
      <w:r>
        <w:rPr>
          <w:color w:val="000000"/>
        </w:rPr>
        <w:t xml:space="preserve">” </w:t>
      </w:r>
      <w:r>
        <w:rPr>
          <w:rFonts w:ascii="Times New Roman;serif" w:hAnsi="Times New Roman;serif"/>
          <w:b w:val="false"/>
          <w:color w:val="000000"/>
          <w:sz w:val="22"/>
        </w:rPr>
        <w:t>has the meaning given to such term in the definition of “Transactions.”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Spin-Off Date</w:t>
      </w:r>
      <w:r>
        <w:rPr>
          <w:color w:val="000000"/>
        </w:rPr>
        <w:t xml:space="preserve">” </w:t>
      </w:r>
      <w:r>
        <w:rPr>
          <w:rFonts w:ascii="Times New Roman;serif" w:hAnsi="Times New Roman;serif"/>
          <w:b w:val="false"/>
          <w:color w:val="000000"/>
          <w:sz w:val="22"/>
        </w:rPr>
        <w:t>has the meaning given to such term in the definition of “Transactions.”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Standard Securitization Undertakings</w:t>
      </w:r>
      <w:r>
        <w:rPr>
          <w:color w:val="000000"/>
        </w:rPr>
        <w:t xml:space="preserve">” </w:t>
      </w:r>
      <w:r>
        <w:rPr>
          <w:rFonts w:ascii="Times New Roman;serif" w:hAnsi="Times New Roman;serif"/>
          <w:b w:val="false"/>
          <w:color w:val="000000"/>
          <w:sz w:val="22"/>
        </w:rPr>
        <w:t>means representations, warranties, covenants, guarantees and indemnities entered into by the Company or any of its Subsidiaries which the Company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pStyle w:val="TextBody"/>
        <w:bidi w:val="0"/>
        <w:spacing w:before="0" w:after="0"/>
        <w:jc w:val="left"/>
        <w:rPr/>
      </w:pPr>
      <w:r>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75260"/>
                <wp:effectExtent l="0" t="0" r="0" b="0"/>
                <wp:wrapNone/>
                <wp:docPr id="176" name="Frame1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Stated Maturity</w:t>
      </w:r>
      <w:r>
        <w:rPr>
          <w:color w:val="000000"/>
        </w:rPr>
        <w:t xml:space="preserve">” </w:t>
      </w:r>
      <w:r>
        <w:rPr>
          <w:rFonts w:ascii="Times New Roman;serif" w:hAnsi="Times New Roman;serif"/>
          <w:b w:val="false"/>
          <w:color w:val="000000"/>
          <w:sz w:val="22"/>
        </w:rPr>
        <w:t>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Statutory Reserve Rate</w:t>
      </w:r>
      <w:r>
        <w:rPr>
          <w:color w:val="000000"/>
        </w:rPr>
        <w:t xml:space="preserve">” </w:t>
      </w:r>
      <w:r>
        <w:rPr>
          <w:rFonts w:ascii="Times New Roman;serif" w:hAnsi="Times New Roman;serif"/>
          <w:b w:val="false"/>
          <w:color w:val="000000"/>
          <w:sz w:val="22"/>
        </w:rPr>
        <w:t xml:space="preserve">means a fraction (expressed as a decimal), the numerator of which is the number one and the denominator of which is the number one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Subject Lien</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Subordinated Indebtedness</w:t>
      </w:r>
      <w:r>
        <w:rPr>
          <w:color w:val="000000"/>
        </w:rPr>
        <w:t xml:space="preserve">” </w:t>
      </w:r>
      <w:r>
        <w:rPr>
          <w:rFonts w:ascii="Times New Roman;serif" w:hAnsi="Times New Roman;serif"/>
          <w:b w:val="false"/>
          <w:color w:val="000000"/>
          <w:sz w:val="22"/>
        </w:rPr>
        <w:t>means any Indebtedness (other than intercompany Indebtedness), whether outstanding on the Closing Date or thereafter incurred, which is expressly subordinated in right of payment to the Loans pursuant to a written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Subsidiary</w:t>
      </w:r>
      <w:r>
        <w:rPr>
          <w:color w:val="000000"/>
        </w:rPr>
        <w:t xml:space="preserve">” </w:t>
      </w:r>
      <w:r>
        <w:rPr>
          <w:rFonts w:ascii="Times New Roman;serif" w:hAnsi="Times New Roman;serif"/>
          <w:b w:val="false"/>
          <w:color w:val="000000"/>
          <w:sz w:val="22"/>
        </w:rPr>
        <w:t>means, with respect to any Person: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any partnership, joint venture, limited liability company or similar entity of which:</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2"/>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2"/>
        </w:rPr>
        <w:t>such Person or any Subsidiary of such Person is a controlling general partner or otherwise controls such entity;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at the election of the Company, any partnership, joint venture, limited liability company or similar entity of which such Person or any Subsidiary of such Person is a controlling general partner or otherwise controls such entity.</w:t>
      </w:r>
    </w:p>
    <w:p>
      <w:pPr>
        <w:pStyle w:val="TextBody"/>
        <w:bidi w:val="0"/>
        <w:spacing w:before="0" w:after="0"/>
        <w:jc w:val="left"/>
        <w:rPr/>
      </w:pPr>
      <w:r>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75260"/>
                <wp:effectExtent l="0" t="0" r="0" b="0"/>
                <wp:wrapNone/>
                <wp:docPr id="177" name="Frame1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Unless otherwise indicated in this Agreement, all references to Subsidiaries shall mean Subsidiaries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Subsidiary Redesignation</w:t>
      </w:r>
      <w:r>
        <w:rPr>
          <w:color w:val="000000"/>
        </w:rPr>
        <w:t xml:space="preserve">” </w:t>
      </w:r>
      <w:r>
        <w:rPr>
          <w:rFonts w:ascii="Times New Roman;serif" w:hAnsi="Times New Roman;serif"/>
          <w:b w:val="false"/>
          <w:color w:val="000000"/>
          <w:sz w:val="22"/>
        </w:rPr>
        <w:t>has the meaning given to such term in the definition of “Unrestricted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Supplemental Agent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9.14(a)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Swap Contract</w:t>
      </w:r>
      <w:r>
        <w:rPr>
          <w:color w:val="000000"/>
        </w:rPr>
        <w:t xml:space="preserve">” </w:t>
      </w:r>
      <w:r>
        <w:rPr>
          <w:rFonts w:ascii="Times New Roman;serif" w:hAnsi="Times New Roman;serif"/>
          <w:b w:val="false"/>
          <w:color w:val="000000"/>
          <w:sz w:val="22"/>
        </w:rPr>
        <w:t>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Swap Obligation</w:t>
      </w:r>
      <w:r>
        <w:rPr>
          <w:color w:val="000000"/>
        </w:rPr>
        <w:t xml:space="preserve">” </w:t>
      </w:r>
      <w:r>
        <w:rPr>
          <w:rFonts w:ascii="Times New Roman;serif" w:hAnsi="Times New Roman;serif"/>
          <w:b w:val="false"/>
          <w:color w:val="000000"/>
          <w:sz w:val="22"/>
        </w:rPr>
        <w:t>means, with respect to the Company or any Subsidiary, any obligation to pay or perform under any agreement, contract or transaction that constitutes a “swap” within the meaning of Section 1a(47) of the Commodity Exchange Act.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Swap Termination Value”</w:t>
      </w:r>
      <w:r>
        <w:rPr>
          <w:color w:val="000000"/>
        </w:rPr>
        <w:t xml:space="preserve"> </w:t>
      </w:r>
      <w:r>
        <w:rPr>
          <w:rFonts w:ascii="Times New Roman;serif" w:hAnsi="Times New Roman;serif"/>
          <w:b w:val="false"/>
          <w:color w:val="000000"/>
          <w:sz w:val="22"/>
        </w:rPr>
        <w:t xml:space="preserve">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serif" w:hAnsi="Times New Roman;serif"/>
          <w:b w:val="false"/>
          <w:color w:val="000000"/>
          <w:sz w:val="22"/>
          <w:u w:val="single"/>
        </w:rPr>
        <w:t>clause (a)</w:t>
      </w:r>
      <w:r>
        <w:rPr>
          <w:rFonts w:ascii="Times New Roman;serif" w:hAnsi="Times New Roman;serif"/>
          <w:b w:val="false"/>
          <w:color w:val="000000"/>
          <w:sz w:val="22"/>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Syndication Agent</w:t>
      </w:r>
      <w:r>
        <w:rPr>
          <w:color w:val="000000"/>
        </w:rPr>
        <w:t xml:space="preserve">” </w:t>
      </w:r>
      <w:r>
        <w:rPr>
          <w:rFonts w:ascii="Times New Roman;serif" w:hAnsi="Times New Roman;serif"/>
          <w:b w:val="false"/>
          <w:color w:val="000000"/>
          <w:sz w:val="22"/>
        </w:rPr>
        <w:t>means JPMorgan Chase Bank, N.A., in its capacity as syndication agent.</w:t>
      </w:r>
    </w:p>
    <w:p>
      <w:pPr>
        <w:pStyle w:val="TextBody"/>
        <w:bidi w:val="0"/>
        <w:spacing w:lineRule="auto" w:line="288" w:before="0" w:after="240"/>
        <w:ind w:left="0" w:right="0" w:firstLine="720"/>
        <w:jc w:val="left"/>
        <w:rPr/>
      </w:pPr>
      <w:r>
        <w:rPr>
          <w:color w:val="0000FF"/>
          <w:u w:val="single"/>
        </w:rPr>
        <w:t>“</w:t>
      </w:r>
      <w:r>
        <w:rPr>
          <w:rFonts w:ascii="Times New Roman;serif" w:hAnsi="Times New Roman;serif"/>
          <w:b/>
          <w:color w:val="0000FF"/>
          <w:sz w:val="22"/>
          <w:u w:val="single"/>
        </w:rPr>
        <w:t>Synthetic Lease</w:t>
      </w:r>
      <w:r>
        <w:rPr>
          <w:color w:val="0000FF"/>
          <w:u w:val="single"/>
        </w:rPr>
        <w:t xml:space="preserve">” </w:t>
      </w:r>
      <w:r>
        <w:rPr>
          <w:rFonts w:ascii="Times New Roman;serif" w:hAnsi="Times New Roman;serif"/>
          <w:b w:val="false"/>
          <w:color w:val="0000FF"/>
          <w:sz w:val="22"/>
          <w:u w:val="single"/>
        </w:rPr>
        <w:t>means any synthetic lease, tax retention operating lease, off-balance sheet loan or similar off-balance sheet financing product where such transaction is considered borrowed money indebtedness for tax purposes but is classified as an operating lease in accordance with GAAP.</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TARGET Day</w:t>
      </w:r>
      <w:r>
        <w:rPr>
          <w:color w:val="000000"/>
        </w:rPr>
        <w:t xml:space="preserve">” </w:t>
      </w:r>
      <w:r>
        <w:rPr>
          <w:rFonts w:ascii="Times New Roman;serif" w:hAnsi="Times New Roman;serif"/>
          <w:b w:val="false"/>
          <w:color w:val="000000"/>
          <w:sz w:val="22"/>
        </w:rPr>
        <w:t>means any day on which TARGET2 is open for the settlement of payments in Euros.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TARGET2</w:t>
      </w:r>
      <w:r>
        <w:rPr>
          <w:color w:val="000000"/>
        </w:rPr>
        <w:t xml:space="preserve">” </w:t>
      </w:r>
      <w:r>
        <w:rPr>
          <w:rFonts w:ascii="Times New Roman;serif" w:hAnsi="Times New Roman;serif"/>
          <w:b w:val="false"/>
          <w:color w:val="000000"/>
          <w:sz w:val="22"/>
        </w:rPr>
        <w:t>means the Trans-European Automated Real-time Gross Settlement Express Transfer payment system which utilizes a single shared platform and which was launched on November 19, 2007 (or, if such payment system ceases to be operative, such other payment system (if any) determined by the Administrative Agent to be a suitable replacement).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Taxes</w:t>
      </w:r>
      <w:r>
        <w:rPr>
          <w:color w:val="000000"/>
        </w:rPr>
        <w:t xml:space="preserve">” </w:t>
      </w:r>
      <w:r>
        <w:rPr>
          <w:rFonts w:ascii="Times New Roman;serif" w:hAnsi="Times New Roman;serif"/>
          <w:b w:val="false"/>
          <w:color w:val="000000"/>
          <w:sz w:val="22"/>
        </w:rPr>
        <w:t xml:space="preserve">means all present and future taxes, levies, imposts, deductions, charges, duties, assessments, fees and withholdings (including backup withholdings) and any other charges in the nature </w:t>
      </w:r>
    </w:p>
    <w:p>
      <w:pPr>
        <w:pStyle w:val="TextBody"/>
        <w:bidi w:val="0"/>
        <w:spacing w:before="0" w:after="0"/>
        <w:jc w:val="left"/>
        <w:rPr/>
      </w:pPr>
      <w:r>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75260"/>
                <wp:effectExtent l="0" t="0" r="0" b="0"/>
                <wp:wrapNone/>
                <wp:docPr id="178" name="Frame1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of a tax (including interest, penalties and other liabilities with respect thereto) that are imposed by any </w:t>
      </w:r>
      <w:r>
        <w:rPr>
          <w:rFonts w:ascii="Times New Roman;serif" w:hAnsi="Times New Roman;serif"/>
          <w:b/>
          <w:color w:val="000000"/>
          <w:sz w:val="22"/>
        </w:rPr>
        <w:t>governmental or other taxing authority.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w:t>
      </w:r>
      <w:r>
        <w:rPr>
          <w:color w:val="000000"/>
        </w:rPr>
        <w:t xml:space="preserve"> </w:t>
      </w:r>
      <w:r>
        <w:rPr>
          <w:rFonts w:ascii="Times New Roman;serif" w:hAnsi="Times New Roman;serif"/>
          <w:b w:val="false"/>
          <w:color w:val="000000"/>
          <w:sz w:val="22"/>
        </w:rPr>
        <w:t>Borrowing” means a borrowing of the same Type of Term Loan of a single Tranche from all Lenders having Term Commitments or Term Loans of the respective Tranche on a given date (or resulting from a continuation or conversions of such date) having, if applicable, the same Interest Period.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Commitment</w:t>
      </w:r>
      <w:r>
        <w:rPr>
          <w:color w:val="000000"/>
        </w:rPr>
        <w:t xml:space="preserve">” </w:t>
      </w:r>
      <w:r>
        <w:rPr>
          <w:rFonts w:ascii="Times New Roman;serif" w:hAnsi="Times New Roman;serif"/>
          <w:b w:val="false"/>
          <w:color w:val="000000"/>
          <w:sz w:val="22"/>
        </w:rPr>
        <w:t>means, as to each Term Lender, (i) its Initial Term Commitment, (ii) its Term Commitment Increase, (iii) its New Term Commitment or (iv) its Specified Refinancing Term Commitment. The amount of each Lender’s Initial Term Commitment is as set forth in the definition thereof and the amount of each Lender’s other Term Commitments shall be as set forth in the Assignment and Assumption, or in the amendment or agreement relating to the respective Term Commitment Increase, New Term Commitment or Specified Refinancing Term Commitment pursuant to which such Lender shall have assumed its Term Commitment, as applicable, as such amounts may be adjusted from time to time in accordance with this Agreement.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Commitment Increase</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2.14(a)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Facility”</w:t>
      </w:r>
      <w:r>
        <w:rPr>
          <w:color w:val="000000"/>
        </w:rPr>
        <w:t xml:space="preserve"> </w:t>
      </w:r>
      <w:r>
        <w:rPr>
          <w:rFonts w:ascii="Times New Roman;serif" w:hAnsi="Times New Roman;serif"/>
          <w:b w:val="false"/>
          <w:color w:val="000000"/>
          <w:sz w:val="22"/>
        </w:rPr>
        <w:t>means a facility in respect of any Term Loan Tranche (including any Term Commitment Increase with respect to any Term Loan Tranche), as the context may require.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Lender</w:t>
      </w:r>
      <w:r>
        <w:rPr>
          <w:color w:val="000000"/>
        </w:rPr>
        <w:t xml:space="preserve">” </w:t>
      </w:r>
      <w:r>
        <w:rPr>
          <w:rFonts w:ascii="Times New Roman;serif" w:hAnsi="Times New Roman;serif"/>
          <w:b w:val="false"/>
          <w:color w:val="000000"/>
          <w:sz w:val="22"/>
        </w:rPr>
        <w:t>means (a) at any time on or prior to the Closing Date, any Lender that has an Initial Term Commitment at such time and (b) at any time after the Closing Date, any Lender that holds Term Loans and/or Term Commitments at such time.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Loan</w:t>
      </w:r>
      <w:r>
        <w:rPr>
          <w:color w:val="000000"/>
        </w:rPr>
        <w:t xml:space="preserve">” </w:t>
      </w:r>
      <w:r>
        <w:rPr>
          <w:rFonts w:ascii="Times New Roman;serif" w:hAnsi="Times New Roman;serif"/>
          <w:b w:val="false"/>
          <w:color w:val="000000"/>
          <w:sz w:val="22"/>
        </w:rPr>
        <w:t>means an advance made by any Term Lender under any Term Facility (including, for the avoidance of doubt, the Initial Term Loans).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Loan Tranche</w:t>
      </w:r>
      <w:r>
        <w:rPr>
          <w:color w:val="000000"/>
        </w:rPr>
        <w:t xml:space="preserve">” </w:t>
      </w:r>
      <w:r>
        <w:rPr>
          <w:rFonts w:ascii="Times New Roman;serif" w:hAnsi="Times New Roman;serif"/>
          <w:b w:val="false"/>
          <w:color w:val="000000"/>
          <w:sz w:val="22"/>
        </w:rPr>
        <w:t>means the respective facility and commitments utilized in making (or, where applicable, conversion of) Term Loans hereunder, with there being one Tranche on the Closing Date (i.e., the Initial Term Loans and Initial Term Commitments). Additional Term Loan Tranches may be added after the Closing Date pursuant to the terms hereof (e.g., New Term Loans, Specified Refinancing Term Loans, New Term Commitments, Extended Term Loans and Specified Refinancing Term Commitments).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Note</w:t>
      </w:r>
      <w:r>
        <w:rPr>
          <w:color w:val="000000"/>
        </w:rPr>
        <w:t xml:space="preserve">” </w:t>
      </w:r>
      <w:r>
        <w:rPr>
          <w:rFonts w:ascii="Times New Roman;serif" w:hAnsi="Times New Roman;serif"/>
          <w:b w:val="false"/>
          <w:color w:val="000000"/>
          <w:sz w:val="22"/>
        </w:rPr>
        <w:t xml:space="preserve">means, as applicable, any Term Notes and any other promissory note of a Borrower payable to any Term Lender or its registered assigns, in substantially the form of </w:t>
      </w:r>
      <w:r>
        <w:rPr>
          <w:rFonts w:ascii="Times New Roman;serif" w:hAnsi="Times New Roman;serif"/>
          <w:b w:val="false"/>
          <w:color w:val="000000"/>
          <w:sz w:val="22"/>
          <w:u w:val="single"/>
        </w:rPr>
        <w:t>Exhibit B-1</w:t>
      </w:r>
      <w:r>
        <w:rPr>
          <w:rFonts w:ascii="Times New Roman;serif" w:hAnsi="Times New Roman;serif"/>
          <w:b w:val="false"/>
          <w:color w:val="000000"/>
          <w:sz w:val="22"/>
        </w:rPr>
        <w:t>, evidencing the indebtedness of such Borrower to such Term Lender resulting from the Term Loans under the same Term Loan Tranche made or held by such Term Lender.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SOFR</w:t>
      </w:r>
      <w:r>
        <w:rPr>
          <w:color w:val="000000"/>
        </w:rPr>
        <w:t xml:space="preserve">” </w:t>
      </w:r>
      <w:r>
        <w:rPr>
          <w:rFonts w:ascii="Times New Roman;serif" w:hAnsi="Times New Roman;serif"/>
          <w:b w:val="false"/>
          <w:color w:val="000000"/>
          <w:sz w:val="22"/>
        </w:rPr>
        <w:t>means,</w:t>
      </w:r>
    </w:p>
    <w:p>
      <w:pPr>
        <w:pStyle w:val="TextBody"/>
        <w:bidi w:val="0"/>
        <w:spacing w:lineRule="auto" w:line="288" w:before="0" w:after="240"/>
        <w:ind w:left="0" w:right="0" w:firstLine="720"/>
        <w:jc w:val="left"/>
        <w:rPr/>
      </w:pPr>
      <w:r>
        <w:rPr>
          <w:rFonts w:ascii="Times New Roman;serif" w:hAnsi="Times New Roman;serif"/>
          <w:b w:val="false"/>
          <w:color w:val="000000"/>
          <w:sz w:val="24"/>
        </w:rPr>
        <w:t>(a)    </w:t>
      </w:r>
      <w:r>
        <w:rPr>
          <w:rFonts w:ascii="Times New Roman;serif" w:hAnsi="Times New Roman;serif"/>
          <w:b w:val="false"/>
          <w:color w:val="000000"/>
          <w:sz w:val="22"/>
        </w:rPr>
        <w:t>for any calculation with respect to a SOFR Loan, the Term SOFR Reference Rate for a tenor comparable to the applicable Interest Period on the day (such day, the “</w:t>
      </w:r>
      <w:r>
        <w:rPr>
          <w:rFonts w:ascii="Times New Roman;serif" w:hAnsi="Times New Roman;serif"/>
          <w:b/>
          <w:color w:val="000000"/>
          <w:sz w:val="22"/>
        </w:rPr>
        <w:t>Periodic Term SOFR Determination Day</w:t>
      </w:r>
      <w:r>
        <w:rPr>
          <w:color w:val="000000"/>
        </w:rPr>
        <w:t>”</w:t>
      </w:r>
      <w:r>
        <w:rPr>
          <w:rFonts w:ascii="Times New Roman;serif" w:hAnsi="Times New Roman;serif"/>
          <w:b w:val="false"/>
          <w:color w:val="000000"/>
          <w:sz w:val="22"/>
        </w:rPr>
        <w:t xml:space="preserve">) that is two (2) U.S. Government Securities Business Days prior to the first day of such Interest Period, as such rate is published by the Term SOFR Administrator;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75260"/>
                <wp:effectExtent l="0" t="0" r="0" b="0"/>
                <wp:wrapNone/>
                <wp:docPr id="179" name="Frame1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pStyle w:val="TextBody"/>
        <w:bidi w:val="0"/>
        <w:spacing w:lineRule="auto" w:line="288" w:before="0" w:after="240"/>
        <w:ind w:left="0" w:right="0" w:firstLine="720"/>
        <w:jc w:val="left"/>
        <w:rPr/>
      </w:pPr>
      <w:r>
        <w:rPr>
          <w:rFonts w:ascii="Times New Roman;serif" w:hAnsi="Times New Roman;serif"/>
          <w:b w:val="false"/>
          <w:color w:val="000000"/>
          <w:sz w:val="24"/>
        </w:rPr>
        <w:t>(b)    </w:t>
      </w:r>
      <w:r>
        <w:rPr>
          <w:rFonts w:ascii="Times New Roman;serif" w:hAnsi="Times New Roman;serif"/>
          <w:b w:val="false"/>
          <w:color w:val="000000"/>
          <w:sz w:val="22"/>
        </w:rPr>
        <w:t>for any calculation with respect to an ABR Loan on any day, the Term SOFR Reference Rate for a tenor of one month on the day (such day, the “</w:t>
      </w:r>
      <w:r>
        <w:rPr>
          <w:rFonts w:ascii="Times New Roman;serif" w:hAnsi="Times New Roman;serif"/>
          <w:b/>
          <w:color w:val="000000"/>
          <w:sz w:val="22"/>
        </w:rPr>
        <w:t>ABR Term SOFR Determination Day</w:t>
      </w:r>
      <w:r>
        <w:rPr>
          <w:color w:val="000000"/>
        </w:rPr>
        <w:t>”</w:t>
      </w:r>
      <w:r>
        <w:rPr>
          <w:rFonts w:ascii="Times New Roman;serif" w:hAnsi="Times New Roman;serif"/>
          <w:b w:val="false"/>
          <w:color w:val="000000"/>
          <w:sz w:val="22"/>
        </w:rPr>
        <w:t xml:space="preserve">) that is two (2) U.S. Government Securities Business Days prior to such day, as such rate is published by the Term SOFR Administrator; </w:t>
      </w:r>
      <w:r>
        <w:rPr>
          <w:rFonts w:ascii="Times New Roman;serif" w:hAnsi="Times New Roman;serif"/>
          <w:b w:val="false"/>
          <w:i/>
          <w:color w:val="000000"/>
          <w:sz w:val="22"/>
        </w:rPr>
        <w:t>provided, however</w:t>
      </w:r>
      <w:r>
        <w:rPr>
          <w:rFonts w:ascii="Times New Roman;serif" w:hAnsi="Times New Roman;serif"/>
          <w:b w:val="false"/>
          <w:color w:val="000000"/>
          <w:sz w:val="22"/>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and</w:t>
      </w:r>
    </w:p>
    <w:p>
      <w:pPr>
        <w:pStyle w:val="TextBody"/>
        <w:bidi w:val="0"/>
        <w:spacing w:lineRule="auto" w:line="288" w:before="0" w:after="240"/>
        <w:ind w:left="0" w:right="0" w:firstLine="720"/>
        <w:jc w:val="left"/>
        <w:rPr/>
      </w:pPr>
      <w:r>
        <w:rPr>
          <w:rFonts w:ascii="Times New Roman;serif" w:hAnsi="Times New Roman;serif"/>
          <w:b w:val="false"/>
          <w:color w:val="000000"/>
          <w:sz w:val="24"/>
        </w:rPr>
        <w:t>(c)    </w:t>
      </w:r>
      <w:r>
        <w:rPr>
          <w:rFonts w:ascii="Times New Roman;serif" w:hAnsi="Times New Roman;serif"/>
          <w:b w:val="false"/>
          <w:color w:val="000000"/>
          <w:sz w:val="22"/>
        </w:rPr>
        <w:t xml:space="preserve">in each case of clause (a) or (b) above,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0.00%;</w:t>
      </w:r>
    </w:p>
    <w:p>
      <w:pPr>
        <w:pStyle w:val="TextBody"/>
        <w:bidi w:val="0"/>
        <w:spacing w:lineRule="auto" w:line="288" w:before="0" w:after="240"/>
        <w:jc w:val="left"/>
        <w:rPr/>
      </w:pP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if Term SOFR determined as provided above (including pursuant to the proviso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above) shall ever be less than the Floor, then Term SOFR shall be deemed to be the Floor.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SOFR Administrator</w:t>
      </w:r>
      <w:r>
        <w:rPr>
          <w:color w:val="000000"/>
        </w:rPr>
        <w:t xml:space="preserve">” </w:t>
      </w:r>
      <w:r>
        <w:rPr>
          <w:rFonts w:ascii="Times New Roman;serif" w:hAnsi="Times New Roman;serif"/>
          <w:b w:val="false"/>
          <w:color w:val="000000"/>
          <w:sz w:val="22"/>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Term SOFR Reference Rate</w:t>
      </w:r>
      <w:r>
        <w:rPr>
          <w:color w:val="000000"/>
        </w:rPr>
        <w:t xml:space="preserve">” </w:t>
      </w:r>
      <w:r>
        <w:rPr>
          <w:rFonts w:ascii="Times New Roman;serif" w:hAnsi="Times New Roman;serif"/>
          <w:b w:val="false"/>
          <w:color w:val="000000"/>
          <w:sz w:val="22"/>
        </w:rPr>
        <w:t>means the forward-looking term rate based on SOFR.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Test Period</w:t>
      </w:r>
      <w:r>
        <w:rPr>
          <w:color w:val="000000"/>
        </w:rPr>
        <w:t xml:space="preserve">” </w:t>
      </w:r>
      <w:r>
        <w:rPr>
          <w:rFonts w:ascii="Times New Roman;serif" w:hAnsi="Times New Roman;serif"/>
          <w:b w:val="false"/>
          <w:color w:val="000000"/>
          <w:sz w:val="22"/>
        </w:rPr>
        <w:t>means the most recent period of four consecutive fiscal quarters of the Restricted Group ended on or prior to such time (taken as one accounting period) in respect of which financial statements for each such quarter or fiscal year in such period are internally available (as determined in good faith by the Company).</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Thompson Reuters</w:t>
      </w:r>
      <w:r>
        <w:rPr>
          <w:strike/>
          <w:color w:val="FF0000"/>
        </w:rPr>
        <w:t xml:space="preserve">” </w:t>
      </w:r>
      <w:r>
        <w:rPr>
          <w:rFonts w:ascii="Times New Roman;serif" w:hAnsi="Times New Roman;serif"/>
          <w:b w:val="false"/>
          <w:strike/>
          <w:color w:val="FF0000"/>
          <w:sz w:val="22"/>
        </w:rPr>
        <w:t>means, as applicable, Thomson Reuters Corp., Refinitiv, or any successor thereto.</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Threshold Amount</w:t>
      </w:r>
      <w:r>
        <w:rPr>
          <w:color w:val="000000"/>
        </w:rPr>
        <w:t xml:space="preserve">” </w:t>
      </w:r>
      <w:r>
        <w:rPr>
          <w:rFonts w:ascii="Times New Roman;serif" w:hAnsi="Times New Roman;serif"/>
          <w:b w:val="false"/>
          <w:color w:val="000000"/>
          <w:sz w:val="22"/>
        </w:rPr>
        <w:t>means the greater of (x) $125,000,000 and (y) 25.0% of LTM EBITDA.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Total Assets</w:t>
      </w:r>
      <w:r>
        <w:rPr>
          <w:color w:val="000000"/>
        </w:rPr>
        <w:t xml:space="preserve">” </w:t>
      </w:r>
      <w:r>
        <w:rPr>
          <w:rFonts w:ascii="Times New Roman;serif" w:hAnsi="Times New Roman;serif"/>
          <w:b w:val="false"/>
          <w:color w:val="000000"/>
          <w:sz w:val="22"/>
        </w:rPr>
        <w:t xml:space="preserve">means, as of any date, the total consolidated assets of the Company and its Restricted Subsidiaries on a consolidated basis, as shown on the most recent consolidated balance sheet of the Company and its Restricted Subsidiaries, determined on a pro forma basis in a manner consistent with </w:t>
      </w:r>
      <w:r>
        <w:rPr>
          <w:rFonts w:ascii="Times New Roman;serif" w:hAnsi="Times New Roman;serif"/>
          <w:b w:val="false"/>
          <w:color w:val="000000"/>
          <w:sz w:val="22"/>
          <w:u w:val="single"/>
        </w:rPr>
        <w:t>Section 1.10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Total Outstandings</w:t>
      </w:r>
      <w:r>
        <w:rPr>
          <w:color w:val="000000"/>
        </w:rPr>
        <w:t xml:space="preserve">” </w:t>
      </w:r>
      <w:r>
        <w:rPr>
          <w:rFonts w:ascii="Times New Roman;serif" w:hAnsi="Times New Roman;serif"/>
          <w:b w:val="false"/>
          <w:color w:val="000000"/>
          <w:sz w:val="22"/>
        </w:rPr>
        <w:t>means the aggregate Outstanding Amount of all Loans and all L/C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75260"/>
                <wp:effectExtent l="0" t="0" r="0" b="0"/>
                <wp:wrapNone/>
                <wp:docPr id="180" name="Frame1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Total Revolving Credit Outstandings</w:t>
      </w:r>
      <w:r>
        <w:rPr>
          <w:color w:val="000000"/>
        </w:rPr>
        <w:t xml:space="preserve">” </w:t>
      </w:r>
      <w:r>
        <w:rPr>
          <w:rFonts w:ascii="Times New Roman;serif" w:hAnsi="Times New Roman;serif"/>
          <w:b w:val="false"/>
          <w:color w:val="000000"/>
          <w:sz w:val="22"/>
        </w:rPr>
        <w:t>means the aggregate Outstanding Amount of all Revolving Credit Loans and L/C Obligations.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Tranche</w:t>
      </w:r>
      <w:r>
        <w:rPr>
          <w:color w:val="000000"/>
        </w:rPr>
        <w:t xml:space="preserve">” </w:t>
      </w:r>
      <w:r>
        <w:rPr>
          <w:rFonts w:ascii="Times New Roman;serif" w:hAnsi="Times New Roman;serif"/>
          <w:b w:val="false"/>
          <w:color w:val="000000"/>
          <w:sz w:val="22"/>
        </w:rPr>
        <w:t>means any Term Loan Tranche or any Revolving Tranche.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Transaction Costs</w:t>
      </w:r>
      <w:r>
        <w:rPr>
          <w:color w:val="000000"/>
        </w:rPr>
        <w:t xml:space="preserve">” </w:t>
      </w:r>
      <w:r>
        <w:rPr>
          <w:rFonts w:ascii="Times New Roman;serif" w:hAnsi="Times New Roman;serif"/>
          <w:b w:val="false"/>
          <w:color w:val="000000"/>
          <w:sz w:val="22"/>
        </w:rPr>
        <w:t>has the meaning given to such term in the definition of “Transactions.”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Transaction Documents</w:t>
      </w:r>
      <w:r>
        <w:rPr>
          <w:color w:val="000000"/>
        </w:rPr>
        <w:t xml:space="preserve">” </w:t>
      </w:r>
      <w:r>
        <w:rPr>
          <w:rFonts w:ascii="Times New Roman;serif" w:hAnsi="Times New Roman;serif"/>
          <w:b w:val="false"/>
          <w:color w:val="000000"/>
          <w:sz w:val="22"/>
        </w:rPr>
        <w:t>means that certain the Separation and Distribution Agreement by and between BD and Embecta Corp., expected to be dated as of the Spin-Off Date, and any other agreements entered into by the Company in connection with the Transactions.</w:t>
      </w:r>
    </w:p>
    <w:p>
      <w:pPr>
        <w:pStyle w:val="TextBody"/>
        <w:bidi w:val="0"/>
        <w:spacing w:lineRule="auto" w:line="288" w:before="0" w:after="240"/>
        <w:ind w:left="0" w:right="0" w:firstLine="720"/>
        <w:jc w:val="left"/>
        <w:rPr>
          <w:color w:val="000000"/>
        </w:rPr>
      </w:pPr>
      <w:r>
        <w:rPr>
          <w:color w:val="000000"/>
        </w:rPr>
        <w:t>“</w:t>
      </w:r>
      <w:r>
        <w:rPr>
          <w:rFonts w:ascii="Times New Roman;serif" w:hAnsi="Times New Roman;serif"/>
          <w:b w:val="false"/>
          <w:color w:val="000000"/>
          <w:sz w:val="22"/>
        </w:rPr>
        <w:t>Transactions” means,</w:t>
      </w:r>
    </w:p>
    <w:p>
      <w:pPr>
        <w:pStyle w:val="TextBody"/>
        <w:bidi w:val="0"/>
        <w:spacing w:lineRule="auto" w:line="288" w:before="0" w:after="240"/>
        <w:ind w:left="0" w:right="0" w:firstLine="720"/>
        <w:jc w:val="left"/>
        <w:rPr/>
      </w:pPr>
      <w:r>
        <w:rPr>
          <w:rFonts w:ascii="Times New Roman;serif" w:hAnsi="Times New Roman;serif"/>
          <w:b w:val="false"/>
          <w:color w:val="000000"/>
          <w:sz w:val="22"/>
        </w:rPr>
        <w:t>(i)    internal reorganization transactions undertaken by BD, the Company and their respective subsidiaries as a result of which the Company will hold, directly or through its subsidiaries, the business, operations and activities of the diabetes care unit of BD as conducted as of immediately prior to the Spin-Off Date, which includes the manufacturing and sale of syringes, pen needles and other products related to the injection or infusion of insulin and other drugs used in the treatment of diabetes (the “</w:t>
      </w:r>
      <w:r>
        <w:rPr>
          <w:rFonts w:ascii="Times New Roman;serif" w:hAnsi="Times New Roman;serif"/>
          <w:b/>
          <w:color w:val="000000"/>
          <w:sz w:val="22"/>
        </w:rPr>
        <w:t>Spinco Business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(ii)    the Company (a) (1) obtaining the initial Facilities consisting of the initial Revolving Credit Facility and the initial Term Facility and (2) issuing the Senior Secured Notes and (b) (1) using the proceeds of the initial fundings thereunder to fund a special payment to BD (the “</w:t>
      </w:r>
      <w:r>
        <w:rPr>
          <w:rFonts w:ascii="Times New Roman;serif" w:hAnsi="Times New Roman;serif"/>
          <w:b/>
          <w:color w:val="000000"/>
          <w:sz w:val="22"/>
        </w:rPr>
        <w:t>Special Payment</w:t>
      </w:r>
      <w:r>
        <w:rPr>
          <w:color w:val="000000"/>
        </w:rPr>
        <w:t>”</w:t>
      </w:r>
      <w:r>
        <w:rPr>
          <w:rFonts w:ascii="Times New Roman;serif" w:hAnsi="Times New Roman;serif"/>
          <w:b w:val="false"/>
          <w:color w:val="000000"/>
          <w:sz w:val="22"/>
        </w:rPr>
        <w:t>) and (2) at the Company’s option, issuing additional Senior Secured Notes to BD;</w:t>
      </w:r>
    </w:p>
    <w:p>
      <w:pPr>
        <w:pStyle w:val="TextBody"/>
        <w:bidi w:val="0"/>
        <w:spacing w:lineRule="auto" w:line="288" w:before="0" w:after="240"/>
        <w:ind w:left="0" w:right="0" w:firstLine="720"/>
        <w:jc w:val="left"/>
        <w:rPr/>
      </w:pPr>
      <w:r>
        <w:rPr>
          <w:rFonts w:ascii="Times New Roman;serif" w:hAnsi="Times New Roman;serif"/>
          <w:b w:val="false"/>
          <w:color w:val="000000"/>
          <w:sz w:val="22"/>
        </w:rPr>
        <w:t>(iii)    the distribution on a pro rata basis to equityholders of BD of all the shares of equity interests of the Company (with cash in lieu of fractional shares) (the consummation of the foregoing, the “</w:t>
      </w:r>
      <w:r>
        <w:rPr>
          <w:rFonts w:ascii="Times New Roman;serif" w:hAnsi="Times New Roman;serif"/>
          <w:b/>
          <w:color w:val="000000"/>
          <w:sz w:val="22"/>
        </w:rPr>
        <w:t>Spin-Off</w:t>
      </w:r>
      <w:r>
        <w:rPr>
          <w:color w:val="000000"/>
        </w:rPr>
        <w:t>”</w:t>
      </w:r>
      <w:r>
        <w:rPr>
          <w:rFonts w:ascii="Times New Roman;serif" w:hAnsi="Times New Roman;serif"/>
          <w:b w:val="false"/>
          <w:color w:val="000000"/>
          <w:sz w:val="22"/>
        </w:rPr>
        <w:t>, and the date of such consummation of the Spin-Off, the “</w:t>
      </w:r>
      <w:r>
        <w:rPr>
          <w:rFonts w:ascii="Times New Roman;serif" w:hAnsi="Times New Roman;serif"/>
          <w:b/>
          <w:color w:val="000000"/>
          <w:sz w:val="22"/>
        </w:rPr>
        <w:t>Spin-Off Date</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the execution and performance of the agreements (along with schedules and exhibits thereto) relating to the foregoing;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each of the transactions ancillary to the foregoing, including any distributions or other transfers of cash and/or other property or liabilities by BD or its Subsidiaries to the Company or its Subsidiaries, and vice versa;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(vi)    the payment of fees, costs and expenses related to the foregoing (the “</w:t>
      </w:r>
      <w:r>
        <w:rPr>
          <w:rFonts w:ascii="Times New Roman;serif" w:hAnsi="Times New Roman;serif"/>
          <w:b/>
          <w:color w:val="000000"/>
          <w:sz w:val="22"/>
        </w:rPr>
        <w:t>Transaction Costs</w:t>
      </w:r>
      <w:r>
        <w:rPr>
          <w:color w:val="000000"/>
        </w:rPr>
        <w:t>”</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pPr>
      <w:r>
        <w:rPr>
          <w:strike/>
          <w:color w:val="FF0000"/>
        </w:rPr>
        <w:t>“</w:t>
      </w:r>
      <w:r>
        <w:rPr>
          <w:rFonts w:ascii="Times New Roman;serif" w:hAnsi="Times New Roman;serif"/>
          <w:b/>
          <w:strike/>
          <w:color w:val="FF0000"/>
          <w:sz w:val="22"/>
        </w:rPr>
        <w:t>Treasury Capital Stock</w:t>
      </w:r>
      <w:r>
        <w:rPr>
          <w:strike/>
          <w:color w:val="FF0000"/>
        </w:rPr>
        <w:t xml:space="preserve">” </w:t>
      </w:r>
      <w:r>
        <w:rPr>
          <w:rFonts w:ascii="Times New Roman;serif" w:hAnsi="Times New Roman;serif"/>
          <w:b w:val="false"/>
          <w:strike/>
          <w:color w:val="FF0000"/>
          <w:sz w:val="22"/>
        </w:rPr>
        <w:t xml:space="preserve">has the meaning specified in </w:t>
      </w:r>
      <w:r>
        <w:rPr>
          <w:rFonts w:ascii="Times New Roman;serif" w:hAnsi="Times New Roman;serif"/>
          <w:b w:val="false"/>
          <w:strike/>
          <w:color w:val="FF0000"/>
          <w:sz w:val="22"/>
          <w:u w:val="single"/>
        </w:rPr>
        <w:t>Section 7.05(b)(2)</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Type</w:t>
      </w:r>
      <w:r>
        <w:rPr>
          <w:color w:val="000000"/>
        </w:rPr>
        <w:t xml:space="preserve">” </w:t>
      </w:r>
      <w:r>
        <w:rPr>
          <w:rFonts w:ascii="Times New Roman;serif" w:hAnsi="Times New Roman;serif"/>
          <w:b w:val="false"/>
          <w:color w:val="000000"/>
          <w:sz w:val="22"/>
        </w:rPr>
        <w:t>means, with respect to a Loan, its character as an ABR Loan, SOFR Loan or Eurocurrency Rate Loan.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UCP</w:t>
      </w:r>
      <w:r>
        <w:rPr>
          <w:color w:val="000000"/>
        </w:rPr>
        <w:t xml:space="preserve">” </w:t>
      </w:r>
      <w:r>
        <w:rPr>
          <w:rFonts w:ascii="Times New Roman;serif" w:hAnsi="Times New Roman;serif"/>
          <w:b w:val="false"/>
          <w:color w:val="000000"/>
          <w:sz w:val="22"/>
        </w:rPr>
        <w:t>means the Uniform Customs and Practice for Documentary Credits, International Chamber of Commerce Publication No. 600 (or such later version thereof as may be in effect at the applicable time).</w:t>
      </w:r>
    </w:p>
    <w:p>
      <w:pPr>
        <w:pStyle w:val="TextBody"/>
        <w:bidi w:val="0"/>
        <w:spacing w:before="0" w:after="0"/>
        <w:jc w:val="left"/>
        <w:rPr/>
      </w:pPr>
      <w:r>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75260"/>
                <wp:effectExtent l="0" t="0" r="0" b="0"/>
                <wp:wrapNone/>
                <wp:docPr id="181" name="Frame1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UK Financial Institution</w:t>
      </w:r>
      <w:r>
        <w:rPr>
          <w:color w:val="000000"/>
        </w:rPr>
        <w:t xml:space="preserve">” </w:t>
      </w:r>
      <w:r>
        <w:rPr>
          <w:rFonts w:ascii="Times New Roman;serif" w:hAnsi="Times New Roman;serif"/>
          <w:b w:val="false"/>
          <w:color w:val="000000"/>
          <w:sz w:val="22"/>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UK Resolution Authority</w:t>
      </w:r>
      <w:r>
        <w:rPr>
          <w:color w:val="000000"/>
        </w:rPr>
        <w:t xml:space="preserve">” </w:t>
      </w:r>
      <w:r>
        <w:rPr>
          <w:rFonts w:ascii="Times New Roman;serif" w:hAnsi="Times New Roman;serif"/>
          <w:b w:val="false"/>
          <w:color w:val="000000"/>
          <w:sz w:val="22"/>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Unadjusted Benchmark Replacement</w:t>
      </w:r>
      <w:r>
        <w:rPr>
          <w:color w:val="000000"/>
        </w:rPr>
        <w:t xml:space="preserve">” </w:t>
      </w:r>
      <w:r>
        <w:rPr>
          <w:rFonts w:ascii="Times New Roman;serif" w:hAnsi="Times New Roman;serif"/>
          <w:b w:val="false"/>
          <w:color w:val="000000"/>
          <w:sz w:val="22"/>
        </w:rPr>
        <w:t>means the applicable Benchmark Replacement excluding the related Benchmark Replacement Adjustment.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Undisclosed Administration</w:t>
      </w:r>
      <w:r>
        <w:rPr>
          <w:color w:val="000000"/>
        </w:rPr>
        <w:t xml:space="preserve">” </w:t>
      </w:r>
      <w:r>
        <w:rPr>
          <w:rFonts w:ascii="Times New Roman;serif" w:hAnsi="Times New Roman;serif"/>
          <w:b w:val="false"/>
          <w:color w:val="000000"/>
          <w:sz w:val="22"/>
        </w:rPr>
        <w:t>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Unfunded Advances/Participations</w:t>
      </w:r>
      <w:r>
        <w:rPr>
          <w:color w:val="000000"/>
        </w:rPr>
        <w:t xml:space="preserve">” </w:t>
      </w:r>
      <w:r>
        <w:rPr>
          <w:rFonts w:ascii="Times New Roman;serif" w:hAnsi="Times New Roman;serif"/>
          <w:b w:val="false"/>
          <w:color w:val="000000"/>
          <w:sz w:val="22"/>
        </w:rPr>
        <w:t xml:space="preserve">means (a) with respect to the Administrative Agent, the aggregate amount, if any (i) made available to the applicable Borrower on the assumption that each Lender has made available to the Administrative Agent such Lender’s share of the applicable Borrowing available to the Administrative Agent as contemplated by </w:t>
      </w:r>
      <w:r>
        <w:rPr>
          <w:rFonts w:ascii="Times New Roman;serif" w:hAnsi="Times New Roman;serif"/>
          <w:b w:val="false"/>
          <w:color w:val="000000"/>
          <w:sz w:val="22"/>
          <w:u w:val="single"/>
        </w:rPr>
        <w:t>Section 2.12(b)</w:t>
      </w:r>
      <w:r>
        <w:rPr>
          <w:color w:val="000000"/>
        </w:rPr>
        <w:t xml:space="preserve"> </w:t>
      </w:r>
      <w:r>
        <w:rPr>
          <w:rFonts w:ascii="Times New Roman;serif" w:hAnsi="Times New Roman;serif"/>
          <w:b w:val="false"/>
          <w:color w:val="000000"/>
          <w:sz w:val="22"/>
        </w:rPr>
        <w:t xml:space="preserve">and (ii) with respect to which a corresponding amount shall not in fact have been returned to the Administrative Agent by the applicable Borrower or made available to the Administrative Agent by any such Lender and (b) with respect to any L/C Issuer, the aggregate amount, if any, of amounts drawn under Letters of Credit in respect of which a Revolving Credit Lender shall have failed to make Revolving Credit Loans or L/C Advances to reimburse such L/C Issuer pursuant to </w:t>
      </w:r>
      <w:r>
        <w:rPr>
          <w:rFonts w:ascii="Times New Roman;serif" w:hAnsi="Times New Roman;serif"/>
          <w:b w:val="false"/>
          <w:color w:val="000000"/>
          <w:sz w:val="22"/>
          <w:u w:val="single"/>
        </w:rPr>
        <w:t>Section 2.03(d)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Unfunded Pension Liability</w:t>
      </w:r>
      <w:r>
        <w:rPr>
          <w:color w:val="000000"/>
        </w:rPr>
        <w:t xml:space="preserve">” </w:t>
      </w:r>
      <w:r>
        <w:rPr>
          <w:rFonts w:ascii="Times New Roman;serif" w:hAnsi="Times New Roman;serif"/>
          <w:b w:val="false"/>
          <w:color w:val="000000"/>
          <w:sz w:val="22"/>
        </w:rPr>
        <w:t>means the excess of a Plan’s benefit liabilities under Section 4001(a) of ERISA over the current value of such Plan’s assets, determined in accordance with assumptions used for funding the Plan pursuant to Section 412 of the Code for the applicable plan year.</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Uniform Commercial Code</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UCC</w:t>
      </w:r>
      <w:r>
        <w:rPr>
          <w:color w:val="000000"/>
        </w:rPr>
        <w:t xml:space="preserve">” </w:t>
      </w:r>
      <w:r>
        <w:rPr>
          <w:rFonts w:ascii="Times New Roman;serif" w:hAnsi="Times New Roman;serif"/>
          <w:b w:val="false"/>
          <w:color w:val="000000"/>
          <w:sz w:val="22"/>
        </w:rPr>
        <w:t>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United States</w:t>
      </w:r>
      <w:r>
        <w:rPr>
          <w:color w:val="000000"/>
        </w:rPr>
        <w:t xml:space="preserve">” </w:t>
      </w:r>
      <w:r>
        <w:rPr>
          <w:rFonts w:ascii="Times New Roman;serif" w:hAnsi="Times New Roman;serif"/>
          <w:b w:val="false"/>
          <w:color w:val="000000"/>
          <w:sz w:val="22"/>
        </w:rPr>
        <w:t>and “</w:t>
      </w:r>
      <w:r>
        <w:rPr>
          <w:rFonts w:ascii="Times New Roman;serif" w:hAnsi="Times New Roman;serif"/>
          <w:b/>
          <w:color w:val="000000"/>
          <w:sz w:val="22"/>
        </w:rPr>
        <w:t>U.S.</w:t>
      </w:r>
      <w:r>
        <w:rPr>
          <w:color w:val="000000"/>
        </w:rPr>
        <w:t xml:space="preserve">” </w:t>
      </w:r>
      <w:r>
        <w:rPr>
          <w:rFonts w:ascii="Times New Roman;serif" w:hAnsi="Times New Roman;serif"/>
          <w:b w:val="false"/>
          <w:color w:val="000000"/>
          <w:sz w:val="22"/>
        </w:rPr>
        <w:t>mean the United States of America.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Unreimbursed Amount</w:t>
      </w:r>
      <w:r>
        <w:rPr>
          <w:color w:val="000000"/>
        </w:rPr>
        <w:t xml:space="preserve">” </w:t>
      </w:r>
      <w:r>
        <w:rPr>
          <w:rFonts w:ascii="Times New Roman;serif" w:hAnsi="Times New Roman;serif"/>
          <w:b w:val="false"/>
          <w:color w:val="000000"/>
          <w:sz w:val="22"/>
        </w:rPr>
        <w:t xml:space="preserve">has the meaning specified in </w:t>
      </w:r>
      <w:r>
        <w:rPr>
          <w:rFonts w:ascii="Times New Roman;serif" w:hAnsi="Times New Roman;serif"/>
          <w:b w:val="false"/>
          <w:color w:val="000000"/>
          <w:sz w:val="22"/>
          <w:u w:val="single"/>
        </w:rPr>
        <w:t>Section 2.03(d)(i)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Unrestricted Cash and Cash Equivalents</w:t>
      </w:r>
      <w:r>
        <w:rPr>
          <w:color w:val="000000"/>
        </w:rPr>
        <w:t xml:space="preserve">” </w:t>
      </w:r>
      <w:r>
        <w:rPr>
          <w:rFonts w:ascii="Times New Roman;serif" w:hAnsi="Times New Roman;serif"/>
          <w:b w:val="false"/>
          <w:color w:val="000000"/>
          <w:sz w:val="22"/>
        </w:rPr>
        <w:t>means cash or Cash Equivalents included on the consolidated balance sheet of the Company and its Restricted Subsidiaries as of the end of the most recent fiscal period for which consolidated financial statements are available (which may, at the Company’s election, be internal financial statements) that (1) would not appear as “restricted” on the consolidated balance sheet of the Company and its Restricted Subsidiaries or (2) are restricted in favor of the Facilities (which may also secure other Indebtedness secured by a or junior Lien basis with the Facilities).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Unrestricted Subsidiary</w:t>
      </w:r>
      <w:r>
        <w:rPr>
          <w:color w:val="000000"/>
        </w:rPr>
        <w:t xml:space="preserve">” </w:t>
      </w:r>
      <w:r>
        <w:rPr>
          <w:rFonts w:ascii="Times New Roman;serif" w:hAnsi="Times New Roman;serif"/>
          <w:b w:val="false"/>
          <w:color w:val="000000"/>
          <w:sz w:val="22"/>
        </w:rPr>
        <w:t>means:</w:t>
      </w:r>
    </w:p>
    <w:p>
      <w:pPr>
        <w:pStyle w:val="TextBody"/>
        <w:bidi w:val="0"/>
        <w:spacing w:before="0" w:after="0"/>
        <w:jc w:val="left"/>
        <w:rPr/>
      </w:pPr>
      <w:r>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75260"/>
                <wp:effectExtent l="0" t="0" r="0" b="0"/>
                <wp:wrapNone/>
                <wp:docPr id="182" name="Frame1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any Subsidiary of the Company that at the time of determination is an Unrestricted Subsidiary (as designated by the Company in the manner provided below);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any Subsidiary of an Unrestricted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may designate any Subsidiary of the Company (other than any Borrower or any Subsidiary that directly or indirectly owns Capital Stock of a Borrower), (including any newly acquired or newly formed Subsidiary or a Person becoming a Subsidiary through merger, consolidation or other business combination transaction, or Investment therein), to be an Unrestricted Subsidiary only if: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at the time of such designation, such Subsidiary or any of its Subsidiaries does not own any Capital Stock of the Company or any other Subsidiary of the Company which is not a Subsidiary of the Subsidiary to be so designated or otherwise an Unrestricted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    such designation and the Investment, if any, of the Company in such Subsidiary complies with </w:t>
      </w:r>
      <w:r>
        <w:rPr>
          <w:rFonts w:ascii="Times New Roman;serif" w:hAnsi="Times New Roman;serif"/>
          <w:b w:val="false"/>
          <w:color w:val="000000"/>
          <w:sz w:val="22"/>
          <w:u w:val="single"/>
        </w:rPr>
        <w:t>Section 7.05</w:t>
      </w:r>
      <w:r>
        <w:rPr>
          <w:rFonts w:ascii="Times New Roman;serif" w:hAnsi="Times New Roman;serif"/>
          <w:b w:val="false"/>
          <w:color w:val="000000"/>
          <w:sz w:val="22"/>
        </w:rPr>
        <w: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    such designation would not cause an Event of Default pursuant to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pursuant to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an Event of Default (such redesignation, a “</w:t>
      </w:r>
      <w:r>
        <w:rPr>
          <w:rFonts w:ascii="Times New Roman;serif" w:hAnsi="Times New Roman;serif"/>
          <w:b/>
          <w:color w:val="000000"/>
          <w:sz w:val="22"/>
        </w:rPr>
        <w:t>Subsidiary Redesignation</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Any designation of a Subsidiary of the Company as an Unrestricted Subsidiary will be evidenced to the Administrative Agent by delivering to the Administrative Agent a certificate of a Responsible Officer certifying that such designation complies with the preceding conditions and was not prohibited by </w:t>
      </w:r>
      <w:r>
        <w:rPr>
          <w:rFonts w:ascii="Times New Roman;serif" w:hAnsi="Times New Roman;serif"/>
          <w:b w:val="false"/>
          <w:color w:val="000000"/>
          <w:sz w:val="22"/>
          <w:u w:val="single"/>
        </w:rPr>
        <w:t>Section 7.05</w:t>
      </w:r>
      <w:r>
        <w:rPr>
          <w:rFonts w:ascii="Times New Roman;serif" w:hAnsi="Times New Roman;serif"/>
          <w:b w:val="false"/>
          <w:color w:val="000000"/>
          <w:sz w:val="22"/>
        </w:rPr>
        <w:t xml:space="preserve">. If, at any time, any Unrestricted Subsidiary would fail to meet the preceding requirements as an Unrestricted Subsidiary, it will thereafter cease to be an Unrestricted Subsidiary for purposes of this Agreement and any Indebtedness and Liens of such Subsidiary will be deemed to be incurred by a Restricted Subsidiary as of such date and, if such Indebtedness or Liens are not permitted to be incurred as of such date under </w:t>
      </w:r>
      <w:r>
        <w:rPr>
          <w:rFonts w:ascii="Times New Roman;serif" w:hAnsi="Times New Roman;serif"/>
          <w:b w:val="false"/>
          <w:color w:val="000000"/>
          <w:sz w:val="22"/>
          <w:u w:val="single"/>
        </w:rPr>
        <w:t>Section 7.01</w:t>
      </w:r>
      <w:r>
        <w:rPr>
          <w:rFonts w:ascii="Times New Roman;serif" w:hAnsi="Times New Roman;serif"/>
          <w:b w:val="false"/>
          <w:color w:val="000000"/>
          <w:sz w:val="22"/>
        </w:rPr>
        <w:t>, the Company will be in default of such covenant.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The Company may at any time designate any Unrestricted Subsidiary to be a Restricted Subsidiary;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such designation will be deemed to be an incurrence of Indebtedness and Liens by a Restricted Subsidiary of any outstanding Indebtedness and Liens of such Unrestricted Subsidiary, and such designation will only be permitted if (1) such Indebtedness is permitted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(including pursuant to </w:t>
      </w:r>
      <w:r>
        <w:rPr>
          <w:rFonts w:ascii="Times New Roman;serif" w:hAnsi="Times New Roman;serif"/>
          <w:b w:val="false"/>
          <w:color w:val="000000"/>
          <w:sz w:val="22"/>
          <w:u w:val="single"/>
        </w:rPr>
        <w:t>clause (5)</w:t>
      </w:r>
      <w:r>
        <w:rPr>
          <w:color w:val="000000"/>
        </w:rPr>
        <w:t xml:space="preserve"> </w:t>
      </w:r>
      <w:r>
        <w:rPr>
          <w:rFonts w:ascii="Times New Roman;serif" w:hAnsi="Times New Roman;serif"/>
          <w:b w:val="false"/>
          <w:color w:val="000000"/>
          <w:sz w:val="22"/>
        </w:rPr>
        <w:t xml:space="preserve">of the second paragraph thereof treating such redesignation as an acquisition for the purpose of such clause), calculated on a pro forma basis as if such designation had occurred at the beginning of the applicable reference period; and (2) no Event of Default pursuant to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would be in existence following such designation. Any such designation by the Company shall be evidenced to the Administrative Agent by delivering to the Administrative Agent a certificate of a Responsible Officer certifying that such designation complies with the preceding conditions.</w:t>
      </w:r>
    </w:p>
    <w:p>
      <w:pPr>
        <w:pStyle w:val="TextBody"/>
        <w:bidi w:val="0"/>
        <w:spacing w:before="0" w:after="0"/>
        <w:jc w:val="left"/>
        <w:rPr/>
      </w:pPr>
      <w:r>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75260"/>
                <wp:effectExtent l="0" t="0" r="0" b="0"/>
                <wp:wrapNone/>
                <wp:docPr id="183" name="Frame1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anything else herein to the contrary, </w:t>
      </w:r>
      <w:r>
        <w:rPr>
          <w:rFonts w:ascii="Times New Roman;serif" w:hAnsi="Times New Roman;serif"/>
          <w:b w:val="false"/>
          <w:color w:val="0000FF"/>
          <w:sz w:val="22"/>
          <w:u w:val="single"/>
        </w:rPr>
        <w:t xml:space="preserve">(1) </w:t>
      </w:r>
      <w:r>
        <w:rPr>
          <w:rFonts w:ascii="Times New Roman;serif" w:hAnsi="Times New Roman;serif"/>
          <w:b w:val="false"/>
          <w:color w:val="000000"/>
          <w:sz w:val="22"/>
        </w:rPr>
        <w:t>the Company shall not, and shall not permit any of its Restricted Subsidiaries to, sell, convey, transfer or otherwise dispose of (including pursuant to an Investment) any Material Intellectual Property that is owned by, or exclusively licensed to, the Company or any Restricted Subsidiary to any Unrestricted Subsidiary</w:t>
      </w:r>
      <w:r>
        <w:rPr>
          <w:rFonts w:ascii="Times New Roman;serif" w:hAnsi="Times New Roman;serif"/>
          <w:b w:val="false"/>
          <w:strike/>
          <w:color w:val="FF0000"/>
          <w:sz w:val="22"/>
        </w:rPr>
        <w:t>.</w:t>
      </w:r>
      <w:r>
        <w:rPr>
          <w:color w:val="0000FF"/>
          <w:u w:val="single"/>
        </w:rPr>
        <w:t xml:space="preserve"> </w:t>
      </w:r>
      <w:r>
        <w:rPr>
          <w:rFonts w:ascii="Times New Roman;serif" w:hAnsi="Times New Roman;serif"/>
          <w:b w:val="false"/>
          <w:color w:val="0000FF"/>
          <w:sz w:val="22"/>
          <w:u w:val="single"/>
        </w:rPr>
        <w:t xml:space="preserve">and (2) </w:t>
      </w:r>
      <w:r>
        <w:rPr>
          <w:rFonts w:ascii="Times New Roman;serif" w:hAnsi="Times New Roman;serif"/>
          <w:b w:val="false"/>
          <w:color w:val="008000"/>
          <w:sz w:val="22"/>
          <w:u w:val="single"/>
        </w:rPr>
        <w:t xml:space="preserve">the Company shall not, </w:t>
      </w:r>
      <w:r>
        <w:rPr>
          <w:rFonts w:ascii="Times New Roman;serif" w:hAnsi="Times New Roman;serif"/>
          <w:b w:val="false"/>
          <w:color w:val="0000FF"/>
          <w:sz w:val="22"/>
          <w:u w:val="single"/>
        </w:rPr>
        <w:t xml:space="preserve">and shall not </w:t>
      </w:r>
      <w:r>
        <w:rPr>
          <w:rFonts w:ascii="Times New Roman;serif" w:hAnsi="Times New Roman;serif"/>
          <w:b w:val="false"/>
          <w:color w:val="008000"/>
          <w:sz w:val="22"/>
          <w:u w:val="single"/>
        </w:rPr>
        <w:t xml:space="preserve">permit any </w:t>
      </w:r>
      <w:r>
        <w:rPr>
          <w:rFonts w:ascii="Times New Roman;serif" w:hAnsi="Times New Roman;serif"/>
          <w:b w:val="false"/>
          <w:color w:val="0000FF"/>
          <w:sz w:val="22"/>
          <w:u w:val="single"/>
        </w:rPr>
        <w:t xml:space="preserve">other Loan Party to, sell, convey, transfer or otherwise dispose of (including pursuant to an Investment) any Material Intellectual Property that is owned by, or exclusively licensed </w:t>
      </w:r>
      <w:r>
        <w:rPr>
          <w:rFonts w:ascii="Times New Roman;serif" w:hAnsi="Times New Roman;serif"/>
          <w:b w:val="false"/>
          <w:color w:val="008000"/>
          <w:sz w:val="22"/>
          <w:u w:val="single"/>
        </w:rPr>
        <w:t xml:space="preserve">to, the </w:t>
      </w:r>
      <w:r>
        <w:rPr>
          <w:rFonts w:ascii="Times New Roman;serif" w:hAnsi="Times New Roman;serif"/>
          <w:b w:val="false"/>
          <w:color w:val="0000FF"/>
          <w:sz w:val="22"/>
          <w:u w:val="single"/>
        </w:rPr>
        <w:t>Company or any other Loan Party to any Non-Loan Party Subsidiary.</w:t>
      </w:r>
    </w:p>
    <w:p>
      <w:pPr>
        <w:pStyle w:val="TextBody"/>
        <w:bidi w:val="0"/>
        <w:spacing w:lineRule="auto" w:line="288" w:before="0" w:after="240"/>
        <w:ind w:left="0" w:right="0" w:firstLine="720"/>
        <w:jc w:val="left"/>
        <w:rPr/>
      </w:pPr>
      <w:r>
        <w:rPr>
          <w:color w:val="000000"/>
        </w:rPr>
        <w:t>    </w:t>
      </w:r>
      <w:r>
        <w:rPr>
          <w:rFonts w:ascii="Times New Roman;serif" w:hAnsi="Times New Roman;serif"/>
          <w:b w:val="false"/>
          <w:color w:val="0000FF"/>
          <w:sz w:val="22"/>
          <w:u w:val="single"/>
        </w:rPr>
        <w:t>Notwithstanding anything to the contrary contained in this Agreement, including, without limitation, this defined term</w:t>
      </w:r>
      <w:r>
        <w:rPr>
          <w:rFonts w:ascii="Times New Roman;serif" w:hAnsi="Times New Roman;serif"/>
          <w:b w:val="false"/>
          <w:color w:val="008000"/>
          <w:sz w:val="22"/>
          <w:u w:val="single"/>
        </w:rPr>
        <w:t xml:space="preserve">, from and after the </w:t>
      </w:r>
      <w:r>
        <w:rPr>
          <w:rFonts w:ascii="Times New Roman;serif" w:hAnsi="Times New Roman;serif"/>
          <w:b w:val="false"/>
          <w:color w:val="0000FF"/>
          <w:sz w:val="22"/>
          <w:u w:val="single"/>
        </w:rPr>
        <w:t xml:space="preserve">First Amendment Effective Date, </w:t>
      </w:r>
      <w:r>
        <w:rPr>
          <w:rFonts w:ascii="Times New Roman;serif" w:hAnsi="Times New Roman;serif"/>
          <w:b w:val="false"/>
          <w:color w:val="008000"/>
          <w:sz w:val="22"/>
          <w:u w:val="single"/>
        </w:rPr>
        <w:t xml:space="preserve">the Company </w:t>
      </w:r>
      <w:r>
        <w:rPr>
          <w:rFonts w:ascii="Times New Roman;serif" w:hAnsi="Times New Roman;serif"/>
          <w:b w:val="false"/>
          <w:color w:val="0000FF"/>
          <w:sz w:val="22"/>
          <w:u w:val="single"/>
        </w:rPr>
        <w:t xml:space="preserve">may not designate any Subsidiary of </w:t>
      </w:r>
      <w:r>
        <w:rPr>
          <w:rFonts w:ascii="Times New Roman;serif" w:hAnsi="Times New Roman;serif"/>
          <w:b w:val="false"/>
          <w:color w:val="008000"/>
          <w:sz w:val="22"/>
          <w:u w:val="single"/>
        </w:rPr>
        <w:t xml:space="preserve">the Company </w:t>
      </w:r>
      <w:r>
        <w:rPr>
          <w:rFonts w:ascii="Times New Roman;serif" w:hAnsi="Times New Roman;serif"/>
          <w:b w:val="false"/>
          <w:color w:val="0000FF"/>
          <w:sz w:val="22"/>
          <w:u w:val="single"/>
        </w:rPr>
        <w:t>to be an Unrestricted Subsidiary.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U.S. Government Securities Business Day</w:t>
      </w:r>
      <w:r>
        <w:rPr>
          <w:color w:val="000000"/>
        </w:rPr>
        <w:t xml:space="preserve">” </w:t>
      </w:r>
      <w:r>
        <w:rPr>
          <w:rFonts w:ascii="Times New Roman;serif" w:hAnsi="Times New Roman;serif"/>
          <w:b w:val="false"/>
          <w:color w:val="000000"/>
          <w:sz w:val="22"/>
        </w:rPr>
        <w:t>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U.S. Person</w:t>
      </w:r>
      <w:r>
        <w:rPr>
          <w:color w:val="000000"/>
        </w:rPr>
        <w:t xml:space="preserve">” </w:t>
      </w:r>
      <w:r>
        <w:rPr>
          <w:rFonts w:ascii="Times New Roman;serif" w:hAnsi="Times New Roman;serif"/>
          <w:b w:val="false"/>
          <w:color w:val="000000"/>
          <w:sz w:val="22"/>
        </w:rPr>
        <w:t>means any Person that is a “United States person” as defined in Section 7701(a)(30) of the Code.</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U.S. Subsidiary</w:t>
      </w:r>
      <w:r>
        <w:rPr>
          <w:color w:val="000000"/>
        </w:rPr>
        <w:t xml:space="preserve">” </w:t>
      </w:r>
      <w:r>
        <w:rPr>
          <w:rFonts w:ascii="Times New Roman;serif" w:hAnsi="Times New Roman;serif"/>
          <w:b w:val="false"/>
          <w:color w:val="000000"/>
          <w:sz w:val="22"/>
        </w:rPr>
        <w:t>means any Subsidiary of the Company that is organized under the laws of the United States, any state thereof or the District of Columbia.</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U.S. Tax Compliance Certificate</w:t>
      </w:r>
      <w:r>
        <w:rPr>
          <w:color w:val="000000"/>
        </w:rPr>
        <w:t xml:space="preserve">” </w:t>
      </w:r>
      <w:r>
        <w:rPr>
          <w:rFonts w:ascii="Times New Roman;serif" w:hAnsi="Times New Roman;serif"/>
          <w:b w:val="false"/>
          <w:color w:val="000000"/>
          <w:sz w:val="22"/>
        </w:rPr>
        <w:t xml:space="preserve">has the meaning assigned to such term in </w:t>
      </w:r>
      <w:r>
        <w:rPr>
          <w:rFonts w:ascii="Times New Roman;serif" w:hAnsi="Times New Roman;serif"/>
          <w:b w:val="false"/>
          <w:color w:val="000000"/>
          <w:sz w:val="22"/>
          <w:u w:val="single"/>
        </w:rPr>
        <w:t>Section 3.01(h)(ii)(B)(3)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Voting Stock</w:t>
      </w:r>
      <w:r>
        <w:rPr>
          <w:color w:val="000000"/>
        </w:rPr>
        <w:t xml:space="preserve">” </w:t>
      </w:r>
      <w:r>
        <w:rPr>
          <w:rFonts w:ascii="Times New Roman;serif" w:hAnsi="Times New Roman;serif"/>
          <w:b w:val="false"/>
          <w:color w:val="000000"/>
          <w:sz w:val="22"/>
        </w:rPr>
        <w:t>of any Person as of any date means the Capital Stock of such Person that is at the time entitled to vote (without regard to the occurrence of any contingency) in the election of the Board of Directors of such Person. When referring to a CFC or FSHCO, the term Voting Stock shall be interpreted in a manner consistent with Treasury Regulation 1.956-2(c)(2).</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Weighted Average Life to Maturity</w:t>
      </w:r>
      <w:r>
        <w:rPr>
          <w:color w:val="000000"/>
        </w:rPr>
        <w:t xml:space="preserve">” </w:t>
      </w:r>
      <w:r>
        <w:rPr>
          <w:rFonts w:ascii="Times New Roman;serif" w:hAnsi="Times New Roman;serif"/>
          <w:b w:val="false"/>
          <w:color w:val="000000"/>
          <w:sz w:val="22"/>
        </w:rPr>
        <w:t>means, when applied to any Indebtedness at any date, the quotient (in number of years) obtained by dividing: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Stock or Preferred Stock, by (ii) the amount of such payment, by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the sum of all such payments;</w:t>
      </w:r>
    </w:p>
    <w:p>
      <w:pPr>
        <w:pStyle w:val="TextBody"/>
        <w:bidi w:val="0"/>
        <w:spacing w:lineRule="auto" w:line="288" w:before="0" w:after="240"/>
        <w:jc w:val="left"/>
        <w:rPr/>
      </w:pPr>
      <w:r>
        <w:rPr>
          <w:rFonts w:ascii="Times New Roman;serif" w:hAnsi="Times New Roman;serif"/>
          <w:b w:val="false"/>
          <w:i/>
          <w:color w:val="000000"/>
          <w:sz w:val="22"/>
        </w:rPr>
        <w:t>provided that</w:t>
      </w:r>
      <w:r>
        <w:rPr>
          <w:rFonts w:ascii="Times New Roman;serif" w:hAnsi="Times New Roman;serif"/>
          <w:b w:val="false"/>
          <w:color w:val="000000"/>
          <w:sz w:val="22"/>
        </w:rPr>
        <w:t>, for purposes of determining the Weighted Average Life to Maturity of any Indebtedness, the effects of any prepayments or amortization made on such Indebtedness prior to the date of such determination will be disregarded.</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Wholly Owned Restricted Subsidiary</w:t>
      </w:r>
      <w:r>
        <w:rPr>
          <w:color w:val="000000"/>
        </w:rPr>
        <w:t xml:space="preserve">” </w:t>
      </w:r>
      <w:r>
        <w:rPr>
          <w:rFonts w:ascii="Times New Roman;serif" w:hAnsi="Times New Roman;serif"/>
          <w:b w:val="false"/>
          <w:color w:val="000000"/>
          <w:sz w:val="22"/>
        </w:rPr>
        <w:t>means any Wholly Owned Subsidiary that is a 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75260"/>
                <wp:effectExtent l="0" t="0" r="0" b="0"/>
                <wp:wrapNone/>
                <wp:docPr id="184" name="Frame1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Wholly Owned Subsidiary</w:t>
      </w:r>
      <w:r>
        <w:rPr>
          <w:color w:val="000000"/>
        </w:rPr>
        <w:t xml:space="preserve">” </w:t>
      </w:r>
      <w:r>
        <w:rPr>
          <w:rFonts w:ascii="Times New Roman;serif" w:hAnsi="Times New Roman;serif"/>
          <w:b w:val="false"/>
          <w:color w:val="000000"/>
          <w:sz w:val="22"/>
        </w:rPr>
        <w:t>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Unless otherwise indicated in this Agreement, all references to Wholly Owned Subsidiaries shall mean Wholly Owned Subsidiaries of the Company.</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Withholding Agent</w:t>
      </w:r>
      <w:r>
        <w:rPr>
          <w:color w:val="000000"/>
        </w:rPr>
        <w:t xml:space="preserve">” </w:t>
      </w:r>
      <w:r>
        <w:rPr>
          <w:rFonts w:ascii="Times New Roman;serif" w:hAnsi="Times New Roman;serif"/>
          <w:b w:val="false"/>
          <w:color w:val="000000"/>
          <w:sz w:val="22"/>
        </w:rPr>
        <w:t>means any Loan Party and the Administrative Agent or any other withholding agent under applicable Law.</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Working Capital</w:t>
      </w:r>
      <w:r>
        <w:rPr>
          <w:color w:val="000000"/>
        </w:rPr>
        <w:t xml:space="preserve">” </w:t>
      </w:r>
      <w:r>
        <w:rPr>
          <w:rFonts w:ascii="Times New Roman;serif" w:hAnsi="Times New Roman;serif"/>
          <w:b w:val="false"/>
          <w:color w:val="000000"/>
          <w:sz w:val="22"/>
        </w:rPr>
        <w:t xml:space="preserve">means, with respect to the Restricted Group on a consolidated basis, Consolidated Current Assets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Consolidated Current Liabilities.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Write-Down and Conversion Powers</w:t>
      </w:r>
      <w:r>
        <w:rPr>
          <w:color w:val="000000"/>
        </w:rPr>
        <w:t xml:space="preserve">” </w:t>
      </w:r>
      <w:r>
        <w:rPr>
          <w:rFonts w:ascii="Times New Roman;serif" w:hAnsi="Times New Roman;serif"/>
          <w:b w:val="false"/>
          <w:color w:val="000000"/>
          <w:sz w:val="22"/>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88" w:before="0" w:after="240"/>
        <w:ind w:left="0" w:right="0" w:firstLine="720"/>
        <w:jc w:val="left"/>
        <w:rPr/>
      </w:pPr>
      <w:r>
        <w:rPr>
          <w:color w:val="000000"/>
        </w:rPr>
        <w:t>“</w:t>
      </w:r>
      <w:r>
        <w:rPr>
          <w:rFonts w:ascii="Times New Roman;serif" w:hAnsi="Times New Roman;serif"/>
          <w:b/>
          <w:color w:val="000000"/>
          <w:sz w:val="22"/>
        </w:rPr>
        <w:t>Yen</w:t>
      </w:r>
      <w:r>
        <w:rPr>
          <w:color w:val="000000"/>
        </w:rPr>
        <w:t xml:space="preserve">” </w:t>
      </w:r>
      <w:r>
        <w:rPr>
          <w:rFonts w:ascii="Times New Roman;serif" w:hAnsi="Times New Roman;serif"/>
          <w:b w:val="false"/>
          <w:color w:val="000000"/>
          <w:sz w:val="22"/>
        </w:rPr>
        <w:t>means freely transferable lawful money of Japan (expressed in Yen).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    </w:t>
      </w:r>
      <w:r>
        <w:rPr>
          <w:rFonts w:ascii="Times New Roman;serif" w:hAnsi="Times New Roman;serif"/>
          <w:b w:val="false"/>
          <w:color w:val="000000"/>
          <w:sz w:val="22"/>
          <w:u w:val="single"/>
        </w:rPr>
        <w:t>Other Interpretive Provisions</w:t>
      </w:r>
      <w:r>
        <w:rPr>
          <w:rFonts w:ascii="Times New Roman;serif" w:hAnsi="Times New Roman;serif"/>
          <w:b w:val="false"/>
          <w:color w:val="000000"/>
          <w:sz w:val="22"/>
        </w:rPr>
        <w:t>. With reference to this Agreement and each other Loan Document, unless otherwise specified herein or in such other Loan Document: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meanings of defined terms are equally applicable to the singular and plural forms of the defined terms.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words “herein,” “hereto,” “hereof” and “hereunder” and words of similar import when used in any Loan Document shall refer to such Loan Document as a whole and not to any particular provision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terms “including,” “include” and “includes” are by way of example and shall be deemed to be followed by the phrase “without limitation.”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The term “documents” includes any and all instruments, documents, agreements, certificates, notices, reports, financial statements and other writings, however evidenced, whether in physical or electronic form.</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(f)    Any reference herein to any Person shall be construed to include such Person’s successors and assigns. </w:t>
      </w:r>
    </w:p>
    <w:p>
      <w:pPr>
        <w:pStyle w:val="TextBody"/>
        <w:bidi w:val="0"/>
        <w:spacing w:before="0" w:after="0"/>
        <w:jc w:val="left"/>
        <w:rPr/>
      </w:pPr>
      <w:r>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75260"/>
                <wp:effectExtent l="0" t="0" r="0" b="0"/>
                <wp:wrapNone/>
                <wp:docPr id="185" name="Frame1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In the computation of periods of time from a specified date to a later specified date, the word “from” means “from and including;” the words “to” and “until” each mean “to but excluding;” and the word “through” means “to and including.”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Section headings herein and in the other Loan Documents are included for convenience of reference only and shall not affect the interpretation of this Agreement or any other Loan Document.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When calculating the availability under any basket or ratio under this Agreement or compliance with any provision of this Agreement which requires the calculation of a basket or ratio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Company (the Company’s election to exercise such option, an “LCT Election”), the date of determination for availability under any such basket or ratio and whether any such action or transaction is permitted (or any requirement or condition therefor is complied with or satisfied (including as to the absence of any continuing Default or Event of Default (other than in connection with any L/C Credit Extension or any Revolving Credit Borrowing with respect to the Revolving Credit Commitments that exist on the Closing Date))) or whether any representations and warranties (or any specified representations and warranties) are true and correct (other than in connection with any L/C Credit Extension or any Revolving Credit Borrowing with respect to Revolving Credit Commitments that exist on the Closing Date) under this Agreement shall be deemed to be the date (the “</w:t>
      </w:r>
      <w:r>
        <w:rPr>
          <w:rFonts w:ascii="Times New Roman;serif" w:hAnsi="Times New Roman;serif"/>
          <w:b/>
          <w:color w:val="000000"/>
          <w:sz w:val="22"/>
        </w:rPr>
        <w:t>LCT Test Date</w:t>
      </w:r>
      <w:r>
        <w:rPr>
          <w:color w:val="000000"/>
        </w:rPr>
        <w:t>”</w:t>
      </w:r>
      <w:r>
        <w:rPr>
          <w:rFonts w:ascii="Times New Roman;serif" w:hAnsi="Times New Roman;serif"/>
          <w:b w:val="false"/>
          <w:color w:val="000000"/>
          <w:sz w:val="22"/>
        </w:rPr>
        <w:t>) either (a) the definitive agreement (or other relevant definitive documentation) for such Limited Condition Transaction is entered into (or, if applicable, the date of delivery of an irrevocable declaration of a Restricted Payment or similar event or the date of any notice, which may be conditional, of such a repayment, repurchase or refinancing of Indebtedness is given to the holders of such Indebtedness), or (b) solely in connection with an acquisition to which the United Kingdom City Code on Takeovers and Mergers applies, the date on which a “Rule 2.7 announcement” of a firm intention to make an offer (or equivalent announcement in another jurisdiction) (an “</w:t>
      </w:r>
      <w:r>
        <w:rPr>
          <w:rFonts w:ascii="Times New Roman;serif" w:hAnsi="Times New Roman;serif"/>
          <w:b/>
          <w:color w:val="000000"/>
          <w:sz w:val="22"/>
        </w:rPr>
        <w:t>LCT Public Offer</w:t>
      </w:r>
      <w:r>
        <w:rPr>
          <w:color w:val="000000"/>
        </w:rPr>
        <w:t>”</w:t>
      </w:r>
      <w:r>
        <w:rPr>
          <w:rFonts w:ascii="Times New Roman;serif" w:hAnsi="Times New Roman;serif"/>
          <w:b w:val="false"/>
          <w:color w:val="000000"/>
          <w:sz w:val="22"/>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as if they had occurred at the beginning of the most recent Test Period ended prior to the LCT Test Date,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serif" w:hAnsi="Times New Roman;serif"/>
          <w:b w:val="false"/>
          <w:i/>
          <w:color w:val="000000"/>
          <w:sz w:val="22"/>
        </w:rPr>
        <w:t>provided</w:t>
      </w:r>
      <w:r>
        <w:rPr>
          <w:rFonts w:ascii="Times New Roman;serif" w:hAnsi="Times New Roman;serif"/>
          <w:b w:val="false"/>
          <w:color w:val="000000"/>
          <w:sz w:val="22"/>
        </w:rPr>
        <w:t xml:space="preserve">,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Cash </w:t>
      </w:r>
    </w:p>
    <w:p>
      <w:pPr>
        <w:pStyle w:val="TextBody"/>
        <w:bidi w:val="0"/>
        <w:spacing w:before="0" w:after="0"/>
        <w:jc w:val="left"/>
        <w:rPr/>
      </w:pPr>
      <w:r>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75260"/>
                <wp:effectExtent l="0" t="0" r="0" b="0"/>
                <wp:wrapNone/>
                <wp:docPr id="186" name="Frame1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Interest Expense will be calculated using an assumed interest rate as reasonably determined by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if the Company has made an LCT Election: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Company or the Person subject to such Limited Condition Transaction, such baskets, tests or ratios will not be deemed to have been exceeded or failed to have been complied with as a result of such fluctuations;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any change to the applicable exchange rate utilized in calculating compliance with any Dollar-based provision of this Agreement, at any time from and after the LCT Test Date to the date of consummation of such Investment, acquisition or repayment, repurchase or refinancing of Indebtedness, will not be taken into account for purposes of determining (x) whether any Indebtedness or Lien that is being incurred in connection with such Investment, acquisition or repayment, repurchase or refinancing of Indebtedness is permitted, or (y) compliance by any Restricted Group Member with any other provision of the Loan Documents;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(4)    for purposes of determining whether the bring down of representations and warranties (or specified representations and warranties) in connection with any such Investment, acquisition or repayment, repurchase or refinancing of Indebtedness, as applicable, are true and correct, such condition shall be deemed satisfied so long as such representation and warranties, as applicable, are true and correct in all material respects on the LCT Test Date;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(j)    For the purposes of </w:t>
      </w:r>
      <w:r>
        <w:rPr>
          <w:rFonts w:ascii="Times New Roman;serif" w:hAnsi="Times New Roman;serif"/>
          <w:b w:val="false"/>
          <w:color w:val="000000"/>
          <w:sz w:val="22"/>
          <w:u w:val="single"/>
        </w:rPr>
        <w:t>Sections 2.05(b)(ii)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7.04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7.05</w:t>
      </w:r>
      <w:r>
        <w:rPr>
          <w:rFonts w:ascii="Times New Roman;serif" w:hAnsi="Times New Roman;serif"/>
          <w:b w:val="false"/>
          <w:color w:val="000000"/>
          <w:sz w:val="22"/>
        </w:rPr>
        <w:t>, an allocation of assets to a division of a Restricted Subsidiary that is a limited liability company, or an allocation of assets to a series of a Restricted Subsidiary that is a limited liability company, shall be treated as a transfer of assets from one Restricted Subsidiary to another Restricted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75260"/>
                <wp:effectExtent l="0" t="0" r="0" b="0"/>
                <wp:wrapNone/>
                <wp:docPr id="187" name="Frame1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    Any transaction or event shall be considered “permitted by” or made “in accordance with” or “in compliance with” this Agreement or any particular provision hereof if such transaction or event is not expressly prohibited by this Agreement or such provision, as the case may be.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(l)    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(m)    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(1) immediately prior to or in connection therewith or (2) used to finance working capital needs of the Company and its Restricted Subsidiaries;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the aggregate principal amount of Indebtedness that may be excluded pursuant to this clause (2) shall not exceed $</w:t>
      </w:r>
      <w:r>
        <w:rPr>
          <w:rFonts w:ascii="Times New Roman;serif" w:hAnsi="Times New Roman;serif"/>
          <w:b w:val="false"/>
          <w:strike/>
          <w:color w:val="FF0000"/>
          <w:sz w:val="22"/>
        </w:rPr>
        <w:t>50,000,000</w:t>
      </w:r>
      <w:r>
        <w:rPr>
          <w:rFonts w:ascii="Times New Roman;serif" w:hAnsi="Times New Roman;serif"/>
          <w:b w:val="false"/>
          <w:color w:val="0000FF"/>
          <w:sz w:val="22"/>
          <w:u w:val="single"/>
        </w:rPr>
        <w:t>15,000,000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1.03    </w:t>
      </w:r>
      <w:r>
        <w:rPr>
          <w:rFonts w:ascii="Times New Roman;serif" w:hAnsi="Times New Roman;serif"/>
          <w:b w:val="false"/>
          <w:color w:val="000000"/>
          <w:sz w:val="22"/>
          <w:u w:val="single"/>
        </w:rPr>
        <w:t>Accounting Term</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All financial statements and all financial data required to be submitted pursuant to this Agreement shall be prepared in conformity with GAAP, as in effect from time to time, and all terms of an accounting or financial nature shall be construed and interpreted in accordance with GAAP, as in effect on the date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(b)    If at any time any change in GAAP or the application thereof would affect the computation or interpretation of any financial ratio, basket, requirement or other provision set forth in any Loan Document, and either the Company or the Required Lenders shall so request, the Administrative Agent and the Company shall negotiate in good faith to amend such ratio, basket, requirement or other provision to preserve the original intent thereof in light of such change in GAAP or the application thereof (subject to the approval of the Required Lenders, such consent not to be unreasonably withheld, conditioned or delayed)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change affecting the computation of the ratio set forth in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 xml:space="preserve">shall be subject solely to the approval of the Required Revolving Lenders (not to be unreasonably withheld, conditioned or delayed) and the Company);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until so amended, (i) such ratio, basket, requirement or other provision shall continue to be computed or interpreted in accordance with GAAP or the application thereof prior to such change therein or (ii) the Company may elect to fix GAAP (for purposes of such ratio, basket, requirement or other provision) as of another later date notified in writing to the Administrative Agent from time to time.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1.04    </w:t>
      </w:r>
      <w:r>
        <w:rPr>
          <w:rFonts w:ascii="Times New Roman;serif" w:hAnsi="Times New Roman;serif"/>
          <w:b w:val="false"/>
          <w:color w:val="000000"/>
          <w:sz w:val="22"/>
          <w:u w:val="single"/>
        </w:rPr>
        <w:t>Rounding.</w:t>
      </w:r>
      <w:r>
        <w:rPr>
          <w:color w:val="000000"/>
        </w:rPr>
        <w:t xml:space="preserve"> </w:t>
      </w:r>
      <w:r>
        <w:rPr>
          <w:rFonts w:ascii="Times New Roman;serif" w:hAnsi="Times New Roman;serif"/>
          <w:b w:val="false"/>
          <w:color w:val="000000"/>
          <w:sz w:val="22"/>
        </w:rPr>
        <w:t xml:space="preserve">Under this Agreement, any financial ratios required to be maintained or satisfied in order for a specific action to be permitted shall be calculated by dividing the appropriate </w:t>
      </w:r>
    </w:p>
    <w:p>
      <w:pPr>
        <w:pStyle w:val="TextBody"/>
        <w:bidi w:val="0"/>
        <w:spacing w:before="0" w:after="0"/>
        <w:jc w:val="left"/>
        <w:rPr/>
      </w:pPr>
      <w:r>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75260"/>
                <wp:effectExtent l="0" t="0" r="0" b="0"/>
                <wp:wrapNone/>
                <wp:docPr id="188" name="Frame1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component by the other component, carrying the result to one place more than the number of places by which such ratio is expressed herein and rounding the result up or down to the nearest number (with a rounding-up if there is no nearest number).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1.05    </w:t>
      </w:r>
      <w:r>
        <w:rPr>
          <w:rFonts w:ascii="Times New Roman;serif" w:hAnsi="Times New Roman;serif"/>
          <w:b w:val="false"/>
          <w:color w:val="000000"/>
          <w:sz w:val="22"/>
          <w:u w:val="single"/>
        </w:rPr>
        <w:t>References to Agreements and Laws</w:t>
      </w:r>
      <w:r>
        <w:rPr>
          <w:rFonts w:ascii="Times New Roman;serif" w:hAnsi="Times New Roman;serif"/>
          <w:b w:val="false"/>
          <w:color w:val="000000"/>
          <w:sz w:val="22"/>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1.06    </w:t>
      </w:r>
      <w:r>
        <w:rPr>
          <w:rFonts w:ascii="Times New Roman;serif" w:hAnsi="Times New Roman;serif"/>
          <w:b w:val="false"/>
          <w:color w:val="000000"/>
          <w:sz w:val="22"/>
          <w:u w:val="single"/>
        </w:rPr>
        <w:t>Times of Day</w:t>
      </w:r>
      <w:r>
        <w:rPr>
          <w:rFonts w:ascii="Times New Roman;serif" w:hAnsi="Times New Roman;serif"/>
          <w:b w:val="false"/>
          <w:color w:val="000000"/>
          <w:sz w:val="22"/>
        </w:rPr>
        <w:t>. Unless otherwise specified, all references herein to times of day shall be references to New York City time (daylight savings or standard,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1.07    </w:t>
      </w:r>
      <w:r>
        <w:rPr>
          <w:rFonts w:ascii="Times New Roman;serif" w:hAnsi="Times New Roman;serif"/>
          <w:b w:val="false"/>
          <w:color w:val="000000"/>
          <w:sz w:val="22"/>
          <w:u w:val="single"/>
        </w:rPr>
        <w:t>Timing of Payment or Performance</w:t>
      </w:r>
      <w:r>
        <w:rPr>
          <w:rFonts w:ascii="Times New Roman;serif" w:hAnsi="Times New Roman;serif"/>
          <w:b w:val="false"/>
          <w:color w:val="000000"/>
          <w:sz w:val="22"/>
        </w:rPr>
        <w:t xml:space="preserve">. When the payment of any obligation or the performance of any covenant, duty or obligation is stated to be due or performance required on a day which is not a Business Day, the date of such payment (other than as specifically provided in </w:t>
      </w:r>
      <w:r>
        <w:rPr>
          <w:rFonts w:ascii="Times New Roman;serif" w:hAnsi="Times New Roman;serif"/>
          <w:b w:val="false"/>
          <w:color w:val="000000"/>
          <w:sz w:val="22"/>
          <w:u w:val="single"/>
        </w:rPr>
        <w:t>Section 2.12</w:t>
      </w:r>
      <w:r>
        <w:rPr>
          <w:color w:val="000000"/>
        </w:rPr>
        <w:t xml:space="preserve"> </w:t>
      </w:r>
      <w:r>
        <w:rPr>
          <w:rFonts w:ascii="Times New Roman;serif" w:hAnsi="Times New Roman;serif"/>
          <w:b w:val="false"/>
          <w:color w:val="000000"/>
          <w:sz w:val="22"/>
        </w:rPr>
        <w:t>or as described in the definition of Interest Period) or performance shall extend to the immediately succeeding Business Day.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1.08    </w:t>
      </w:r>
      <w:r>
        <w:rPr>
          <w:rFonts w:ascii="Times New Roman;serif" w:hAnsi="Times New Roman;serif"/>
          <w:b w:val="false"/>
          <w:color w:val="000000"/>
          <w:sz w:val="22"/>
          <w:u w:val="single"/>
        </w:rPr>
        <w:t>Currency Equivalents Generally</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Any amount specified in this Agreement (other than in </w:t>
      </w:r>
      <w:r>
        <w:rPr>
          <w:rFonts w:ascii="Times New Roman;serif" w:hAnsi="Times New Roman;serif"/>
          <w:b w:val="false"/>
          <w:color w:val="000000"/>
          <w:sz w:val="22"/>
          <w:u w:val="single"/>
        </w:rPr>
        <w:t>Articles 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X</w:t>
      </w:r>
      <w:r>
        <w:rPr>
          <w:color w:val="000000"/>
        </w:rPr>
        <w:t xml:space="preserve"> </w:t>
      </w:r>
      <w:r>
        <w:rPr>
          <w:rFonts w:ascii="Times New Roman;serif" w:hAnsi="Times New Roman;serif"/>
          <w:b w:val="false"/>
          <w:color w:val="000000"/>
          <w:sz w:val="22"/>
        </w:rPr>
        <w:t xml:space="preserve">or as set forth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1.08</w:t>
      </w:r>
      <w:r>
        <w:rPr>
          <w:rFonts w:ascii="Times New Roman;serif" w:hAnsi="Times New Roman;serif"/>
          <w:b w:val="false"/>
          <w:color w:val="000000"/>
          <w:sz w:val="22"/>
        </w:rPr>
        <w:t>) or any of the other Loan Documents to be in Dollars shall also include the equivalent of such amount in any currency other than Dollars, such equivalent amount (the “</w:t>
      </w:r>
      <w:r>
        <w:rPr>
          <w:rFonts w:ascii="Times New Roman;serif" w:hAnsi="Times New Roman;serif"/>
          <w:b/>
          <w:color w:val="000000"/>
          <w:sz w:val="22"/>
        </w:rPr>
        <w:t>Agent’s Spot Rate of Exchange</w:t>
      </w:r>
      <w:r>
        <w:rPr>
          <w:color w:val="000000"/>
        </w:rPr>
        <w:t>”</w:t>
      </w:r>
      <w:r>
        <w:rPr>
          <w:rFonts w:ascii="Times New Roman;serif" w:hAnsi="Times New Roman;serif"/>
          <w:b w:val="false"/>
          <w:color w:val="000000"/>
          <w:sz w:val="22"/>
        </w:rPr>
        <w:t>) to be determined at the rate of exchange for the purchase of Dollars with the Alternative Currency or other currency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Company, or, in the absence of such agreement, such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 provided that if any basket is exceeded solely as a result of fluctuations in applicable currency exchange rates after the last time such basket was utilized, such basket will not be deemed to have been exceeded solely as a result of such fluctuations in currency exchange rates.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For purposes of determining the Consolidated First Lien Net Leverage Ratio, the Consolidated Interest Coverage Ratio, the Consolidated Senior Secured Net Leverage Ratio and the Consolidated Total Net Leverage Ratio, amounts of Indebtedness denominated in a currency other than Dollars will be converted to Dollars (i) for the purposes of testing the Financial Covenant, at the exchange rate consistent with that used to calculate consolidated net income in the most recent financial statements of the Company upon which such calculations were based and (ii) for any other purpose, at the exchange rate as of the date of determination;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at the option of the Company, if any Restricted Group Member has entered into any currency Swap Contracts in respect of any borrowings, the Dollar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75260"/>
                <wp:effectExtent l="0" t="0" r="0" b="0"/>
                <wp:wrapNone/>
                <wp:docPr id="189" name="Frame1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of such borrowings shall be determined by first taking into account the effects of that currency Swap Contract.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The Administrative Agent shall (x) determine the Dollar Amount of each Revolving Credit Loan denominated in an Alternative Currency and L/C Obligation in respect of Letters of Credit denominated in an Alternative Currency (i) for Revolving Credit Loans, as of the first day of each Interest Period applicable thereto and (ii) for Letters of Credit, in accordance with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of the definition of “Dollar Amount” and (y) on a semi-annual basis, promptly notify the Company and the Revolving Credit Lenders of each Dollar Amount so determined by it. Each such determination shall be based on the Exchange Rate on the date of the related Committed Loan Notice for purposes of the initial such determination for any Revolving Credit Loan.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Notwithstanding anything to the contrary in this Agreement, (i) any representation or warranty that would be untrue or inaccurate, (ii) 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Wherever in this Agreement in connection with a Revolving Credit Borrowing or the issuance, amendment or extension of a Letter of Credit, an amount, such as a required minimum or multiple amount, is expressed in Dollars, but such Revolving Credit Borrowing or Letter of Credit is denominated in an Alternative Currency such amount shall be the relevant Dollar Amount of such Alternative Currency (rounded to the nearest unit of such Alternative Currency, with 0.5 of a unit being rounded upward), as determined by the Administrative Agent or the L/C Issuer, as applicable.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The Administrative Agent does not warrant or accept responsibility for, and shall not have any liability with respect to (a) the continuation of, administration of, submission of, calculation of or any other matter related to ABR, the Term SOFR Reference Rate, Term SOFR, the Adjusted Eurocurrency Rate or the Eurocurrency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the Adjusted Eurocurrency Rate or the Eurocurrency Rate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the Adjusted Eurocurrency Rate or the Eurocurrency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the Adjusted Eurocurrency Rate or the Eurocurrency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0"/>
        <w:jc w:val="left"/>
        <w:rPr/>
      </w:pPr>
      <w:r>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75260"/>
                <wp:effectExtent l="0" t="0" r="0" b="0"/>
                <wp:wrapNone/>
                <wp:docPr id="190" name="Frame1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1.09    </w:t>
      </w:r>
      <w:r>
        <w:rPr>
          <w:rFonts w:ascii="Times New Roman;serif" w:hAnsi="Times New Roman;serif"/>
          <w:b w:val="false"/>
          <w:color w:val="000000"/>
          <w:sz w:val="22"/>
          <w:u w:val="single"/>
        </w:rPr>
        <w:t>Letter of Credit Amounts</w:t>
      </w:r>
      <w:r>
        <w:rPr>
          <w:rFonts w:ascii="Times New Roman;serif" w:hAnsi="Times New Roman;serif"/>
          <w:b w:val="false"/>
          <w:color w:val="000000"/>
          <w:sz w:val="22"/>
        </w:rPr>
        <w:t xml:space="preserve">. Unless otherwise specified herein, the amount of a Letter of Credit at any time shall be deemed to be the Dollar Amount available to be drawn under such Letter of Credit during the remaining life of such Letter of Credit; </w:t>
      </w:r>
      <w:r>
        <w:rPr>
          <w:rFonts w:ascii="Times New Roman;serif" w:hAnsi="Times New Roman;serif"/>
          <w:b w:val="false"/>
          <w:i/>
          <w:color w:val="000000"/>
          <w:sz w:val="22"/>
        </w:rPr>
        <w:t>provided, however</w:t>
      </w:r>
      <w:r>
        <w:rPr>
          <w:rFonts w:ascii="Times New Roman;serif" w:hAnsi="Times New Roman;serif"/>
          <w:b w:val="false"/>
          <w:color w:val="000000"/>
          <w:sz w:val="22"/>
        </w:rPr>
        <w:t>, that if any presentation of drawing documents shall have been made on or prior to the expiration date of such Letter of Credit and the applicable L/C Issuer shall not yet have honored such drawing or given notice of dishonor, the amount of such Letter of Credit that is the subject of such drawing shall be treated as still outstanding.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1.10    </w:t>
      </w:r>
      <w:r>
        <w:rPr>
          <w:rFonts w:ascii="Times New Roman;serif" w:hAnsi="Times New Roman;serif"/>
          <w:b w:val="false"/>
          <w:color w:val="000000"/>
          <w:sz w:val="22"/>
          <w:u w:val="single"/>
        </w:rPr>
        <w:t>Pro Forma Calculations</w:t>
      </w:r>
      <w:r>
        <w:rPr>
          <w:rFonts w:ascii="Times New Roman;serif" w:hAnsi="Times New Roman;serif"/>
          <w:b w:val="false"/>
          <w:color w:val="000000"/>
          <w:sz w:val="22"/>
        </w:rPr>
        <w:t>. (a) For any events described below that occur subsequent to the commencement of a period for which the financial effect of such events is being calculated, and giving effect to the events for which such calculation is being made, such calculation will give pro forma effect to such events as if such events occurred on the first day of the most recent Test Period ended on or before the occurrence of such event (the “</w:t>
      </w:r>
      <w:r>
        <w:rPr>
          <w:rFonts w:ascii="Times New Roman;serif" w:hAnsi="Times New Roman;serif"/>
          <w:b/>
          <w:color w:val="000000"/>
          <w:sz w:val="22"/>
        </w:rPr>
        <w:t>Reference Period</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incurrence, assumption, guarantee, redemption, defeasance, retirement or extinguishment of any Indebtedness (other than Indebtedness incurred under any revolving credit facility unless such Indebtedness has been permanently repaid and has not been replaced), the incurrence of any Reserved Indebtedness Amount and/or the issuance, repurchase or redemption of Disqualified Stock or Preferred Stock;</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the making of any Investments, acquisitions, dispositions, Asset Disposition, mergers, amalgamations, consolidations, operational changes, business expansions and disposed or discontinued operations;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for the avoidance of doubt, at the Company’s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(iii)    </w:t>
      </w:r>
      <w:r>
        <w:rPr>
          <w:rFonts w:ascii="Times New Roman;serif" w:hAnsi="Times New Roman;serif"/>
          <w:b w:val="false"/>
          <w:strike/>
          <w:color w:val="FF0000"/>
          <w:sz w:val="22"/>
        </w:rPr>
        <w:t>operational changes or restructurings of the business of the Company or any of its Subsidiaries that the Company or such Subsidiary, as applicable, has determined to make and/or made during or subsequent to such Reference Period which are expected to have a continuing impact and are factually supportable, which would include cost savings resulting from head count reduction, closure of facilities and other operational changes and other cost savings in connection therewith; and</w:t>
      </w:r>
      <w:r>
        <w:rPr>
          <w:rFonts w:ascii="Times New Roman;serif" w:hAnsi="Times New Roman;serif"/>
          <w:b w:val="false"/>
          <w:color w:val="0000FF"/>
          <w:sz w:val="22"/>
          <w:u w:val="single"/>
        </w:rPr>
        <w:t>[reserved];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the designation of any Restricted Subsidiary as an Unrestricted Subsidiary or the designation of any Unrestricted Subsidiary as a 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For purposes of this </w:t>
      </w:r>
      <w:r>
        <w:rPr>
          <w:rFonts w:ascii="Times New Roman;serif" w:hAnsi="Times New Roman;serif"/>
          <w:b w:val="false"/>
          <w:color w:val="000000"/>
          <w:sz w:val="22"/>
          <w:u w:val="single"/>
        </w:rPr>
        <w:t>Section 1.10</w:t>
      </w:r>
      <w:r>
        <w:rPr>
          <w:rFonts w:ascii="Times New Roman;serif" w:hAnsi="Times New Roman;serif"/>
          <w:b w:val="false"/>
          <w:color w:val="000000"/>
          <w:sz w:val="22"/>
        </w:rPr>
        <w:t>, whenever pro forma effect is to be given to a transaction (including the Transactions), the pro forma calculations shall be made in good faith by a Responsible Officer of the Company</w:t>
      </w:r>
      <w:r>
        <w:rPr>
          <w:strike/>
          <w:color w:val="FF0000"/>
        </w:rPr>
        <w:t xml:space="preserve"> </w:t>
      </w:r>
      <w:r>
        <w:rPr>
          <w:rFonts w:ascii="Times New Roman;serif" w:hAnsi="Times New Roman;serif"/>
          <w:b w:val="false"/>
          <w:strike/>
          <w:color w:val="FF0000"/>
          <w:sz w:val="22"/>
        </w:rPr>
        <w:t>(and may include</w:t>
      </w:r>
      <w:r>
        <w:rPr>
          <w:rFonts w:ascii="Times New Roman;serif" w:hAnsi="Times New Roman;serif"/>
          <w:b w:val="false"/>
          <w:color w:val="0000FF"/>
          <w:sz w:val="22"/>
          <w:u w:val="single"/>
        </w:rPr>
        <w:t>;</w:t>
      </w:r>
    </w:p>
    <w:p>
      <w:pPr>
        <w:pStyle w:val="TextBody"/>
        <w:bidi w:val="0"/>
        <w:spacing w:lineRule="auto" w:line="288" w:before="0" w:after="240"/>
        <w:jc w:val="left"/>
        <w:rPr/>
      </w:pPr>
      <w:r>
        <w:rPr>
          <w:rFonts w:ascii="Times New Roman;serif" w:hAnsi="Times New Roman;serif"/>
          <w:b w:val="false"/>
          <w:strike/>
          <w:color w:val="FF0000"/>
          <w:sz w:val="24"/>
        </w:rPr>
        <w:t xml:space="preserve">(b)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that</w:t>
      </w:r>
      <w:r>
        <w:rPr>
          <w:rFonts w:ascii="Times New Roman;serif" w:hAnsi="Times New Roman;serif"/>
          <w:b w:val="false"/>
          <w:color w:val="000000"/>
          <w:sz w:val="22"/>
        </w:rPr>
        <w:t xml:space="preserve">, for the avoidance of doubt, </w:t>
      </w:r>
      <w:r>
        <w:rPr>
          <w:rFonts w:ascii="Times New Roman;serif" w:hAnsi="Times New Roman;serif"/>
          <w:b w:val="false"/>
          <w:color w:val="0000FF"/>
          <w:sz w:val="22"/>
          <w:u w:val="single"/>
        </w:rPr>
        <w:t xml:space="preserve">no </w:t>
      </w:r>
      <w:r>
        <w:rPr>
          <w:rFonts w:ascii="Times New Roman;serif" w:hAnsi="Times New Roman;serif"/>
          <w:b w:val="false"/>
          <w:color w:val="000000"/>
          <w:sz w:val="22"/>
        </w:rPr>
        <w:t xml:space="preserve">cost savings, operating expense reductions </w:t>
      </w:r>
      <w:r>
        <w:rPr>
          <w:rFonts w:ascii="Times New Roman;serif" w:hAnsi="Times New Roman;serif"/>
          <w:b w:val="false"/>
          <w:strike/>
          <w:color w:val="FF0000"/>
          <w:sz w:val="22"/>
        </w:rPr>
        <w:t>and</w:t>
      </w:r>
      <w:r>
        <w:rPr>
          <w:rFonts w:ascii="Times New Roman;serif" w:hAnsi="Times New Roman;serif"/>
          <w:b w:val="false"/>
          <w:color w:val="0000FF"/>
          <w:sz w:val="22"/>
          <w:u w:val="single"/>
        </w:rPr>
        <w:t>or</w:t>
      </w:r>
      <w:r>
        <w:rPr>
          <w:color w:val="000000"/>
        </w:rPr>
        <w:t xml:space="preserve"> </w:t>
      </w:r>
      <w:r>
        <w:rPr>
          <w:rFonts w:ascii="Times New Roman;serif" w:hAnsi="Times New Roman;serif"/>
          <w:b w:val="false"/>
          <w:color w:val="000000"/>
          <w:sz w:val="22"/>
        </w:rPr>
        <w:t xml:space="preserve">synergies </w:t>
      </w:r>
      <w:r>
        <w:rPr>
          <w:rFonts w:ascii="Times New Roman;serif" w:hAnsi="Times New Roman;serif"/>
          <w:b w:val="false"/>
          <w:strike/>
          <w:color w:val="FF0000"/>
          <w:sz w:val="22"/>
        </w:rPr>
        <w:t>resulting from such transactions which is being given pro forma effect;</w:t>
      </w:r>
      <w:r>
        <w:rPr>
          <w:rFonts w:ascii="Times New Roman;serif" w:hAnsi="Times New Roman;serif"/>
          <w:b w:val="false"/>
          <w:color w:val="0000FF"/>
          <w:sz w:val="22"/>
          <w:u w:val="single"/>
        </w:rPr>
        <w:t>shall be</w:t>
      </w:r>
      <w:r>
        <w:rPr>
          <w:rFonts w:ascii="Times New Roman;serif" w:hAnsi="Times New Roman;serif"/>
          <w:b w:val="false"/>
          <w:i/>
          <w:strike/>
          <w:color w:val="FF0000"/>
          <w:sz w:val="22"/>
        </w:rPr>
        <w:t>provided</w:t>
      </w:r>
      <w:r>
        <w:rPr>
          <w:rFonts w:ascii="Times New Roman;serif" w:hAnsi="Times New Roman;serif"/>
          <w:b w:val="false"/>
          <w:strike/>
          <w:color w:val="FF0000"/>
          <w:sz w:val="22"/>
        </w:rPr>
        <w:t xml:space="preserve">, that the aggregate amount of cost savings, operating expense reductions and synergies </w:t>
      </w:r>
      <w:r>
        <w:rPr>
          <w:rFonts w:ascii="Times New Roman;serif" w:hAnsi="Times New Roman;serif"/>
          <w:b w:val="false"/>
          <w:color w:val="000000"/>
          <w:sz w:val="22"/>
        </w:rPr>
        <w:t xml:space="preserve">added to Consolidated EBITDA pursuant to this </w:t>
      </w:r>
      <w:r>
        <w:rPr>
          <w:rFonts w:ascii="Times New Roman;serif" w:hAnsi="Times New Roman;serif"/>
          <w:b w:val="false"/>
          <w:color w:val="000000"/>
          <w:sz w:val="22"/>
          <w:u w:val="single"/>
        </w:rPr>
        <w:t>Section 1.10</w:t>
      </w:r>
      <w:r>
        <w:rPr>
          <w:color w:val="000000"/>
        </w:rPr>
        <w:t xml:space="preserve"> </w:t>
      </w:r>
      <w:r>
        <w:rPr>
          <w:rFonts w:ascii="Times New Roman;serif" w:hAnsi="Times New Roman;serif"/>
          <w:b w:val="false"/>
          <w:color w:val="000000"/>
          <w:sz w:val="22"/>
        </w:rPr>
        <w:t>(</w:t>
      </w:r>
      <w:r>
        <w:rPr>
          <w:rFonts w:ascii="Times New Roman;serif" w:hAnsi="Times New Roman;serif"/>
          <w:b w:val="false"/>
          <w:strike/>
          <w:color w:val="FF0000"/>
          <w:sz w:val="22"/>
        </w:rPr>
        <w:t xml:space="preserve">combined with </w:t>
      </w:r>
      <w:r>
        <w:rPr>
          <w:rFonts w:ascii="Times New Roman;serif" w:hAnsi="Times New Roman;serif"/>
          <w:b w:val="false"/>
          <w:strike/>
          <w:color w:val="008000"/>
          <w:sz w:val="22"/>
        </w:rPr>
        <w:t xml:space="preserve">the aggregate amount of </w:t>
      </w:r>
      <w:r>
        <w:rPr>
          <w:rFonts w:ascii="Times New Roman;serif" w:hAnsi="Times New Roman;serif"/>
          <w:b w:val="false"/>
          <w:strike/>
          <w:color w:val="FF0000"/>
          <w:sz w:val="22"/>
        </w:rPr>
        <w:t xml:space="preserve">cost savings, operating expense reductions and synergies added </w:t>
      </w:r>
      <w:r>
        <w:rPr>
          <w:rFonts w:ascii="Times New Roman;serif" w:hAnsi="Times New Roman;serif"/>
          <w:b w:val="false"/>
          <w:color w:val="0000FF"/>
          <w:sz w:val="22"/>
          <w:u w:val="single"/>
        </w:rPr>
        <w:t xml:space="preserve">but for </w:t>
      </w:r>
      <w:r>
        <w:rPr>
          <w:rFonts w:ascii="Times New Roman;serif" w:hAnsi="Times New Roman;serif"/>
          <w:b w:val="false"/>
          <w:color w:val="008000"/>
          <w:sz w:val="22"/>
          <w:u w:val="single"/>
        </w:rPr>
        <w:t xml:space="preserve">the avoidance of doubt, the Company </w:t>
      </w:r>
      <w:r>
        <w:rPr>
          <w:rFonts w:ascii="Times New Roman;serif" w:hAnsi="Times New Roman;serif"/>
          <w:b w:val="false"/>
          <w:color w:val="0000FF"/>
          <w:sz w:val="22"/>
          <w:u w:val="single"/>
        </w:rPr>
        <w:t xml:space="preserve">will be permitted to add back such items </w:t>
      </w:r>
      <w:r>
        <w:rPr>
          <w:rFonts w:ascii="Times New Roman;serif" w:hAnsi="Times New Roman;serif"/>
          <w:b w:val="false"/>
          <w:color w:val="000000"/>
          <w:sz w:val="22"/>
        </w:rPr>
        <w:t xml:space="preserve">to Consolidated EBITDA </w:t>
      </w:r>
      <w:r>
        <w:rPr>
          <w:rFonts w:ascii="Times New Roman;serif" w:hAnsi="Times New Roman;serif"/>
          <w:b w:val="false"/>
          <w:strike/>
          <w:color w:val="FF0000"/>
          <w:sz w:val="22"/>
        </w:rPr>
        <w:t xml:space="preserve">pursuant to </w:t>
      </w:r>
      <w:r>
        <w:rPr>
          <w:rFonts w:ascii="Times New Roman;serif" w:hAnsi="Times New Roman;serif"/>
          <w:b w:val="false"/>
          <w:strike/>
          <w:color w:val="FF0000"/>
          <w:sz w:val="22"/>
          <w:u w:val="single"/>
        </w:rPr>
        <w:t>clause (1)(g)</w:t>
      </w:r>
      <w:r>
        <w:rPr>
          <w:strike/>
          <w:color w:val="FF0000"/>
        </w:rPr>
        <w:t xml:space="preserve"> </w:t>
      </w:r>
      <w:r>
        <w:rPr>
          <w:rFonts w:ascii="Times New Roman;serif" w:hAnsi="Times New Roman;serif"/>
          <w:b w:val="false"/>
          <w:strike/>
          <w:color w:val="FF0000"/>
          <w:sz w:val="22"/>
        </w:rPr>
        <w:t xml:space="preserve">of the definition of Consolidated EBITDA) shall not exceed 25% of Consolidated EBITDA for any four fiscal quarter period (determined </w:t>
      </w:r>
    </w:p>
    <w:p>
      <w:pPr>
        <w:pStyle w:val="TextBody"/>
        <w:bidi w:val="0"/>
        <w:spacing w:before="0" w:after="0"/>
        <w:jc w:val="left"/>
        <w:rPr/>
      </w:pPr>
      <w:r>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75260"/>
                <wp:effectExtent l="0" t="0" r="0" b="0"/>
                <wp:wrapNone/>
                <wp:docPr id="191" name="Frame1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after giving effect thereto and all other adjustments and addbacks); </w:t>
      </w:r>
      <w:r>
        <w:rPr>
          <w:rFonts w:ascii="Times New Roman;serif" w:hAnsi="Times New Roman;serif"/>
          <w:b w:val="false"/>
          <w:i/>
          <w:strike/>
          <w:color w:val="FF0000"/>
          <w:sz w:val="22"/>
        </w:rPr>
        <w:t>provided, further</w:t>
      </w:r>
      <w:r>
        <w:rPr>
          <w:rFonts w:ascii="Times New Roman;serif" w:hAnsi="Times New Roman;serif"/>
          <w:b w:val="false"/>
          <w:strike/>
          <w:color w:val="FF0000"/>
          <w:sz w:val="22"/>
        </w:rPr>
        <w:t xml:space="preserve">, that in each case of this </w:t>
      </w:r>
      <w:r>
        <w:rPr>
          <w:rFonts w:ascii="Times New Roman;serif" w:hAnsi="Times New Roman;serif"/>
          <w:b w:val="false"/>
          <w:strike/>
          <w:color w:val="FF0000"/>
          <w:sz w:val="22"/>
          <w:u w:val="single"/>
        </w:rPr>
        <w:t>clause (b)</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clause (1)(g)</w:t>
      </w:r>
      <w:r>
        <w:rPr>
          <w:strike/>
          <w:color w:val="FF0000"/>
        </w:rPr>
        <w:t xml:space="preserve"> </w:t>
      </w:r>
      <w:r>
        <w:rPr>
          <w:rFonts w:ascii="Times New Roman;serif" w:hAnsi="Times New Roman;serif"/>
          <w:b w:val="false"/>
          <w:strike/>
          <w:color w:val="FF0000"/>
          <w:sz w:val="22"/>
        </w:rPr>
        <w:t xml:space="preserve">of the definition of Consolidated EBITDA, such 25% cap shall not apply to any such adjustments that (A) are of the type that would be permitted to be included in pro forma financial statements prepared </w:t>
      </w:r>
      <w:r>
        <w:rPr>
          <w:rFonts w:ascii="Times New Roman;serif" w:hAnsi="Times New Roman;serif"/>
          <w:b w:val="false"/>
          <w:color w:val="000000"/>
          <w:sz w:val="22"/>
        </w:rPr>
        <w:t xml:space="preserve">in accordance with </w:t>
      </w:r>
      <w:r>
        <w:rPr>
          <w:rFonts w:ascii="Times New Roman;serif" w:hAnsi="Times New Roman;serif"/>
          <w:b w:val="false"/>
          <w:strike/>
          <w:color w:val="FF0000"/>
          <w:sz w:val="22"/>
        </w:rPr>
        <w:t>Regulation S-X under the Securities Act or (B) are otherwise in connection with or related to the Transactions</w:t>
      </w:r>
      <w:r>
        <w:rPr>
          <w:rFonts w:ascii="Times New Roman;serif" w:hAnsi="Times New Roman;serif"/>
          <w:b w:val="false"/>
          <w:color w:val="0000FF"/>
          <w:sz w:val="22"/>
          <w:u w:val="single"/>
        </w:rPr>
        <w:t>the definition thereof</w:t>
      </w:r>
      <w:r>
        <w:rPr>
          <w:rFonts w:ascii="Times New Roman;serif" w:hAnsi="Times New Roman;serif"/>
          <w:b w:val="false"/>
          <w:color w:val="000000"/>
          <w:sz w:val="22"/>
        </w:rPr>
        <w:t xml:space="preserve">). If any Indebtedness bears a floating rate of interest and is being given pro forma effect, the interest on such Indebtedness shall be calculated as if the rate in effect on the date on which the relevant calculation is being made had been the applicable rate for the entire reference period (taking into account any Swap Obligations applicable to such Indebtedness). Interest on a Capitalized Lease Obligation shall be deemed to accrue at an interest rate reasonably determined by a Responsible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to the extent the outstanding Indebtedness thereunder is reasonably expected to increase as a result of any transactions as set forth in </w:t>
      </w:r>
      <w:r>
        <w:rPr>
          <w:rFonts w:ascii="Times New Roman;serif" w:hAnsi="Times New Roman;serif"/>
          <w:b w:val="false"/>
          <w:color w:val="000000"/>
          <w:sz w:val="22"/>
          <w:u w:val="single"/>
        </w:rPr>
        <w:t>clause (a)(i)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1.10</w:t>
      </w:r>
      <w:r>
        <w:rPr>
          <w:rFonts w:ascii="Times New Roman;serif" w:hAnsi="Times New Roman;serif"/>
          <w:b w:val="false"/>
          <w:color w:val="000000"/>
          <w:sz w:val="22"/>
        </w:rPr>
        <w:t>. Interest on Indebtedness that may optionally be determined at an interest rate based upon a factor of a prime or similar rate, a SOFR-based rate, a eurocurrency interbank offered rate, or other rate, shall be determined to have been based upon the rate actually chosen, or if none, then based upon such optional rate chosen as the Company may designate.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Notwithstanding the foregoing, when calculating the Consolidated First Lien Net Leverage Ratio for purposes of (i) determining the applicable percentage of Excess Cash Flow for purposes of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and (ii) determining actual compliance (and not pro forma compliance or compliance on a pro forma basis) with the Financial Covenant, any transaction and any related pro forma adjustment contemplated in this </w:t>
      </w:r>
      <w:r>
        <w:rPr>
          <w:rFonts w:ascii="Times New Roman;serif" w:hAnsi="Times New Roman;serif"/>
          <w:b w:val="false"/>
          <w:color w:val="000000"/>
          <w:sz w:val="22"/>
          <w:u w:val="single"/>
        </w:rPr>
        <w:t>Section 1.10</w:t>
      </w:r>
      <w:r>
        <w:rPr>
          <w:color w:val="000000"/>
        </w:rPr>
        <w:t xml:space="preserve"> </w:t>
      </w:r>
      <w:r>
        <w:rPr>
          <w:rFonts w:ascii="Times New Roman;serif" w:hAnsi="Times New Roman;serif"/>
          <w:b w:val="false"/>
          <w:color w:val="000000"/>
          <w:sz w:val="22"/>
        </w:rPr>
        <w:t>(and corresponding provisions of the definition of Consolidated EBITDA) that occurred subsequent to the end of the applicable four quarter period shall not be given pro forma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1.11    </w:t>
      </w:r>
      <w:r>
        <w:rPr>
          <w:rFonts w:ascii="Times New Roman;serif" w:hAnsi="Times New Roman;serif"/>
          <w:b w:val="false"/>
          <w:color w:val="000000"/>
          <w:sz w:val="22"/>
          <w:u w:val="single"/>
        </w:rPr>
        <w:t>Calculation of Baskets</w:t>
      </w:r>
      <w:r>
        <w:rPr>
          <w:rFonts w:ascii="Times New Roman;serif" w:hAnsi="Times New Roman;serif"/>
          <w:b w:val="false"/>
          <w:color w:val="000000"/>
          <w:sz w:val="22"/>
        </w:rPr>
        <w:t>. If any of the baskets set forth in this Agreement are exceeded solely as a result of fluctuations to LTM EBITDA and/or Total Assets for the most recently completed fiscal quarter after the last time such baskets were calculated for any purpose under this Agreement, such baskets will not be deemed to have been exceeded solely as a result of such fluctuations.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1.12    </w:t>
      </w:r>
      <w:r>
        <w:rPr>
          <w:rFonts w:ascii="Times New Roman;serif" w:hAnsi="Times New Roman;serif"/>
          <w:b w:val="false"/>
          <w:color w:val="000000"/>
          <w:sz w:val="22"/>
          <w:u w:val="single"/>
        </w:rPr>
        <w:t xml:space="preserve">Calculation of Ratios. </w:t>
      </w:r>
      <w:r>
        <w:rPr>
          <w:rFonts w:ascii="Times New Roman;serif" w:hAnsi="Times New Roman;serif"/>
          <w:b w:val="false"/>
          <w:color w:val="000000"/>
          <w:sz w:val="22"/>
        </w:rPr>
        <w:t>For all purposes under this Agreement, including for purposes of calculating the Consolidated First Lien Net Leverage Ratio, the Consolidated Senior Secured Net Leverage Ratio, the Consolidated Total Net Leverage Ratio or the Consolidated Interest Coverage Ratio, as applicable, in connection with the incurrence, issuance or assumption of any Indebtedness or the incurrence or creation of any Lien pursuant to the definition of “Permitted Liens,” the Company may elect, at its option, to treat all or any portion of the committed amount of any Indebtedness (and the issuance and creation of letters of credit and bankers’ acceptances thereunder) which is to be incurred (or any commitment in respect thereof) or secured by such Lien, as applicable (any such committed amount elected until revoked as described below, the “</w:t>
      </w:r>
      <w:r>
        <w:rPr>
          <w:rFonts w:ascii="Times New Roman;serif" w:hAnsi="Times New Roman;serif"/>
          <w:b/>
          <w:color w:val="000000"/>
          <w:sz w:val="22"/>
        </w:rPr>
        <w:t>Reserved Indebtedness Amount</w:t>
      </w:r>
      <w:r>
        <w:rPr>
          <w:color w:val="000000"/>
        </w:rPr>
        <w:t>”</w:t>
      </w:r>
      <w:r>
        <w:rPr>
          <w:rFonts w:ascii="Times New Roman;serif" w:hAnsi="Times New Roman;serif"/>
          <w:b w:val="false"/>
          <w:color w:val="000000"/>
          <w:sz w:val="22"/>
        </w:rPr>
        <w:t xml:space="preserve">), as being incurred as of such election date, and, if such Consolidated First Lien Net Leverage Ratio, Consolidated Senior Secured Net Leverage Ratio, Consolidated Total Net Leverage Ratio, Consolidated Interest Coverage Ratio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Agreement, whether or not the Consolidated First Lien Net Leverage Ratio, Consolidated Senior Secured Net Leverage Ratio, Consolidated Total Net Leverage Ratio, Consolidated Interest Coverage Ratio or </w:t>
      </w:r>
    </w:p>
    <w:p>
      <w:pPr>
        <w:pStyle w:val="TextBody"/>
        <w:bidi w:val="0"/>
        <w:spacing w:before="0" w:after="0"/>
        <w:jc w:val="left"/>
        <w:rPr/>
      </w:pPr>
      <w:r>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75260"/>
                <wp:effectExtent l="0" t="0" r="0" b="0"/>
                <wp:wrapNone/>
                <wp:docPr id="192" name="Frame1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other provision of 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Consolidated First Lien Net Leverage Ratio, the Consolidated Senior Secured Net Leverage Ratio, the Consolidated Total Net Leverage Ratio or the Consolidated Interest Coverage Ratio or such other provision of this Agreement, as applicable, the Reserved Indebtedness Amount shall be deemed to be outstanding, whether or not such amount is actually outstanding, for so long as such commitments are outstanding or until the Company revokes an election of a Reserved Indebtedness Amount.</w:t>
      </w:r>
    </w:p>
    <w:p>
      <w:pPr>
        <w:pStyle w:val="TextBody"/>
        <w:bidi w:val="0"/>
        <w:spacing w:lineRule="auto" w:line="288" w:before="0" w:after="240"/>
        <w:jc w:val="center"/>
        <w:rPr/>
      </w:pPr>
      <w:r>
        <w:rPr>
          <w:rFonts w:ascii="Times New Roman;serif" w:hAnsi="Times New Roman;serif"/>
          <w:b/>
          <w:color w:val="000000"/>
          <w:sz w:val="24"/>
        </w:rPr>
        <w:t>ARTICLE II</w:t>
      </w:r>
      <w:r>
        <w:rPr>
          <w:rFonts w:ascii="Times New Roman;serif" w:hAnsi="Times New Roman;serif"/>
          <w:b/>
          <w:color w:val="000000"/>
          <w:sz w:val="22"/>
        </w:rPr>
        <w:br/>
        <w:br/>
        <w:t>THE COMMITMENTS AND CREDIT EXTENSIONS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2.01    </w:t>
      </w:r>
      <w:r>
        <w:rPr>
          <w:rFonts w:ascii="Times New Roman;serif" w:hAnsi="Times New Roman;serif"/>
          <w:b w:val="false"/>
          <w:color w:val="000000"/>
          <w:sz w:val="22"/>
          <w:u w:val="single"/>
        </w:rPr>
        <w:t>The Loans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The Initial Term Borrowing</w:t>
      </w:r>
      <w:r>
        <w:rPr>
          <w:rFonts w:ascii="Times New Roman;serif" w:hAnsi="Times New Roman;serif"/>
          <w:b w:val="false"/>
          <w:color w:val="000000"/>
          <w:sz w:val="22"/>
        </w:rPr>
        <w:t>. Subject to the terms and conditions set forth herein, each Initial Term Lender severally agrees to make to the Company a single loan denominated in Dollars (the “</w:t>
      </w:r>
      <w:r>
        <w:rPr>
          <w:rFonts w:ascii="Times New Roman;serif" w:hAnsi="Times New Roman;serif"/>
          <w:b/>
          <w:color w:val="000000"/>
          <w:sz w:val="22"/>
        </w:rPr>
        <w:t>Initial Term Loans</w:t>
      </w:r>
      <w:r>
        <w:rPr>
          <w:color w:val="000000"/>
        </w:rPr>
        <w:t>”</w:t>
      </w:r>
      <w:r>
        <w:rPr>
          <w:rFonts w:ascii="Times New Roman;serif" w:hAnsi="Times New Roman;serif"/>
          <w:b w:val="false"/>
          <w:color w:val="000000"/>
          <w:sz w:val="22"/>
        </w:rPr>
        <w:t xml:space="preserve">) on the Closing Date in an amount not to exceed such Initial Term Lender’s Initial Term Commitment. The Initial Term Borrowing shall consist of Initial Term Loans made simultaneously by the Initial Term Lenders in accordance with their respective Initial Term Commitments. Amounts borrowed under this </w:t>
      </w:r>
      <w:r>
        <w:rPr>
          <w:rFonts w:ascii="Times New Roman;serif" w:hAnsi="Times New Roman;serif"/>
          <w:b w:val="false"/>
          <w:color w:val="000000"/>
          <w:sz w:val="22"/>
          <w:u w:val="single"/>
        </w:rPr>
        <w:t>Section 2.01(a)</w:t>
      </w:r>
      <w:r>
        <w:rPr>
          <w:color w:val="000000"/>
        </w:rPr>
        <w:t xml:space="preserve"> </w:t>
      </w:r>
      <w:r>
        <w:rPr>
          <w:rFonts w:ascii="Times New Roman;serif" w:hAnsi="Times New Roman;serif"/>
          <w:b w:val="false"/>
          <w:color w:val="000000"/>
          <w:sz w:val="22"/>
        </w:rPr>
        <w:t xml:space="preserve">and subsequently repaid or prepaid may not be reborrowed (it being understood, however, that prepayments will be taken into account for purposes of any Prepayment-Based Incremental Facility to the extent provided by </w:t>
      </w:r>
      <w:r>
        <w:rPr>
          <w:rFonts w:ascii="Times New Roman;serif" w:hAnsi="Times New Roman;serif"/>
          <w:b w:val="false"/>
          <w:color w:val="000000"/>
          <w:sz w:val="22"/>
          <w:u w:val="single"/>
        </w:rPr>
        <w:t>Section 2.14</w:t>
      </w:r>
      <w:r>
        <w:rPr>
          <w:rFonts w:ascii="Times New Roman;serif" w:hAnsi="Times New Roman;serif"/>
          <w:b w:val="false"/>
          <w:color w:val="000000"/>
          <w:sz w:val="22"/>
        </w:rPr>
        <w:t>). Initial Term Loans may be ABR Loans or SOFR Loans as further provided 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The Revolving Credit Borrowings</w:t>
      </w:r>
      <w:r>
        <w:rPr>
          <w:rFonts w:ascii="Times New Roman;serif" w:hAnsi="Times New Roman;serif"/>
          <w:b w:val="false"/>
          <w:color w:val="000000"/>
          <w:sz w:val="22"/>
        </w:rPr>
        <w:t xml:space="preserve">. Subject to the terms and conditions set forth herein, each Revolving Credit Lender severally agrees to make Revolving Credit Loans denominated in Dollars or in one or more Alternative Currencies to the Borrowers from time to time on a revolving basis on and after </w:t>
      </w:r>
      <w:r>
        <w:rPr>
          <w:rFonts w:ascii="Times New Roman;serif" w:hAnsi="Times New Roman;serif"/>
          <w:b w:val="false"/>
          <w:color w:val="0000FF"/>
          <w:sz w:val="22"/>
          <w:u w:val="single"/>
        </w:rPr>
        <w:t xml:space="preserve">(1) </w:t>
      </w:r>
      <w:r>
        <w:rPr>
          <w:rFonts w:ascii="Times New Roman;serif" w:hAnsi="Times New Roman;serif"/>
          <w:b w:val="false"/>
          <w:color w:val="008000"/>
          <w:sz w:val="22"/>
          <w:u w:val="single"/>
        </w:rPr>
        <w:t xml:space="preserve">with respect to </w:t>
      </w:r>
      <w:r>
        <w:rPr>
          <w:rFonts w:ascii="Times New Roman;serif" w:hAnsi="Times New Roman;serif"/>
          <w:b w:val="false"/>
          <w:color w:val="0000FF"/>
          <w:sz w:val="22"/>
          <w:u w:val="single"/>
        </w:rPr>
        <w:t xml:space="preserve">the Initial Revolving-1 Tranche, </w:t>
      </w:r>
      <w:r>
        <w:rPr>
          <w:rFonts w:ascii="Times New Roman;serif" w:hAnsi="Times New Roman;serif"/>
          <w:b w:val="false"/>
          <w:color w:val="000000"/>
          <w:sz w:val="22"/>
        </w:rPr>
        <w:t>the Closing Date</w:t>
      </w:r>
      <w:r>
        <w:rPr>
          <w:rFonts w:ascii="Times New Roman;serif" w:hAnsi="Times New Roman;serif"/>
          <w:b w:val="false"/>
          <w:color w:val="0000FF"/>
          <w:sz w:val="22"/>
          <w:u w:val="single"/>
        </w:rPr>
        <w:t>, or (2) with respect to the Initial Revolving-2 Tranche, the First Amendment Effective Date,</w:t>
      </w:r>
      <w:r>
        <w:rPr>
          <w:color w:val="000000"/>
        </w:rPr>
        <w:t xml:space="preserve"> </w:t>
      </w:r>
      <w:r>
        <w:rPr>
          <w:rFonts w:ascii="Times New Roman;serif" w:hAnsi="Times New Roman;serif"/>
          <w:b w:val="false"/>
          <w:color w:val="000000"/>
          <w:sz w:val="22"/>
        </w:rPr>
        <w:t xml:space="preserve">on any Business Day until and excluding the Business Day preceding the Maturity Date for the </w:t>
      </w:r>
      <w:r>
        <w:rPr>
          <w:rFonts w:ascii="Times New Roman;serif" w:hAnsi="Times New Roman;serif"/>
          <w:b w:val="false"/>
          <w:color w:val="0000FF"/>
          <w:sz w:val="22"/>
          <w:u w:val="single"/>
        </w:rPr>
        <w:t xml:space="preserve">Initial </w:t>
      </w:r>
      <w:r>
        <w:rPr>
          <w:rFonts w:ascii="Times New Roman;serif" w:hAnsi="Times New Roman;serif"/>
          <w:b w:val="false"/>
          <w:color w:val="000000"/>
          <w:sz w:val="22"/>
        </w:rPr>
        <w:t>Revolving</w:t>
      </w:r>
      <w:r>
        <w:rPr>
          <w:strike/>
          <w:color w:val="FF0000"/>
        </w:rPr>
        <w:t xml:space="preserve"> </w:t>
      </w:r>
      <w:r>
        <w:rPr>
          <w:rFonts w:ascii="Times New Roman;serif" w:hAnsi="Times New Roman;serif"/>
          <w:b w:val="false"/>
          <w:strike/>
          <w:color w:val="FF0000"/>
          <w:sz w:val="22"/>
        </w:rPr>
        <w:t>Credit Facility</w:t>
      </w:r>
      <w:r>
        <w:rPr>
          <w:rFonts w:ascii="Times New Roman;serif" w:hAnsi="Times New Roman;serif"/>
          <w:b w:val="false"/>
          <w:color w:val="0000FF"/>
          <w:sz w:val="22"/>
          <w:u w:val="single"/>
        </w:rPr>
        <w:t>-1 Tranche or the Maturity Date for the Initial Revolving-2 Tranche, as applicable</w:t>
      </w:r>
      <w:r>
        <w:rPr>
          <w:rFonts w:ascii="Times New Roman;serif" w:hAnsi="Times New Roman;serif"/>
          <w:b w:val="false"/>
          <w:color w:val="000000"/>
          <w:sz w:val="22"/>
        </w:rPr>
        <w:t xml:space="preserve">, in an aggregate amount not to exceed at any time outstanding the amount of such Lender’s Initial Revolving Credit Commitment;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after giving effect to any Revolving Credit Borrowing, (x) the Total Revolving Credit Outstandings shall not exceed the aggregate amount of Initial Revolving Credit Commitments and (y) the aggregate Pro Rata Share of the Outstanding Amount of the Revolving Credit Loans of any Lender,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such Lender’s Pro Rata Share of the Outstanding Amount of all L/C Obligations shall not exceed the aggregate amount of such Lender’s Initial Revolving Credit Commitment. Within the limits of each Lender’s Revolving Credit Commitment, and subject to the other terms and conditions hereof, the Borrower may borrow under this </w:t>
      </w:r>
      <w:r>
        <w:rPr>
          <w:rFonts w:ascii="Times New Roman;serif" w:hAnsi="Times New Roman;serif"/>
          <w:b w:val="false"/>
          <w:color w:val="000000"/>
          <w:sz w:val="22"/>
          <w:u w:val="single"/>
        </w:rPr>
        <w:t>Section 2.01(b)</w:t>
      </w:r>
      <w:r>
        <w:rPr>
          <w:rFonts w:ascii="Times New Roman;serif" w:hAnsi="Times New Roman;serif"/>
          <w:b w:val="false"/>
          <w:color w:val="000000"/>
          <w:sz w:val="22"/>
        </w:rPr>
        <w:t xml:space="preserve">, prepay under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and reborrow under this </w:t>
      </w:r>
      <w:r>
        <w:rPr>
          <w:rFonts w:ascii="Times New Roman;serif" w:hAnsi="Times New Roman;serif"/>
          <w:b w:val="false"/>
          <w:color w:val="000000"/>
          <w:sz w:val="22"/>
          <w:u w:val="single"/>
        </w:rPr>
        <w:t>Section 2.01(b)</w:t>
      </w:r>
      <w:r>
        <w:rPr>
          <w:rFonts w:ascii="Times New Roman;serif" w:hAnsi="Times New Roman;serif"/>
          <w:b w:val="false"/>
          <w:color w:val="000000"/>
          <w:sz w:val="22"/>
        </w:rPr>
        <w:t>. Revolving Credit Loans may be (i) ABR Loans or SOFR Loans (in the case of Revolving Credit Loans denominated in Dollars) or (ii) Eurocurrency Rate Loans (in the case of Revolving Credit Loans denominated in Euros or another Alternative Currency), in each case as further provided herein. To the extent that any portion of the Revolving Credit Facility has been refinanced with one or more new revolving credit facilities constituting Specified Refinancing Debt</w:t>
      </w:r>
      <w:r>
        <w:rPr>
          <w:color w:val="0000FF"/>
          <w:u w:val="single"/>
        </w:rPr>
        <w:t xml:space="preserve"> </w:t>
      </w:r>
      <w:r>
        <w:rPr>
          <w:rFonts w:ascii="Times New Roman;serif" w:hAnsi="Times New Roman;serif"/>
          <w:b w:val="false"/>
          <w:color w:val="0000FF"/>
          <w:sz w:val="22"/>
          <w:u w:val="single"/>
        </w:rPr>
        <w:t>or if there exists an Existing Revolving Tranche and an Extended Revolving Tranche</w:t>
      </w:r>
      <w:r>
        <w:rPr>
          <w:rFonts w:ascii="Times New Roman;serif" w:hAnsi="Times New Roman;serif"/>
          <w:b w:val="false"/>
          <w:color w:val="000000"/>
          <w:sz w:val="22"/>
        </w:rPr>
        <w:t xml:space="preserve">, each Revolving Credit Borrowing (including any deemed Revolving Credit Borrowings made pursuant to </w:t>
      </w:r>
      <w:r>
        <w:rPr>
          <w:rFonts w:ascii="Times New Roman;serif" w:hAnsi="Times New Roman;serif"/>
          <w:b w:val="false"/>
          <w:color w:val="000000"/>
          <w:sz w:val="22"/>
          <w:u w:val="single"/>
        </w:rPr>
        <w:t>Section 2.03</w:t>
      </w:r>
      <w:r>
        <w:rPr>
          <w:rFonts w:ascii="Times New Roman;serif" w:hAnsi="Times New Roman;serif"/>
          <w:b w:val="false"/>
          <w:color w:val="000000"/>
          <w:sz w:val="22"/>
        </w:rPr>
        <w:t>) shall be allocated pro rata among the Revolving Tranches.</w:t>
      </w:r>
    </w:p>
    <w:p>
      <w:pPr>
        <w:pStyle w:val="TextBody"/>
        <w:bidi w:val="0"/>
        <w:spacing w:before="0" w:after="0"/>
        <w:jc w:val="left"/>
        <w:rPr/>
      </w:pPr>
      <w:r>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75260"/>
                <wp:effectExtent l="0" t="0" r="0" b="0"/>
                <wp:wrapNone/>
                <wp:docPr id="193" name="Frame1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After the Closing Date, subject to the terms and conditions set forth herein, each Lender with a Term Commitment (other than an Initial Term Commitment) with respect to any Tranche of Term Loans (other than Initial Term Loans) pursuant to any Term Commitment Increase, New Term Commitment or Specified Refinancing Term Commitment, as applicable, severally agrees to make a Term Loan under such Tranche to the applicable Borrower of such Tranche as set forth in the amendment or agreement relating to the respective Term Commitment Increase, New Term Commitment or Specified Refinancing Term Commitment pursuant to which such Lender shall have assumed its Term Commitment,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(d)    After the Closing Date, subject to the terms and conditions set forth herein, each Revolving Credit Lender with a Revolving Credit Commitment pursuant to any Revolving Credit Commitment Increase, New Revolving Commitment</w:t>
      </w:r>
      <w:r>
        <w:rPr>
          <w:strike/>
          <w:color w:val="FF0000"/>
        </w:rPr>
        <w:t xml:space="preserve"> </w:t>
      </w:r>
      <w:r>
        <w:rPr>
          <w:rFonts w:ascii="Times New Roman;serif" w:hAnsi="Times New Roman;serif"/>
          <w:b w:val="false"/>
          <w:strike/>
          <w:color w:val="FF0000"/>
          <w:sz w:val="22"/>
        </w:rPr>
        <w:t>or</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Specified Refinancing Revolving Credit Commitment</w:t>
      </w:r>
      <w:r>
        <w:rPr>
          <w:color w:val="0000FF"/>
          <w:u w:val="single"/>
        </w:rPr>
        <w:t xml:space="preserve"> </w:t>
      </w:r>
      <w:r>
        <w:rPr>
          <w:rFonts w:ascii="Times New Roman;serif" w:hAnsi="Times New Roman;serif"/>
          <w:b w:val="false"/>
          <w:color w:val="0000FF"/>
          <w:sz w:val="22"/>
          <w:u w:val="single"/>
        </w:rPr>
        <w:t>or Extended Revolving Commitment</w:t>
      </w:r>
      <w:r>
        <w:rPr>
          <w:rFonts w:ascii="Times New Roman;serif" w:hAnsi="Times New Roman;serif"/>
          <w:b w:val="false"/>
          <w:color w:val="000000"/>
          <w:sz w:val="22"/>
        </w:rPr>
        <w:t>, as applicable, severally agrees to make Revolving Credit Loans to the applicable Borrower as set forth in the amendment or agreement relating to the respective Revolving Credit Commitment Increase, New Revolving Commitment</w:t>
      </w:r>
      <w:r>
        <w:rPr>
          <w:strike/>
          <w:color w:val="FF0000"/>
        </w:rPr>
        <w:t xml:space="preserve"> </w:t>
      </w:r>
      <w:r>
        <w:rPr>
          <w:rFonts w:ascii="Times New Roman;serif" w:hAnsi="Times New Roman;serif"/>
          <w:b w:val="false"/>
          <w:strike/>
          <w:color w:val="FF0000"/>
          <w:sz w:val="22"/>
        </w:rPr>
        <w:t>or</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 xml:space="preserve">Specified Refinancing Revolving Credit Commitment </w:t>
      </w:r>
      <w:r>
        <w:rPr>
          <w:rFonts w:ascii="Times New Roman;serif" w:hAnsi="Times New Roman;serif"/>
          <w:b w:val="false"/>
          <w:color w:val="0000FF"/>
          <w:sz w:val="22"/>
          <w:u w:val="single"/>
        </w:rPr>
        <w:t xml:space="preserve">or Extended Revolving Commitment </w:t>
      </w:r>
      <w:r>
        <w:rPr>
          <w:rFonts w:ascii="Times New Roman;serif" w:hAnsi="Times New Roman;serif"/>
          <w:b w:val="false"/>
          <w:color w:val="000000"/>
          <w:sz w:val="22"/>
        </w:rPr>
        <w:t>pursuant to which such Lender shall have assumed its Revolving Credit Commitment,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2.02    </w:t>
      </w:r>
      <w:r>
        <w:rPr>
          <w:rFonts w:ascii="Times New Roman;serif" w:hAnsi="Times New Roman;serif"/>
          <w:b w:val="false"/>
          <w:color w:val="000000"/>
          <w:sz w:val="22"/>
          <w:u w:val="single"/>
        </w:rPr>
        <w:t>Borrowings, Conversions and Continuations of Loans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Each Term Borrowing, each Revolving Credit Borrowing, each conversion of Term Loans or Revolving Credit Loans from one Type to another, and each continuation of SOFR Loans or Eurocurrency Rate Loans, shall be made upon irrevocable notice by the applicable Borrower to the Administrative Agent. Each such notice must be in writing and must be received by the Administrative Agent not later than (i) 12:00 p.m. (New York City time) three Business Days prior to the requested date of any Borrowing of, conversion of ABR Loans to, or continuation of (as applicable), SOFR Loans or Eurocurrency Rate Loans and (ii) 11:00 a.m. (New York City time) on the requested date of any Borrowing of ABR Loans or of any conversion of SOFR Loans to ABR Loans. Each notice pursuant to this </w:t>
      </w:r>
      <w:r>
        <w:rPr>
          <w:rFonts w:ascii="Times New Roman;serif" w:hAnsi="Times New Roman;serif"/>
          <w:b w:val="false"/>
          <w:color w:val="000000"/>
          <w:sz w:val="22"/>
          <w:u w:val="single"/>
        </w:rPr>
        <w:t>Section 2.02(a)</w:t>
      </w:r>
      <w:r>
        <w:rPr>
          <w:color w:val="000000"/>
        </w:rPr>
        <w:t xml:space="preserve"> </w:t>
      </w:r>
      <w:r>
        <w:rPr>
          <w:rFonts w:ascii="Times New Roman;serif" w:hAnsi="Times New Roman;serif"/>
          <w:b w:val="false"/>
          <w:color w:val="000000"/>
          <w:sz w:val="22"/>
        </w:rPr>
        <w:t>shall be delivered to the Administrative Agent in the form of a written Committed Loan Notice, appropriately completed and signed by a Responsible Officer of the applicable Borrower.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Each Borrowing of, conversion to or continuation of SOFR Loans or Eurocurrency Rate Loans shall be (i) in a principal amount of $1,000,000 (or the equivalent Dollar Amount), or (ii) a whole multiple of $100,000 (or the equivalent Dollar Amount) in excess thereof. Except as provided in </w:t>
      </w:r>
      <w:r>
        <w:rPr>
          <w:rFonts w:ascii="Times New Roman;serif" w:hAnsi="Times New Roman;serif"/>
          <w:b w:val="false"/>
          <w:color w:val="000000"/>
          <w:sz w:val="22"/>
          <w:u w:val="single"/>
        </w:rPr>
        <w:t>Section 2.03(d)</w:t>
      </w:r>
      <w:r>
        <w:rPr>
          <w:rFonts w:ascii="Times New Roman;serif" w:hAnsi="Times New Roman;serif"/>
          <w:b w:val="false"/>
          <w:color w:val="000000"/>
          <w:sz w:val="22"/>
        </w:rPr>
        <w:t>, each Borrowing of, or conversion to, ABR Loans shall be (i) in a principal amount of $1,000,000 (or the equivalent Dollar Amount) or (ii) a whole multiple of $100,000 (or the equivalent Dollar Amount) in excess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Each Committed Loan Notice shall specify (i) the identity of the applicable Borrower requesting a Credit Extension, (ii) whether such Borrower is requesting a Term Borrowing, a Revolving Credit Borrowing, a conversion of a Tranche of Term Loans or Revolving Credit Loans from one Type to another, or a continuation of SOFR Loans or Eurocurrency Rate Loans, (iii) the requested date of the Borrowing, conversion or continuation, as applicable (which shall be a Business Day), (iv) the principal amount of Loans to be borrowed, converted or continued, (v) the Type of Loans to be borrowed or to which existing Tranche of Term Loans or Revolving Credit Loans are to be converted, (vi) if applicable, the duration of the Interest Period with respect thereto and (vii) the currency in which the Revolving Credit Loans to be borrowed are to be denominated (which shall be Dollars or an Alternative Currency). If, with respect to any SOFR Loans or Eurocurrency Rate Loans, the applicable Borrower fails to specify a Type of Loan in a Committed Loan Notice or if the applicable Borrower fails to give a timely notice </w:t>
      </w:r>
    </w:p>
    <w:p>
      <w:pPr>
        <w:pStyle w:val="TextBody"/>
        <w:bidi w:val="0"/>
        <w:spacing w:before="0" w:after="0"/>
        <w:jc w:val="left"/>
        <w:rPr/>
      </w:pPr>
      <w:r>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75260"/>
                <wp:effectExtent l="0" t="0" r="0" b="0"/>
                <wp:wrapNone/>
                <wp:docPr id="194" name="Frame1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requesting a conversion or continuation, then the applicable Tranche of Term Loans or Revolving Credit Loans shall be made as, or converted to, SOFR Loans or Eurocurrency Rate Loans with an Interest Period of one month. Any such automatic conversion or continuation pursuant to the immediately preceding sentence shall be effective as of the last day of the Interest Period then in effect with respect to the applicable SOFR Loans or Eurocurrency Rate Loans. If the applicable Borrower requests a Borrowing of, conversion to, or continuation of SOFR Loans or Eurocurrency Rate Loans in any such Committed Loan Notice, but fails to specify an Interest Period, it will be deemed to have specified an Interest Period of one month.</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Following receipt of a Committed Loan Notice, the Administrative Agent shall promptly notify each applicable Lender of the amount of its Pro Rata Share of the applicable Tranche of Term Loans or Revolving Credit Loans, and if no timely notice of a conversion or continuation of SOFR Loans or Eurocurrency Rate Loan is provided by the applicable Borrower, the Administrative Agent shall notify each Lender of the details of any automatic conversion to SOFR Loans or Eurocurrency Rate Loans, as applicable, with an Interest Period of one month as described in </w:t>
      </w:r>
      <w:r>
        <w:rPr>
          <w:rFonts w:ascii="Times New Roman;serif" w:hAnsi="Times New Roman;serif"/>
          <w:b w:val="false"/>
          <w:color w:val="000000"/>
          <w:sz w:val="22"/>
          <w:u w:val="single"/>
        </w:rPr>
        <w:t>Section 2.02(a)</w:t>
      </w:r>
      <w:r>
        <w:rPr>
          <w:rFonts w:ascii="Times New Roman;serif" w:hAnsi="Times New Roman;serif"/>
          <w:b w:val="false"/>
          <w:color w:val="000000"/>
          <w:sz w:val="22"/>
        </w:rPr>
        <w:t xml:space="preserve">. In the case of a Term Borrowing or a Revolving Credit Borrowing, each Appropriate Lender shall make the amount of its Loan available to the Administrative Agent in immediately available funds at the Administrative Agent’s Office not later than 3:00 p.m. (New York City time) in the case of Loans denominated in Dollars, and not later than the applicable time specified by the Administrative Agent in the case of any Revolving Credit Loan denominated in an Alternative Currency, in each case, on the Business Day specified in the applicable Committed Loan Notice. Each Lender may, at its option, make any Loan available to the applicable Borrower by causing any foreign or domestic branch or Affiliate of such Lender to make such Loan; provided that any exercise of such option shall not affect the obligation of the applicable Borrower to repay such Loan in accordance with the terms of this Agreement. Upon satisfaction of the applicable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(or, if such Borrowing is the initial Credit Extension, </w:t>
      </w:r>
      <w:r>
        <w:rPr>
          <w:rFonts w:ascii="Times New Roman;serif" w:hAnsi="Times New Roman;serif"/>
          <w:b w:val="false"/>
          <w:color w:val="000000"/>
          <w:sz w:val="22"/>
          <w:u w:val="single"/>
        </w:rPr>
        <w:t>Section 4.01</w:t>
      </w:r>
      <w:r>
        <w:rPr>
          <w:rFonts w:ascii="Times New Roman;serif" w:hAnsi="Times New Roman;serif"/>
          <w:b w:val="false"/>
          <w:color w:val="000000"/>
          <w:sz w:val="22"/>
        </w:rPr>
        <w:t xml:space="preserve">), the Administrative Agent shall make all funds so received available to the applicable Borrower in like funds as received by the Administrative Agent either by (i) crediting the account of the applicable Borrower on the books of the Administrative Agent with the amount of such funds or (ii) wire transfer of such funds, in each case in accordance with instructions provided to (and reasonably acceptable to) the Administrative Agent by the applicable Borrower;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on the date the Committed Loan Notice with respect to such Borrowing is given by the applicable Borrower, there are L/C Borrowings outstanding, then the proceeds of such Borrowing shall be applied,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in full of any such L/C Borrowings, and </w:t>
      </w:r>
      <w:r>
        <w:rPr>
          <w:rFonts w:ascii="Times New Roman;serif" w:hAnsi="Times New Roman;serif"/>
          <w:b w:val="false"/>
          <w:color w:val="000000"/>
          <w:sz w:val="22"/>
          <w:u w:val="single"/>
        </w:rPr>
        <w:t>second</w:t>
      </w:r>
      <w:r>
        <w:rPr>
          <w:rFonts w:ascii="Times New Roman;serif" w:hAnsi="Times New Roman;serif"/>
          <w:b w:val="false"/>
          <w:color w:val="000000"/>
          <w:sz w:val="22"/>
        </w:rPr>
        <w:t>, to the applicable Borrower as provided above.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Except as otherwise provided herein, a SOFR Loan or Eurocurrency Rate Loan may be continued or converted only on the last day of an Interest Period for such SOFR Loan or Eurocurrency Rate Loan unless the applicable Borrower pays the amount due under </w:t>
      </w:r>
      <w:r>
        <w:rPr>
          <w:rFonts w:ascii="Times New Roman;serif" w:hAnsi="Times New Roman;serif"/>
          <w:b w:val="false"/>
          <w:color w:val="000000"/>
          <w:sz w:val="22"/>
          <w:u w:val="single"/>
        </w:rPr>
        <w:t>Section 3.06</w:t>
      </w:r>
      <w:r>
        <w:rPr>
          <w:color w:val="000000"/>
        </w:rPr>
        <w:t xml:space="preserve"> </w:t>
      </w:r>
      <w:r>
        <w:rPr>
          <w:rFonts w:ascii="Times New Roman;serif" w:hAnsi="Times New Roman;serif"/>
          <w:b w:val="false"/>
          <w:color w:val="000000"/>
          <w:sz w:val="22"/>
        </w:rPr>
        <w:t>in connection therewith. During the existence of an Event of Default, at the election of the Administrative Agent or the Required Lenders, no Loans may be requested as, converted to or continued as SOFR Loan or Eurocurrency Rate Loans.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Administrative Agent shall promptly notify the applicable Borrower and the Lenders of the interest rate applicable to any Interest Period for SOFR Loans or Eurocurrency Rate Loans upon determination of such interest rate. The determination of Term SOFR or the Adjusted Eurocurrency Rate by the Administrative Agent shall be conclusive in the absence of manifest error.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(e)    After giving effect to all Term Borrowings, all Revolving Credit Borrowings, all conversions of Term Loans or Revolving Credit Loans from one Type to another, and all continuations of </w:t>
      </w:r>
    </w:p>
    <w:p>
      <w:pPr>
        <w:pStyle w:val="TextBody"/>
        <w:bidi w:val="0"/>
        <w:spacing w:before="0" w:after="0"/>
        <w:jc w:val="left"/>
        <w:rPr/>
      </w:pPr>
      <w:r>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75260"/>
                <wp:effectExtent l="0" t="0" r="0" b="0"/>
                <wp:wrapNone/>
                <wp:docPr id="195" name="Frame1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Term Loans or Revolving Credit Loans of the same Type, there shall not be more than ten Interest Periods in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which for the avoidance of doubt does not limit such Lender’s obligations under </w:t>
      </w:r>
      <w:r>
        <w:rPr>
          <w:rFonts w:ascii="Times New Roman;serif" w:hAnsi="Times New Roman;serif"/>
          <w:b w:val="false"/>
          <w:color w:val="000000"/>
          <w:sz w:val="22"/>
          <w:u w:val="single"/>
        </w:rPr>
        <w:t>Section 2.17</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2.03    </w:t>
      </w:r>
      <w:r>
        <w:rPr>
          <w:rFonts w:ascii="Times New Roman;serif" w:hAnsi="Times New Roman;serif"/>
          <w:b w:val="false"/>
          <w:color w:val="000000"/>
          <w:sz w:val="22"/>
          <w:u w:val="single"/>
        </w:rPr>
        <w:t>Letters of Credit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Letter of Credit Commitment. (i) Subject to the terms and conditions set forth herein,</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(A)    each L/C Issuer agrees, in reliance upon (among other things) the agreements of the other Revolving Credit Lenders set forth in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(1) from time to time on any Business Day during the period from the Closing Date until the Letter of Credit Sublimit Expiration Date, to issue Letters of Credit denominated in Dollars or an Alternative Currency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no L/C Issuer shall be required to issue Letters of Credit hereunder other than standby Letters of Credit denominated in Dollars) for the account of any Restricted Group Member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each Borrower hereby irrevocably agrees to reimburse the applicable L/C Issuer for amounts drawn on any Letters of Credit issued for the account of any Restricted Group Member on a joint and several basis with such Restricted Subsidiary and shall be a co-applicant for each such Letter of Credit issued for the account of a Restricted Subsidiary, but in no event shall any Excluded Subsidiary be responsible for any amounts drawn on any Letters of Credit issued for the account of a Borrower or any other Subsidiary) and to amend or extend Letters of Credit previously issued by it, in accordance with </w:t>
      </w:r>
      <w:r>
        <w:rPr>
          <w:rFonts w:ascii="Times New Roman;serif" w:hAnsi="Times New Roman;serif"/>
          <w:b w:val="false"/>
          <w:color w:val="000000"/>
          <w:sz w:val="22"/>
          <w:u w:val="single"/>
        </w:rPr>
        <w:t>Section 2.03(c)</w:t>
      </w:r>
      <w:r>
        <w:rPr>
          <w:rFonts w:ascii="Times New Roman;serif" w:hAnsi="Times New Roman;serif"/>
          <w:b w:val="false"/>
          <w:color w:val="000000"/>
          <w:sz w:val="22"/>
        </w:rPr>
        <w:t>, and (2) to honor drawings under the Letters of Credit;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(B)    the Revolving Credit Lenders severally agree to participate in Letters of Credit issued for the account of any Restricted Group Member</w:t>
      </w:r>
      <w:r>
        <w:rPr>
          <w:color w:val="0000FF"/>
          <w:u w:val="single"/>
        </w:rPr>
        <w:t xml:space="preserve"> </w:t>
      </w:r>
      <w:r>
        <w:rPr>
          <w:rFonts w:ascii="Times New Roman;serif" w:hAnsi="Times New Roman;serif"/>
          <w:b w:val="false"/>
          <w:color w:val="0000FF"/>
          <w:sz w:val="22"/>
          <w:u w:val="single"/>
        </w:rPr>
        <w:t>(which participations, to the extent that any portion of the Revolving Credit Facility has been refinanced with one or more new revolving credit facilities constituting Specified Refinancing Debt or if there exists an Existing Revolving Tranche and an Extended Revolving Tranche, shall be allocated among each Revolving Credit Lender under the Revolving Tranches and such participations shall be allocated pro rata among the Revolving Tranches)</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no L/C Issuer shall be obligated to make any L/C Credit Extension with respect to any Letter of Credit, and no Lender shall be obligated to participate in any Letter of Credit, if as of the date of such L/C Credit Extension (w) the Total Revolving Credit Outstandings in respect of any Revolving Tranche would exceed such Revolving Tranche, (x) the Total Revolving Credit Outstandings would exceed the Revolving Credit Facility, (y) the aggregate Pro Rata Share of the Outstanding Amount of the Revolving Credit Loans of any Lender,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such Lender’s Pro Rata Share of the Outstanding Amount of all L/C Obligations would exceed such Lender’s Initial Revolving Credit Commitment or (z) the Outstanding Amount of the L/C Obligations would exceed the Letter of Credit Sublimit;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no L/C Issuer identified on </w:t>
      </w:r>
      <w:r>
        <w:rPr>
          <w:rFonts w:ascii="Times New Roman;serif" w:hAnsi="Times New Roman;serif"/>
          <w:b w:val="false"/>
          <w:color w:val="000000"/>
          <w:sz w:val="22"/>
          <w:u w:val="single"/>
        </w:rPr>
        <w:t>Schedule 1.01(f)</w:t>
      </w:r>
      <w:r>
        <w:rPr>
          <w:color w:val="000000"/>
        </w:rPr>
        <w:t xml:space="preserve"> </w:t>
      </w:r>
      <w:r>
        <w:rPr>
          <w:rFonts w:ascii="Times New Roman;serif" w:hAnsi="Times New Roman;serif"/>
          <w:b w:val="false"/>
          <w:color w:val="000000"/>
          <w:sz w:val="22"/>
        </w:rPr>
        <w:t xml:space="preserve">shall have any obligation to make an L/C Credit Extension if, after giving effect thereto, the L/C Obligations in respect of Letters of Credit issued by such L/C Issuer would exceed the amount set forth opposite such L/C Issuer’s name on </w:t>
      </w:r>
      <w:r>
        <w:rPr>
          <w:rFonts w:ascii="Times New Roman;serif" w:hAnsi="Times New Roman;serif"/>
          <w:b w:val="false"/>
          <w:color w:val="000000"/>
          <w:sz w:val="22"/>
          <w:u w:val="single"/>
        </w:rPr>
        <w:t>Schedule 1.01(f)</w:t>
      </w:r>
      <w:r>
        <w:rPr>
          <w:rFonts w:ascii="Times New Roman;serif" w:hAnsi="Times New Roman;serif"/>
          <w:b w:val="false"/>
          <w:color w:val="000000"/>
          <w:sz w:val="22"/>
        </w:rPr>
        <w:t xml:space="preserve">. Within the foregoing limits, and subject to the terms and conditions hereof, the Borrower’s ability to obtain Letters of Credit shall be fully revolving, and accordingly the Borrower may, during the foregoing period, obtain Letters of Credit to replace </w:t>
      </w:r>
    </w:p>
    <w:p>
      <w:pPr>
        <w:pStyle w:val="TextBody"/>
        <w:bidi w:val="0"/>
        <w:spacing w:before="0" w:after="0"/>
        <w:jc w:val="left"/>
        <w:rPr/>
      </w:pPr>
      <w:r>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75260"/>
                <wp:effectExtent l="0" t="0" r="0" b="0"/>
                <wp:wrapNone/>
                <wp:docPr id="196" name="Frame1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Letters of Credit that have expired or been terminated or that have been drawn upon and reimbursed. All Letters of Credit shall be denominated in Dollars or an Alternative Currency;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each L/C Issuer’s obligation to issue Letters of Credit in any Alternative Currency shall be subject to the currency limitations set forth on </w:t>
      </w:r>
      <w:r>
        <w:rPr>
          <w:rFonts w:ascii="Times New Roman;serif" w:hAnsi="Times New Roman;serif"/>
          <w:b w:val="false"/>
          <w:color w:val="000000"/>
          <w:sz w:val="22"/>
          <w:u w:val="single"/>
        </w:rPr>
        <w:t>Schedule 1.01(f)</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No L/C Issuer shall be under any obligation to issue any Letter of Credit (and, in the case of </w:t>
      </w:r>
      <w:r>
        <w:rPr>
          <w:rFonts w:ascii="Times New Roman;serif" w:hAnsi="Times New Roman;serif"/>
          <w:b w:val="false"/>
          <w:color w:val="000000"/>
          <w:sz w:val="22"/>
          <w:u w:val="single"/>
        </w:rPr>
        <w:t>clauses (B)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below unless the applicable requisite consents specified therein have been obtained, no L/C Issuer shall issue any Letter of Credit) if:</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(D)    subject to </w:t>
      </w:r>
      <w:r>
        <w:rPr>
          <w:rFonts w:ascii="Times New Roman;serif" w:hAnsi="Times New Roman;serif"/>
          <w:b w:val="false"/>
          <w:color w:val="000000"/>
          <w:sz w:val="22"/>
          <w:u w:val="single"/>
        </w:rPr>
        <w:t>Section 2.03(c)(iii)</w:t>
      </w:r>
      <w:r>
        <w:rPr>
          <w:rFonts w:ascii="Times New Roman;serif" w:hAnsi="Times New Roman;serif"/>
          <w:b w:val="false"/>
          <w:color w:val="000000"/>
          <w:sz w:val="22"/>
        </w:rPr>
        <w:t>, the expiry date of such requested Letter of Credit would occur after the earlier of (x) five Business Days prior to the scheduled Maturity Date then in effect for the Revolving Credit Facility (or, if such day is not a Business Day, the immediately preceding Business Day) and (y) more than 12 months after the date of issuance, unless the applicable L/C Issuer, in its sole discretion, has approved such expiry date.</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(E)    the expiry date of such requested Letter of Credit would occur after the Letter of Credit Sublimit Expiration Date, unless (i) all the Revolving Credit Lenders and the applicable L/C Issuer have approved such expiry date and/or (ii) the applicable L/C Issuer has approved such expiry date and such requested Letter of Credit has been Cash Collateralized by the applicant requesting such Letter of Credit in accordance with </w:t>
      </w:r>
      <w:r>
        <w:rPr>
          <w:rFonts w:ascii="Times New Roman;serif" w:hAnsi="Times New Roman;serif"/>
          <w:b w:val="false"/>
          <w:color w:val="000000"/>
          <w:sz w:val="22"/>
          <w:u w:val="single"/>
        </w:rPr>
        <w:t>Section 2.16</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(F)    the issuance of such Letter of Credit would violate one or more generally applicable policies of such L/C Issuer in place at the time of such request;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(G)    such Letter of Credit is in an initial amount of less than $5,000 (or the equivalent Dollar Amount) or such lesser amount as is acceptable to the applicable L/C Issuer in its sole discretion;</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(H)    such Letter of Credit is denominated in a currency other than Dollars or an Alternative Currency;</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(I)    the proceeds of such Letter of Credit would be made available to any Person (i) to fund any activity or business of or with any Sanctioned Person, or any dealing or investment in or with any country or territory that, at the time of such funding, is a Sanctioned Country, in each case, in violation of Sanctions Laws and Regulations or (ii) in any manner that would result in a violation of any Sanctions Laws and Regulations by any party to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75260"/>
                <wp:effectExtent l="0" t="0" r="0" b="0"/>
                <wp:wrapNone/>
                <wp:docPr id="197" name="Frame1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(J)    such L/C Issuer does not as of the issuance date of such requested Letter of Credit issue Letters of Credit in the requested currency; or</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(K)    any Revolving Credit Lender is at that time a Defaulting Lender, unless the applicable L/C Issuer has entered into arrangements, including reallocation of the Defaulting Lender’s Pro Rata Share of the outstanding L/C Obligations pursuant to </w:t>
      </w:r>
      <w:r>
        <w:rPr>
          <w:rFonts w:ascii="Times New Roman;serif" w:hAnsi="Times New Roman;serif"/>
          <w:b w:val="false"/>
          <w:color w:val="000000"/>
          <w:sz w:val="22"/>
          <w:u w:val="single"/>
        </w:rPr>
        <w:t>Section 2.17(a)(iv)</w:t>
      </w:r>
      <w:r>
        <w:rPr>
          <w:color w:val="000000"/>
        </w:rPr>
        <w:t xml:space="preserve"> </w:t>
      </w:r>
      <w:r>
        <w:rPr>
          <w:rFonts w:ascii="Times New Roman;serif" w:hAnsi="Times New Roman;serif"/>
          <w:b w:val="false"/>
          <w:color w:val="000000"/>
          <w:sz w:val="22"/>
        </w:rPr>
        <w:t xml:space="preserve">or the delivery of Cash Collateral in accordance with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with the Borrower or such Lender to eliminate such L/C Issuer’s actual or potential Fronting Exposure (after giving effect to </w:t>
      </w:r>
      <w:r>
        <w:rPr>
          <w:rFonts w:ascii="Times New Roman;serif" w:hAnsi="Times New Roman;serif"/>
          <w:b w:val="false"/>
          <w:color w:val="000000"/>
          <w:sz w:val="22"/>
          <w:u w:val="single"/>
        </w:rPr>
        <w:t>Section 2.17(a)(iv)</w:t>
      </w:r>
      <w:r>
        <w:rPr>
          <w:rFonts w:ascii="Times New Roman;serif" w:hAnsi="Times New Roman;serif"/>
          <w:b w:val="false"/>
          <w:color w:val="000000"/>
          <w:sz w:val="22"/>
        </w:rPr>
        <w:t>) with respect to the Defaulting Lender arising from either the Letter of Credit then proposed to be issued or that Letter of Credit and all other L/C Obligations as to which such L/C Issuer has actual or potential Fronting Exposure under such Tranche.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No L/C Issuer shall be under any obligation to issue an amendment to any Letter of Credit if such L/C Issuer would have no obligation at such time to issue such Letter of Credit in its amended form under the terms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included each L/C Issuer with respect to such acts or omissions and (B) as additionally provided herein with respect to each L/C Issuer.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foregoing benefits and immunities shall not excuse any L/C Issuer from liability to any Borrower to the extent of any direct damages (as opposed to indirect, special, consequential, punitive or exemplary damages claims which are hereby waived by the Borrower to the extent permitted by applicable law) suffered by such Borrower that are caused by such L/C Issuer’s gross negligence, bad faith or willful misconduct as determined by a court of competent jurisdiction in a final and nonappealable judgment.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Procedures for Issuance and Amendment of Letters of Credit; Auto-Extension Letters of Credit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    Each Letter of Credit shall be issued or amended, as applicable, upon the request of the applicable Borrower delivered to the applicable L/C Issuer (with a copy to the Administrative Agent) in the form of an irrevocable Letter of Credit Application, including agreed-upon draft language for such Letter of Credit reasonably acceptable to the applicable L/C Issuer (it being understood that such draft language for each such Letter of Credit must be in English or, if agreed to in the sole discretion of the applicable L/C Issuer, accompanied by an English translation certified by the applicable Borrower to be a true and correct English translation), appropriately completed and signed by a Responsible Officer of the applicable Borrower. Such Letter of Credit Application must be received by the applicable L/C Issuer and the Administrative Agent not later than 2:00 p.m. (New York City time) at least five Business Days (or such shorter period as such L/C Issuer and the Administrative Agent may agree in a particular instance in their sole discretion) prior to the proposed issuance date. In the case of a request for the issuance of a Letter of Credit, such Letter of Credit Application shall specify in form and detail reasonably satisfactory to the applicable L/C Issuer: (A) the proposed issuance </w:t>
      </w:r>
    </w:p>
    <w:p>
      <w:pPr>
        <w:pStyle w:val="TextBody"/>
        <w:bidi w:val="0"/>
        <w:spacing w:before="0" w:after="0"/>
        <w:jc w:val="left"/>
        <w:rPr/>
      </w:pPr>
      <w:r>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75260"/>
                <wp:effectExtent l="0" t="0" r="0" b="0"/>
                <wp:wrapNone/>
                <wp:docPr id="198" name="Frame1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date of the requested Letter of Credit (which shall be a Business Day not later than 30 days prior to the Maturity Date of the Revolving Credit Facility, unless the Administrative Agent and the applicable L/C Issuer otherwise agree); (B) the Person for whose account the requested Letter of Credit is to be issued (which must be a Restricted Group Member); and (C) such other matters as the applicable L/C Issuer may reasonably request. In the case of a request for an amendment of any outstanding Letter of Credit, such Letter of Credit Application shall specify in form and detail reasonably satisfactory to the applicable L/C Issuer: (1) the Letter of Credit to be amended; (2) the proposed date of the issuance of the amendment (which shall be a Business Day); (3) the nature of the proposed amendment; and (4) such other matters as the applicable L/C Issuer may reasonably request.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Promptly following delivery of any Letter of Credit Application to the applicable L/C Issuer, the applicable L/C Issuer will confirm with the Administrative Agent that the Administrative Agent has received a copy of such Letter of Credit Application and, if the Administrative Agent has not received a copy of such Letter of Credit Application, then the applicable L/C Issuer will provide the Administrative Agent with a copy thereof. Upon receipt by such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any Restricted Group Member (as designated in the Letter of Credit Application) or issue the applicable amendment, as applicable. Immediately upon the issuance of each Letter of Credit, each Revolving Credit Lender shall be deemed to, and hereby irrevocably and unconditionally agrees to, purchase from the applicable L/C Issuer a risk participation in such Letter of Credit in an amount equal to such Lender’s Pro Rata Share of the Revolving Credit Facility multiplied by the amount of such Letter of Credit.</w:t>
      </w:r>
    </w:p>
    <w:p>
      <w:pPr>
        <w:pStyle w:val="TextBody"/>
        <w:bidi w:val="0"/>
        <w:spacing w:lineRule="auto" w:line="288" w:before="0" w:after="240"/>
        <w:ind w:left="0" w:right="0" w:firstLine="720"/>
        <w:jc w:val="left"/>
        <w:rPr/>
      </w:pPr>
      <w:r>
        <w:rPr>
          <w:rFonts w:ascii="Times New Roman;serif" w:hAnsi="Times New Roman;serif"/>
          <w:b w:val="false"/>
          <w:color w:val="000000"/>
          <w:sz w:val="22"/>
        </w:rPr>
        <w:t>(iii)    If the applicable Borrower so requests in any applicable Letter of Credit Application, the applicable L/C Issuer may, in its sole and absolute discretion, agree to issue a Letter of Credit that has automatic extension provisions (each, an “</w:t>
      </w:r>
      <w:r>
        <w:rPr>
          <w:rFonts w:ascii="Times New Roman;serif" w:hAnsi="Times New Roman;serif"/>
          <w:b/>
          <w:color w:val="000000"/>
          <w:sz w:val="22"/>
        </w:rPr>
        <w:t>Auto-Extension Letter of Credit</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any such Auto-Extension Letter of Credit must permit such L/C Issuer to prevent any such extension at least once in each 12-month period (commencing with the date of issuance of such Letter of Credit) by giving prior notice to the beneficiary thereof not later than a day in each such 12-month period to be agreed upon at the time such Letter of Credit is issued. Unless otherwise directed by the applicable L/C Issuer, the applicable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Sublimit Expiration Date;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L/C Issuer shall not permit any such extension if such L/C Issuer has determined that it would have no obligation at such time to issue such Letter of Credit in its extended form under the terms hereof (by reason of the provisions of </w:t>
      </w:r>
      <w:r>
        <w:rPr>
          <w:rFonts w:ascii="Times New Roman;serif" w:hAnsi="Times New Roman;serif"/>
          <w:b w:val="false"/>
          <w:color w:val="000000"/>
          <w:sz w:val="22"/>
          <w:u w:val="single"/>
        </w:rPr>
        <w:t>Section 2.03(a)(ii)</w:t>
      </w:r>
      <w:r>
        <w:rPr>
          <w:color w:val="000000"/>
        </w:rPr>
        <w:t xml:space="preserve"> </w:t>
      </w:r>
      <w:r>
        <w:rPr>
          <w:rFonts w:ascii="Times New Roman;serif" w:hAnsi="Times New Roman;serif"/>
          <w:b w:val="false"/>
          <w:color w:val="000000"/>
          <w:sz w:val="22"/>
        </w:rPr>
        <w:t>or otherwise).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(iv)    Promptly upon request thereof by the applicable Borrower or the Administrative Agent and after its delivery of any Letter of Credit or any amendment to a Letter of Credit to an advising bank with respect thereto or to the beneficiary thereof, the applicable L/C Issuer will also (A) deliver to the applicable Borrower, the applicable Restricted Group Member and the Administrative Agent a true and complete copy of such Letter of Credit or amendment and (B) </w:t>
      </w:r>
    </w:p>
    <w:p>
      <w:pPr>
        <w:pStyle w:val="TextBody"/>
        <w:bidi w:val="0"/>
        <w:spacing w:before="0" w:after="0"/>
        <w:jc w:val="left"/>
        <w:rPr/>
      </w:pPr>
      <w:r>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75260"/>
                <wp:effectExtent l="0" t="0" r="0" b="0"/>
                <wp:wrapNone/>
                <wp:docPr id="199" name="Frame1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Administrative Agent in turn will notify each Revolving Credit Lender of such issuance or amendment and the amount of such Revolving Credit Lender’s Pro Rata Share therein.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(v)    Notwithstanding anything to the contrary set forth above, the issuance of any Letters of Credit by any L/C Issuer under this Agreement shall be subject to such reasonable additional letter of credit issuance procedures and requirements as may be required by such L/C Issuer’s internal letter of credit issuance policies and procedures, in its sole discretion, as in effect at the time of such issuance, including requirements with respect to the prior receipt by such L/C Issuer of customary “know your customer” information regarding a prospective account party or applicant that is not a Loan Party hereunder, as well as regarding any beneficiaries of a requested Letter of Credit. Additionally, if (a) the beneficiary of a Letter of Credit issued hereunder is an issuer of a letter of credit not governed by this Agreement for the account of any Restricted Group Member (an “</w:t>
      </w:r>
      <w:r>
        <w:rPr>
          <w:rFonts w:ascii="Times New Roman;serif" w:hAnsi="Times New Roman;serif"/>
          <w:b/>
          <w:color w:val="000000"/>
          <w:sz w:val="22"/>
        </w:rPr>
        <w:t>Other LC</w:t>
      </w:r>
      <w:r>
        <w:rPr>
          <w:color w:val="000000"/>
        </w:rPr>
        <w:t>”</w:t>
      </w:r>
      <w:r>
        <w:rPr>
          <w:rFonts w:ascii="Times New Roman;serif" w:hAnsi="Times New Roman;serif"/>
          <w:b w:val="false"/>
          <w:color w:val="000000"/>
          <w:sz w:val="22"/>
        </w:rPr>
        <w:t>) and (b) such Letter of Credit is issued to provide credit support for such Other LC, no amendments may be made to such Other LC without the consent of the applicable L/C Issuer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Drawings and Reimbursements; Funding of Participations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(i)    After examination of drawing document(s), the applicable L/C Issuer shall notify the applicable Borrower of the date and the amount of a drawing presented under any Letter of Credit and paid by such L/C Issuer. Each L/C Issuer shall notify the applicable Borrower on the date of any payment by such L/C Issuer under a Letter of Credit (each such date, an “</w:t>
      </w:r>
      <w:r>
        <w:rPr>
          <w:rFonts w:ascii="Times New Roman;serif" w:hAnsi="Times New Roman;serif"/>
          <w:b/>
          <w:color w:val="000000"/>
          <w:sz w:val="22"/>
        </w:rPr>
        <w:t>Honor Date</w:t>
      </w:r>
      <w:r>
        <w:rPr>
          <w:color w:val="000000"/>
        </w:rPr>
        <w:t>”</w:t>
      </w:r>
      <w:r>
        <w:rPr>
          <w:rFonts w:ascii="Times New Roman;serif" w:hAnsi="Times New Roman;serif"/>
          <w:b w:val="false"/>
          <w:color w:val="000000"/>
          <w:sz w:val="22"/>
        </w:rPr>
        <w:t xml:space="preserve">), and the applicable Borrower shall reimburse such L/C Issuer through the Administrative Agent in an amount equal to the amount of such drawing no later than on the next succeeding Business Day (and any reimbursement made on such next Business Day shall be taken into account in computing interest and fees in respect of any such Letter of Credit) after the applicable Borrower shall have received notice of such payment with interest on the amount so paid or disbursed by such L/C Issuer, to the extent not reimbursed prior to 3:00 p.m. (New York time) in the case of drawings in Dollars or an Alternative Currency, in each case, on the applicable Honor Date, from and including the date paid or disbursed to but excluding the date such L/C Issuer was reimbursed by the applicable Borrower therefor at a rate per annum equal to the ABR as in effect from time to time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the Applicable Rate </w:t>
      </w:r>
      <w:r>
        <w:rPr>
          <w:rFonts w:ascii="Times New Roman;serif" w:hAnsi="Times New Roman;serif"/>
          <w:b w:val="false"/>
          <w:color w:val="0000FF"/>
          <w:sz w:val="22"/>
          <w:u w:val="single"/>
        </w:rPr>
        <w:t xml:space="preserve">(to be determined with respect to each applicable Tranche thereof) </w:t>
      </w:r>
      <w:r>
        <w:rPr>
          <w:rFonts w:ascii="Times New Roman;serif" w:hAnsi="Times New Roman;serif"/>
          <w:b w:val="false"/>
          <w:color w:val="000000"/>
          <w:sz w:val="22"/>
        </w:rPr>
        <w:t>as in effect from time to time for Revolving Credit Loans that are maintained as ABR Loans. If the applicable Borrower fails to so reimburse such L/C Issuer on such next Business Day, the L/C Issuer will notify the Administrative Agent thereof and the Administrative Agent shall promptly notify each Revolving Credit Lender under the applicable Revolving Tranche of the Honor Date, the amount of the unreimbursed drawing (the “</w:t>
      </w:r>
      <w:r>
        <w:rPr>
          <w:rFonts w:ascii="Times New Roman;serif" w:hAnsi="Times New Roman;serif"/>
          <w:b/>
          <w:color w:val="000000"/>
          <w:sz w:val="22"/>
        </w:rPr>
        <w:t>Unreimbursed Amount</w:t>
      </w:r>
      <w:r>
        <w:rPr>
          <w:color w:val="000000"/>
        </w:rPr>
        <w:t>”</w:t>
      </w:r>
      <w:r>
        <w:rPr>
          <w:rFonts w:ascii="Times New Roman;serif" w:hAnsi="Times New Roman;serif"/>
          <w:b w:val="false"/>
          <w:color w:val="000000"/>
          <w:sz w:val="22"/>
        </w:rPr>
        <w:t xml:space="preserve">), and the amount of such Revolving Credit Lender’s Pro Rata Share thereof. In such event, in the case of an Unreimbursed Amount, the applicable Borrower shall be deemed to have requested a Revolving Credit Borrowing of ABR Loans in Dollars, to be disbursed on such date in an amount equal to the Unreimbursed Amount, in accordance with the requirements of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but without regard to the minimum and multiples specified in </w:t>
      </w:r>
      <w:r>
        <w:rPr>
          <w:rFonts w:ascii="Times New Roman;serif" w:hAnsi="Times New Roman;serif"/>
          <w:b w:val="false"/>
          <w:color w:val="000000"/>
          <w:sz w:val="22"/>
          <w:u w:val="single"/>
        </w:rPr>
        <w:t>Section 2.02</w:t>
      </w:r>
      <w:r>
        <w:rPr>
          <w:color w:val="000000"/>
        </w:rPr>
        <w:t xml:space="preserve"> </w:t>
      </w:r>
      <w:r>
        <w:rPr>
          <w:rFonts w:ascii="Times New Roman;serif" w:hAnsi="Times New Roman;serif"/>
          <w:b w:val="false"/>
          <w:color w:val="000000"/>
          <w:sz w:val="22"/>
        </w:rPr>
        <w:t xml:space="preserve">for the principal amount of ABR Loans, SOFR Loans or Eurocurrency Rate Loans, as applicable, but subject to the amount of the unused portion of the Revolving Credit Commitments under such Revolving Tranche and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(other than the delivery of a Committed Loan Notice). Any notice given by an L/C Issuer or the Administrative Agent pursuant to this </w:t>
      </w:r>
      <w:r>
        <w:rPr>
          <w:rFonts w:ascii="Times New Roman;serif" w:hAnsi="Times New Roman;serif"/>
          <w:b w:val="false"/>
          <w:color w:val="000000"/>
          <w:sz w:val="22"/>
          <w:u w:val="single"/>
        </w:rPr>
        <w:t>Section 2.03(d)(i)</w:t>
      </w:r>
      <w:r>
        <w:rPr>
          <w:color w:val="000000"/>
        </w:rPr>
        <w:t xml:space="preserve"> </w:t>
      </w:r>
      <w:r>
        <w:rPr>
          <w:rFonts w:ascii="Times New Roman;serif" w:hAnsi="Times New Roman;serif"/>
          <w:b w:val="false"/>
          <w:color w:val="000000"/>
          <w:sz w:val="22"/>
        </w:rPr>
        <w:t>may be given by telephone if promptly confirmed in writing; provided that the lack of such a prompt confirmation shall not affect the conclusiveness or binding effect of such notice.</w:t>
      </w:r>
      <w:r>
        <w:rPr>
          <w:color w:val="0000FF"/>
          <w:u w:val="single"/>
        </w:rPr>
        <w:t xml:space="preserve"> </w:t>
      </w:r>
      <w:r>
        <w:rPr>
          <w:rFonts w:ascii="Times New Roman;serif" w:hAnsi="Times New Roman;serif"/>
          <w:b w:val="false"/>
          <w:color w:val="0000FF"/>
          <w:sz w:val="22"/>
          <w:u w:val="single"/>
        </w:rPr>
        <w:t xml:space="preserve">To the extent that any portion of the Revolving Credit Facility has been refinanced with one or </w:t>
      </w:r>
    </w:p>
    <w:p>
      <w:pPr>
        <w:pStyle w:val="TextBody"/>
        <w:bidi w:val="0"/>
        <w:spacing w:before="0" w:after="0"/>
        <w:jc w:val="left"/>
        <w:rPr/>
      </w:pPr>
      <w:r>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75260"/>
                <wp:effectExtent l="0" t="0" r="0" b="0"/>
                <wp:wrapNone/>
                <wp:docPr id="200" name="Frame1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more new revolving credit facilities constituting Specified Refinancing Debt or if there exists an Existing Revolving Tranche and an Extended Revolving Tranche, each Revolving Credit Lender under the Revolving Tranches shall participate in each Letter of Credit and such participations shall be allocated pro rata among the Revolving Tranches.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Each Revolving Credit Lender (including each Lender acting as an L/C Issuer) under the applicable Revolving Tranche shall upon any notice pursuant to </w:t>
      </w:r>
      <w:r>
        <w:rPr>
          <w:rFonts w:ascii="Times New Roman;serif" w:hAnsi="Times New Roman;serif"/>
          <w:b w:val="false"/>
          <w:color w:val="000000"/>
          <w:sz w:val="22"/>
          <w:u w:val="single"/>
        </w:rPr>
        <w:t>Section 2.03(d)(i)</w:t>
      </w:r>
      <w:r>
        <w:rPr>
          <w:color w:val="000000"/>
        </w:rPr>
        <w:t xml:space="preserve"> </w:t>
      </w:r>
      <w:r>
        <w:rPr>
          <w:rFonts w:ascii="Times New Roman;serif" w:hAnsi="Times New Roman;serif"/>
          <w:b w:val="false"/>
          <w:color w:val="000000"/>
          <w:sz w:val="22"/>
        </w:rPr>
        <w:t xml:space="preserve">make funds available (and the Administrative Agent may apply Cash Collateral provided for this purpose) for the account of the applicable L/C Issuer, at the Administrative Agent’s Office in an amount equal to, and in Dollars, its applicable Pro Rata Share of the Unreimbursed Amount not later than 3:00 p.m. (New York Time) on the Business Day specified in such notice by the Administrative Agent, whereupon, subject to the provisions of </w:t>
      </w:r>
      <w:r>
        <w:rPr>
          <w:rFonts w:ascii="Times New Roman;serif" w:hAnsi="Times New Roman;serif"/>
          <w:b w:val="false"/>
          <w:color w:val="000000"/>
          <w:sz w:val="22"/>
          <w:u w:val="single"/>
        </w:rPr>
        <w:t>Section 2.03(d)(iii)</w:t>
      </w:r>
      <w:r>
        <w:rPr>
          <w:rFonts w:ascii="Times New Roman;serif" w:hAnsi="Times New Roman;serif"/>
          <w:b w:val="false"/>
          <w:color w:val="000000"/>
          <w:sz w:val="22"/>
        </w:rPr>
        <w:t>, each Revolving Credit Lender under such Revolving Tranche that so makes funds available shall be deemed to have made an ABR Revolving Credit Loan under such Revolving Tranche to the applicable Borrower in such amount. The Administrative Agent shall promptly remit the funds so received to the applicable L/C Issuer.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With respect to any Unreimbursed Amount that is not fully refinanced by a Revolving Credit Borrowing of ABR Loans because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cannot be satisfied (other than the condition in </w:t>
      </w:r>
      <w:r>
        <w:rPr>
          <w:rFonts w:ascii="Times New Roman;serif" w:hAnsi="Times New Roman;serif"/>
          <w:b w:val="false"/>
          <w:color w:val="000000"/>
          <w:sz w:val="22"/>
          <w:u w:val="single"/>
        </w:rPr>
        <w:t>Section 4.02(c)</w:t>
      </w:r>
      <w:r>
        <w:rPr>
          <w:rFonts w:ascii="Times New Roman;serif" w:hAnsi="Times New Roman;serif"/>
          <w:b w:val="false"/>
          <w:color w:val="000000"/>
          <w:sz w:val="22"/>
        </w:rPr>
        <w:t>, which shall be deemed to be satisfied) or for any other reason, the applicable Borrower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ABR Revolving Credit Loans</w:t>
      </w:r>
      <w:r>
        <w:rPr>
          <w:color w:val="0000FF"/>
          <w:u w:val="single"/>
        </w:rPr>
        <w:t xml:space="preserve"> </w:t>
      </w:r>
      <w:r>
        <w:rPr>
          <w:rFonts w:ascii="Times New Roman;serif" w:hAnsi="Times New Roman;serif"/>
          <w:b w:val="false"/>
          <w:color w:val="0000FF"/>
          <w:sz w:val="22"/>
          <w:u w:val="single"/>
        </w:rPr>
        <w:t>(to be determined with respect to each applicable Tranche thereof)</w:t>
      </w:r>
      <w:r>
        <w:rPr>
          <w:rFonts w:ascii="Times New Roman;serif" w:hAnsi="Times New Roman;serif"/>
          <w:b w:val="false"/>
          <w:color w:val="000000"/>
          <w:sz w:val="22"/>
        </w:rPr>
        <w:t xml:space="preserve">. In such event, each Revolving Credit Lender’s payment to the Administrative Agent for the account of the applicable L/C Issuer pursuant to </w:t>
      </w:r>
      <w:r>
        <w:rPr>
          <w:rFonts w:ascii="Times New Roman;serif" w:hAnsi="Times New Roman;serif"/>
          <w:b w:val="false"/>
          <w:color w:val="000000"/>
          <w:sz w:val="22"/>
          <w:u w:val="single"/>
        </w:rPr>
        <w:t>Section 2.03(d)(ii)</w:t>
      </w:r>
      <w:r>
        <w:rPr>
          <w:color w:val="000000"/>
        </w:rPr>
        <w:t xml:space="preserve"> </w:t>
      </w:r>
      <w:r>
        <w:rPr>
          <w:rFonts w:ascii="Times New Roman;serif" w:hAnsi="Times New Roman;serif"/>
          <w:b w:val="false"/>
          <w:color w:val="000000"/>
          <w:sz w:val="22"/>
        </w:rPr>
        <w:t xml:space="preserve">shall be deemed payment in respect of its participation in such L/C Borrowing and shall constitute an L/C Advance from such Lender in satisfaction of its participation obligation under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Until each Revolving Credit Lender under the applicable Revolving Tranche funds its Revolving Credit Loan or L/C Advance pursuant to this </w:t>
      </w:r>
      <w:r>
        <w:rPr>
          <w:rFonts w:ascii="Times New Roman;serif" w:hAnsi="Times New Roman;serif"/>
          <w:b w:val="false"/>
          <w:color w:val="000000"/>
          <w:sz w:val="22"/>
          <w:u w:val="single"/>
        </w:rPr>
        <w:t>Section 2.03(d)</w:t>
      </w:r>
      <w:r>
        <w:rPr>
          <w:color w:val="000000"/>
        </w:rPr>
        <w:t xml:space="preserve"> </w:t>
      </w:r>
      <w:r>
        <w:rPr>
          <w:rFonts w:ascii="Times New Roman;serif" w:hAnsi="Times New Roman;serif"/>
          <w:b w:val="false"/>
          <w:color w:val="000000"/>
          <w:sz w:val="22"/>
        </w:rPr>
        <w:t>to reimburse the applicable L/C Issuer for any amount drawn under any Letter of Credit, interest in respect of such Lender’s applicable Pro Rata Share of such amount shall be solely for the account of such L/C Issuer.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Each applicable Revolving Credit Lender’s obligation to make Revolving Credit Loans or L/C Advances to reimburse the applicable L/C Issuer for amounts drawn under Letters of Credit, as contemplated by this </w:t>
      </w:r>
      <w:r>
        <w:rPr>
          <w:rFonts w:ascii="Times New Roman;serif" w:hAnsi="Times New Roman;serif"/>
          <w:b w:val="false"/>
          <w:color w:val="000000"/>
          <w:sz w:val="22"/>
          <w:u w:val="single"/>
        </w:rPr>
        <w:t>Section 2.03(d)</w:t>
      </w:r>
      <w:r>
        <w:rPr>
          <w:rFonts w:ascii="Times New Roman;serif" w:hAnsi="Times New Roman;serif"/>
          <w:b w:val="false"/>
          <w:color w:val="000000"/>
          <w:sz w:val="22"/>
        </w:rPr>
        <w:t xml:space="preserve">, shall be absolute and unconditional and shall not be affected by any circumstance, including (A) any setoff, counterclaim, recoupment, defense or other right which such Lender may have against such L/C Issuer, any Borrower or any other Person for any reason whatsoever, (B) the occurrence or continuance of a Default or (C) any other occurrence, event or condition, whether or not similar to any of the foregoing;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each Revolving Credit Lender’s obligation to make Revolving Credit Loans pursuant to this </w:t>
      </w:r>
      <w:r>
        <w:rPr>
          <w:rFonts w:ascii="Times New Roman;serif" w:hAnsi="Times New Roman;serif"/>
          <w:b w:val="false"/>
          <w:color w:val="000000"/>
          <w:sz w:val="22"/>
          <w:u w:val="single"/>
        </w:rPr>
        <w:t>Section 2.03(d)</w:t>
      </w:r>
      <w:r>
        <w:rPr>
          <w:color w:val="000000"/>
        </w:rPr>
        <w:t xml:space="preserve"> </w:t>
      </w:r>
      <w:r>
        <w:rPr>
          <w:rFonts w:ascii="Times New Roman;serif" w:hAnsi="Times New Roman;serif"/>
          <w:b w:val="false"/>
          <w:color w:val="000000"/>
          <w:sz w:val="22"/>
        </w:rPr>
        <w:t xml:space="preserve">is subject to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(other than delivery by the applicable Borrower of a Committed Loan Notice). No such making of an L/C Advance shall relieve or otherwise impair the obligation of the applicable Borrower to reimburse the applicable L/C Issuer for the amount of any payment made by the applicable L/C Issuer under any Letter of Credit, together with interest as provided herein.</w:t>
      </w:r>
    </w:p>
    <w:p>
      <w:pPr>
        <w:pStyle w:val="TextBody"/>
        <w:bidi w:val="0"/>
        <w:spacing w:before="0" w:after="0"/>
        <w:jc w:val="left"/>
        <w:rPr/>
      </w:pPr>
      <w:r>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75260"/>
                <wp:effectExtent l="0" t="0" r="0" b="0"/>
                <wp:wrapNone/>
                <wp:docPr id="201" name="Frame1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    If any Revolving Credit Lender fails to make available to the Administrative Agent for the account of the applicable L/C Issuer any amount required to be paid by such Lender pursuant to the foregoing provisions of this </w:t>
      </w:r>
      <w:r>
        <w:rPr>
          <w:rFonts w:ascii="Times New Roman;serif" w:hAnsi="Times New Roman;serif"/>
          <w:b w:val="false"/>
          <w:color w:val="000000"/>
          <w:sz w:val="22"/>
          <w:u w:val="single"/>
        </w:rPr>
        <w:t>Section 2.03(d)</w:t>
      </w:r>
      <w:r>
        <w:rPr>
          <w:color w:val="000000"/>
        </w:rPr>
        <w:t xml:space="preserve"> </w:t>
      </w:r>
      <w:r>
        <w:rPr>
          <w:rFonts w:ascii="Times New Roman;serif" w:hAnsi="Times New Roman;serif"/>
          <w:b w:val="false"/>
          <w:color w:val="000000"/>
          <w:sz w:val="22"/>
        </w:rPr>
        <w:t xml:space="preserve">by the time specified in </w:t>
      </w:r>
      <w:r>
        <w:rPr>
          <w:rFonts w:ascii="Times New Roman;serif" w:hAnsi="Times New Roman;serif"/>
          <w:b w:val="false"/>
          <w:color w:val="000000"/>
          <w:sz w:val="22"/>
          <w:u w:val="single"/>
        </w:rPr>
        <w:t>Section 2.03(d)(ii)</w:t>
      </w:r>
      <w:r>
        <w:rPr>
          <w:rFonts w:ascii="Times New Roman;serif" w:hAnsi="Times New Roman;serif"/>
          <w:b w:val="false"/>
          <w:color w:val="000000"/>
          <w:sz w:val="22"/>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Effective Rate from time to time in effect and a rate reasonably determined by such L/C Issuer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any reasonable administrative, processing or similar fees customarily charged by such L/C Issuer in connection with the foregoing. If such Lender pays such principal amount, the amount so paid (less interest and fees) shall constitute such Lender’s Loan included in the relevant Borrowing or L/C Advance in respect of the relevant L/C Borrowing, as applicable. A certificate of the applicable L/C Issuer submitted to any Revolving Credit Lender (through the Administrative Agent) with respect to any amounts owing under this </w:t>
      </w:r>
      <w:r>
        <w:rPr>
          <w:rFonts w:ascii="Times New Roman;serif" w:hAnsi="Times New Roman;serif"/>
          <w:b w:val="false"/>
          <w:color w:val="000000"/>
          <w:sz w:val="22"/>
          <w:u w:val="single"/>
        </w:rPr>
        <w:t>Section 2.03(d)(vi)</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Repayment of Participations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If, at any time after an L/C Issuer has made a payment under any Letter of Credit issued by it and has received from any Revolving Credit Lender such Lender’s L/C Advance in respect of such payment in accordance with </w:t>
      </w:r>
      <w:r>
        <w:rPr>
          <w:rFonts w:ascii="Times New Roman;serif" w:hAnsi="Times New Roman;serif"/>
          <w:b w:val="false"/>
          <w:color w:val="000000"/>
          <w:sz w:val="22"/>
          <w:u w:val="single"/>
        </w:rPr>
        <w:t>Section 2.03(d)</w:t>
      </w:r>
      <w:r>
        <w:rPr>
          <w:rFonts w:ascii="Times New Roman;serif" w:hAnsi="Times New Roman;serif"/>
          <w:b w:val="false"/>
          <w:color w:val="000000"/>
          <w:sz w:val="22"/>
        </w:rPr>
        <w:t>, the Administrative Agent receives for the account of such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Pro Rata Share thereof (appropriately adjusted, in the case of interest payments, to reflect the period of time during which such Lender’s L/C Advance was outstanding) in the same funds as those received by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If any payment received by the Administrative Agent for the account of an L/C Issuer pursuant to </w:t>
      </w:r>
      <w:r>
        <w:rPr>
          <w:rFonts w:ascii="Times New Roman;serif" w:hAnsi="Times New Roman;serif"/>
          <w:b w:val="false"/>
          <w:color w:val="000000"/>
          <w:sz w:val="22"/>
          <w:u w:val="single"/>
        </w:rPr>
        <w:t>Section 2.03(d)(i)</w:t>
      </w:r>
      <w:r>
        <w:rPr>
          <w:color w:val="000000"/>
        </w:rPr>
        <w:t xml:space="preserve"> </w:t>
      </w:r>
      <w:r>
        <w:rPr>
          <w:rFonts w:ascii="Times New Roman;serif" w:hAnsi="Times New Roman;serif"/>
          <w:b w:val="false"/>
          <w:color w:val="000000"/>
          <w:sz w:val="22"/>
        </w:rPr>
        <w:t xml:space="preserve">is required to be returned under any of the circumstances described in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(including pursuant to any settlement entered into by such L/C Issuer in its discretion), each Revolving Credit Lender shall pay to the Administrative Agent for the account of such L/C Issuer its applicable Pro Rata Share thereof on demand of the Administrative Agent,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Obligations Absolute</w:t>
      </w:r>
      <w:r>
        <w:rPr>
          <w:rFonts w:ascii="Times New Roman;serif" w:hAnsi="Times New Roman;serif"/>
          <w:b w:val="false"/>
          <w:color w:val="000000"/>
          <w:sz w:val="22"/>
        </w:rPr>
        <w:t>. The obligation of the applicable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any lack of validity or enforceability of such Letter of Credit, this Agreement, or any other agreement or instrument relating thereto;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the existence of any claim, counterclaim, setoff, defense or other right that any Borrower or any Subsidiary may have at any time against any beneficiary or any transferee of </w:t>
      </w:r>
    </w:p>
    <w:p>
      <w:pPr>
        <w:pStyle w:val="TextBody"/>
        <w:bidi w:val="0"/>
        <w:spacing w:before="0" w:after="0"/>
        <w:jc w:val="left"/>
        <w:rPr/>
      </w:pPr>
      <w:r>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75260"/>
                <wp:effectExtent l="0" t="0" r="0" b="0"/>
                <wp:wrapNone/>
                <wp:docPr id="202" name="Frame1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any payment by the applicable L/C Issuer under such Letter of Credit against presentation of a draft, certificate or other drawing document that does not comply with the terms of such Letter of Credit; or any payment made by the applicable L/C Issuer under such Letter of Credit to any Person purporting to be a trustee in bankruptcy, debtor-in-possession, assignee for the benefit of creditors, administrator, administrative receiver, judicial manager, liquidator,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receiver or other representative of or successor to any beneficiary or any transferee of such Letter of Credit, including any arising in connection with any proceeding under any Debtor Relief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any exchange, release or non-perfection of any Collateral, or any release or amendment or waiver of or consent to departure from the Guaranty or any other guarantee, for all or any of the Obligations of the applicable Borrower in respect of such Letter of Credit;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any other circumstance or happening whatsoever, whether or not similar to any of the foregoing, including any other circumstance that might otherwise constitute a defense available to, or a legal or equitable discharge of, or provide a right of setoff against the applicable Borrower’s obligations hereunder.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applicable Borrower shall promptly examine a copy of each Letter of Credit and each amendment thereto that is delivered to it and, in the event of any claim of noncompliance with the instructions of such Borrower or other irregularity, such Borrower will promptly notify the applicable L/C Issuer. The applicable Borrower shall be conclusively deemed to have waived any such claim against any L/C Issuer and its correspondents unless such notice is given as aforesaid.</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2"/>
          <w:u w:val="single"/>
        </w:rPr>
        <w:t>Role of L/C Issuer</w:t>
      </w:r>
      <w:r>
        <w:rPr>
          <w:rFonts w:ascii="Times New Roman;serif" w:hAnsi="Times New Roman;serif"/>
          <w:b w:val="false"/>
          <w:color w:val="000000"/>
          <w:sz w:val="22"/>
        </w:rPr>
        <w:t xml:space="preserve">. Each Lender and each Borrower agree that, in paying any drawing under a Letter of Credit, the applicable L/C Issuer shall not have any responsibility to obtain any document (other than any sight draft, certificates and other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(i) any action taken or omitted in connection herewith at the request or with the approval of the Revolving Credit Lenders or the Required Revolving Lenders, as applicable; (ii) any action taken or omitted in the absence of bad faith, gross negligence or willful misconduct as determined by a court of competent jurisdiction in a final and nonappealable judgment; or (iii) the due execution, effectiveness, validity or enforceability of any document or instrument related to any Letter of Credit or Letter of Credit Application. Each Borrower hereby assumes all risks of the acts or omissions of any beneficiary or transferee with respect to its use of any Letter of Credit;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this assumption is not intended to, and shall not, preclude any Borrower from pursuing such </w:t>
      </w:r>
    </w:p>
    <w:p>
      <w:pPr>
        <w:pStyle w:val="TextBody"/>
        <w:bidi w:val="0"/>
        <w:spacing w:before="0" w:after="0"/>
        <w:jc w:val="left"/>
        <w:rPr/>
      </w:pPr>
      <w:r>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75260"/>
                <wp:effectExtent l="0" t="0" r="0" b="0"/>
                <wp:wrapNone/>
                <wp:docPr id="203" name="Frame2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(vi)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2.03(f)</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anything in such clauses to the contrary notwithstanding, each Borrower may have a claim against such L/C Issuer, and such L/C Issuer may be liable to each such Borrower, to the extent, but only to the extent, of any direct, as opposed to indirect, special, punitive, consequential or exemplary, damages suffered by such Borrower which a court of competent jurisdiction determines in a final non-appealable judgment were caused by such L/C Issuer’s bad faith, willful misconduct or gross negligence or material breach of its obligations under this Agreement. In furtherance and not in limitation of the foregoing, the applicable L/C Issuer may, in its sole discretion, either accept documents that appear on their face to be in order and make payment upon such documents,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strict compliance with the terms of such Letter of Credit.</w: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2"/>
          <w:u w:val="single"/>
        </w:rPr>
        <w:t>Letter of Credit Fees</w:t>
      </w:r>
      <w:r>
        <w:rPr>
          <w:rFonts w:ascii="Times New Roman;serif" w:hAnsi="Times New Roman;serif"/>
          <w:b w:val="false"/>
          <w:color w:val="000000"/>
          <w:sz w:val="22"/>
        </w:rPr>
        <w:t xml:space="preserve">. Each Borrower shall pay to the Administrative Agent for the account of each Revolving Credit Lender in accordance with its applicable Pro Rata Share, a Letter of Credit fee in Dollars which shall accrue for each Letter of Credit issued for its account on the Dollar Amount thereof in an amount equal to the Applicable Rate then in effect for SOFR Loans with respect to the Revolving Credit Facility </w:t>
      </w:r>
      <w:r>
        <w:rPr>
          <w:rFonts w:ascii="Times New Roman;serif" w:hAnsi="Times New Roman;serif"/>
          <w:b w:val="false"/>
          <w:color w:val="0000FF"/>
          <w:sz w:val="22"/>
          <w:u w:val="single"/>
        </w:rPr>
        <w:t xml:space="preserve">(to be determined with respect to each applicable Tranche thereof) </w:t>
      </w:r>
      <w:r>
        <w:rPr>
          <w:rFonts w:ascii="Times New Roman;serif" w:hAnsi="Times New Roman;serif"/>
          <w:b w:val="false"/>
          <w:color w:val="000000"/>
          <w:sz w:val="22"/>
        </w:rPr>
        <w:t xml:space="preserve">multiplied by the daily maximum amount available to be drawn under such Letter of Credit (whether or not such maximum amount may be drawn immediately under such Letter of Credit);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 xml:space="preserve">shall be payable, to the maximum extent permitted by applicable Law, to the other Revolving Credit Lenders in accordance with the upward adjustments in their respective applicable Pro Rata Shares allocable to such Letter of Credit pursuant to </w:t>
      </w:r>
      <w:r>
        <w:rPr>
          <w:rFonts w:ascii="Times New Roman;serif" w:hAnsi="Times New Roman;serif"/>
          <w:b w:val="false"/>
          <w:color w:val="000000"/>
          <w:sz w:val="22"/>
          <w:u w:val="single"/>
        </w:rPr>
        <w:t>Section 2.17(a)(iv)</w:t>
      </w:r>
      <w:r>
        <w:rPr>
          <w:rFonts w:ascii="Times New Roman;serif" w:hAnsi="Times New Roman;serif"/>
          <w:b w:val="false"/>
          <w:color w:val="000000"/>
          <w:sz w:val="22"/>
        </w:rPr>
        <w:t xml:space="preserve">, with the balance of such fee, if any, payable to the applicable L/C Issuer for its own account. Such Letter of Credit fees shall be computed on a quarterly basis in arrears and shall be due and payable on the last Business Day of each fiscal quarter, in respect of the quarterly period then ending (or portion thereof, in the case of the first payment), commencing with the first such date to occur after the issuance of such Letter of Credit, the date of termination or expiration of the applicable Letter of Credit, on the Letter of Credit Sublimit Expiration Date and thereafter on demand. If there is any change in the Applicable Rate </w:t>
      </w:r>
      <w:r>
        <w:rPr>
          <w:rFonts w:ascii="Times New Roman;serif" w:hAnsi="Times New Roman;serif"/>
          <w:b w:val="false"/>
          <w:color w:val="0000FF"/>
          <w:sz w:val="22"/>
          <w:u w:val="single"/>
        </w:rPr>
        <w:t xml:space="preserve">(to be determined with respect to each applicable Tranche thereof) </w:t>
      </w:r>
      <w:r>
        <w:rPr>
          <w:rFonts w:ascii="Times New Roman;serif" w:hAnsi="Times New Roman;serif"/>
          <w:b w:val="false"/>
          <w:color w:val="000000"/>
          <w:sz w:val="22"/>
        </w:rPr>
        <w:t xml:space="preserve">during any quarter, the daily maximum amount of each Letter of Credit shall be computed and multiplied by the Applicable Rate </w:t>
      </w:r>
      <w:r>
        <w:rPr>
          <w:rFonts w:ascii="Times New Roman;serif" w:hAnsi="Times New Roman;serif"/>
          <w:b w:val="false"/>
          <w:color w:val="0000FF"/>
          <w:sz w:val="22"/>
          <w:u w:val="single"/>
        </w:rPr>
        <w:t xml:space="preserve">(to be determined with respect to each applicable Tranche thereof) </w:t>
      </w:r>
      <w:r>
        <w:rPr>
          <w:rFonts w:ascii="Times New Roman;serif" w:hAnsi="Times New Roman;serif"/>
          <w:b w:val="false"/>
          <w:color w:val="000000"/>
          <w:sz w:val="22"/>
        </w:rPr>
        <w:t>separately for each period during such quarter that such Applicable Rate was in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2"/>
          <w:u w:val="single"/>
        </w:rPr>
        <w:t>Fronting Fee and Documentary and Processing Charges Payable to an L/C Issuer</w:t>
      </w:r>
      <w:r>
        <w:rPr>
          <w:rFonts w:ascii="Times New Roman;serif" w:hAnsi="Times New Roman;serif"/>
          <w:b w:val="false"/>
          <w:color w:val="000000"/>
          <w:sz w:val="22"/>
        </w:rPr>
        <w:t xml:space="preserve">. Each Borrower shall pay directly to the applicable L/C Issuer for its own account a fronting fee in Dollars equal to 0.125% of the maximum daily amount available to be drawn under such Letter of Credit issued for its account on a quarterly basis in arrears and based on the Dollar Amount thereof. Such fronting fee shall be due and payable on the last Business Day of each fiscal quarter beginning with the last Business Day of the first full fiscal quarter to end after the Closing Date in respect of the quarterly period then ending (or portion thereof, in the case of the first payment), commencing with the first such date to occur after the issuance of such Letter of Credit, on the Letter of Credit Sublimit Expiration Date and thereafter on </w:t>
      </w:r>
    </w:p>
    <w:p>
      <w:pPr>
        <w:pStyle w:val="TextBody"/>
        <w:bidi w:val="0"/>
        <w:spacing w:before="0" w:after="0"/>
        <w:jc w:val="left"/>
        <w:rPr/>
      </w:pPr>
      <w:r>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75260"/>
                <wp:effectExtent l="0" t="0" r="0" b="0"/>
                <wp:wrapNone/>
                <wp:docPr id="204" name="Frame2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demand. For purposes of computing the maximum daily amount available to be drawn under any Letter of Credit, the amount of such Letter of Credit shall be determined in accordance with </w:t>
      </w:r>
      <w:r>
        <w:rPr>
          <w:rFonts w:ascii="Times New Roman;serif" w:hAnsi="Times New Roman;serif"/>
          <w:b w:val="false"/>
          <w:color w:val="000000"/>
          <w:sz w:val="22"/>
          <w:u w:val="single"/>
        </w:rPr>
        <w:t>Section 1.09</w:t>
      </w:r>
      <w:r>
        <w:rPr>
          <w:rFonts w:ascii="Times New Roman;serif" w:hAnsi="Times New Roman;serif"/>
          <w:b w:val="false"/>
          <w:color w:val="000000"/>
          <w:sz w:val="22"/>
        </w:rPr>
        <w:t>. In addition, each Borrower, as applicable, shall pay directly to the applicable L/C Issuer for its own account the customary issuance, presentation, administration,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2"/>
          <w:u w:val="single"/>
        </w:rPr>
        <w:t>Conflict with Letter of Credit Application</w:t>
      </w:r>
      <w:r>
        <w:rPr>
          <w:rFonts w:ascii="Times New Roman;serif" w:hAnsi="Times New Roman;serif"/>
          <w:b w:val="false"/>
          <w:color w:val="000000"/>
          <w:sz w:val="22"/>
        </w:rPr>
        <w:t>. In the event of any conflict between the terms hereof and the terms of any Letter of Credit Application, the terms hereof shall control.</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2"/>
          <w:u w:val="single"/>
        </w:rPr>
        <w:t>Reporting</w:t>
      </w:r>
      <w:r>
        <w:rPr>
          <w:rFonts w:ascii="Times New Roman;serif" w:hAnsi="Times New Roman;serif"/>
          <w:b w:val="false"/>
          <w:color w:val="000000"/>
          <w:sz w:val="22"/>
        </w:rPr>
        <w:t xml:space="preserve">. To the extent that any Letters of Credit are issued by an L/C Issuer other than the Administrative Agent, each such L/C Issuer shall furnish to the Administrative Agent a report detailing the L/C Obligations outstanding under all Letters of Credit issued by it, such report to be in a form and at reporting intervals as shall be agreed between the Administrative Agent and such L/C Issuer;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that in no event shall such reports be furnished at intervals less than 31 days (and in no event shall any such report be provided earlier than the fifth Business Day after the end of any calendar month in respect of a calendar month period).</w: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2"/>
          <w:u w:val="single"/>
        </w:rPr>
        <w:t>Provisions Related to Extended Revolving Credit Commitments</w:t>
      </w:r>
      <w:r>
        <w:rPr>
          <w:rFonts w:ascii="Times New Roman;serif" w:hAnsi="Times New Roman;serif"/>
          <w:b w:val="false"/>
          <w:color w:val="000000"/>
          <w:sz w:val="22"/>
        </w:rPr>
        <w:t xml:space="preserve">. If the Maturity Date in respect of any Tranche of Revolving Credit Commitments occurs prior to the expiration of any Letter of Credit, then (i) if one or more other Tranches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this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under (and ratably participated in by Lenders pursuant to) the Revolving Credit Commitments in respect of such non-terminating Tranches up to an aggregate amount not to exceed the aggregate principal amount of the unused Revolving Credit Commitments thereunder at such time (it being understood that no partial amount of any Letter of Credit may be so reallocated) and to the extent any Letters of Credit are not able to be reallocated pursuant to this </w:t>
      </w:r>
      <w:r>
        <w:rPr>
          <w:rFonts w:ascii="Times New Roman;serif" w:hAnsi="Times New Roman;serif"/>
          <w:b w:val="false"/>
          <w:color w:val="000000"/>
          <w:sz w:val="22"/>
          <w:u w:val="single"/>
        </w:rPr>
        <w:t>clause (l)</w:t>
      </w:r>
      <w:r>
        <w:rPr>
          <w:color w:val="000000"/>
        </w:rPr>
        <w:t xml:space="preserve"> </w:t>
      </w:r>
      <w:r>
        <w:rPr>
          <w:rFonts w:ascii="Times New Roman;serif" w:hAnsi="Times New Roman;serif"/>
          <w:b w:val="false"/>
          <w:color w:val="000000"/>
          <w:sz w:val="22"/>
        </w:rPr>
        <w:t xml:space="preserve">and there are outstanding Revolving Credit Loans under the non-terminating Tranches, the applicable Borrower agrees to repay all such Revolving Credit Loans (or such lesser amount as is necessary to reallocate all Letters of Credit pursuant to this </w:t>
      </w:r>
      <w:r>
        <w:rPr>
          <w:rFonts w:ascii="Times New Roman;serif" w:hAnsi="Times New Roman;serif"/>
          <w:b w:val="false"/>
          <w:color w:val="000000"/>
          <w:sz w:val="22"/>
          <w:u w:val="single"/>
        </w:rPr>
        <w:t>clause (l)</w:t>
      </w:r>
      <w:r>
        <w:rPr>
          <w:rFonts w:ascii="Times New Roman;serif" w:hAnsi="Times New Roman;serif"/>
          <w:b w:val="false"/>
          <w:color w:val="000000"/>
          <w:sz w:val="22"/>
        </w:rPr>
        <w:t xml:space="preserve">) or (ii) to the extent not reallocated pursuant to immediately preceding clause (i), the applicable Borrower shall Cash Collateralize any such Letter of Credit in accordance with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but only up to the amount of such Letter of Credit not so reallocated. Except to the extent of reallocations of participations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of the immediately preceding sentence, the occurrence of a Maturity Date with respect to a given tranche of Revolving Credit Commitments shall have no effect upon (and shall not diminish) the percentage participations of the Revolving Credit Lenders in any Letter of Credit issued before such Maturity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(m)    </w:t>
      </w:r>
      <w:r>
        <w:rPr>
          <w:rFonts w:ascii="Times New Roman;serif" w:hAnsi="Times New Roman;serif"/>
          <w:b w:val="false"/>
          <w:color w:val="000000"/>
          <w:sz w:val="22"/>
          <w:u w:val="single"/>
        </w:rPr>
        <w:t>Letters of Credit Issued for Account of Restricted Subsidiaries</w:t>
      </w:r>
      <w:r>
        <w:rPr>
          <w:rFonts w:ascii="Times New Roman;serif" w:hAnsi="Times New Roman;serif"/>
          <w:b w:val="false"/>
          <w:color w:val="000000"/>
          <w:sz w:val="22"/>
        </w:rPr>
        <w:t xml:space="preserve">.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L/C Issuer (whether arising by contract, at law, in equity or otherwise) against such Restricted Subsidiary in respect of such Letter of Credit, any Borrower (i) shall reimburse, indemnify and compensate the applicable L/C Issuer hereunder for such Letter of Credit (including to reimburse any and all drawings thereunder) as if such Letter of Credit had been issued solely for the account of such Borrower and (ii) irrevocably waives any and all defenses that might otherwise be </w:t>
      </w:r>
    </w:p>
    <w:p>
      <w:pPr>
        <w:pStyle w:val="TextBody"/>
        <w:bidi w:val="0"/>
        <w:spacing w:before="0" w:after="0"/>
        <w:jc w:val="left"/>
        <w:rPr/>
      </w:pPr>
      <w:r>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75260"/>
                <wp:effectExtent l="0" t="0" r="0" b="0"/>
                <wp:wrapNone/>
                <wp:docPr id="205" name="Frame2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available to it as a guarantor or surety of any or all of the obligations of such Restricted Subsidiary in respect of such Letter of Credit. Each Borrower hereby acknowledges that the issuance of such Letters of Credit for its Restricted Subsidiaries inures to the benefit of such Borrower, and that such Borrower’s business derives substantial benefits from the businesses of such Restricted Subsidiaries.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(n)    </w:t>
      </w:r>
      <w:r>
        <w:rPr>
          <w:rFonts w:ascii="Times New Roman;serif" w:hAnsi="Times New Roman;serif"/>
          <w:b w:val="false"/>
          <w:color w:val="000000"/>
          <w:sz w:val="22"/>
          <w:u w:val="single"/>
        </w:rPr>
        <w:t>Applicability of ISP and UCP</w:t>
      </w:r>
      <w:r>
        <w:rPr>
          <w:rFonts w:ascii="Times New Roman;serif" w:hAnsi="Times New Roman;serif"/>
          <w:b w:val="false"/>
          <w:color w:val="000000"/>
          <w:sz w:val="22"/>
        </w:rPr>
        <w:t>. Unless otherwise expressly agreed in writing by the applicable L/C Issuer and the applicable Borrower when a Letter of Credit is issued for such Borrower’s account by such L/C Issuer, (i) the rules of the ISP shall be stated therein to apply to each standby Letter of Credit and (ii) the rules of the UCP shall be stated therein to apply to each commercial Letter of Credit. Notwithstanding the foregoing, no L/C Issuer shall be responsible to any Borrower for, and such L/C Issuer’s rights and remedies against any such Borrower shall not be impaired by, any action or inaction of such L/C Issuer required or permitted under any law, order, or practice that is required or permitted to be applied to any Letter of Credit or this Agreement, including the Laws or any order of a jurisdiction where such L/C Issuer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2.04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2.05    </w:t>
      </w:r>
      <w:r>
        <w:rPr>
          <w:rFonts w:ascii="Times New Roman;serif" w:hAnsi="Times New Roman;serif"/>
          <w:b w:val="false"/>
          <w:color w:val="000000"/>
          <w:sz w:val="22"/>
          <w:u w:val="single"/>
        </w:rPr>
        <w:t>Prepayments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Optional</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Any Borrower may, upon notice substantially in the form of </w:t>
      </w:r>
      <w:r>
        <w:rPr>
          <w:rFonts w:ascii="Times New Roman;serif" w:hAnsi="Times New Roman;serif"/>
          <w:b w:val="false"/>
          <w:color w:val="000000"/>
          <w:sz w:val="22"/>
          <w:u w:val="single"/>
        </w:rPr>
        <w:t>Exhibit J</w:t>
      </w:r>
      <w:r>
        <w:rPr>
          <w:color w:val="000000"/>
        </w:rPr>
        <w:t xml:space="preserve"> </w:t>
      </w:r>
      <w:r>
        <w:rPr>
          <w:rFonts w:ascii="Times New Roman;serif" w:hAnsi="Times New Roman;serif"/>
          <w:b w:val="false"/>
          <w:color w:val="000000"/>
          <w:sz w:val="22"/>
        </w:rPr>
        <w:t xml:space="preserve">to the Administrative Agent, at any time or from time to time voluntarily prepay Loans in whole or in part without premium or penalty except as set forth in </w:t>
      </w:r>
      <w:r>
        <w:rPr>
          <w:rFonts w:ascii="Times New Roman;serif" w:hAnsi="Times New Roman;serif"/>
          <w:b w:val="false"/>
          <w:color w:val="000000"/>
          <w:sz w:val="22"/>
          <w:u w:val="single"/>
        </w:rPr>
        <w:t>Sections 2.05(a)(iii)</w:t>
      </w:r>
      <w:r>
        <w:rPr>
          <w:color w:val="000000"/>
        </w:rPr>
        <w:t xml:space="preserve"> </w:t>
      </w:r>
      <w:r>
        <w:rPr>
          <w:rFonts w:ascii="Times New Roman;serif" w:hAnsi="Times New Roman;serif"/>
          <w:b w:val="false"/>
          <w:color w:val="000000"/>
          <w:sz w:val="22"/>
        </w:rPr>
        <w:t>below; that (1) such notice must be received by the Administrative Agent not later than (A) 12:00 p.m. (New York City time) three Business Days prior to any date of prepayment of SOFR Loans or Eurocurrency Rate Loans and (B) 11:00 a.m. (New York City time) on the date of prepayment of ABR Loans (or, in each case, such shorter period as the Administrative Agent shall agree); (2) any prepayment of SOFR Loans or Eurocurrency Rate Loans shall be (x) in a principal amount of $3,000,000 (or the equivalent Dollar Amount), or (y) a whole multiple of $1,000,000 (or the equivalent Dollar Amount) in excess thereof; and (3) any prepayment of ABR Loans shall be (x) in a principal amount of $500,000 (or the equivalent Dollar Amount), or (y) a whole multiple of $100,000 (or the equivalent Dollar Amount) in excess thereof or, in each case, if less, the entire principal amount thereof then outstanding. Each such notice shall specify the date and amount of such prepayment, the Tranche of Loans to be prepaid</w:t>
      </w:r>
      <w:r>
        <w:rPr>
          <w:rFonts w:ascii="Times New Roman;serif" w:hAnsi="Times New Roman;serif"/>
          <w:b w:val="false"/>
          <w:strike/>
          <w:color w:val="FF0000"/>
          <w:sz w:val="22"/>
        </w:rPr>
        <w:t xml:space="preserve">, </w:t>
      </w:r>
      <w:r>
        <w:rPr>
          <w:rFonts w:ascii="Times New Roman;serif" w:hAnsi="Times New Roman;serif"/>
          <w:b w:val="false"/>
          <w:color w:val="0000FF"/>
          <w:sz w:val="22"/>
          <w:u w:val="single"/>
        </w:rPr>
        <w:t xml:space="preserve">(provided that, to the extent that any portion of the Revolving Credit Facilities has been refinanced with one or more new revolving credit facilities constituting Specified Refinancing Debt or if there exists an Existing Revolving Tranche and an Extended Revolving Tranche, each prepayment hereunder shall be allocated pro rata among the Revolving Tranches; </w:t>
      </w:r>
      <w:r>
        <w:rPr>
          <w:rFonts w:ascii="Times New Roman;serif" w:hAnsi="Times New Roman;serif"/>
          <w:b w:val="false"/>
          <w:i/>
          <w:color w:val="008000"/>
          <w:sz w:val="22"/>
          <w:u w:val="single"/>
        </w:rPr>
        <w:t>provided</w:t>
      </w:r>
      <w:r>
        <w:rPr>
          <w:rFonts w:ascii="Times New Roman;serif" w:hAnsi="Times New Roman;serif"/>
          <w:b w:val="false"/>
          <w:color w:val="008000"/>
          <w:sz w:val="22"/>
          <w:u w:val="single"/>
        </w:rPr>
        <w:t xml:space="preserve">, </w:t>
      </w:r>
      <w:r>
        <w:rPr>
          <w:rFonts w:ascii="Times New Roman;serif" w:hAnsi="Times New Roman;serif"/>
          <w:b w:val="false"/>
          <w:i/>
          <w:color w:val="008000"/>
          <w:sz w:val="22"/>
          <w:u w:val="single"/>
        </w:rPr>
        <w:t>however</w:t>
      </w:r>
      <w:r>
        <w:rPr>
          <w:rFonts w:ascii="Times New Roman;serif" w:hAnsi="Times New Roman;serif"/>
          <w:b w:val="false"/>
          <w:color w:val="008000"/>
          <w:sz w:val="22"/>
          <w:u w:val="single"/>
        </w:rPr>
        <w:t xml:space="preserve">, </w:t>
      </w:r>
      <w:r>
        <w:rPr>
          <w:rFonts w:ascii="Times New Roman;serif" w:hAnsi="Times New Roman;serif"/>
          <w:b w:val="false"/>
          <w:color w:val="0000FF"/>
          <w:sz w:val="22"/>
          <w:u w:val="single"/>
        </w:rPr>
        <w:t>notwithstanding anything to the contrary contained herein, during the period commencing seven (7) Business Days prior to the Maturity Date of any Revolving Tranche that matures earlier than any other Revolving Tranche then in effect (such earlier-maturing Revolving Tranche, the “</w:t>
      </w:r>
      <w:r>
        <w:rPr>
          <w:rFonts w:ascii="Times New Roman;serif" w:hAnsi="Times New Roman;serif"/>
          <w:b/>
          <w:color w:val="0000FF"/>
          <w:sz w:val="22"/>
          <w:u w:val="single"/>
        </w:rPr>
        <w:t>Maturing Revolving Tranche</w:t>
      </w:r>
      <w:r>
        <w:rPr>
          <w:color w:val="0000FF"/>
          <w:u w:val="single"/>
        </w:rPr>
        <w:t>”</w:t>
      </w:r>
      <w:r>
        <w:rPr>
          <w:rFonts w:ascii="Times New Roman;serif" w:hAnsi="Times New Roman;serif"/>
          <w:b w:val="false"/>
          <w:color w:val="0000FF"/>
          <w:sz w:val="22"/>
          <w:u w:val="single"/>
        </w:rPr>
        <w:t xml:space="preserve">), any Borrower may voluntarily prepay, in whole or in part, the outstanding Revolving Credit Loans (and contemporaneously reduce the Revolving Commitments under such Revolving Tranche by </w:t>
      </w:r>
      <w:r>
        <w:rPr>
          <w:rFonts w:ascii="Times New Roman;serif" w:hAnsi="Times New Roman;serif"/>
          <w:b w:val="false"/>
          <w:color w:val="008000"/>
          <w:sz w:val="22"/>
          <w:u w:val="single"/>
        </w:rPr>
        <w:t xml:space="preserve">an amount equal to </w:t>
      </w:r>
      <w:r>
        <w:rPr>
          <w:rFonts w:ascii="Times New Roman;serif" w:hAnsi="Times New Roman;serif"/>
          <w:b w:val="false"/>
          <w:color w:val="0000FF"/>
          <w:sz w:val="22"/>
          <w:u w:val="single"/>
        </w:rPr>
        <w:t xml:space="preserve">such prepayment) under the Maturing Revolving Tranche on a non-pro rata </w:t>
      </w:r>
    </w:p>
    <w:p>
      <w:pPr>
        <w:pStyle w:val="TextBody"/>
        <w:bidi w:val="0"/>
        <w:spacing w:before="0" w:after="0"/>
        <w:jc w:val="left"/>
        <w:rPr/>
      </w:pPr>
      <w:r>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175260"/>
                <wp:effectExtent l="0" t="0" r="0" b="0"/>
                <wp:wrapNone/>
                <wp:docPr id="206" name="Frame2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FF"/>
          <w:sz w:val="22"/>
          <w:u w:val="single"/>
        </w:rPr>
        <w:t xml:space="preserve">basis (without any corresponding prepayment of Revolving Credit Loans under any other Revolving Tranche)), </w:t>
      </w:r>
      <w:r>
        <w:rPr>
          <w:rFonts w:ascii="Times New Roman;serif" w:hAnsi="Times New Roman;serif"/>
          <w:b w:val="false"/>
          <w:color w:val="000000"/>
          <w:sz w:val="22"/>
        </w:rPr>
        <w:t xml:space="preserve">the Type(s) of Loans to be prepaid and, if SOFR Loans or Eurocurrency Rate Loans are to be prepaid, the Interest Period(s) of such Loans (except that if the class of Loans to be prepaid includes both (i) ABR Loans and (ii) SOFR Loans or Eurocurrency Rate Loans, absent direction by the applicable Borrower, the applicable prepayment shall be applied first to ABR Loans to the full extent thereof before application to SOFR Loans or Eurocurrency Rate Loans, in a manner that minimizes the amount payable by the applicable Borrower in respect of such prepayment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to the extent applicable). The Administrative Agent will promptly notify each Lender of its receipt of each such notice, and of the amount of such Lender’s ratable portion of such prepayment (based on such Lender’s ratable share of the relevant Facility). If such notice is given by any Borrower, subject to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below, such Borrower shall make such prepayment and the payment amount specified in such notice shall be due and payable on the date specified therein. Any prepayment of a SOFR Loan or Eurocurrency Rate Loan shall be accompanied by all accrued interest thereon, together with any additional amounts required pursuant to </w:t>
      </w:r>
      <w:r>
        <w:rPr>
          <w:rFonts w:ascii="Times New Roman;serif" w:hAnsi="Times New Roman;serif"/>
          <w:b w:val="false"/>
          <w:color w:val="000000"/>
          <w:sz w:val="22"/>
          <w:u w:val="single"/>
        </w:rPr>
        <w:t>Section 2.05(a)(iii)</w:t>
      </w:r>
      <w:r>
        <w:rPr>
          <w:color w:val="000000"/>
        </w:rPr>
        <w:t xml:space="preserve"> </w:t>
      </w:r>
      <w:r>
        <w:rPr>
          <w:rFonts w:ascii="Times New Roman;serif" w:hAnsi="Times New Roman;serif"/>
          <w:b w:val="false"/>
          <w:color w:val="000000"/>
          <w:sz w:val="22"/>
        </w:rPr>
        <w:t xml:space="preserve">and, if applicable Section 3.06. Each prepayment of the principal of, and interest on, any Revolving Credit Loans denominated in an Alternative Currency, shall be made in the relevant Alternative Currency. Subject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each prepayment of outstanding Term Loan Tranches pursuant to this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shall be applied to the Term Loan Tranche or Term Loan Tranches designated on such notice on a pro rata basis within such Term Loan Tranche. Subject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each prepayment of an outstanding Term Loan Tranche pursuant to this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shall be applied to the remaining amortization payments of such Term Loan Tranche as directed by such Borrower (or, if such Borrower has not made such designation, in direct order of maturity), but, in any event, on a pro rata basis to the Lenders within such Term Loan Tranche.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Notwithstanding anything to the contrary contained in this Agreement, any notice of prepayment under </w:t>
      </w:r>
      <w:r>
        <w:rPr>
          <w:rFonts w:ascii="Times New Roman;serif" w:hAnsi="Times New Roman;serif"/>
          <w:b w:val="false"/>
          <w:color w:val="000000"/>
          <w:sz w:val="22"/>
          <w:u w:val="single"/>
        </w:rPr>
        <w:t>Section 2.05(a)(i)</w:t>
      </w:r>
      <w:r>
        <w:rPr>
          <w:color w:val="000000"/>
        </w:rPr>
        <w:t xml:space="preserve"> </w:t>
      </w:r>
      <w:r>
        <w:rPr>
          <w:rFonts w:ascii="Times New Roman;serif" w:hAnsi="Times New Roman;serif"/>
          <w:b w:val="false"/>
          <w:color w:val="000000"/>
          <w:sz w:val="22"/>
        </w:rPr>
        <w:t>may state that it is conditioned upon the occurrence or non-occurrence of any event specified therein (including the effectiveness of other credit facilities, indentures or similar agreements or other transactions), in which case such notice may be revoked or extended by the applicable Borrower (by written notice to the Administrative Agent on or prior to the specified effective date) if such condition is not satisfied.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If the Borrower (A) makes a voluntary prepayment of Initial Term Loans pursuant to this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resulting in a Repricing Event, (B) effects an amendment with respect to Initial Term Loans resulting in a Repricing Event or (C) makes a prepayment of Initial Term Loans pursuant to </w:t>
      </w:r>
      <w:r>
        <w:rPr>
          <w:rFonts w:ascii="Times New Roman;serif" w:hAnsi="Times New Roman;serif"/>
          <w:b w:val="false"/>
          <w:color w:val="000000"/>
          <w:sz w:val="22"/>
          <w:u w:val="single"/>
        </w:rPr>
        <w:t>Section 2.05(b)(iii)</w:t>
      </w:r>
      <w:r>
        <w:rPr>
          <w:color w:val="000000"/>
        </w:rPr>
        <w:t xml:space="preserve"> </w:t>
      </w:r>
      <w:r>
        <w:rPr>
          <w:rFonts w:ascii="Times New Roman;serif" w:hAnsi="Times New Roman;serif"/>
          <w:b w:val="false"/>
          <w:color w:val="000000"/>
          <w:sz w:val="22"/>
        </w:rPr>
        <w:t xml:space="preserve">resulting in a Repricing Event, in each case prior to the six-month anniversary of the Closing Date, the Borrower shall pay to the Administrative Agent, for the ratable account of the applicable Term Lenders, a prepayment premium in an amount equal to 1.0% of the principal amount prepaid (or in the case of </w:t>
      </w:r>
      <w:r>
        <w:rPr>
          <w:rFonts w:ascii="Times New Roman;serif" w:hAnsi="Times New Roman;serif"/>
          <w:b w:val="false"/>
          <w:color w:val="000000"/>
          <w:sz w:val="22"/>
          <w:u w:val="single"/>
        </w:rPr>
        <w:t>clause (B)</w:t>
      </w:r>
      <w:r>
        <w:rPr>
          <w:rFonts w:ascii="Times New Roman;serif" w:hAnsi="Times New Roman;serif"/>
          <w:b w:val="false"/>
          <w:color w:val="000000"/>
          <w:sz w:val="22"/>
        </w:rPr>
        <w:t>, a prepayment premium in an amount equal to 1.0% of the principal amount of affected Initial Term Loans held by Term Lenders not consenting to such amendment).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For any Excess Cash Flow Period, within ten Business Days after financial statements have been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 xml:space="preserve">and the related Compliance Certificate has been delivered pursuant to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 xml:space="preserve">(or, if later, the date on which such financial statements and such Compliance Certificate are required to be delivered), the Borrower shall prepay an aggregate principal amount of Term Loans in an amount equal to (A) 50.0% (as may be </w:t>
      </w:r>
    </w:p>
    <w:p>
      <w:pPr>
        <w:pStyle w:val="TextBody"/>
        <w:bidi w:val="0"/>
        <w:spacing w:before="0" w:after="0"/>
        <w:jc w:val="left"/>
        <w:rPr/>
      </w:pPr>
      <w:r>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175260"/>
                <wp:effectExtent l="0" t="0" r="0" b="0"/>
                <wp:wrapNone/>
                <wp:docPr id="207" name="Frame2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adjusted pursuant to the proviso below) of Excess Cash Flow for such Excess Cash Flow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(B) at the option of the Borrower, the sum 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(1)    the aggregate amount of voluntary principal prepayments of the Loans or Indebtedness that is secured by a Lien on the Collateral on a senior or basis with the Initial Term Loans, in each case, made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that to the extent the Borrower exercises such option, such deducted amount shall not be permitted as a reduction against the subsequent Excess Cash Flow Period calculation) (including prepayments at a discount to par and open market purchases, with credit given for the actual amount of the cash payment and prepayments in connection with lender replacement provisions (including pursuant to </w:t>
      </w:r>
      <w:r>
        <w:rPr>
          <w:rFonts w:ascii="Times New Roman;serif" w:hAnsi="Times New Roman;serif"/>
          <w:b w:val="false"/>
          <w:color w:val="000000"/>
          <w:sz w:val="22"/>
          <w:u w:val="single"/>
        </w:rPr>
        <w:t>Section 3.08</w:t>
      </w:r>
      <w:r>
        <w:rPr>
          <w:rFonts w:ascii="Times New Roman;serif" w:hAnsi="Times New Roman;serif"/>
          <w:b w:val="false"/>
          <w:color w:val="000000"/>
          <w:sz w:val="22"/>
        </w:rPr>
        <w:t>)) (except prepayments of Loans under any Revolving Tranche or other revolving Indebtedness that is secured by a Lien on the Collateral on a senior or basis with the Revolving Credit Commitments that are not accompanied by a corresponding permanent commitment reduction of the Revolving Tranches), in each case other than to the extent that any such prepayment is funded with the proceeds of any long-term Indebtedness (other than revolving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    any amount not required to be applied to such prepayment pursuant to </w:t>
      </w:r>
      <w:r>
        <w:rPr>
          <w:rFonts w:ascii="Times New Roman;serif" w:hAnsi="Times New Roman;serif"/>
          <w:b w:val="false"/>
          <w:color w:val="000000"/>
          <w:sz w:val="22"/>
          <w:u w:val="single"/>
        </w:rPr>
        <w:t>Section 2.05(b)(viii)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(x)</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(4)    the portion of the Excess Cash Flow applied (to the extent any Restricted Group Member is required by the terms thereof) to prepay, repay or purchase Indebtedness that is secured by a Lien on the Collateral on a basis with the Initial Term Loans (to the extent the documentation governing such Indebtedness requires such a prepayment or repurchase thereof with Excess Cash Flow), in each case in an amount not to exceed the product of (x) the amount of Excess Cash Flow and (y) 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serif" w:hAnsi="Times New Roman;serif"/>
          <w:b w:val="false"/>
          <w:color w:val="000000"/>
          <w:sz w:val="22"/>
          <w:u w:val="single"/>
        </w:rPr>
        <w:t>Section 1.08)</w:t>
      </w:r>
      <w:r>
        <w:rPr>
          <w:color w:val="000000"/>
        </w:rPr>
        <w:t xml:space="preserve"> </w:t>
      </w:r>
      <w:r>
        <w:rPr>
          <w:rFonts w:ascii="Times New Roman;serif" w:hAnsi="Times New Roman;serif"/>
          <w:b w:val="false"/>
          <w:color w:val="000000"/>
          <w:sz w:val="22"/>
        </w:rPr>
        <w:t>and the denominator of which is the aggregate outstanding principal amount of Term Loans and all such other Indebtedness, in each case other than to the extent that any such prepayment is funded with the proceeds of any long-term Indebtedness (other than revolving Indebtedness),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(5)    the aggregate amount of capital expenditures either made in cash or accrued by the Restricted Group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that to the extent the Borrower exercises such option, such deducted amount shall not be permitted as a reduction against the subsequent Excess Cash Flow Period calculation) and in each case other than to the extent that any such capital expenditures are funded with the proceeds of any long-term Indebtedness (other than revolving Indebtedness),</w:t>
      </w:r>
    </w:p>
    <w:p>
      <w:pPr>
        <w:pStyle w:val="TextBody"/>
        <w:bidi w:val="0"/>
        <w:spacing w:before="0" w:after="0"/>
        <w:jc w:val="left"/>
        <w:rPr/>
      </w:pPr>
      <w:r>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175260"/>
                <wp:effectExtent l="0" t="0" r="0" b="0"/>
                <wp:wrapNone/>
                <wp:docPr id="208" name="Frame2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(6)    the aggregate amount of cash consideration paid by the Restricted Group in connection with Investments (including, without limitation, any acquisitions and acquisitions of intellectual property)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that to the extent the Borrower exercises such option, such deducted amount shall not be permitted as a reduction against the subsequent Excess Cash Flow Period calculation) and in each case other than to the extent that any such cash consideration is funded with the proceeds of any long-term Indebtedness (other than revolving Indebtedness),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(7)    without duplication of amounts deducted from Excess Cash Flow pursuant to this </w:t>
      </w:r>
      <w:r>
        <w:rPr>
          <w:rFonts w:ascii="Times New Roman;serif" w:hAnsi="Times New Roman;serif"/>
          <w:b w:val="false"/>
          <w:color w:val="000000"/>
          <w:sz w:val="22"/>
          <w:u w:val="single"/>
        </w:rPr>
        <w:t>Section 2.05(b)(i)(B)(7)</w:t>
      </w:r>
      <w:r>
        <w:rPr>
          <w:color w:val="000000"/>
        </w:rPr>
        <w:t xml:space="preserve"> </w:t>
      </w:r>
      <w:r>
        <w:rPr>
          <w:rFonts w:ascii="Times New Roman;serif" w:hAnsi="Times New Roman;serif"/>
          <w:b w:val="false"/>
          <w:color w:val="000000"/>
          <w:sz w:val="22"/>
        </w:rPr>
        <w:t>in respect of prior fiscal years, the aggregate cash payments that any Restricted Group Member has committed to make or is required to make or plans to make (the “</w:t>
      </w:r>
      <w:r>
        <w:rPr>
          <w:rFonts w:ascii="Times New Roman;serif" w:hAnsi="Times New Roman;serif"/>
          <w:b/>
          <w:color w:val="000000"/>
          <w:sz w:val="22"/>
        </w:rPr>
        <w:t>Budgeted Amounts</w:t>
      </w:r>
      <w:r>
        <w:rPr>
          <w:color w:val="000000"/>
        </w:rPr>
        <w:t>”</w:t>
      </w:r>
      <w:r>
        <w:rPr>
          <w:rFonts w:ascii="Times New Roman;serif" w:hAnsi="Times New Roman;serif"/>
          <w:b w:val="false"/>
          <w:color w:val="000000"/>
          <w:sz w:val="22"/>
        </w:rPr>
        <w:t xml:space="preserve">) in respect of Restricted Payments (excluding Restricted Payments made pursuant to </w:t>
      </w:r>
      <w:r>
        <w:rPr>
          <w:rFonts w:ascii="Times New Roman;serif" w:hAnsi="Times New Roman;serif"/>
          <w:b w:val="false"/>
          <w:color w:val="000000"/>
          <w:sz w:val="22"/>
          <w:u w:val="single"/>
        </w:rPr>
        <w:t>clause (17)(ii)</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7.05(b)</w:t>
      </w:r>
      <w:r>
        <w:rPr>
          <w:rFonts w:ascii="Times New Roman;serif" w:hAnsi="Times New Roman;serif"/>
          <w:b w:val="false"/>
          <w:color w:val="000000"/>
          <w:sz w:val="22"/>
        </w:rPr>
        <w:t>) and Investments (including, without limitation, any acquisitions and acquisitions of intellectual property) or capital expenditures planned to be consummated or made during the period of four consecutive fiscal quarters of the Borrower following the end of such fiscal year; that to the extent the aggregate amount of cash actually utilized to finance such Restricted Payments and Investments and capital expenditures during such period of four consecutive fiscal quarters is less than the Budgeted Amounts, the amount of such shortfall shall be added back in calculating the ECF Prepayment Amount for the subsequent Excess Cash Flow Period,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(8)    the aggregate amount of payments either made in cash or accrued by the Restricted Group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that to the extent the Borrower exercises such option, such deducted amount shall not be permitted as a reduction against the subsequent Excess Cash Flow Period calculation) in respect of Restricted Payments (other than to the extent that any such Restricted Payments are funded with long-term Indebtedness or Capital Stock);</w:t>
      </w:r>
    </w:p>
    <w:p>
      <w:pPr>
        <w:pStyle w:val="TextBody"/>
        <w:bidi w:val="0"/>
        <w:spacing w:lineRule="auto" w:line="288" w:before="0" w:after="240"/>
        <w:jc w:val="left"/>
        <w:rPr/>
      </w:pPr>
      <w:r>
        <w:rPr>
          <w:rFonts w:ascii="Times New Roman;serif" w:hAnsi="Times New Roman;serif"/>
          <w:b w:val="false"/>
          <w:color w:val="000000"/>
          <w:sz w:val="22"/>
        </w:rPr>
        <w:t xml:space="preserve">that such percentage in respect of any Excess Cash Flow Period shall be reduced to 25.0% and to 0.0% if the Consolidated First Lien Net Leverage Ratio as of the last day of the fiscal year to which such Excess Cash Flow Period relates was equal to or less than 2.60 to 1.00 or 2.10 to 1.00, respectively (the amount described in this </w:t>
      </w:r>
      <w:r>
        <w:rPr>
          <w:rFonts w:ascii="Times New Roman;serif" w:hAnsi="Times New Roman;serif"/>
          <w:b w:val="false"/>
          <w:color w:val="000000"/>
          <w:sz w:val="22"/>
          <w:u w:val="single"/>
        </w:rPr>
        <w:t>clause (i)</w:t>
      </w:r>
      <w:r>
        <w:rPr>
          <w:rFonts w:ascii="Times New Roman;serif" w:hAnsi="Times New Roman;serif"/>
          <w:b w:val="false"/>
          <w:color w:val="000000"/>
          <w:sz w:val="22"/>
        </w:rPr>
        <w:t>, the “</w:t>
      </w:r>
      <w:r>
        <w:rPr>
          <w:rFonts w:ascii="Times New Roman;serif" w:hAnsi="Times New Roman;serif"/>
          <w:b/>
          <w:color w:val="000000"/>
          <w:sz w:val="22"/>
        </w:rPr>
        <w:t>ECF Prepayment Amount</w:t>
      </w:r>
      <w:r>
        <w:rPr>
          <w:color w:val="000000"/>
        </w:rPr>
        <w:t xml:space="preserve">” </w:t>
      </w:r>
      <w:r>
        <w:rPr>
          <w:rFonts w:ascii="Times New Roman;serif" w:hAnsi="Times New Roman;serif"/>
          <w:b w:val="false"/>
          <w:color w:val="000000"/>
          <w:sz w:val="22"/>
        </w:rPr>
        <w:t xml:space="preserve">and with respect to any Excess Cash Flow Period, (a) Excess Cash Flow for such Excess Cash Flow Period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(b) the ECF Prepayment Amount for such Excess Cash Flow Period shall constitute “</w:t>
      </w:r>
      <w:r>
        <w:rPr>
          <w:rFonts w:ascii="Times New Roman;serif" w:hAnsi="Times New Roman;serif"/>
          <w:b/>
          <w:color w:val="000000"/>
          <w:sz w:val="22"/>
        </w:rPr>
        <w:t>Retained Excess Cash Flow Amount</w:t>
      </w:r>
      <w:r>
        <w:rPr>
          <w:color w:val="000000"/>
        </w:rPr>
        <w:t xml:space="preserve">” </w:t>
      </w:r>
      <w:r>
        <w:rPr>
          <w:rFonts w:ascii="Times New Roman;serif" w:hAnsi="Times New Roman;serif"/>
          <w:b w:val="false"/>
          <w:color w:val="000000"/>
          <w:sz w:val="22"/>
        </w:rPr>
        <w:t>which Retained Excess Cash Flow Amount may be used for any purpose permitted hereunder);</w:t>
      </w:r>
    </w:p>
    <w:p>
      <w:pPr>
        <w:pStyle w:val="TextBody"/>
        <w:bidi w:val="0"/>
        <w:spacing w:lineRule="auto" w:line="288" w:before="0" w:after="240"/>
        <w:jc w:val="left"/>
        <w:rPr/>
      </w:pPr>
      <w:r>
        <w:rPr>
          <w:rFonts w:ascii="Times New Roman;serif" w:hAnsi="Times New Roman;serif"/>
          <w:b w:val="false"/>
          <w:i/>
          <w:color w:val="000000"/>
          <w:sz w:val="22"/>
        </w:rPr>
        <w:t>provided, further</w:t>
      </w:r>
      <w:r>
        <w:rPr>
          <w:rFonts w:ascii="Times New Roman;serif" w:hAnsi="Times New Roman;serif"/>
          <w:b w:val="false"/>
          <w:color w:val="000000"/>
          <w:sz w:val="22"/>
        </w:rPr>
        <w:t>, that no prepayment shall be required with respect to any Excess Cash Flow Period unless the ECF Prepayment Amount exceeds the greater of $25,000,000 and 5.0% of LTM EBITDA, and in such case, the ECF Prepayment Amount shall be the amount in excess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175260"/>
                <wp:effectExtent l="0" t="0" r="0" b="0"/>
                <wp:wrapNone/>
                <wp:docPr id="209" name="Frame2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(ii)    If any Asset Disposition or Casualty Event (or series of related Asset Dispositions or Casualty Events) (other than, in each case, any Excluded Casualty Event) results in the receipt by any Restricted Group Member of aggregate Net Cash Proceeds in excess of the greater of $50,000,000 and 10.0% of LTM EBITDA (“</w:t>
      </w:r>
      <w:r>
        <w:rPr>
          <w:rFonts w:ascii="Times New Roman;serif" w:hAnsi="Times New Roman;serif"/>
          <w:b/>
          <w:color w:val="000000"/>
          <w:sz w:val="22"/>
        </w:rPr>
        <w:t>Relevant Transaction</w:t>
      </w:r>
      <w:r>
        <w:rPr>
          <w:color w:val="000000"/>
        </w:rPr>
        <w:t>”</w:t>
      </w:r>
      <w:r>
        <w:rPr>
          <w:rFonts w:ascii="Times New Roman;serif" w:hAnsi="Times New Roman;serif"/>
          <w:b w:val="false"/>
          <w:color w:val="000000"/>
          <w:sz w:val="22"/>
        </w:rPr>
        <w:t xml:space="preserve">), then, except to the extent the Borrower elects to reinvest an amount equal to all or a portion of such Net Cash Proceeds in accordance with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the Borrower shall prepay, subject to </w:t>
      </w:r>
      <w:r>
        <w:rPr>
          <w:rFonts w:ascii="Times New Roman;serif" w:hAnsi="Times New Roman;serif"/>
          <w:b w:val="false"/>
          <w:color w:val="000000"/>
          <w:sz w:val="22"/>
          <w:u w:val="single"/>
        </w:rPr>
        <w:t>Section 2.05(b)(viii)</w:t>
      </w:r>
      <w:r>
        <w:rPr>
          <w:rFonts w:ascii="Times New Roman;serif" w:hAnsi="Times New Roman;serif"/>
          <w:b w:val="false"/>
          <w:color w:val="000000"/>
          <w:sz w:val="22"/>
        </w:rPr>
        <w:t xml:space="preserve">, an aggregate principal amount of Term Loans in an amount equal to 100.0% (as may be adjusted pursuant to the second proviso below) of the Net Cash Proceeds received from such Relevant Transaction within the time period specified in </w:t>
      </w:r>
      <w:r>
        <w:rPr>
          <w:rFonts w:ascii="Times New Roman;serif" w:hAnsi="Times New Roman;serif"/>
          <w:b w:val="false"/>
          <w:color w:val="000000"/>
          <w:sz w:val="22"/>
          <w:u w:val="single"/>
        </w:rPr>
        <w:t>Section 7.04</w:t>
      </w:r>
      <w:r>
        <w:rPr>
          <w:rFonts w:ascii="Times New Roman;serif" w:hAnsi="Times New Roman;serif"/>
          <w:b w:val="false"/>
          <w:color w:val="000000"/>
          <w:sz w:val="22"/>
        </w:rPr>
        <w: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that the Borrower or any Restricted Subsidiary may use a portion of the Net Cash Proceeds received from such Relevant Transaction to prepay or repurchase any other Indebtedness that is in right of payment and security with the Initial Term Loans to the extent the documentation governing such other Indebtedness requires such a prepayment or repurchase thereof with the proceeds of such Relevant Transaction, to the extent not deducted in the calculation of Net Cash Proceeds, in each case in an amount not to exceed the product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(1)    the amount of such Net Cash Proceeds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(2)    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serif" w:hAnsi="Times New Roman;serif"/>
          <w:b w:val="false"/>
          <w:color w:val="000000"/>
          <w:sz w:val="22"/>
          <w:u w:val="single"/>
        </w:rPr>
        <w:t>Section 1.08</w:t>
      </w:r>
      <w:r>
        <w:rPr>
          <w:rFonts w:ascii="Times New Roman;serif" w:hAnsi="Times New Roman;serif"/>
          <w:b w:val="false"/>
          <w:color w:val="000000"/>
          <w:sz w:val="22"/>
        </w:rPr>
        <w:t xml:space="preserve">) and the denominator of which is the aggregate outstanding principal amount of Term Loans and such other Indebtedness (or to the extent such amount is not in Dollars, such equivalent amount of such Indebtedness converted into Dollars as determined in accordance with </w:t>
      </w:r>
      <w:r>
        <w:rPr>
          <w:rFonts w:ascii="Times New Roman;serif" w:hAnsi="Times New Roman;serif"/>
          <w:b w:val="false"/>
          <w:color w:val="000000"/>
          <w:sz w:val="22"/>
          <w:u w:val="single"/>
        </w:rPr>
        <w:t>Article I</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such prepayment percentage shall be reduced from 100.0% to 50.0% and to 0.0% if, on a pro forma basis after giving effect to such Asset Disposition or Casualty Event, as applicable, and the use of proceeds therefrom, the Consolidated First Lien Net Leverage Ratio would be equal to or less than 2.60 to 1.00 or 2.10 to 1.00, respectively (any Net Cash Proceeds in respect of any such Asset Disposition or Casualty Event not required to be applied in accordance with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as a result of the application of this proviso shall collectively constitute “</w:t>
      </w:r>
      <w:r>
        <w:rPr>
          <w:rFonts w:ascii="Times New Roman;serif" w:hAnsi="Times New Roman;serif"/>
          <w:b/>
          <w:color w:val="000000"/>
          <w:sz w:val="22"/>
        </w:rPr>
        <w:t>Retained Asset Excess Proceeds</w:t>
      </w:r>
      <w:r>
        <w:rPr>
          <w:color w:val="000000"/>
        </w:rPr>
        <w:t>”</w:t>
      </w:r>
      <w:r>
        <w:rPr>
          <w:rFonts w:ascii="Times New Roman;serif" w:hAnsi="Times New Roman;serif"/>
          <w:b w:val="false"/>
          <w:color w:val="000000"/>
          <w:sz w:val="22"/>
        </w:rPr>
        <w:t>, which Retained Asset Excess Proceeds may be used for any purpose permitted hereunder);</w:t>
      </w:r>
    </w:p>
    <w:p>
      <w:pPr>
        <w:pStyle w:val="TextBody"/>
        <w:bidi w:val="0"/>
        <w:spacing w:lineRule="auto" w:line="288" w:before="0" w:after="240"/>
        <w:jc w:val="left"/>
        <w:rPr/>
      </w:pP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only the amount of Net Cash Proceeds in excess of the greater of $50,000,000 and 10.0% of LTM EBITDA for any Asset Disposition or Casualty Event (or series of related Asset Dispositions or Casualty Events) shall be subject to prepayment pursuant to this </w:t>
      </w:r>
      <w:r>
        <w:rPr>
          <w:rFonts w:ascii="Times New Roman;serif" w:hAnsi="Times New Roman;serif"/>
          <w:b w:val="false"/>
          <w:color w:val="000000"/>
          <w:sz w:val="22"/>
          <w:u w:val="single"/>
        </w:rPr>
        <w:t>Section 2.05(b)(ii)</w:t>
      </w:r>
      <w:r>
        <w:rPr>
          <w:color w:val="000000"/>
        </w:rPr>
        <w:t xml:space="preserve"> </w:t>
      </w:r>
      <w:r>
        <w:rPr>
          <w:rFonts w:ascii="Times New Roman;serif" w:hAnsi="Times New Roman;serif"/>
          <w:b w:val="false"/>
          <w:color w:val="000000"/>
          <w:sz w:val="22"/>
        </w:rPr>
        <w:t>and, in such case, the required prepayment shall be only the amount in excess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Upon the incurrence or issuance by any Restricted Group Member of any Credit Agreement Refinancing Debt, any Specified Refinancing Term Loans, in each case, incurred to refinance a Term Loan Tranche, or any Indebtedness not expressly permitted to be incurred or issued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 the Borrower shall prepay an aggregate principal amount of Term Loan Tranches in an amount equal to 100.0% of all Net Cash Proceeds received therefrom immediately upon receipt thereof by such Restricted Group Member.</w:t>
      </w:r>
    </w:p>
    <w:p>
      <w:pPr>
        <w:pStyle w:val="TextBody"/>
        <w:bidi w:val="0"/>
        <w:spacing w:before="0" w:after="0"/>
        <w:jc w:val="left"/>
        <w:rPr/>
      </w:pPr>
      <w:r>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175260"/>
                <wp:effectExtent l="0" t="0" r="0" b="0"/>
                <wp:wrapNone/>
                <wp:docPr id="210" name="Frame2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Upon the incurrence by any Restricted Group Member of any Specified Refinancing Debt constituting revolving credit facilities incurred to refinance </w:t>
      </w:r>
      <w:r>
        <w:rPr>
          <w:rFonts w:ascii="Times New Roman;serif" w:hAnsi="Times New Roman;serif"/>
          <w:b w:val="false"/>
          <w:color w:val="0000FF"/>
          <w:sz w:val="22"/>
          <w:u w:val="single"/>
        </w:rPr>
        <w:t xml:space="preserve">any Tranche of </w:t>
      </w:r>
      <w:r>
        <w:rPr>
          <w:rFonts w:ascii="Times New Roman;serif" w:hAnsi="Times New Roman;serif"/>
          <w:b w:val="false"/>
          <w:color w:val="000000"/>
          <w:sz w:val="22"/>
        </w:rPr>
        <w:t xml:space="preserve">Revolving Credit Loans, the applicable Borrower shall prepay an aggregate principal amount </w:t>
      </w:r>
      <w:r>
        <w:rPr>
          <w:rFonts w:ascii="Times New Roman;serif" w:hAnsi="Times New Roman;serif"/>
          <w:b w:val="false"/>
          <w:color w:val="0000FF"/>
          <w:sz w:val="22"/>
          <w:u w:val="single"/>
        </w:rPr>
        <w:t xml:space="preserve">of such Tranche </w:t>
      </w:r>
      <w:r>
        <w:rPr>
          <w:rFonts w:ascii="Times New Roman;serif" w:hAnsi="Times New Roman;serif"/>
          <w:b w:val="false"/>
          <w:color w:val="000000"/>
          <w:sz w:val="22"/>
        </w:rPr>
        <w:t>of Revolving Credit Loans in an amount equal to 100.0% of all Net Cash Proceeds received therefrom immediately upon receipt thereof by such Restricted Group Member.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If for any reason the sum of the Total Revolving Credit Outstandings of a Revolving Tranche at any time exceeds the sum of the applicable Revolving Tranche in respect thereof (including after giving effect to any reduction in the Revolving Credit Commitments of such Revolving Tranche pursuant to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one or more of the Borrowers shall immediately prepay the Loans under the applicable Revolving Tranche and/or Cash Collateralize the L/C Obligations related thereto in an aggregate amount equal to such excess;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applicable Borrower shall not be required to Cash Collateralize the L/C Obligations pursuant to this </w:t>
      </w:r>
      <w:r>
        <w:rPr>
          <w:rFonts w:ascii="Times New Roman;serif" w:hAnsi="Times New Roman;serif"/>
          <w:b w:val="false"/>
          <w:color w:val="000000"/>
          <w:sz w:val="22"/>
          <w:u w:val="single"/>
        </w:rPr>
        <w:t>Section 2.05(b)(v)</w:t>
      </w:r>
      <w:r>
        <w:rPr>
          <w:color w:val="000000"/>
        </w:rPr>
        <w:t xml:space="preserve"> </w:t>
      </w:r>
      <w:r>
        <w:rPr>
          <w:rFonts w:ascii="Times New Roman;serif" w:hAnsi="Times New Roman;serif"/>
          <w:b w:val="false"/>
          <w:color w:val="000000"/>
          <w:sz w:val="22"/>
        </w:rPr>
        <w:t>unless after the prepayment in full of the Loans under the applicable Revolving Tranche the sum of the Total Revolving Credit Outstandings of such applicable Revolving Tranche exceed the aggregate Revolving Credit Commitments for such applicable Revolving Tranche then in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    Subject to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(1) if the Borrower elects in its sole discretion via written notice (which notice may be given via email to the Administrative Agent), the aggregate amount of any prepayment of Term Loans that is required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applied to the Term Loan Tranche or Term Loan Tranches designated by the Borrower on such notice on a pro rata basis within such Term Loan Tranche or (2) if the Borrower does not make the election specified in </w:t>
      </w:r>
      <w:r>
        <w:rPr>
          <w:rFonts w:ascii="Times New Roman;serif" w:hAnsi="Times New Roman;serif"/>
          <w:b w:val="false"/>
          <w:color w:val="000000"/>
          <w:sz w:val="22"/>
          <w:u w:val="single"/>
        </w:rPr>
        <w:t>clause (1)</w:t>
      </w:r>
      <w:r>
        <w:rPr>
          <w:rFonts w:ascii="Times New Roman;serif" w:hAnsi="Times New Roman;serif"/>
          <w:b w:val="false"/>
          <w:color w:val="000000"/>
          <w:sz w:val="22"/>
        </w:rPr>
        <w:t xml:space="preserve">, the aggregate amount of any prepayment of Term Loans that is required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made to each Term Loan Tranche on a pro rata basis (or, if agreed to in writing by the Majority Lenders of a Term Loan Tranche, in a manner that provides for more favorable prepayment treatment of other Term Loan Tranches) (other than a prepayment of (x) Term Loans or Revolving Credit Loans, as applicable, with the proceeds of Indebtedness incurred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which shall be applied to the Term Loan Tranche or Revolving Tranche, as applicable, being refinanced pursuant thereto or (y) Term Loans with the proceeds of any Credit Agreement Refinancing Debt issued to the extent permitted under </w:t>
      </w:r>
      <w:r>
        <w:rPr>
          <w:rFonts w:ascii="Times New Roman;serif" w:hAnsi="Times New Roman;serif"/>
          <w:b w:val="false"/>
          <w:color w:val="000000"/>
          <w:sz w:val="22"/>
          <w:u w:val="single"/>
        </w:rPr>
        <w:t>Section 7.01(b)(1)</w:t>
      </w:r>
      <w:r>
        <w:rPr>
          <w:rFonts w:ascii="Times New Roman;serif" w:hAnsi="Times New Roman;serif"/>
          <w:b w:val="false"/>
          <w:color w:val="000000"/>
          <w:sz w:val="22"/>
        </w:rPr>
        <w:t xml:space="preserve">, which shall be applied to the Term Loan Tranche being refinanced pursuant thereto). Amounts to be applied to a Term Loan Tranche in connection with prepayments made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be applied to interest on each such Term Loan Tranche on a pro rata basis that is accrued and payable at such time and thereafter to the remaining scheduled installments with respect to such Term Loan Tranche in direct order of maturity. Each prepayment of Term Loans under a particular Tranche of a Facility pursuant to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shall (1) if the Borrower makes the election described in </w:t>
      </w:r>
      <w:r>
        <w:rPr>
          <w:rFonts w:ascii="Times New Roman;serif" w:hAnsi="Times New Roman;serif"/>
          <w:b w:val="false"/>
          <w:color w:val="000000"/>
          <w:sz w:val="22"/>
          <w:u w:val="single"/>
        </w:rPr>
        <w:t>Section 2.05(b)(vi)(1)</w:t>
      </w:r>
      <w:r>
        <w:rPr>
          <w:rFonts w:ascii="Times New Roman;serif" w:hAnsi="Times New Roman;serif"/>
          <w:b w:val="false"/>
          <w:color w:val="000000"/>
          <w:sz w:val="22"/>
        </w:rPr>
        <w:t xml:space="preserve">, be applied to the remaining amortization payments of such Term Loan Tranche as directed by such Borrower (or, if such Borrower has not made such designation, in direct order of maturity), but, in any event, on a pro rata basis to the Lenders within such Term Loan Tranche and (2) if the Borrower has not made the election specified in </w:t>
      </w:r>
      <w:r>
        <w:rPr>
          <w:rFonts w:ascii="Times New Roman;serif" w:hAnsi="Times New Roman;serif"/>
          <w:b w:val="false"/>
          <w:color w:val="000000"/>
          <w:sz w:val="22"/>
          <w:u w:val="single"/>
        </w:rPr>
        <w:t>Section 2.05(b)(vi)(1)</w:t>
      </w:r>
      <w:r>
        <w:rPr>
          <w:rFonts w:ascii="Times New Roman;serif" w:hAnsi="Times New Roman;serif"/>
          <w:b w:val="false"/>
          <w:color w:val="000000"/>
          <w:sz w:val="22"/>
        </w:rPr>
        <w:t xml:space="preserve">, be applied on a pro rata basis to the then outstanding ABR Loans and SOFR Loans under such Tranche; that, if there are no Declining Lenders with respect to such prepayment, then the amount thereof shall be applied first to ABR Loans under such Tranche to the full extent thereof before application to SOFR Loans, in each case in a manner that minimizes the amount payable by the applicable Borrower in respect of such prepayment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175260"/>
                <wp:effectExtent l="0" t="0" r="0" b="0"/>
                <wp:wrapNone/>
                <wp:docPr id="211" name="Frame2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(vii)    All prepayments under this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 xml:space="preserve">shall be made together with, in the case of any such prepayment of a SOFR Loan or Eurocurrency Rate Loan on a date other than the last day of an Interest Period therefor, any amounts owing in respect of such SOFR Loan or Eurocurrency Rate Loan pursuant to Section 3.06 and, to the extent applicable, any additional amounts required pursuant to </w:t>
      </w:r>
      <w:r>
        <w:rPr>
          <w:rFonts w:ascii="Times New Roman;serif" w:hAnsi="Times New Roman;serif"/>
          <w:b w:val="false"/>
          <w:color w:val="000000"/>
          <w:sz w:val="22"/>
          <w:u w:val="single"/>
        </w:rPr>
        <w:t>Section 2.05(a)(iii)</w:t>
      </w:r>
      <w:r>
        <w:rPr>
          <w:rFonts w:ascii="Times New Roman;serif" w:hAnsi="Times New Roman;serif"/>
          <w:b w:val="false"/>
          <w:color w:val="000000"/>
          <w:sz w:val="22"/>
        </w:rPr>
        <w:t xml:space="preserve">. Notwithstanding any of the other provisions of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so long as no Event of Default shall have occurred and be continuing, if any prepayment of SOFR Loans or Eurocurrency Rate Loans is required to be made under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other than on the last day of the Interest Period therefor, the applicable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such Borrower or any other Loan Party) to apply such amount to the prepayment of such Loans in accordance with this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(it being agreed, for clarity, that interest shall continue to accrue on the Loans so prepaid until the amount so deposited is actually applied to prepay such Loans). Upon the occurrence and during the continuance of any Event of Default, the Administrative Agent shall also be authorized (without any further action by or notice to or from such Borrower or any other Loan Party) to apply such amount to the prepayment of the outstanding Loans in accordance with this </w:t>
      </w:r>
      <w:r>
        <w:rPr>
          <w:rFonts w:ascii="Times New Roman;serif" w:hAnsi="Times New Roman;serif"/>
          <w:b w:val="false"/>
          <w:color w:val="000000"/>
          <w:sz w:val="22"/>
          <w:u w:val="single"/>
        </w:rPr>
        <w:t>Section 2.05(b)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(viii)    Notwithstanding any other provisions of this </w:t>
      </w:r>
      <w:r>
        <w:rPr>
          <w:rFonts w:ascii="Times New Roman;serif" w:hAnsi="Times New Roman;serif"/>
          <w:b w:val="false"/>
          <w:color w:val="000000"/>
          <w:sz w:val="22"/>
          <w:u w:val="single"/>
        </w:rPr>
        <w:t>Section 2.05</w:t>
      </w:r>
      <w:r>
        <w:rPr>
          <w:rFonts w:ascii="Times New Roman;serif" w:hAnsi="Times New Roman;serif"/>
          <w:b w:val="false"/>
          <w:color w:val="000000"/>
          <w:sz w:val="22"/>
        </w:rPr>
        <w:t>, to the extent that any or all of the Net Cash Proceeds of any Asset Disposition by a Non-U.S. Subsidiary (or a U.S. Subsidiary of a Non-U.S. Subsidiary) (a “</w:t>
      </w:r>
      <w:r>
        <w:rPr>
          <w:rFonts w:ascii="Times New Roman;serif" w:hAnsi="Times New Roman;serif"/>
          <w:b/>
          <w:color w:val="000000"/>
          <w:sz w:val="22"/>
        </w:rPr>
        <w:t>Foreign Disposition</w:t>
      </w:r>
      <w:r>
        <w:rPr>
          <w:color w:val="000000"/>
        </w:rPr>
        <w:t>”</w:t>
      </w:r>
      <w:r>
        <w:rPr>
          <w:rFonts w:ascii="Times New Roman;serif" w:hAnsi="Times New Roman;serif"/>
          <w:b w:val="false"/>
          <w:color w:val="000000"/>
          <w:sz w:val="22"/>
        </w:rPr>
        <w:t>) or the Net Cash Proceeds of any Casualty Event from a Non-U.S. Subsidiary (or a U.S. Subsidiary of a Non-U.S. Subsidiary) (a “</w:t>
      </w:r>
      <w:r>
        <w:rPr>
          <w:rFonts w:ascii="Times New Roman;serif" w:hAnsi="Times New Roman;serif"/>
          <w:b/>
          <w:color w:val="000000"/>
          <w:sz w:val="22"/>
        </w:rPr>
        <w:t>Foreign Casualty Event</w:t>
      </w:r>
      <w:r>
        <w:rPr>
          <w:color w:val="000000"/>
        </w:rPr>
        <w:t>”</w:t>
      </w:r>
      <w:r>
        <w:rPr>
          <w:rFonts w:ascii="Times New Roman;serif" w:hAnsi="Times New Roman;serif"/>
          <w:b w:val="false"/>
          <w:color w:val="000000"/>
          <w:sz w:val="22"/>
        </w:rPr>
        <w:t xml:space="preserve">), in each case giving rise to a prepayment event pursuant to </w:t>
      </w:r>
      <w:r>
        <w:rPr>
          <w:rFonts w:ascii="Times New Roman;serif" w:hAnsi="Times New Roman;serif"/>
          <w:b w:val="false"/>
          <w:color w:val="000000"/>
          <w:sz w:val="22"/>
          <w:u w:val="single"/>
        </w:rPr>
        <w:t>Section 2.05(b)(ii)</w:t>
      </w:r>
      <w:r>
        <w:rPr>
          <w:rFonts w:ascii="Times New Roman;serif" w:hAnsi="Times New Roman;serif"/>
          <w:b w:val="false"/>
          <w:color w:val="000000"/>
          <w:sz w:val="22"/>
        </w:rPr>
        <w:t xml:space="preserve">, or Excess Cash Flow giving rise to a prepayment event pursuant to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are or is prohibited, restricted or delayed by applicable local law, rule or regulation (including, without limitation, (i) financial assistance and corporate benefit restrictions and (ii) fiduciary and statutory duties of any director or officer of such Subsidiaries), restricted by applicable organizational documents or any agreement or is subject to other onerous organizational or administrative impediments, in each case, from being repatriated or otherwise paid to the applicable Borrower or so prepaid or such repatriation, other payment or prepayment would present a material risk of liability for the applicable Subsidiary or its directors or officers (or gives rise to a material risk of breach of fiduciary or statutory duties by any director or officer), an amount equal to the portion of such Net Cash Proceeds or Excess Cash Flow so affected will not be required to be applied to repay Term Loans at the times provided in this </w:t>
      </w:r>
      <w:r>
        <w:rPr>
          <w:rFonts w:ascii="Times New Roman;serif" w:hAnsi="Times New Roman;serif"/>
          <w:b w:val="false"/>
          <w:color w:val="000000"/>
          <w:sz w:val="22"/>
          <w:u w:val="single"/>
        </w:rPr>
        <w:t>Section 2.05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(ix) </w:t>
      </w:r>
      <w:r>
        <w:rPr>
          <w:rFonts w:ascii="Times New Roman;serif" w:hAnsi="Times New Roman;serif"/>
          <w:b w:val="false"/>
          <w:strike/>
          <w:color w:val="FF0000"/>
          <w:sz w:val="22"/>
        </w:rPr>
        <w:t>[Reserved.]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(ix)    If, at the end of the last Business Day of any calendar month, commencing with the first full calendar month ending after the First Amendment Effective Date, the Loan Parties hold Excess Cash On-Hand, the Company shall, on or before the end of the third Business Day thereafter (or such later date, </w:t>
      </w:r>
      <w:r>
        <w:rPr>
          <w:rFonts w:ascii="Times New Roman;serif" w:hAnsi="Times New Roman;serif"/>
          <w:b w:val="false"/>
          <w:color w:val="008000"/>
          <w:sz w:val="22"/>
          <w:u w:val="single"/>
        </w:rPr>
        <w:t xml:space="preserve">not to exceed </w:t>
      </w:r>
      <w:r>
        <w:rPr>
          <w:rFonts w:ascii="Times New Roman;serif" w:hAnsi="Times New Roman;serif"/>
          <w:b w:val="false"/>
          <w:color w:val="0000FF"/>
          <w:sz w:val="22"/>
          <w:u w:val="single"/>
        </w:rPr>
        <w:t>five (5) Business Days after the last Business Day of such calendar month</w:t>
      </w:r>
      <w:r>
        <w:rPr>
          <w:rFonts w:ascii="Times New Roman;serif" w:hAnsi="Times New Roman;serif"/>
          <w:b w:val="false"/>
          <w:color w:val="008000"/>
          <w:sz w:val="22"/>
          <w:u w:val="single"/>
        </w:rPr>
        <w:t xml:space="preserve">, as the </w:t>
      </w:r>
      <w:r>
        <w:rPr>
          <w:rFonts w:ascii="Times New Roman;serif" w:hAnsi="Times New Roman;serif"/>
          <w:b w:val="false"/>
          <w:color w:val="0000FF"/>
          <w:sz w:val="22"/>
          <w:u w:val="single"/>
        </w:rPr>
        <w:t xml:space="preserve">Administrative Agent and the First Amendment Lead Arranger may agree to in writing in their sole discretion), prepay the Revolving Credit Loans </w:t>
      </w:r>
      <w:r>
        <w:rPr>
          <w:rFonts w:ascii="Times New Roman;serif" w:hAnsi="Times New Roman;serif"/>
          <w:b w:val="false"/>
          <w:color w:val="008000"/>
          <w:sz w:val="22"/>
          <w:u w:val="single"/>
        </w:rPr>
        <w:t xml:space="preserve">in an </w:t>
      </w:r>
      <w:r>
        <w:rPr>
          <w:rFonts w:ascii="Times New Roman;serif" w:hAnsi="Times New Roman;serif"/>
          <w:b w:val="false"/>
          <w:color w:val="0000FF"/>
          <w:sz w:val="22"/>
          <w:u w:val="single"/>
        </w:rPr>
        <w:t xml:space="preserve">aggregate principal </w:t>
      </w:r>
      <w:r>
        <w:rPr>
          <w:rFonts w:ascii="Times New Roman;serif" w:hAnsi="Times New Roman;serif"/>
          <w:b w:val="false"/>
          <w:color w:val="008000"/>
          <w:sz w:val="22"/>
          <w:u w:val="single"/>
        </w:rPr>
        <w:t xml:space="preserve">amount equal to the amount of </w:t>
      </w:r>
      <w:r>
        <w:rPr>
          <w:rFonts w:ascii="Times New Roman;serif" w:hAnsi="Times New Roman;serif"/>
          <w:b w:val="false"/>
          <w:color w:val="0000FF"/>
          <w:sz w:val="22"/>
          <w:u w:val="single"/>
        </w:rPr>
        <w:t xml:space="preserve">such Excess Cash On-Hand (without any corresponding mandatory commitment reduction).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(x)    Notwithstanding any other provisions of this </w:t>
      </w:r>
      <w:r>
        <w:rPr>
          <w:rFonts w:ascii="Times New Roman;serif" w:hAnsi="Times New Roman;serif"/>
          <w:b w:val="false"/>
          <w:color w:val="000000"/>
          <w:sz w:val="22"/>
          <w:u w:val="single"/>
        </w:rPr>
        <w:t>Section 2.05</w:t>
      </w:r>
      <w:r>
        <w:rPr>
          <w:rFonts w:ascii="Times New Roman;serif" w:hAnsi="Times New Roman;serif"/>
          <w:b w:val="false"/>
          <w:color w:val="000000"/>
          <w:sz w:val="22"/>
        </w:rPr>
        <w:t xml:space="preserve">, to the extent that the Company has determined in good faith that repatriation or other payment of any or all of the Net </w:t>
      </w:r>
    </w:p>
    <w:p>
      <w:pPr>
        <w:pStyle w:val="TextBody"/>
        <w:bidi w:val="0"/>
        <w:spacing w:before="0" w:after="0"/>
        <w:jc w:val="left"/>
        <w:rPr/>
      </w:pPr>
      <w:r>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175260"/>
                <wp:effectExtent l="0" t="0" r="0" b="0"/>
                <wp:wrapNone/>
                <wp:docPr id="212" name="Frame2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Cash Proceeds of any Foreign Disposition or any Foreign Casualty Event, in each case giving rise to a prepayment event pursuant to </w:t>
      </w:r>
      <w:r>
        <w:rPr>
          <w:rFonts w:ascii="Times New Roman;serif" w:hAnsi="Times New Roman;serif"/>
          <w:b w:val="false"/>
          <w:color w:val="000000"/>
          <w:sz w:val="22"/>
          <w:u w:val="single"/>
        </w:rPr>
        <w:t>Section 2.05(b)(ii)</w:t>
      </w:r>
      <w:r>
        <w:rPr>
          <w:rFonts w:ascii="Times New Roman;serif" w:hAnsi="Times New Roman;serif"/>
          <w:b w:val="false"/>
          <w:color w:val="000000"/>
          <w:sz w:val="22"/>
        </w:rPr>
        <w:t xml:space="preserve">, or Excess Cash Flow giving rise to a prepayment event pursuant to </w:t>
      </w:r>
      <w:r>
        <w:rPr>
          <w:rFonts w:ascii="Times New Roman;serif" w:hAnsi="Times New Roman;serif"/>
          <w:b w:val="false"/>
          <w:color w:val="000000"/>
          <w:sz w:val="22"/>
          <w:u w:val="single"/>
        </w:rPr>
        <w:t>Section 2.05(b)(i)</w:t>
      </w:r>
      <w:r>
        <w:rPr>
          <w:rFonts w:ascii="Times New Roman;serif" w:hAnsi="Times New Roman;serif"/>
          <w:b w:val="false"/>
          <w:color w:val="000000"/>
          <w:sz w:val="22"/>
        </w:rPr>
        <w:t xml:space="preserve">, could reasonably be expected to result in adverse Tax consequences (which for the avoidance of doubt, includes, but is not limited to, any prepayment out of such Net Cash Proceeds whereby doing so the Company, any of its Subsidiaries, any direct or indirect parent of the Company or any of their respective affiliates and/or equity owners would incur a Tax liability, including as a result of a taxable dividend or a withholding Tax) or is prohibited or restricted by applicable law, rule or regulation, an amount equal to the Net Cash Proceeds or Excess Cash Flow so affected will not be required to be applied to repay Term Loans at the times provided in this </w:t>
      </w:r>
      <w:r>
        <w:rPr>
          <w:rFonts w:ascii="Times New Roman;serif" w:hAnsi="Times New Roman;serif"/>
          <w:b w:val="false"/>
          <w:color w:val="000000"/>
          <w:sz w:val="22"/>
          <w:u w:val="single"/>
        </w:rPr>
        <w:t>Section 2.05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(xi)    No Restricted Group Member shall be required to monitor any Payment Block and/or reserve cash for future repatriation after the Company has notified the Administrative Agent of the existence of such Payment Block.</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Term Lender Opt-Out</w:t>
      </w:r>
      <w:r>
        <w:rPr>
          <w:rFonts w:ascii="Times New Roman;serif" w:hAnsi="Times New Roman;serif"/>
          <w:b w:val="false"/>
          <w:color w:val="000000"/>
          <w:sz w:val="22"/>
        </w:rPr>
        <w:t xml:space="preserve">. With respect to any mandatory prepayment of Initial Term Loans and, unless otherwise specified in the documents therefor, other Term Loan Tranches, pursuant to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rFonts w:ascii="Times New Roman;serif" w:hAnsi="Times New Roman;serif"/>
          <w:b w:val="false"/>
          <w:color w:val="000000"/>
          <w:sz w:val="22"/>
        </w:rPr>
        <w:t xml:space="preserve">, any Appropriate Lender, at its option (but solely to the extent the Borrower elects for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to be applicable to a given prepayment, other than in connection with any Credit Agreement Refinancing Debt or any Specified Refinancing Term Loans), may elect not to accept such prepayment as provided below. The Borrower may notify the Administrative Agent of any event giving rise to a prepayment under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 xml:space="preserve">at least ten Business Days prior to the date of such prepayment. Each such notice shall specify the date of such prepayment and provide a reasonably detailed calculation of the amount of such prepayment that is required to be made under </w:t>
      </w:r>
      <w:r>
        <w:rPr>
          <w:rFonts w:ascii="Times New Roman;serif" w:hAnsi="Times New Roman;serif"/>
          <w:b w:val="false"/>
          <w:color w:val="000000"/>
          <w:sz w:val="22"/>
          <w:u w:val="single"/>
        </w:rPr>
        <w:t>Section 2.05(b)(i)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(ii)</w:t>
      </w:r>
      <w:r>
        <w:rPr>
          <w:color w:val="000000"/>
        </w:rPr>
        <w:t xml:space="preserve"> </w:t>
      </w:r>
      <w:r>
        <w:rPr>
          <w:rFonts w:ascii="Times New Roman;serif" w:hAnsi="Times New Roman;serif"/>
          <w:b w:val="false"/>
          <w:color w:val="000000"/>
          <w:sz w:val="22"/>
        </w:rPr>
        <w:t>(the “</w:t>
      </w:r>
      <w:r>
        <w:rPr>
          <w:rFonts w:ascii="Times New Roman;serif" w:hAnsi="Times New Roman;serif"/>
          <w:b/>
          <w:color w:val="000000"/>
          <w:sz w:val="22"/>
        </w:rPr>
        <w:t>Prepayment Amount</w:t>
      </w:r>
      <w:r>
        <w:rPr>
          <w:color w:val="000000"/>
        </w:rPr>
        <w:t>”</w:t>
      </w:r>
      <w:r>
        <w:rPr>
          <w:rFonts w:ascii="Times New Roman;serif" w:hAnsi="Times New Roman;serif"/>
          <w:b w:val="false"/>
          <w:color w:val="000000"/>
          <w:sz w:val="22"/>
        </w:rPr>
        <w:t>). The Administrative Agent will promptly notify each Appropriate Lender of the contents of any such prepayment notice so received from the Borrower, including the date on which such prepayment is to be made (the “</w:t>
      </w:r>
      <w:r>
        <w:rPr>
          <w:rFonts w:ascii="Times New Roman;serif" w:hAnsi="Times New Roman;serif"/>
          <w:b/>
          <w:color w:val="000000"/>
          <w:sz w:val="22"/>
        </w:rPr>
        <w:t>Prepayment Date</w:t>
      </w:r>
      <w:r>
        <w:rPr>
          <w:color w:val="000000"/>
        </w:rPr>
        <w:t>”</w:t>
      </w:r>
      <w:r>
        <w:rPr>
          <w:rFonts w:ascii="Times New Roman;serif" w:hAnsi="Times New Roman;serif"/>
          <w:b w:val="false"/>
          <w:color w:val="000000"/>
          <w:sz w:val="22"/>
        </w:rPr>
        <w:t xml:space="preserve">). Any Appropriate Lender may (but solely to the extent the Borrower elects for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to be applicable to a given prepayment) decline to accept all (but not less than all) of its share of any such prepayment (any such Lender, a “</w:t>
      </w:r>
      <w:r>
        <w:rPr>
          <w:rFonts w:ascii="Times New Roman;serif" w:hAnsi="Times New Roman;serif"/>
          <w:b/>
          <w:color w:val="000000"/>
          <w:sz w:val="22"/>
        </w:rPr>
        <w:t>Declining Lender</w:t>
      </w:r>
      <w:r>
        <w:rPr>
          <w:color w:val="000000"/>
        </w:rPr>
        <w:t>”</w:t>
      </w:r>
      <w:r>
        <w:rPr>
          <w:rFonts w:ascii="Times New Roman;serif" w:hAnsi="Times New Roman;serif"/>
          <w:b w:val="false"/>
          <w:color w:val="000000"/>
          <w:sz w:val="22"/>
        </w:rPr>
        <w:t xml:space="preserve">) by providing written notice to the Administrative Agent no later than five Business Days after the date of such Appropriate Lender’s receipt of notice from the Administrative Agent regarding such prepayment. If any Appropriate Lender does not give a notice to the Administrative Agent on or prior to such fifth Business Day informing the Administrative Agent that it declines to accept the applicable prepayment, then such Lender will be deemed to have accepted such prepayment. On any Prepayment Date, an amount equal to the Prepayment Amount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the portion thereof allocable to Declining Lenders, in each case for such Prepayment Date, shall be paid to the Administrative Agent by the Borrower and applied by the Administrative Agent ratably to prepay Term Loans under the Term Loan Tranches owing to Appropriate Lenders (other than Declining Lenders) in the manner described in </w:t>
      </w:r>
      <w:r>
        <w:rPr>
          <w:rFonts w:ascii="Times New Roman;serif" w:hAnsi="Times New Roman;serif"/>
          <w:b w:val="false"/>
          <w:color w:val="000000"/>
          <w:sz w:val="22"/>
          <w:u w:val="single"/>
        </w:rPr>
        <w:t>Section 2.05(b)</w:t>
      </w:r>
      <w:r>
        <w:rPr>
          <w:color w:val="000000"/>
        </w:rPr>
        <w:t xml:space="preserve"> </w:t>
      </w:r>
      <w:r>
        <w:rPr>
          <w:rFonts w:ascii="Times New Roman;serif" w:hAnsi="Times New Roman;serif"/>
          <w:b w:val="false"/>
          <w:color w:val="000000"/>
          <w:sz w:val="22"/>
        </w:rPr>
        <w:t xml:space="preserve">for such prepayment. Any amounts that would otherwise have been applied to prepay Term Loans, New Term Loans or Specified Refinancing Term Loans owing to Declining Lenders shall be retained by the Borrower (any Net Cash Proceeds retained by the Borrower in accordance with this </w:t>
      </w:r>
      <w:r>
        <w:rPr>
          <w:rFonts w:ascii="Times New Roman;serif" w:hAnsi="Times New Roman;serif"/>
          <w:b w:val="false"/>
          <w:color w:val="000000"/>
          <w:sz w:val="22"/>
          <w:u w:val="single"/>
        </w:rPr>
        <w:t>Section 2.05(c)</w:t>
      </w:r>
      <w:r>
        <w:rPr>
          <w:color w:val="000000"/>
        </w:rPr>
        <w:t xml:space="preserve"> </w:t>
      </w:r>
      <w:r>
        <w:rPr>
          <w:rFonts w:ascii="Times New Roman;serif" w:hAnsi="Times New Roman;serif"/>
          <w:b w:val="false"/>
          <w:color w:val="000000"/>
          <w:sz w:val="22"/>
        </w:rPr>
        <w:t>shall constitute “</w:t>
      </w:r>
      <w:r>
        <w:rPr>
          <w:rFonts w:ascii="Times New Roman;serif" w:hAnsi="Times New Roman;serif"/>
          <w:b/>
          <w:color w:val="000000"/>
          <w:sz w:val="22"/>
        </w:rPr>
        <w:t>Retained Declined Proceeds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All Loans shall be repaid, whether pursuant to this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or otherwise, in the currency in which they were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2.06    </w:t>
      </w:r>
      <w:r>
        <w:rPr>
          <w:rFonts w:ascii="Times New Roman;serif" w:hAnsi="Times New Roman;serif"/>
          <w:b w:val="false"/>
          <w:color w:val="000000"/>
          <w:sz w:val="22"/>
          <w:u w:val="single"/>
        </w:rPr>
        <w:t>Termination or Reduction of Commitments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175260"/>
                <wp:effectExtent l="0" t="0" r="0" b="0"/>
                <wp:wrapNone/>
                <wp:docPr id="213" name="Frame2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Optional</w:t>
      </w:r>
      <w:r>
        <w:rPr>
          <w:rFonts w:ascii="Times New Roman;serif" w:hAnsi="Times New Roman;serif"/>
          <w:b w:val="false"/>
          <w:color w:val="000000"/>
          <w:sz w:val="22"/>
        </w:rPr>
        <w:t>. Any Borrower may, upon written notice by such Borrower to the Administrative Agent, terminate the unused portions of the Commitments under any Term Loan Tranche, the Letter of Credit Sublimit, or the unused Revolving Credit Commitments under any Revolving Tranche, or from time to time permanently reduce the unused portions of the Commitments under any Term Loan Tranche, the Letter of Credit Sublimit, or the unused Revolving Credit Commitments under any Revolving Tranche; that (i) any such notice shall be received by the Administrative Agent three Business Days (or such shorter period as the Administrative Agent shall agree) prior to the date of termination or reduction, (ii) any such partial reduction shall be in an aggregate amount of $500,000 (or the equivalent Dollar Amount) or any whole multiple of $100,000 (or the equivalent Dollar Amount) in excess thereof and (iii) such Borrower shall not terminate or reduce (A) the Commitments under any Tranche of the Revolving Credit Facility if, after giving effect thereto and to any concurrent prepayments hereunder, (x) the Total Revolving Credit Outstandings would exceed the Revolving Credit Facility or (y) the Total Revolving Credit Outstandings with respect to such Tranche would exceed the Revolving Credit Commitments under such Tranche or (B) the Letter of Credit Sublimit if, after giving effect thereto, the Outstanding Amount of L/C Obligations not fully Cash Collateralized hereunder would exceed the Letter of Credit Sublimit</w:t>
      </w:r>
      <w:r>
        <w:rPr>
          <w:rFonts w:ascii="Times New Roman;serif" w:hAnsi="Times New Roman;serif"/>
          <w:b w:val="false"/>
          <w:color w:val="0000FF"/>
          <w:sz w:val="22"/>
          <w:u w:val="single"/>
        </w:rPr>
        <w:t xml:space="preserve">; </w:t>
      </w:r>
      <w:r>
        <w:rPr>
          <w:rFonts w:ascii="Times New Roman;serif" w:hAnsi="Times New Roman;serif"/>
          <w:b w:val="false"/>
          <w:i/>
          <w:color w:val="008000"/>
          <w:sz w:val="22"/>
          <w:u w:val="single"/>
        </w:rPr>
        <w:t>provided, further</w:t>
      </w:r>
      <w:r>
        <w:rPr>
          <w:rFonts w:ascii="Times New Roman;serif" w:hAnsi="Times New Roman;serif"/>
          <w:b w:val="false"/>
          <w:color w:val="008000"/>
          <w:sz w:val="22"/>
          <w:u w:val="single"/>
        </w:rPr>
        <w:t xml:space="preserve">, that, </w:t>
      </w:r>
      <w:r>
        <w:rPr>
          <w:rFonts w:ascii="Times New Roman;serif" w:hAnsi="Times New Roman;serif"/>
          <w:b w:val="false"/>
          <w:color w:val="0000FF"/>
          <w:sz w:val="22"/>
          <w:u w:val="single"/>
        </w:rPr>
        <w:t>notwithstanding anything to the contrary in this Section 2.06(a), during the period commencing seven (7) Business Days prior to the Maturity Date of any Maturing Revolving Tranche, any Borrower may terminate or permanently reduce the unused Revolving Credit Commitments under such Maturing Revolving Tranche on a non-pro rata basis (without any corresponding termination or reduction of the Revolving Credit Commitments under any other Revolving Tranche)</w:t>
      </w:r>
      <w:r>
        <w:rPr>
          <w:rFonts w:ascii="Times New Roman;serif" w:hAnsi="Times New Roman;serif"/>
          <w:b w:val="false"/>
          <w:color w:val="000000"/>
          <w:sz w:val="22"/>
        </w:rPr>
        <w:t xml:space="preserve">. Any such notice of termination or reduction of commitments pursuant to this </w:t>
      </w:r>
      <w:r>
        <w:rPr>
          <w:rFonts w:ascii="Times New Roman;serif" w:hAnsi="Times New Roman;serif"/>
          <w:b w:val="false"/>
          <w:color w:val="000000"/>
          <w:sz w:val="22"/>
          <w:u w:val="single"/>
        </w:rPr>
        <w:t>Section 2.06(a)</w:t>
      </w:r>
      <w:r>
        <w:rPr>
          <w:color w:val="000000"/>
        </w:rPr>
        <w:t xml:space="preserve"> </w:t>
      </w:r>
      <w:r>
        <w:rPr>
          <w:rFonts w:ascii="Times New Roman;serif" w:hAnsi="Times New Roman;serif"/>
          <w:b w:val="false"/>
          <w:color w:val="000000"/>
          <w:sz w:val="22"/>
        </w:rPr>
        <w:t xml:space="preserve">may state that it is conditioned upon the occurrence or non-occurrence of any event specified therein (including the effectiveness of other credit facilities, indentures or similar agreements or other transactions), in which case such notice may be revoked by such Borrower (by written notice to the Administrative Agent on or prior to the specified effective date) if such condition is not satisfied. For the avoidance of doubt, upon termination of the Aggregate Commitments and payment in full of all Obligations in cash and in immediately available funds (other than any Remaining Obligations) and the expiration without any pending drawing or termination of all Letters of Credit (other than any Remaining Obligations), this Agreement shall automatically terminate and the Administrative Agent shall comply with </w:t>
      </w:r>
      <w:r>
        <w:rPr>
          <w:rFonts w:ascii="Times New Roman;serif" w:hAnsi="Times New Roman;serif"/>
          <w:b w:val="false"/>
          <w:color w:val="000000"/>
          <w:sz w:val="22"/>
          <w:u w:val="single"/>
        </w:rPr>
        <w:t>Section 9.01(c)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Mandatory</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Aggregate Commitments under a Term Loan Tranche shall be automatically and permanently reduced to zero on the date of the initial incurrence of Term Loans under such Term Loan Tranche, which in the case of the Initial Term Commitments shall be the Closing Date (except as provided pursuant to the definitive documentation relating to any Term Loan Tranche that is in the form of a delayed draw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Upon the incurrence by any Restricted Group Member of any Specified Refinancing Debt constituting revolving credit facilities, the Revolving Credit Commitments of the Lenders under the Tranche of Revolving Credit Loans being refinanced shall be automatically and permanently reduced on a ratable basis by an amount equal to 100.0% of the Commitments under such Specified Refinancing Debt constituting revolving credit facilities.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If after giving effect to any reduction or termination of Revolving Credit Commitments under 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the Letter of Credit Sublimit exceeds the amount of the Revolving Credit Facility at such time, the Letter of Credit Sublimit shall be automatically reduced by the amount of such excess.</w:t>
      </w:r>
    </w:p>
    <w:p>
      <w:pPr>
        <w:pStyle w:val="TextBody"/>
        <w:bidi w:val="0"/>
        <w:spacing w:before="0" w:after="0"/>
        <w:jc w:val="left"/>
        <w:rPr/>
      </w:pPr>
      <w:r>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6480175" cy="175260"/>
                <wp:effectExtent l="0" t="0" r="0" b="0"/>
                <wp:wrapNone/>
                <wp:docPr id="214" name="Frame2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The aggregate Revolving Credit Commitments with respect to any Tranche of the Revolving Credit Facility shall automatically and permanently be reduced to zero on the Maturity Date with respect to such Tranche of the Revolving Credit Facility.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Application of Commitment Reductions; Payment of Fees</w:t>
      </w:r>
      <w:r>
        <w:rPr>
          <w:rFonts w:ascii="Times New Roman;serif" w:hAnsi="Times New Roman;serif"/>
          <w:b w:val="false"/>
          <w:color w:val="000000"/>
          <w:sz w:val="22"/>
        </w:rPr>
        <w:t xml:space="preserve">. The Administrative Agent will promptly notify the applicable Lenders of the applicable Facility of any termination or reduction of the Commitments under any Term Loan Tranche, the Letter of Credit Sublimit or the Revolving Credit Commitment under </w:t>
      </w:r>
      <w:r>
        <w:rPr>
          <w:rFonts w:ascii="Times New Roman;serif" w:hAnsi="Times New Roman;serif"/>
          <w:b w:val="false"/>
          <w:color w:val="0000FF"/>
          <w:sz w:val="22"/>
          <w:u w:val="single"/>
        </w:rPr>
        <w:t xml:space="preserve">any Revolving Tranche under </w:t>
      </w: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2.06</w:t>
      </w:r>
      <w:r>
        <w:rPr>
          <w:rFonts w:ascii="Times New Roman;serif" w:hAnsi="Times New Roman;serif"/>
          <w:b w:val="false"/>
          <w:color w:val="000000"/>
          <w:sz w:val="22"/>
        </w:rPr>
        <w:t xml:space="preserve">. Upon any reduction of Commitments under a Facility or a Tranche thereof, the Commitment of each Lender under such Facility or Tranche thereof shall be reduced by such Lender’s ratable share of the amount by which such Facility or Tranche thereof is reduced (other than the termination of the Commitment of any Lender as provided in </w:t>
      </w:r>
      <w:r>
        <w:rPr>
          <w:rFonts w:ascii="Times New Roman;serif" w:hAnsi="Times New Roman;serif"/>
          <w:b w:val="false"/>
          <w:color w:val="000000"/>
          <w:sz w:val="22"/>
          <w:u w:val="single"/>
        </w:rPr>
        <w:t>Section 3.08</w:t>
      </w:r>
      <w:r>
        <w:rPr>
          <w:rFonts w:ascii="Times New Roman;serif" w:hAnsi="Times New Roman;serif"/>
          <w:b w:val="false"/>
          <w:color w:val="000000"/>
          <w:sz w:val="22"/>
        </w:rPr>
        <w:t xml:space="preserve">). All facility fees accrued until the effective date of any termination of the Aggregate Commitments and unpaid, shall be paid on the effective date of such termination. For the avoidance of doubt, to the extent that any portion of the Revolving Credit Loans have been refinanced with one or more new revolving credit facilities constituting Specified Refinancing Debt, any prepayments of Revolving Credit Loans made pursuant to this </w:t>
      </w:r>
      <w:r>
        <w:rPr>
          <w:rFonts w:ascii="Times New Roman;serif" w:hAnsi="Times New Roman;serif"/>
          <w:b w:val="false"/>
          <w:color w:val="000000"/>
          <w:sz w:val="22"/>
          <w:u w:val="single"/>
        </w:rPr>
        <w:t>Section 2.06</w:t>
      </w:r>
      <w:r>
        <w:rPr>
          <w:color w:val="000000"/>
        </w:rPr>
        <w:t xml:space="preserve"> </w:t>
      </w:r>
      <w:r>
        <w:rPr>
          <w:rFonts w:ascii="Times New Roman;serif" w:hAnsi="Times New Roman;serif"/>
          <w:b w:val="false"/>
          <w:color w:val="000000"/>
          <w:sz w:val="22"/>
        </w:rPr>
        <w:t xml:space="preserve">(other than any prepayments of Revolving Credit Loans made pursuant to </w:t>
      </w:r>
      <w:r>
        <w:rPr>
          <w:rFonts w:ascii="Times New Roman;serif" w:hAnsi="Times New Roman;serif"/>
          <w:b w:val="false"/>
          <w:color w:val="000000"/>
          <w:sz w:val="22"/>
          <w:u w:val="single"/>
        </w:rPr>
        <w:t>Section 2.06(b)(ii)</w:t>
      </w:r>
      <w:r>
        <w:rPr>
          <w:rFonts w:ascii="Times New Roman;serif" w:hAnsi="Times New Roman;serif"/>
          <w:b w:val="false"/>
          <w:color w:val="000000"/>
          <w:sz w:val="22"/>
        </w:rPr>
        <w:t xml:space="preserve">) </w:t>
      </w:r>
      <w:r>
        <w:rPr>
          <w:rFonts w:ascii="Times New Roman;serif" w:hAnsi="Times New Roman;serif"/>
          <w:b w:val="false"/>
          <w:color w:val="0000FF"/>
          <w:sz w:val="22"/>
          <w:u w:val="single"/>
        </w:rPr>
        <w:t xml:space="preserve">or any prepayments or commitment reductions of Revolving Credit Loans or Revolving Credit Commitments under a Maturing Revolving Tranche made during the seven (7) Business Day period prior to the Maturity Date of such Maturing Revolving Tranche </w:t>
      </w:r>
      <w:r>
        <w:rPr>
          <w:rFonts w:ascii="Times New Roman;serif" w:hAnsi="Times New Roman;serif"/>
          <w:b w:val="false"/>
          <w:color w:val="008000"/>
          <w:sz w:val="22"/>
          <w:u w:val="single"/>
        </w:rPr>
        <w:t xml:space="preserve">in accordance with Section </w:t>
      </w:r>
      <w:r>
        <w:rPr>
          <w:rFonts w:ascii="Times New Roman;serif" w:hAnsi="Times New Roman;serif"/>
          <w:b w:val="false"/>
          <w:color w:val="0000FF"/>
          <w:sz w:val="22"/>
          <w:u w:val="single"/>
        </w:rPr>
        <w:t xml:space="preserve">2.05(a)(i) </w:t>
      </w:r>
      <w:r>
        <w:rPr>
          <w:rFonts w:ascii="Times New Roman;serif" w:hAnsi="Times New Roman;serif"/>
          <w:b w:val="false"/>
          <w:color w:val="000000"/>
          <w:sz w:val="22"/>
        </w:rPr>
        <w:t>shall be allocated ratably among the Revolving Tranches.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2.07    </w:t>
      </w:r>
      <w:r>
        <w:rPr>
          <w:rFonts w:ascii="Times New Roman;serif" w:hAnsi="Times New Roman;serif"/>
          <w:b w:val="false"/>
          <w:color w:val="000000"/>
          <w:sz w:val="22"/>
          <w:u w:val="single"/>
        </w:rPr>
        <w:t>Repayment of Loans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Initial Term Loans</w:t>
      </w:r>
      <w:r>
        <w:rPr>
          <w:rFonts w:ascii="Times New Roman;serif" w:hAnsi="Times New Roman;serif"/>
          <w:b w:val="false"/>
          <w:color w:val="000000"/>
          <w:sz w:val="22"/>
        </w:rPr>
        <w:t xml:space="preserve">. The Company shall repay to the Administrative Agent for the ratable account of the Initial Term Lenders the aggregate principal amount of the Initial Term Loans outstanding in consecutive quarterly installments as follows (which installments shall, to the extent applicable, be reduced as a result of the application of prepayments in accordance with the order of priority set forth in </w:t>
      </w:r>
      <w:r>
        <w:rPr>
          <w:rFonts w:ascii="Times New Roman;serif" w:hAnsi="Times New Roman;serif"/>
          <w:b w:val="false"/>
          <w:color w:val="000000"/>
          <w:sz w:val="22"/>
          <w:u w:val="single"/>
        </w:rPr>
        <w:t>Sections 2.05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2.06</w:t>
      </w:r>
      <w:r>
        <w:rPr>
          <w:rFonts w:ascii="Times New Roman;serif" w:hAnsi="Times New Roman;serif"/>
          <w:b w:val="false"/>
          <w:color w:val="000000"/>
          <w:sz w:val="22"/>
        </w:rPr>
        <w:t xml:space="preserve">, or be increased as a result of any increase in the amount of Initial Term Loans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(such increased amortization payments to be calculated in the same manner (and on the same basis) as the schedule set forth below for the Initial Term Loans made as of the Closing Date)):</w:t>
      </w:r>
    </w:p>
    <w:tbl>
      <w:tblPr>
        <w:tblW w:w="10205" w:type="dxa"/>
        <w:jc w:val="left"/>
        <w:tblInd w:w="0" w:type="dxa"/>
        <w:tblLayout w:type="fixed"/>
        <w:tblCellMar>
          <w:top w:w="28" w:type="dxa"/>
          <w:left w:w="28" w:type="dxa"/>
          <w:bottom w:w="28" w:type="dxa"/>
          <w:right w:w="28" w:type="dxa"/>
        </w:tblCellMar>
      </w:tblPr>
      <w:tblGrid>
        <w:gridCol w:w="2223"/>
        <w:gridCol w:w="1950"/>
        <w:gridCol w:w="1976"/>
        <w:gridCol w:w="1263"/>
        <w:gridCol w:w="1149"/>
        <w:gridCol w:w="1644"/>
      </w:tblGrid>
      <w:tr>
        <w:trPr/>
        <w:tc>
          <w:tcPr>
            <w:tcW w:w="2223" w:type="dxa"/>
            <w:tcBorders/>
            <w:vAlign w:val="center"/>
          </w:tcPr>
          <w:p>
            <w:pPr>
              <w:pStyle w:val="TableContents"/>
              <w:bidi w:val="0"/>
              <w:spacing w:before="0" w:after="283"/>
              <w:jc w:val="left"/>
              <w:rPr>
                <w:sz w:val="4"/>
                <w:szCs w:val="4"/>
              </w:rPr>
            </w:pPr>
            <w:r>
              <w:rPr>
                <w:sz w:val="4"/>
                <w:szCs w:val="4"/>
              </w:rPr>
            </w:r>
          </w:p>
        </w:tc>
        <w:tc>
          <w:tcPr>
            <w:tcW w:w="1950" w:type="dxa"/>
            <w:tcBorders/>
            <w:vAlign w:val="center"/>
          </w:tcPr>
          <w:p>
            <w:pPr>
              <w:pStyle w:val="TableContents"/>
              <w:bidi w:val="0"/>
              <w:spacing w:before="0" w:after="283"/>
              <w:jc w:val="left"/>
              <w:rPr>
                <w:sz w:val="4"/>
                <w:szCs w:val="4"/>
              </w:rPr>
            </w:pPr>
            <w:r>
              <w:rPr>
                <w:sz w:val="4"/>
                <w:szCs w:val="4"/>
              </w:rPr>
            </w:r>
          </w:p>
        </w:tc>
        <w:tc>
          <w:tcPr>
            <w:tcW w:w="1976"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r>
      <w:tr>
        <w:trPr/>
        <w:tc>
          <w:tcPr>
            <w:tcW w:w="6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Date</w:t>
            </w:r>
          </w:p>
        </w:tc>
        <w:tc>
          <w:tcPr>
            <w:tcW w:w="40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Amount</w:t>
            </w:r>
          </w:p>
        </w:tc>
      </w:tr>
      <w:tr>
        <w:trPr/>
        <w:tc>
          <w:tcPr>
            <w:tcW w:w="614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last Business Day of each fiscal quarter ending prior to the Maturity Date for the Initial Term Loans starting with the fiscal quarter ending on June 30, 2022</w:t>
            </w:r>
          </w:p>
        </w:tc>
        <w:tc>
          <w:tcPr>
            <w:tcW w:w="405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0.25% of the aggregate initial principal amount of the Initial Term Loans on the Closing Date</w:t>
            </w:r>
          </w:p>
        </w:tc>
      </w:tr>
      <w:tr>
        <w:trPr/>
        <w:tc>
          <w:tcPr>
            <w:tcW w:w="614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Maturity Date for the Initial Term Loans</w:t>
            </w:r>
          </w:p>
        </w:tc>
        <w:tc>
          <w:tcPr>
            <w:tcW w:w="405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All unpaid aggregate principal amounts of any outstanding Initial Term Loans</w:t>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i/>
          <w:color w:val="000000"/>
          <w:sz w:val="22"/>
        </w:rPr>
        <w:t>provided, however</w:t>
      </w:r>
      <w:r>
        <w:rPr>
          <w:rFonts w:ascii="Times New Roman;serif" w:hAnsi="Times New Roman;serif"/>
          <w:b w:val="false"/>
          <w:color w:val="000000"/>
          <w:sz w:val="22"/>
        </w:rPr>
        <w:t>, that (i) if the date scheduled for any principal repayment installment is not a Business Day, such principal repayment installment shall be repaid on the immediately preceding Business Day and (ii) the final principal repayment installment of the Initial Term Loans shall be repaid on the Maturity Date for the Initial Term Loans and in any event shall be in an amount equal to the aggregate principal amount of all Initial Term Loans outstanding on such date.</w:t>
      </w:r>
    </w:p>
    <w:p>
      <w:pPr>
        <w:pStyle w:val="TextBody"/>
        <w:bidi w:val="0"/>
        <w:spacing w:before="0" w:after="0"/>
        <w:jc w:val="left"/>
        <w:rPr/>
      </w:pPr>
      <w:r>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6480175" cy="175260"/>
                <wp:effectExtent l="0" t="0" r="0" b="0"/>
                <wp:wrapNone/>
                <wp:docPr id="215" name="Frame2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Revolving Credit Loans</w:t>
      </w:r>
      <w:r>
        <w:rPr>
          <w:rFonts w:ascii="Times New Roman;serif" w:hAnsi="Times New Roman;serif"/>
          <w:b w:val="false"/>
          <w:color w:val="000000"/>
          <w:sz w:val="22"/>
        </w:rPr>
        <w:t>. The applicable Borrower shall repay to the Administrative Agent for the ratable account of the Appropriate Lenders on the applicable Maturity Date for the Revolving Credit Facilities of a given Tranche the aggregate principal amount of all of its Revolving Credit Loans of such Tranche outstanding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All Loans shall be repaid, whether pursuant to this </w:t>
      </w:r>
      <w:r>
        <w:rPr>
          <w:rFonts w:ascii="Times New Roman;serif" w:hAnsi="Times New Roman;serif"/>
          <w:b w:val="false"/>
          <w:color w:val="000000"/>
          <w:sz w:val="22"/>
          <w:u w:val="single"/>
        </w:rPr>
        <w:t>Section 2.07</w:t>
      </w:r>
      <w:r>
        <w:rPr>
          <w:color w:val="000000"/>
        </w:rPr>
        <w:t xml:space="preserve"> </w:t>
      </w:r>
      <w:r>
        <w:rPr>
          <w:rFonts w:ascii="Times New Roman;serif" w:hAnsi="Times New Roman;serif"/>
          <w:b w:val="false"/>
          <w:color w:val="000000"/>
          <w:sz w:val="22"/>
        </w:rPr>
        <w:t>or otherwise, in the currency in which they were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2.08    </w:t>
      </w:r>
      <w:r>
        <w:rPr>
          <w:rFonts w:ascii="Times New Roman;serif" w:hAnsi="Times New Roman;serif"/>
          <w:b w:val="false"/>
          <w:color w:val="000000"/>
          <w:sz w:val="22"/>
          <w:u w:val="single"/>
        </w:rPr>
        <w:t>Interest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Each SOFR Loan under a Facility shall bear interest on the outstanding principal amount thereof for each Interest Period at a rate per annum equal to the sum of (A) Term SOFR for such Interest Period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Applicable Rate for SOFR Loans under such Facility.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Each Eurocurrency Rate Loan under a Facility shall bear interest on the outstanding principal amount thereof for each Interest Period at a rate per annum equal to the sum of (A) the Adjusted Eurocurrency Rate for such Interest Period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Applicable Rate for Eurocurrency Rate Loans under such Facility.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Each ABR Loan under a Facility shall bear interest on the outstanding principal amount thereof from the applicable borrowing date or conversion date, as applicable, at a rate per annum equal to the sum of (A) the ABR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Applicable Rate for ABR Loans under such Facility.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Notwithstanding the foregoing, during the continuance of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rFonts w:ascii="Times New Roman;serif" w:hAnsi="Times New Roman;serif"/>
          <w:b w:val="false"/>
          <w:color w:val="000000"/>
          <w:sz w:val="22"/>
        </w:rPr>
        <w:t xml:space="preserve">, the applicable Borrower shall pay interest on all overdue Obligations hereunder, which shall include all Obligations following an acceleration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Accrued interest on each Loan shall be due and payable in arrears on each Interest Payment Date applicable thereto and at such other times as may be specified herein; that in the event of any repayment or prepayment of any Loan (other than Revolving Credit Loans bearing interest based on the ABR that are repaid or prepaid without any corresponding termination or reduction of the Revolving Credit Commitments other than as set forth in </w:t>
      </w:r>
      <w:r>
        <w:rPr>
          <w:rFonts w:ascii="Times New Roman;serif" w:hAnsi="Times New Roman;serif"/>
          <w:b w:val="false"/>
          <w:color w:val="000000"/>
          <w:sz w:val="22"/>
          <w:u w:val="single"/>
        </w:rPr>
        <w:t>Section 2.14(e)</w:t>
      </w:r>
      <w:r>
        <w:rPr>
          <w:rFonts w:ascii="Times New Roman;serif" w:hAnsi="Times New Roman;serif"/>
          <w:b w:val="false"/>
          <w:color w:val="000000"/>
          <w:sz w:val="22"/>
        </w:rPr>
        <w:t>),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Interest on each Loan shall be payable in the currency in which each Loan was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All computations of interest hereunder shall be made in accordance with </w:t>
      </w:r>
      <w:r>
        <w:rPr>
          <w:rFonts w:ascii="Times New Roman;serif" w:hAnsi="Times New Roman;serif"/>
          <w:b w:val="false"/>
          <w:color w:val="000000"/>
          <w:sz w:val="22"/>
          <w:u w:val="single"/>
        </w:rPr>
        <w:t>Section 2.10</w:t>
      </w:r>
      <w:r>
        <w:rPr>
          <w:color w:val="000000"/>
        </w:rPr>
        <w:t xml:space="preserve"> </w:t>
      </w:r>
      <w:r>
        <w:rPr>
          <w:rFonts w:ascii="Times New Roman;serif" w:hAnsi="Times New Roman;serif"/>
          <w:b w:val="false"/>
          <w:color w:val="000000"/>
          <w:sz w:val="22"/>
        </w:rPr>
        <w:t>of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(h)    Term SOFR Conforming Changes.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w:t>
      </w:r>
    </w:p>
    <w:p>
      <w:pPr>
        <w:pStyle w:val="TextBody"/>
        <w:bidi w:val="0"/>
        <w:spacing w:before="0" w:after="0"/>
        <w:jc w:val="left"/>
        <w:rPr/>
      </w:pPr>
      <w:r>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6480175" cy="175260"/>
                <wp:effectExtent l="0" t="0" r="0" b="0"/>
                <wp:wrapNone/>
                <wp:docPr id="216" name="Frame2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notify the Borrower and the Lenders of the effectiveness of any Conforming Changes in connection with the use or administration of Term SOFR.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2.09    </w:t>
      </w:r>
      <w:r>
        <w:rPr>
          <w:rFonts w:ascii="Times New Roman;serif" w:hAnsi="Times New Roman;serif"/>
          <w:b w:val="false"/>
          <w:color w:val="000000"/>
          <w:sz w:val="22"/>
          <w:u w:val="single"/>
        </w:rPr>
        <w:t>Fees</w:t>
      </w:r>
      <w:r>
        <w:rPr>
          <w:rFonts w:ascii="Times New Roman;serif" w:hAnsi="Times New Roman;serif"/>
          <w:b w:val="false"/>
          <w:color w:val="000000"/>
          <w:sz w:val="22"/>
        </w:rPr>
        <w:t>. In addition to certain fees described in Sections 2.03(h) and (i):</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Revolving Credit Commitments Commitment Fee</w:t>
      </w:r>
      <w:r>
        <w:rPr>
          <w:rFonts w:ascii="Times New Roman;serif" w:hAnsi="Times New Roman;serif"/>
          <w:b w:val="false"/>
          <w:color w:val="000000"/>
          <w:sz w:val="22"/>
        </w:rPr>
        <w:t xml:space="preserve">. The applicable Borrower shall pay to the Administrative Agent for the account of each Revolving Credit Lender in accordance with its Pro Rata Share of each Tranche of the Revolving Credit Facility, a commitment fee equal to the Applicable Commitment Fee </w:t>
      </w:r>
      <w:r>
        <w:rPr>
          <w:rFonts w:ascii="Times New Roman;serif" w:hAnsi="Times New Roman;serif"/>
          <w:b w:val="false"/>
          <w:color w:val="0000FF"/>
          <w:sz w:val="22"/>
          <w:u w:val="single"/>
        </w:rPr>
        <w:t xml:space="preserve">with respect to such Tranche </w:t>
      </w:r>
      <w:r>
        <w:rPr>
          <w:rFonts w:ascii="Times New Roman;serif" w:hAnsi="Times New Roman;serif"/>
          <w:b w:val="false"/>
          <w:color w:val="000000"/>
          <w:sz w:val="22"/>
        </w:rPr>
        <w:t xml:space="preserve">multiplied by the average daily amount for the applicable fiscal quarter by which the aggregate Revolving Credit Commitments under such Tranche exceed the sum of (A) the Outstanding Amount of Revolving Credit Loans under such Tranche and (B) the Outstanding Amount of L/C Obligations under such Tranche, subject to adjustment as provided in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The commitment fee shall accrue at all times from the Closing Date </w:t>
      </w:r>
      <w:r>
        <w:rPr>
          <w:rFonts w:ascii="Times New Roman;serif" w:hAnsi="Times New Roman;serif"/>
          <w:b w:val="false"/>
          <w:strike/>
          <w:color w:val="FF0000"/>
          <w:sz w:val="22"/>
        </w:rPr>
        <w:t xml:space="preserve">until the </w:t>
      </w:r>
      <w:r>
        <w:rPr>
          <w:rFonts w:ascii="Times New Roman;serif" w:hAnsi="Times New Roman;serif"/>
          <w:b w:val="false"/>
          <w:color w:val="0000FF"/>
          <w:sz w:val="22"/>
          <w:u w:val="single"/>
        </w:rPr>
        <w:t xml:space="preserve">(or, with respect to any Tranche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 xml:space="preserve">Revolving Credit Facility established </w:t>
      </w:r>
      <w:r>
        <w:rPr>
          <w:rFonts w:ascii="Times New Roman;serif" w:hAnsi="Times New Roman;serif"/>
          <w:b w:val="false"/>
          <w:color w:val="008000"/>
          <w:sz w:val="22"/>
          <w:u w:val="single"/>
        </w:rPr>
        <w:t>after the Closing Date</w:t>
      </w:r>
      <w:r>
        <w:rPr>
          <w:rFonts w:ascii="Times New Roman;serif" w:hAnsi="Times New Roman;serif"/>
          <w:b w:val="false"/>
          <w:color w:val="0000FF"/>
          <w:sz w:val="22"/>
          <w:u w:val="single"/>
        </w:rPr>
        <w:t xml:space="preserve">, the effective date thereof) until the applicable </w:t>
      </w:r>
      <w:r>
        <w:rPr>
          <w:rFonts w:ascii="Times New Roman;serif" w:hAnsi="Times New Roman;serif"/>
          <w:b w:val="false"/>
          <w:color w:val="000000"/>
          <w:sz w:val="22"/>
        </w:rPr>
        <w:t>Maturity Date for the Revolving Credit Facility</w:t>
      </w:r>
      <w:r>
        <w:rPr>
          <w:color w:val="0000FF"/>
          <w:u w:val="single"/>
        </w:rPr>
        <w:t xml:space="preserve"> </w:t>
      </w:r>
      <w:r>
        <w:rPr>
          <w:rFonts w:ascii="Times New Roman;serif" w:hAnsi="Times New Roman;serif"/>
          <w:b w:val="false"/>
          <w:color w:val="0000FF"/>
          <w:sz w:val="22"/>
          <w:u w:val="single"/>
        </w:rPr>
        <w:t>of a given Tranche</w:t>
      </w:r>
      <w:r>
        <w:rPr>
          <w:rFonts w:ascii="Times New Roman;serif" w:hAnsi="Times New Roman;serif"/>
          <w:b w:val="false"/>
          <w:color w:val="000000"/>
          <w:sz w:val="22"/>
        </w:rPr>
        <w:t xml:space="preserve">, and shall be due and payable quarterly in arrears on the last Business Day of each fiscal quarter, commencing with the last Business Day of the first full fiscal quarter to end following the Closing Date, and on the </w:t>
      </w:r>
      <w:r>
        <w:rPr>
          <w:rFonts w:ascii="Times New Roman;serif" w:hAnsi="Times New Roman;serif"/>
          <w:b w:val="false"/>
          <w:color w:val="0000FF"/>
          <w:sz w:val="22"/>
          <w:u w:val="single"/>
        </w:rPr>
        <w:t xml:space="preserve">applicable </w:t>
      </w:r>
      <w:r>
        <w:rPr>
          <w:rFonts w:ascii="Times New Roman;serif" w:hAnsi="Times New Roman;serif"/>
          <w:b w:val="false"/>
          <w:color w:val="000000"/>
          <w:sz w:val="22"/>
        </w:rPr>
        <w:t xml:space="preserve">Maturity Date for the Revolving Credit </w:t>
      </w:r>
      <w:r>
        <w:rPr>
          <w:rFonts w:ascii="Times New Roman;serif" w:hAnsi="Times New Roman;serif"/>
          <w:b w:val="false"/>
          <w:strike/>
          <w:color w:val="FF0000"/>
          <w:sz w:val="22"/>
        </w:rPr>
        <w:t>Facility</w:t>
      </w:r>
      <w:r>
        <w:rPr>
          <w:rFonts w:ascii="Times New Roman;serif" w:hAnsi="Times New Roman;serif"/>
          <w:b w:val="false"/>
          <w:color w:val="0000FF"/>
          <w:sz w:val="22"/>
          <w:u w:val="single"/>
        </w:rPr>
        <w:t>Facilities of a given Tranche</w:t>
      </w:r>
      <w:r>
        <w:rPr>
          <w:rFonts w:ascii="Times New Roman;serif" w:hAnsi="Times New Roman;serif"/>
          <w:b w:val="false"/>
          <w:color w:val="000000"/>
          <w:sz w:val="22"/>
        </w:rPr>
        <w:t>. For the avoidance of doubt, the commitment fee payable hereunder shall accrue and be payable in Dollars.</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Other Fees</w:t>
      </w:r>
      <w:r>
        <w:rPr>
          <w:rFonts w:ascii="Times New Roman;serif" w:hAnsi="Times New Roman;serif"/>
          <w:b w:val="false"/>
          <w:color w:val="000000"/>
          <w:sz w:val="22"/>
        </w:rPr>
        <w:t>. The applicable Borrower shall pay to the Lenders, the Administrative Agent and the Collateral Agent such fees as shall have been separately agreed upon in writing in the amounts and at the times so specified.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2.10    </w:t>
      </w:r>
      <w:r>
        <w:rPr>
          <w:rFonts w:ascii="Times New Roman;serif" w:hAnsi="Times New Roman;serif"/>
          <w:b w:val="false"/>
          <w:color w:val="000000"/>
          <w:sz w:val="22"/>
          <w:u w:val="single"/>
        </w:rPr>
        <w:t>Computation of Interest and Fees; Retroactive Adjustments of Applicable Rate</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All computations of interest for ABR Loans when the Alternate Base Rate is based on the Prime Rate shall be made on the basis of a year of 365 or 366 days, as applicable, and actual days elapsed. All other computations of fees and interest shall be made on the basis of a 360-day year and actual days elapsed or, in the case of interest in respect of Loans denominated in Alternative Currencies as to which generally accepted market practice differs from the foregoing, in accordance with such generally accepted market practice. Interest shall accrue on each Loan for the day on which the Loan is made, and shall not accrue on a Loan, or any portion thereof, for the day on which the Loan or such portion is paid; that any Loan that is repaid on the same day on which it is made shall, subject to </w:t>
      </w:r>
      <w:r>
        <w:rPr>
          <w:rFonts w:ascii="Times New Roman;serif" w:hAnsi="Times New Roman;serif"/>
          <w:b w:val="false"/>
          <w:color w:val="000000"/>
          <w:sz w:val="22"/>
          <w:u w:val="single"/>
        </w:rPr>
        <w:t>Section 2.12(a)</w:t>
      </w:r>
      <w:r>
        <w:rPr>
          <w:rFonts w:ascii="Times New Roman;serif" w:hAnsi="Times New Roman;serif"/>
          <w:b w:val="false"/>
          <w:color w:val="000000"/>
          <w:sz w:val="22"/>
        </w:rPr>
        <w:t>, bear interest for one day. Each determination by the Administrative Agent of an interest rate or fee hereunder shall be conclusive and binding for all purposes, absent manifest error. The Administrative Agent shall, at the request of the applicable Borrower, deliver to such Borrower a statement showing the quotations used by the Administrative Agent in determining any interest rate hereunder.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If, as a result of any restatement of or other adjustment to the financial statements of the Company or for any other reason, the Company or the Lenders determine that (i) the Consolidated First Lien Net Leverage Ratio as calculated by the Company as of any applicable date was inaccurate and (ii) a proper calculation of such ratio would have resulted in higher interest and/or fees for any period, the Company shall be obligated to pay to the Administrative Agent for the account of the applicable Lenders or the applicable L/C Issuer, as applicable, promptly on demand by the Administrative Agent (or, after the occurrence of an actual or deemed entry of an order for relief with respect to the applicable Borrower under the Bankruptcy Code of the United States, automatically and with any such demand by the Administrative Agent being excused), an amount equal to the excess of the amount of interest and fees that should have been paid for such period over the amount of interest and fees actually paid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6480175" cy="175260"/>
                <wp:effectExtent l="0" t="0" r="0" b="0"/>
                <wp:wrapNone/>
                <wp:docPr id="217" name="Frame2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period. This clause shall not limit the rights of the Administrative Agent, any Lender or the applicable L/C Issuer, as applicable, under </w:t>
      </w:r>
      <w:r>
        <w:rPr>
          <w:rFonts w:ascii="Times New Roman;serif" w:hAnsi="Times New Roman;serif"/>
          <w:b w:val="false"/>
          <w:color w:val="000000"/>
          <w:sz w:val="22"/>
          <w:u w:val="single"/>
        </w:rPr>
        <w:t>Section 2.03(d)(iii)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2.03(h)</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2.08</w:t>
      </w:r>
      <w:r>
        <w:rPr>
          <w:color w:val="000000"/>
        </w:rPr>
        <w:t xml:space="preserve"> </w:t>
      </w:r>
      <w:r>
        <w:rPr>
          <w:rFonts w:ascii="Times New Roman;serif" w:hAnsi="Times New Roman;serif"/>
          <w:b w:val="false"/>
          <w:color w:val="000000"/>
          <w:sz w:val="22"/>
        </w:rPr>
        <w:t xml:space="preserve">or under Article VIII. Except in any case where a demand is excused as provided above, any additional interest and fees under this </w:t>
      </w:r>
      <w:r>
        <w:rPr>
          <w:rFonts w:ascii="Times New Roman;serif" w:hAnsi="Times New Roman;serif"/>
          <w:b w:val="false"/>
          <w:color w:val="000000"/>
          <w:sz w:val="22"/>
          <w:u w:val="single"/>
        </w:rPr>
        <w:t>Section 2.10(b)</w:t>
      </w:r>
      <w:r>
        <w:rPr>
          <w:color w:val="000000"/>
        </w:rPr>
        <w:t xml:space="preserve"> </w:t>
      </w:r>
      <w:r>
        <w:rPr>
          <w:rFonts w:ascii="Times New Roman;serif" w:hAnsi="Times New Roman;serif"/>
          <w:b w:val="false"/>
          <w:color w:val="000000"/>
          <w:sz w:val="22"/>
        </w:rPr>
        <w:t>shall not be due and payable until a demand is made for such payment by the Administrative Agent and accordingly, any nonpayment of such interest and fees as result of any such inaccuracy shall not constitute a Default (whether retroactively or otherwise), and none of such additional amounts shall be deemed overdue or accrue interest at the Default Rate, in each case at any time prior to the date that is five Business Days following such demand.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2.11    </w:t>
      </w:r>
      <w:r>
        <w:rPr>
          <w:rFonts w:ascii="Times New Roman;serif" w:hAnsi="Times New Roman;serif"/>
          <w:b w:val="false"/>
          <w:color w:val="000000"/>
          <w:sz w:val="22"/>
          <w:u w:val="single"/>
        </w:rPr>
        <w:t>Evidence of 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Credit Extensions made by each Lender shall be evidenced by one or more accounts or records maintained by such Lender and evidenced by one or more entries in the Register maintained by the Administrative Agent, acting solely for purposes of United States Treasury Regulations Section 5f.103- 1(c) and Proposed United States Treasury Regulations Section 1.163-5(b) (or any amended or successor version), as a non-fiduciary agent for each Borrower, in each case in the ordinary course of business. The accounts or records maintained by each Lender shall be prima facie evidence absent manifest error of the amount of the Credit Extensions made by the Lenders to each Borrower and the interest and payments thereon. Any failure to so record or any error in doing so shall not, however, limit the obligation of the applicable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applicable Borrower shall execute and deliver to such Lender (through the Administrative Agent) a Note payable to such Lender, which execution and delivery the Administrative Agent shall record in the Register, which, to the extent consistent with the records in the Register, shall evidence such Lender’s Loans in addition to such accounts or records. Each Lender may attach schedules to its Note and endorse thereon the date, Type (if applicable), amount and maturity of its Loans and payments with respect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In addition to the accounts and records referred to in </w:t>
      </w:r>
      <w:r>
        <w:rPr>
          <w:rFonts w:ascii="Times New Roman;serif" w:hAnsi="Times New Roman;serif"/>
          <w:b w:val="false"/>
          <w:color w:val="000000"/>
          <w:sz w:val="22"/>
          <w:u w:val="single"/>
        </w:rPr>
        <w:t>Section 2.11(a)</w:t>
      </w:r>
      <w:r>
        <w:rPr>
          <w:rFonts w:ascii="Times New Roman;serif" w:hAnsi="Times New Roman;serif"/>
          <w:b w:val="false"/>
          <w:color w:val="000000"/>
          <w:sz w:val="22"/>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Entries made in good faith by the Administrative Agent in the Register pursuant to </w:t>
      </w:r>
      <w:r>
        <w:rPr>
          <w:rFonts w:ascii="Times New Roman;serif" w:hAnsi="Times New Roman;serif"/>
          <w:b w:val="false"/>
          <w:color w:val="000000"/>
          <w:sz w:val="22"/>
          <w:u w:val="single"/>
        </w:rPr>
        <w:t>Sections 2.11(a)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and by each Lender in its accounts or records pursuant to </w:t>
      </w:r>
      <w:r>
        <w:rPr>
          <w:rFonts w:ascii="Times New Roman;serif" w:hAnsi="Times New Roman;serif"/>
          <w:b w:val="false"/>
          <w:color w:val="000000"/>
          <w:sz w:val="22"/>
          <w:u w:val="single"/>
        </w:rPr>
        <w:t>Section 2.11(a)</w:t>
      </w:r>
      <w:r>
        <w:rPr>
          <w:color w:val="000000"/>
        </w:rPr>
        <w:t xml:space="preserve"> </w:t>
      </w:r>
      <w:r>
        <w:rPr>
          <w:rFonts w:ascii="Times New Roman;serif" w:hAnsi="Times New Roman;serif"/>
          <w:b w:val="false"/>
          <w:color w:val="000000"/>
          <w:sz w:val="22"/>
        </w:rPr>
        <w:t>and (b), shall be prima facie evidence of the amount of principal and interest due and payable or to become due and payable from the applicable Borrower to, in the case of the Register, each Lender and, in the case of such accounts or records, such Lender, under this Agreement and the other Loan Documents, absent manifest error; that the failure of the Administrative Agent or such Lender to make an entry, or any finding that an entry is incorrect, in the Register or such accounts or records shall not limit the obligations of the applicable Borrower under this Agreement and the other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2.12    </w:t>
      </w:r>
      <w:r>
        <w:rPr>
          <w:rFonts w:ascii="Times New Roman;serif" w:hAnsi="Times New Roman;serif"/>
          <w:b w:val="false"/>
          <w:color w:val="000000"/>
          <w:sz w:val="22"/>
          <w:u w:val="single"/>
        </w:rPr>
        <w:t>Payments Generally; Administrative Agent’s Clawback</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6480175" cy="175260"/>
                <wp:effectExtent l="0" t="0" r="0" b="0"/>
                <wp:wrapNone/>
                <wp:docPr id="218" name="Frame2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General</w:t>
      </w:r>
      <w:r>
        <w:rPr>
          <w:rFonts w:ascii="Times New Roman;serif" w:hAnsi="Times New Roman;serif"/>
          <w:b w:val="false"/>
          <w:color w:val="000000"/>
          <w:sz w:val="22"/>
        </w:rPr>
        <w:t xml:space="preserve">. All payments to be made by a Borrower shall be made without condition or deduction for any counterclaim, defense, recoupment or setoff. Except as otherwise expressly provided herein and except with respect to payments in an Alternative Currency, all payments by a Borrower hereunder shall be made to the Administrative Agent, for the account of the respective Lenders to which such payment is owed, at the Administrative Agent’s Office in Dollars and in immediately available funds not later than 3:00 p.m. (New York City time) on the date specified herein. Except as otherwise expressly provided herein, all payments by a Borrower hereunder in an Alternative Currency shall be made to the Administrative Agent, for the account of the respective Lenders to which such payment is owed, at the Administrative Agent’s Office in such Alternative Currency and in immediately available funds not later than the applicable time specified by the Administrative Agent on the dates specified herein. If, for any reason, a Borrower is prohibited by any Law from making any required payment hereunder in an Alternative Currency, such Borrower shall make such payment in Dollars in the equivalent Dollar Amount. The Administrative Agent will promptly 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3:00 p.m. (New York City time) shall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applicable; </w:t>
      </w:r>
      <w:r>
        <w:rPr>
          <w:rFonts w:ascii="Times New Roman;serif" w:hAnsi="Times New Roman;serif"/>
          <w:b w:val="false"/>
          <w:i/>
          <w:color w:val="000000"/>
          <w:sz w:val="22"/>
        </w:rPr>
        <w:t>provided, however</w:t>
      </w:r>
      <w:r>
        <w:rPr>
          <w:rFonts w:ascii="Times New Roman;serif" w:hAnsi="Times New Roman;serif"/>
          <w:b w:val="false"/>
          <w:color w:val="000000"/>
          <w:sz w:val="22"/>
        </w:rPr>
        <w:t>, that, if such extension would cause payment of interest on or principal of SOFR Loans or Eurocurrency Rate Loans to be made in the next succeeding calendar month, such payment shall be made on the immediately preceding Business Day. An L/C Issuer can elect to receive payments in respect of Letters of Credit in Dollars rather than in an Alternative Currency.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 </w:t>
      </w:r>
      <w:r>
        <w:rPr>
          <w:rFonts w:ascii="Times New Roman;serif" w:hAnsi="Times New Roman;serif"/>
          <w:b w:val="false"/>
          <w:color w:val="000000"/>
          <w:sz w:val="22"/>
          <w:u w:val="single"/>
        </w:rPr>
        <w:t>Funding by Lenders; Presumption by Administrative Agent</w:t>
      </w:r>
      <w:r>
        <w:rPr>
          <w:rFonts w:ascii="Times New Roman;serif" w:hAnsi="Times New Roman;serif"/>
          <w:b w:val="false"/>
          <w:color w:val="000000"/>
          <w:sz w:val="22"/>
        </w:rPr>
        <w:t xml:space="preserve">. Unless the Administrative Agent shall have received notice from a Lender prior to the proposed date of any Borrowing of Loans (or, in the case of any Borrowing of ABR Loans, prior to 3:00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w:t>
      </w:r>
      <w:r>
        <w:rPr>
          <w:rFonts w:ascii="Times New Roman;serif" w:hAnsi="Times New Roman;serif"/>
          <w:b w:val="false"/>
          <w:color w:val="000000"/>
          <w:sz w:val="22"/>
          <w:u w:val="single"/>
        </w:rPr>
        <w:t>Section 2.02(b)</w:t>
      </w:r>
      <w:r>
        <w:rPr>
          <w:color w:val="000000"/>
        </w:rPr>
        <w:t xml:space="preserve"> </w:t>
      </w:r>
      <w:r>
        <w:rPr>
          <w:rFonts w:ascii="Times New Roman;serif" w:hAnsi="Times New Roman;serif"/>
          <w:b w:val="false"/>
          <w:color w:val="000000"/>
          <w:sz w:val="22"/>
        </w:rPr>
        <w:t xml:space="preserve">and may, in reliance upon such assumption, make available to the applicable Borrower a corresponding amount. In such event, if any Lender does not in fact make its share of the applicable Borrowing available to the Administrative Agent, then such Lender and the applicable Borrower agrees to pay to the Administrative Agent forthwith on demand an amount equal to such applicable share in immediately available funds with interest thereon, for each day from and including the date such amount is made available to such Borrower by the Administrative Agent to but excluding the date of payment to the Administrative Agent, at (A) in the case of a payment to be made by such Lender, the greater of the Federal Funds Effective Rate and a rate reasonably determined by the Administrative Agent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reasonable administrative, processing or similar fees customarily charged by the Administrative Agent in connection with the foregoing and (B) in the case of a payment to be made by such Borrower, the interest rate applicable to ABR Loans under the applicable Facility. If both the applicable Borrower and such Lender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(less interest and fees) shall constitute such Lender’s Loan included in such Borrowing. Any payment by the applicable Borrower shall be without prejudice to any claim such Borrower may have against a Lender that shall have failed to make its share of any Borrowing available to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6480175" cy="175260"/>
                <wp:effectExtent l="0" t="0" r="0" b="0"/>
                <wp:wrapNone/>
                <wp:docPr id="219" name="Frame2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(ii)    </w:t>
      </w:r>
      <w:r>
        <w:rPr>
          <w:rFonts w:ascii="Times New Roman;serif" w:hAnsi="Times New Roman;serif"/>
          <w:b w:val="false"/>
          <w:color w:val="000000"/>
          <w:sz w:val="22"/>
          <w:u w:val="single"/>
        </w:rPr>
        <w:t>Payments by the Borrower; Presumptions by Administrative Agent</w:t>
      </w:r>
      <w:r>
        <w:rPr>
          <w:rFonts w:ascii="Times New Roman;serif" w:hAnsi="Times New Roman;serif"/>
          <w:b w:val="false"/>
          <w:color w:val="000000"/>
          <w:sz w:val="22"/>
        </w:rPr>
        <w:t xml:space="preserve">. Unless the Administrative Agent shall have received notice from a Borrower prior to the date on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Appropriate Lenders or the applicable L/C Issuer, as applicable, the amount due. In such event, if such Borrower does not in fact make such payment, then each of the Appropriate Lenders or the applicable L/C Issuer, as applicable,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Federal Funds Effective Rate and a rate reasonably determined by the Administrative Agent in accordance with banking industry rules on interbank compensation,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reasonable administrative, processing or similar fees customarily charged by the Administrative Agent in connection with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notice of the Administrative Agent to any Lender or any Borrower with respect to any amount owing under this </w:t>
      </w:r>
      <w:r>
        <w:rPr>
          <w:rFonts w:ascii="Times New Roman;serif" w:hAnsi="Times New Roman;serif"/>
          <w:b w:val="false"/>
          <w:color w:val="000000"/>
          <w:sz w:val="22"/>
          <w:u w:val="single"/>
        </w:rPr>
        <w:t>Section 2.12(b)</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Failure to Satisfy Conditions Precedent</w:t>
      </w:r>
      <w:r>
        <w:rPr>
          <w:rFonts w:ascii="Times New Roman;serif" w:hAnsi="Times New Roman;serif"/>
          <w:b w:val="false"/>
          <w:color w:val="000000"/>
          <w:sz w:val="22"/>
        </w:rPr>
        <w:t>. If any Lender makes available to the Administrative Agent funds for any Loan to be made by such Lender as provided in the foregoing provisions of this Article II, and such funds are not made available to the applicable Borrower by the Administrative Agent because the conditions to the applicable Credit Extension set forth in Article IV are not satisfied or waived in accordance with the terms hereof, the Administrative Agent shall return such funds (in like funds as received from such Lender) to such Lender on demand, without interest.</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Obligations of the Lenders Several</w:t>
      </w:r>
      <w:r>
        <w:rPr>
          <w:rFonts w:ascii="Times New Roman;serif" w:hAnsi="Times New Roman;serif"/>
          <w:b w:val="false"/>
          <w:color w:val="000000"/>
          <w:sz w:val="22"/>
        </w:rPr>
        <w:t xml:space="preserve">. The obligations of the Lenders hereunder to make Loans, to fund participations in Letters of Credit and to make payments pursuant to Section 9.07 are several and not joint. The failure of any Lender to make any Loan or to fund any such participation or to make any payment under Section 9.07 on any date required hereunder shall not relieve any other Lender of its corresponding obligation to do so on such date, and no Lender shall be responsible for the failure of any other Lender to so make its Loan or, to fund its participation or to make its payment under </w:t>
      </w:r>
      <w:r>
        <w:rPr>
          <w:rFonts w:ascii="Times New Roman;serif" w:hAnsi="Times New Roman;serif"/>
          <w:b w:val="false"/>
          <w:color w:val="000000"/>
          <w:sz w:val="22"/>
          <w:u w:val="single"/>
        </w:rPr>
        <w:t>Section 9.07</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Funding Source</w:t>
      </w:r>
      <w:r>
        <w:rPr>
          <w:rFonts w:ascii="Times New Roman;serif" w:hAnsi="Times New Roman;serif"/>
          <w:b w:val="false"/>
          <w:color w:val="000000"/>
          <w:sz w:val="22"/>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Insufficient Funds</w:t>
      </w:r>
      <w:r>
        <w:rPr>
          <w:rFonts w:ascii="Times New Roman;serif" w:hAnsi="Times New Roman;serif"/>
          <w:b w:val="false"/>
          <w:color w:val="000000"/>
          <w:sz w:val="22"/>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toward payment of interest and fees then due hereunder, ratably among the parties entitled thereto in accordance with the amounts of interest and fees then due to such parties, and (ii) </w:t>
      </w:r>
      <w:r>
        <w:rPr>
          <w:rFonts w:ascii="Times New Roman;serif" w:hAnsi="Times New Roman;serif"/>
          <w:b w:val="false"/>
          <w:color w:val="000000"/>
          <w:sz w:val="22"/>
          <w:u w:val="single"/>
        </w:rPr>
        <w:t>second</w:t>
      </w:r>
      <w:r>
        <w:rPr>
          <w:rFonts w:ascii="Times New Roman;serif" w:hAnsi="Times New Roman;serif"/>
          <w:b w:val="false"/>
          <w:color w:val="000000"/>
          <w:sz w:val="22"/>
        </w:rPr>
        <w:t>, toward payment of principal and L/C Borrowings then due hereunder, ratably among the parties entitled thereto in accordance with the amounts of principal and L/C Borrowings then due to such parties.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2"/>
          <w:u w:val="single"/>
        </w:rPr>
        <w:t>Unallocated Funds</w:t>
      </w:r>
      <w:r>
        <w:rPr>
          <w:rFonts w:ascii="Times New Roman;serif" w:hAnsi="Times New Roman;serif"/>
          <w:b w:val="false"/>
          <w:color w:val="000000"/>
          <w:sz w:val="22"/>
        </w:rPr>
        <w:t xml:space="preserve">. If the Administrative Agent receives funds for application to the Obligations of the Loan Parties under or in respect of the Loan Documents under circumstances for which </w:t>
      </w:r>
    </w:p>
    <w:p>
      <w:pPr>
        <w:pStyle w:val="TextBody"/>
        <w:bidi w:val="0"/>
        <w:spacing w:before="0" w:after="0"/>
        <w:jc w:val="left"/>
        <w:rPr/>
      </w:pPr>
      <w:r>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6480175" cy="175260"/>
                <wp:effectExtent l="0" t="0" r="0" b="0"/>
                <wp:wrapNone/>
                <wp:docPr id="220" name="Frame2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Loan Documents do not specify the manner in which such funds are to be applied, the Administrative Agent may, but shall not be obligated to, elect to distribute such funds to each of the Lenders in accordance with such Lender’s ratable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2.13    </w:t>
      </w:r>
      <w:r>
        <w:rPr>
          <w:rFonts w:ascii="Times New Roman;serif" w:hAnsi="Times New Roman;serif"/>
          <w:b w:val="false"/>
          <w:color w:val="000000"/>
          <w:sz w:val="22"/>
          <w:u w:val="single"/>
        </w:rPr>
        <w:t>Sharing of Payments</w:t>
      </w:r>
      <w:r>
        <w:rPr>
          <w:rFonts w:ascii="Times New Roman;serif" w:hAnsi="Times New Roman;serif"/>
          <w:b w:val="false"/>
          <w:color w:val="000000"/>
          <w:sz w:val="22"/>
        </w:rPr>
        <w:t xml:space="preserve">. If, other than as expressly provided elsewhere herein (including the application of funds arising from the existence of a Defaulting Lender),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applicable, as shall be necessary to cause such purchasing Lender to share the excess payment in respect of such Loans or such participations, as applicable, pro rata with each of them;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all or any portion of such excess payment is thereafter recovered from the purchasing Lender under any of the circumstances described in </w:t>
      </w:r>
      <w:r>
        <w:rPr>
          <w:rFonts w:ascii="Times New Roman;serif" w:hAnsi="Times New Roman;serif"/>
          <w:b w:val="false"/>
          <w:color w:val="000000"/>
          <w:sz w:val="22"/>
          <w:u w:val="single"/>
        </w:rPr>
        <w:t>Section 10.06</w:t>
      </w:r>
      <w:r>
        <w:rPr>
          <w:color w:val="000000"/>
        </w:rPr>
        <w:t xml:space="preserve"> </w:t>
      </w:r>
      <w:r>
        <w:rPr>
          <w:rFonts w:ascii="Times New Roman;serif" w:hAnsi="Times New Roman;serif"/>
          <w:b w:val="false"/>
          <w:color w:val="000000"/>
          <w:sz w:val="22"/>
        </w:rPr>
        <w:t xml:space="preserve">(including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Each Borrower agrees that any Lender so purchasing a participation from another Lender may, to the fullest extent permitted by Law, exercise all its rights of payment (including the right of setoff, but subject to </w:t>
      </w:r>
      <w:r>
        <w:rPr>
          <w:rFonts w:ascii="Times New Roman;serif" w:hAnsi="Times New Roman;serif"/>
          <w:b w:val="false"/>
          <w:color w:val="000000"/>
          <w:sz w:val="22"/>
          <w:u w:val="single"/>
        </w:rPr>
        <w:t>Section 10.09</w:t>
      </w:r>
      <w:r>
        <w:rPr>
          <w:rFonts w:ascii="Times New Roman;serif" w:hAnsi="Times New Roman;serif"/>
          <w:b w:val="false"/>
          <w:color w:val="000000"/>
          <w:sz w:val="22"/>
        </w:rPr>
        <w:t xml:space="preserve">) with respect to such participation as fully as if such Lender were the direct creditor of such Borrower in the amount of such participation. The Administrative Agent will keep records (which shall be conclusive and binding in the absence of manifest error) of participations purchased under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and will in each case notify the Lenders following any such purchases or repayments. Each Lender that purchases a participation pursuant to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 application of Cash Collateral provided for in </w:t>
      </w:r>
      <w:r>
        <w:rPr>
          <w:rFonts w:ascii="Times New Roman;serif" w:hAnsi="Times New Roman;serif"/>
          <w:b w:val="false"/>
          <w:color w:val="000000"/>
          <w:sz w:val="22"/>
          <w:u w:val="single"/>
        </w:rPr>
        <w:t>Section 2.16</w:t>
      </w:r>
      <w:r>
        <w:rPr>
          <w:rFonts w:ascii="Times New Roman;serif" w:hAnsi="Times New Roman;serif"/>
          <w:b w:val="false"/>
          <w:color w:val="000000"/>
          <w:sz w:val="22"/>
        </w:rPr>
        <w:t xml:space="preserve">, (B) the assignments and participations (including by means of a dutch auction, exchange, open market debt repurchase, or otherwise) described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 xml:space="preserve">, (C) (i) the incurrence of any New Term Loans in accordance with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(ii) the prepayment of Revolving Credit Loans in accordance with </w:t>
      </w:r>
      <w:r>
        <w:rPr>
          <w:rFonts w:ascii="Times New Roman;serif" w:hAnsi="Times New Roman;serif"/>
          <w:b w:val="false"/>
          <w:color w:val="000000"/>
          <w:sz w:val="22"/>
          <w:u w:val="single"/>
        </w:rPr>
        <w:t>Section 2.14(e)</w:t>
      </w:r>
      <w:r>
        <w:rPr>
          <w:color w:val="000000"/>
        </w:rPr>
        <w:t xml:space="preserve"> </w:t>
      </w:r>
      <w:r>
        <w:rPr>
          <w:rFonts w:ascii="Times New Roman;serif" w:hAnsi="Times New Roman;serif"/>
          <w:b w:val="false"/>
          <w:color w:val="000000"/>
          <w:sz w:val="22"/>
        </w:rPr>
        <w:t xml:space="preserve">in connection with a Revolving Credit Commitment Increase or (iii) any Specified Refinancing Debt in accordance with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(D) any Extension described in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or (E) any applicable circumstances contemplated by </w:t>
      </w:r>
      <w:r>
        <w:rPr>
          <w:rFonts w:ascii="Times New Roman;serif" w:hAnsi="Times New Roman;serif"/>
          <w:b w:val="false"/>
          <w:color w:val="000000"/>
          <w:sz w:val="22"/>
          <w:u w:val="single"/>
        </w:rPr>
        <w:t>Section 2.05(b)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3.08</w:t>
      </w:r>
      <w:r>
        <w:rPr>
          <w:rFonts w:ascii="Times New Roman;serif" w:hAnsi="Times New Roman;serif"/>
          <w:b w:val="false"/>
          <w:color w:val="000000"/>
          <w:sz w:val="22"/>
        </w:rPr>
        <w:t xml:space="preserve">. For purposes of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the definition of “Excluded Taxes,” a Lender that acquires a participation pursuant to this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shall be treated as having acquired such participation on the earlier date(s) on which such Lender acquired the applicable interest(s) in the Commitment(s) or Loan(s) (as applicable) to which such participation relates.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2.14    </w:t>
      </w:r>
      <w:r>
        <w:rPr>
          <w:rFonts w:ascii="Times New Roman;serif" w:hAnsi="Times New Roman;serif"/>
          <w:b w:val="false"/>
          <w:color w:val="000000"/>
          <w:sz w:val="22"/>
          <w:u w:val="single"/>
        </w:rPr>
        <w:t>Incremental Facilities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Any Borrower may, from time to time after the Closing Date, upon notice by such Borrower to the Administrative Agent and the Person appointed by such Borrower to arrange an </w:t>
      </w:r>
    </w:p>
    <w:p>
      <w:pPr>
        <w:pStyle w:val="TextBody"/>
        <w:bidi w:val="0"/>
        <w:spacing w:before="0" w:after="0"/>
        <w:jc w:val="left"/>
        <w:rPr/>
      </w:pPr>
      <w:r>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6480175" cy="175260"/>
                <wp:effectExtent l="0" t="0" r="0" b="0"/>
                <wp:wrapNone/>
                <wp:docPr id="221" name="Frame2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incremental Facility (such Person (who may be (i) the Administrative Agent, if it so agrees, or (ii) any other Person appointed by such Borrower), the “</w:t>
      </w:r>
      <w:r>
        <w:rPr>
          <w:rFonts w:ascii="Times New Roman;serif" w:hAnsi="Times New Roman;serif"/>
          <w:b/>
          <w:color w:val="000000"/>
          <w:sz w:val="22"/>
        </w:rPr>
        <w:t>Incremental Arranger</w:t>
      </w:r>
      <w:r>
        <w:rPr>
          <w:color w:val="000000"/>
        </w:rPr>
        <w:t>”</w:t>
      </w:r>
      <w:r>
        <w:rPr>
          <w:rFonts w:ascii="Times New Roman;serif" w:hAnsi="Times New Roman;serif"/>
          <w:b w:val="false"/>
          <w:color w:val="000000"/>
          <w:sz w:val="22"/>
        </w:rPr>
        <w:t>) specifying the proposed Borrower (which may include a Co-Borrower), the proposed amount thereof and the proposed currency denomination thereof, request (i) an increase in the Commitments under any Revolving Tranche (which shall be on the same terms as, and become part of, the Revolving Tranche proposed to be increased) (each, a “</w:t>
      </w:r>
      <w:r>
        <w:rPr>
          <w:rFonts w:ascii="Times New Roman;serif" w:hAnsi="Times New Roman;serif"/>
          <w:b/>
          <w:color w:val="000000"/>
          <w:sz w:val="22"/>
        </w:rPr>
        <w:t>Revolving Credit Commitment Increase</w:t>
      </w:r>
      <w:r>
        <w:rPr>
          <w:color w:val="000000"/>
        </w:rPr>
        <w:t>”</w:t>
      </w:r>
      <w:r>
        <w:rPr>
          <w:rFonts w:ascii="Times New Roman;serif" w:hAnsi="Times New Roman;serif"/>
          <w:b w:val="false"/>
          <w:color w:val="000000"/>
          <w:sz w:val="22"/>
        </w:rPr>
        <w:t>), (ii) an increase in any Term Loan Tranche then outstanding (which shall be on the same terms as, and become part of, the Term Loan Tranche proposed to be increased hereunder (except as otherwise provided in clause (d) below with respect to amortization)) (each, a “</w:t>
      </w:r>
      <w:r>
        <w:rPr>
          <w:rFonts w:ascii="Times New Roman;serif" w:hAnsi="Times New Roman;serif"/>
          <w:b/>
          <w:color w:val="000000"/>
          <w:sz w:val="22"/>
        </w:rPr>
        <w:t>Term Commitment Increase</w:t>
      </w:r>
      <w:r>
        <w:rPr>
          <w:color w:val="000000"/>
        </w:rPr>
        <w:t>”</w:t>
      </w:r>
      <w:r>
        <w:rPr>
          <w:rFonts w:ascii="Times New Roman;serif" w:hAnsi="Times New Roman;serif"/>
          <w:b w:val="false"/>
          <w:color w:val="000000"/>
          <w:sz w:val="22"/>
        </w:rPr>
        <w:t>), (iii) the addition of one or more new revolving credit facilities to the Facilities, in each case, in such currency or currencies as such Borrower identifies in such notice (each, a “</w:t>
      </w:r>
      <w:r>
        <w:rPr>
          <w:rFonts w:ascii="Times New Roman;serif" w:hAnsi="Times New Roman;serif"/>
          <w:b/>
          <w:color w:val="000000"/>
          <w:sz w:val="22"/>
        </w:rPr>
        <w:t>New Revolving Facility</w:t>
      </w:r>
      <w:r>
        <w:rPr>
          <w:color w:val="000000"/>
        </w:rPr>
        <w:t xml:space="preserve">” </w:t>
      </w:r>
      <w:r>
        <w:rPr>
          <w:rFonts w:ascii="Times New Roman;serif" w:hAnsi="Times New Roman;serif"/>
          <w:b w:val="false"/>
          <w:color w:val="000000"/>
          <w:sz w:val="22"/>
        </w:rPr>
        <w:t>and, any advance made by a Lender thereunder, a “</w:t>
      </w:r>
      <w:r>
        <w:rPr>
          <w:rFonts w:ascii="Times New Roman;serif" w:hAnsi="Times New Roman;serif"/>
          <w:b/>
          <w:color w:val="000000"/>
          <w:sz w:val="22"/>
        </w:rPr>
        <w:t>New Revolving Loan</w:t>
      </w:r>
      <w:r>
        <w:rPr>
          <w:color w:val="000000"/>
        </w:rPr>
        <w:t>”</w:t>
      </w:r>
      <w:r>
        <w:rPr>
          <w:rFonts w:ascii="Times New Roman;serif" w:hAnsi="Times New Roman;serif"/>
          <w:b w:val="false"/>
          <w:color w:val="000000"/>
          <w:sz w:val="22"/>
        </w:rPr>
        <w:t>; and the commitments thereof, the “</w:t>
      </w:r>
      <w:r>
        <w:rPr>
          <w:rFonts w:ascii="Times New Roman;serif" w:hAnsi="Times New Roman;serif"/>
          <w:b/>
          <w:color w:val="000000"/>
          <w:sz w:val="22"/>
        </w:rPr>
        <w:t>New Revolving Commitment</w:t>
      </w:r>
      <w:r>
        <w:rPr>
          <w:color w:val="000000"/>
        </w:rPr>
        <w:t>”</w:t>
      </w:r>
      <w:r>
        <w:rPr>
          <w:rFonts w:ascii="Times New Roman;serif" w:hAnsi="Times New Roman;serif"/>
          <w:b w:val="false"/>
          <w:color w:val="000000"/>
          <w:sz w:val="22"/>
        </w:rPr>
        <w:t>) and (iv) the addition of one or more new term loan facilities (including one or more delayed draw term loan facilities), in each case, in such currency or currencies as such Borrower identifies in such notice (each, a “</w:t>
      </w:r>
      <w:r>
        <w:rPr>
          <w:rFonts w:ascii="Times New Roman;serif" w:hAnsi="Times New Roman;serif"/>
          <w:b/>
          <w:color w:val="000000"/>
          <w:sz w:val="22"/>
        </w:rPr>
        <w:t>New Term Facility</w:t>
      </w:r>
      <w:r>
        <w:rPr>
          <w:color w:val="000000"/>
        </w:rPr>
        <w:t>”</w:t>
      </w:r>
      <w:r>
        <w:rPr>
          <w:rFonts w:ascii="Times New Roman;serif" w:hAnsi="Times New Roman;serif"/>
          <w:b w:val="false"/>
          <w:color w:val="000000"/>
          <w:sz w:val="22"/>
        </w:rPr>
        <w:t>, together with any New Revolving Facility, Term Commitment Increase or Revolving Credit Commitment Increase, the “</w:t>
      </w:r>
      <w:r>
        <w:rPr>
          <w:rFonts w:ascii="Times New Roman;serif" w:hAnsi="Times New Roman;serif"/>
          <w:b/>
          <w:color w:val="000000"/>
          <w:sz w:val="22"/>
        </w:rPr>
        <w:t>Incremental Facilities</w:t>
      </w:r>
      <w:r>
        <w:rPr>
          <w:color w:val="000000"/>
        </w:rPr>
        <w:t>”</w:t>
      </w:r>
      <w:r>
        <w:rPr>
          <w:rFonts w:ascii="Times New Roman;serif" w:hAnsi="Times New Roman;serif"/>
          <w:b w:val="false"/>
          <w:color w:val="000000"/>
          <w:sz w:val="22"/>
        </w:rPr>
        <w:t>; and any advance made by a Lender thereunder, a “</w:t>
      </w:r>
      <w:r>
        <w:rPr>
          <w:rFonts w:ascii="Times New Roman;serif" w:hAnsi="Times New Roman;serif"/>
          <w:b/>
          <w:color w:val="000000"/>
          <w:sz w:val="22"/>
        </w:rPr>
        <w:t>New Term Loan</w:t>
      </w:r>
      <w:r>
        <w:rPr>
          <w:color w:val="000000"/>
        </w:rPr>
        <w:t>”</w:t>
      </w:r>
      <w:r>
        <w:rPr>
          <w:rFonts w:ascii="Times New Roman;serif" w:hAnsi="Times New Roman;serif"/>
          <w:b w:val="false"/>
          <w:color w:val="000000"/>
          <w:sz w:val="22"/>
        </w:rPr>
        <w:t>; and the commitments thereof, the “</w:t>
      </w:r>
      <w:r>
        <w:rPr>
          <w:rFonts w:ascii="Times New Roman;serif" w:hAnsi="Times New Roman;serif"/>
          <w:b/>
          <w:color w:val="000000"/>
          <w:sz w:val="22"/>
        </w:rPr>
        <w:t>New Term Commitment</w:t>
      </w:r>
      <w:r>
        <w:rPr>
          <w:color w:val="000000"/>
        </w:rPr>
        <w:t xml:space="preserve">” </w:t>
      </w:r>
      <w:r>
        <w:rPr>
          <w:rFonts w:ascii="Times New Roman;serif" w:hAnsi="Times New Roman;serif"/>
          <w:b w:val="false"/>
          <w:color w:val="000000"/>
          <w:sz w:val="22"/>
        </w:rPr>
        <w:t>and such New Term Commitment, together with the Revolving Credit Commitment Increase, the New Revolving Commitments and the Term Commitment Increase, the “</w:t>
      </w:r>
      <w:r>
        <w:rPr>
          <w:rFonts w:ascii="Times New Roman;serif" w:hAnsi="Times New Roman;serif"/>
          <w:b/>
          <w:color w:val="000000"/>
          <w:sz w:val="22"/>
        </w:rPr>
        <w:t>New Loan Commitments</w:t>
      </w:r>
      <w:r>
        <w:rPr>
          <w:color w:val="000000"/>
        </w:rPr>
        <w:t>”</w:t>
      </w:r>
      <w:r>
        <w:rPr>
          <w:rFonts w:ascii="Times New Roman;serif" w:hAnsi="Times New Roman;serif"/>
          <w:b w:val="false"/>
          <w:color w:val="000000"/>
          <w:sz w:val="22"/>
        </w:rPr>
        <w:t>) in an amount not to exceed the sum of:</w:t>
      </w:r>
    </w:p>
    <w:p>
      <w:pPr>
        <w:pStyle w:val="TextBody"/>
        <w:bidi w:val="0"/>
        <w:spacing w:lineRule="auto" w:line="288" w:before="0" w:after="240"/>
        <w:jc w:val="left"/>
        <w:rPr/>
      </w:pPr>
      <w:r>
        <w:rPr>
          <w:rFonts w:ascii="Times New Roman;serif" w:hAnsi="Times New Roman;serif"/>
          <w:b w:val="false"/>
          <w:color w:val="000000"/>
          <w:sz w:val="22"/>
        </w:rPr>
        <w:t xml:space="preserve">(w)    (i) the sum of (A) the greater of (1) $500,000,000 and (2) 100.0% of LTM EBITDA and (B) the amount of Indebtedness available to be incurred pursuant to </w:t>
      </w:r>
      <w:r>
        <w:rPr>
          <w:rFonts w:ascii="Times New Roman;serif" w:hAnsi="Times New Roman;serif"/>
          <w:b w:val="false"/>
          <w:color w:val="000000"/>
          <w:sz w:val="22"/>
          <w:u w:val="single"/>
        </w:rPr>
        <w:t>Section 7.01(b)(14)</w:t>
      </w:r>
      <w:r>
        <w:rPr>
          <w:rFonts w:ascii="Times New Roman;serif" w:hAnsi="Times New Roman;serif"/>
          <w:b w:val="false"/>
          <w:color w:val="000000"/>
          <w:sz w:val="22"/>
        </w:rPr>
        <w:t xml:space="preserve">,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 xml:space="preserve">(ii) the amount of any Indebtedness previously incurred in reliance on this clause (w) as incremental facilities incurred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Incremental Equivalent Debt and/or Ratio Debt (and not redesignated as incurred under any other provision of the Incremental Amount in accordance with this Agreement) (the “</w:t>
      </w:r>
      <w:r>
        <w:rPr>
          <w:rFonts w:ascii="Times New Roman;serif" w:hAnsi="Times New Roman;serif"/>
          <w:b/>
          <w:color w:val="000000"/>
          <w:sz w:val="22"/>
        </w:rPr>
        <w:t>Cash-Capped Incremental Facility</w:t>
      </w:r>
      <w:r>
        <w:rPr>
          <w:color w:val="000000"/>
        </w:rPr>
        <w:t>”</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color w:val="000000"/>
          <w:sz w:val="22"/>
        </w:rPr>
        <w:t>(x)    an unlimited amount (the “</w:t>
      </w:r>
      <w:r>
        <w:rPr>
          <w:rFonts w:ascii="Times New Roman;serif" w:hAnsi="Times New Roman;serif"/>
          <w:b/>
          <w:color w:val="000000"/>
          <w:sz w:val="22"/>
        </w:rPr>
        <w:t>Ratio-Based Incremental Facility</w:t>
      </w:r>
      <w:r>
        <w:rPr>
          <w:color w:val="000000"/>
        </w:rPr>
        <w:t>”</w:t>
      </w:r>
      <w:r>
        <w:rPr>
          <w:rFonts w:ascii="Times New Roman;serif" w:hAnsi="Times New Roman;serif"/>
          <w:b w:val="false"/>
          <w:color w:val="000000"/>
          <w:sz w:val="22"/>
        </w:rPr>
        <w:t>) so long as the Maximum Leverage Requirement is satisfied,</w:t>
      </w:r>
    </w:p>
    <w:p>
      <w:pPr>
        <w:pStyle w:val="TextBody"/>
        <w:bidi w:val="0"/>
        <w:spacing w:lineRule="auto" w:line="288" w:before="0" w:after="240"/>
        <w:jc w:val="left"/>
        <w:rPr/>
      </w:pPr>
      <w:r>
        <w:rPr>
          <w:rFonts w:ascii="Times New Roman;serif" w:hAnsi="Times New Roman;serif"/>
          <w:b w:val="false"/>
          <w:color w:val="000000"/>
          <w:sz w:val="22"/>
        </w:rPr>
        <w:t xml:space="preserve">(y)    an amount equal to (i) (A) all voluntary prepayments of Term Loans or any other long-term Indebtedness that is secured by a Lien on the Collateral on a senior or basis with the Initial Term Loans (including, for the avoidance of doubt, any New Term Loans that are secured by a Lien on the Collateral on a senior or basis with the Initial Term Loans) (including any payments made pursuant to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3.08(a)</w:t>
      </w:r>
      <w:r>
        <w:rPr>
          <w:rFonts w:ascii="Times New Roman;serif" w:hAnsi="Times New Roman;serif"/>
          <w:b w:val="false"/>
          <w:color w:val="000000"/>
          <w:sz w:val="22"/>
        </w:rPr>
        <w:t xml:space="preserve">) and (B) all repurchases and/or cancellations of Term Loans or any other long-term Indebtedness that is secured by a Lien on the Collateral on a senior or basis with the Initial Term Loans (including, for the avoidance of doubt, any New Term Loans that are secured by a Lien on the Collateral on a senior or basis with the Initial Term Loans) in an amount equal to the amount of the Indebtedness retired in connection with such repurchase and (ii) (A) all voluntary prepayments of Revolving Credit Loan and any other revolving credit loans that are secured by a Lien on the Collateral on a senior or basis with the Initial Term Loans (including, for the avoidance of doubt, any New Revolving Loans that are secured by a Lien on the Collateral on a senior or basis with the Initial Term Loans) (including any payments made pursuant to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3.08(a)</w:t>
      </w:r>
      <w:r>
        <w:rPr>
          <w:rFonts w:ascii="Times New Roman;serif" w:hAnsi="Times New Roman;serif"/>
          <w:b w:val="false"/>
          <w:color w:val="000000"/>
          <w:sz w:val="22"/>
        </w:rPr>
        <w:t xml:space="preserve">) to the extent accompanied by a corresponding, permanent reduction in the applicable revolving credit commitment, (B) all repurchases and/or cancellations of Revolving Credit Loans or any other revolving credit loans that are secured by a Lien on </w:t>
      </w:r>
    </w:p>
    <w:p>
      <w:pPr>
        <w:pStyle w:val="TextBody"/>
        <w:bidi w:val="0"/>
        <w:spacing w:before="0" w:after="0"/>
        <w:jc w:val="left"/>
        <w:rPr/>
      </w:pPr>
      <w:r>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6480175" cy="175260"/>
                <wp:effectExtent l="0" t="0" r="0" b="0"/>
                <wp:wrapNone/>
                <wp:docPr id="222" name="Frame2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 Collateral on a senior or basis with the Initial Term Loans (including, for the avoidance of doubt, any New Revolving Loans that are secured by a Lien on the Collateral on a senior or basis with the Initial Term Loans) in an amount equal to the amount of the Indebtedness retired in connection with such repurchase and (C) all voluntary prepayments, repurchases and/or cancellations of any other First Lien Specified Debt, in each case under this </w:t>
      </w:r>
      <w:r>
        <w:rPr>
          <w:rFonts w:ascii="Times New Roman;serif" w:hAnsi="Times New Roman;serif"/>
          <w:b w:val="false"/>
          <w:color w:val="000000"/>
          <w:sz w:val="22"/>
          <w:u w:val="single"/>
        </w:rPr>
        <w:t>clause (y)</w:t>
      </w:r>
      <w:r>
        <w:rPr>
          <w:rFonts w:ascii="Times New Roman;serif" w:hAnsi="Times New Roman;serif"/>
          <w:b w:val="false"/>
          <w:color w:val="000000"/>
          <w:sz w:val="22"/>
        </w:rPr>
        <w:t>, (x) including any payments made at a discount to par or via an open-market purchase (with credit given for the actual amount of any cash payment) and (y) to the extent not funded with the proceeds of long-term Indebtedness (it being agreed and understood, for the avoidance of doubt, that Indebtedness incurred pursuant to any revolving credit facility (including the Revolving Credit Facility) shall not constitute long-term Indebtedness for such purpose) (the “</w:t>
      </w:r>
      <w:r>
        <w:rPr>
          <w:rFonts w:ascii="Times New Roman;serif" w:hAnsi="Times New Roman;serif"/>
          <w:b/>
          <w:color w:val="000000"/>
          <w:sz w:val="22"/>
        </w:rPr>
        <w:t>Prepayment-Based Incremental Facility</w:t>
      </w:r>
      <w:r>
        <w:rPr>
          <w:color w:val="000000"/>
        </w:rPr>
        <w:t>”</w:t>
      </w:r>
      <w:r>
        <w:rPr>
          <w:rFonts w:ascii="Times New Roman;serif" w:hAnsi="Times New Roman;serif"/>
          <w:b w:val="false"/>
          <w:color w:val="000000"/>
          <w:sz w:val="22"/>
        </w:rPr>
        <w:t>), and</w:t>
      </w:r>
    </w:p>
    <w:p>
      <w:pPr>
        <w:pStyle w:val="TextBody"/>
        <w:bidi w:val="0"/>
        <w:spacing w:lineRule="auto" w:line="288" w:before="0" w:after="240"/>
        <w:jc w:val="left"/>
        <w:rPr/>
      </w:pPr>
      <w:r>
        <w:rPr>
          <w:rFonts w:ascii="Times New Roman;serif" w:hAnsi="Times New Roman;serif"/>
          <w:b w:val="false"/>
          <w:color w:val="000000"/>
          <w:sz w:val="22"/>
        </w:rPr>
        <w:t>(z)    (i) in the case of any New Revolving Facility or New Term Facility that effectively extends the maturity date of any First Lien Specified Debt, Junior Lien Specified Debt or Other Specified Debt, an amount equal to the portion of such First Lien Specified Debt, Junior Lien Specified Debt or Other Specified Debt that will be replaced by such New Revolving Facility or New Term Facility (the “</w:t>
      </w:r>
      <w:r>
        <w:rPr>
          <w:rFonts w:ascii="Times New Roman;serif" w:hAnsi="Times New Roman;serif"/>
          <w:b/>
          <w:color w:val="000000"/>
          <w:sz w:val="22"/>
        </w:rPr>
        <w:t>Effective Extension Incremental Facility</w:t>
      </w:r>
      <w:r>
        <w:rPr>
          <w:color w:val="000000"/>
        </w:rPr>
        <w:t>”</w:t>
      </w:r>
      <w:r>
        <w:rPr>
          <w:rFonts w:ascii="Times New Roman;serif" w:hAnsi="Times New Roman;serif"/>
          <w:b w:val="false"/>
          <w:color w:val="000000"/>
          <w:sz w:val="22"/>
        </w:rPr>
        <w:t xml:space="preserve">) and (ii) in the case of any New Revolving Facility or Revolving Credit Commitment Increase that effectively replaces any Commitments under the Revolving Credit Facility or any New Revolving Facility or Revolving Credit Commitment Increase that is terminated pursuant to </w:t>
      </w:r>
      <w:r>
        <w:rPr>
          <w:rFonts w:ascii="Times New Roman;serif" w:hAnsi="Times New Roman;serif"/>
          <w:b w:val="false"/>
          <w:color w:val="000000"/>
          <w:sz w:val="22"/>
          <w:u w:val="single"/>
        </w:rPr>
        <w:t>Section 3.08(a)</w:t>
      </w:r>
      <w:r>
        <w:rPr>
          <w:rFonts w:ascii="Times New Roman;serif" w:hAnsi="Times New Roman;serif"/>
          <w:b w:val="false"/>
          <w:color w:val="000000"/>
          <w:sz w:val="22"/>
        </w:rPr>
        <w:t>, an amount equal to the portion of such Commitments that will be so terminated;</w:t>
      </w:r>
    </w:p>
    <w:p>
      <w:pPr>
        <w:pStyle w:val="TextBody"/>
        <w:bidi w:val="0"/>
        <w:spacing w:lineRule="auto" w:line="288" w:before="0" w:after="240"/>
        <w:jc w:val="left"/>
        <w:rPr/>
      </w:pPr>
      <w:r>
        <w:rPr>
          <w:rFonts w:ascii="Times New Roman;serif" w:hAnsi="Times New Roman;serif"/>
          <w:b w:val="false"/>
          <w:color w:val="000000"/>
          <w:sz w:val="22"/>
        </w:rPr>
        <w:t xml:space="preserve">(such sum of the foregoing </w:t>
      </w:r>
      <w:r>
        <w:rPr>
          <w:rFonts w:ascii="Times New Roman;serif" w:hAnsi="Times New Roman;serif"/>
          <w:b w:val="false"/>
          <w:color w:val="000000"/>
          <w:sz w:val="22"/>
          <w:u w:val="single"/>
        </w:rPr>
        <w:t>clauses (w)-(z)</w:t>
      </w:r>
      <w:r>
        <w:rPr>
          <w:rFonts w:ascii="Times New Roman;serif" w:hAnsi="Times New Roman;serif"/>
          <w:b w:val="false"/>
          <w:color w:val="000000"/>
          <w:sz w:val="22"/>
        </w:rPr>
        <w:t xml:space="preserve">, at any such time and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 the “</w:t>
      </w:r>
      <w:r>
        <w:rPr>
          <w:rFonts w:ascii="Times New Roman;serif" w:hAnsi="Times New Roman;serif"/>
          <w:b/>
          <w:color w:val="000000"/>
          <w:sz w:val="22"/>
        </w:rPr>
        <w:t>Incremental Amount</w:t>
      </w:r>
      <w:r>
        <w:rPr>
          <w:color w:val="000000"/>
        </w:rPr>
        <w:t>”</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color w:val="000000"/>
          <w:sz w:val="22"/>
        </w:rPr>
        <w:t xml:space="preserve">that any such request for an increase shall be in a minimum amount of the lesser of (x) $5,000,000 or, in the case of any New Loan Commitments denominated in an Alternative Currency, the equivalent Dollar Amount, and (y) the entire amount of any increase that may be requested under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for purposes of any New Loan Commitments established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Incremental Equivalent Debt Incurred pursuant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and any Ratio Debt:</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unless the applicable Borrower elects otherwise, (x) the Borrower shall be deemed to have used amounts under the Ratio-Based Incremental Facility (to the extent compliant therewith) prior to using amounts under the Effective Extension Incremental Facility, the Prepayment-Based Incremental Facility or the Cash-Capped Incremental Facility and (y) the Borrower shall be deemed to have used the Prepayment-Based Incremental Facility prior to utilization of the Cash-Capped Incremental Facility;</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(B)    New Loan Commitments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Incremental Equivalent Debt pursuant to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and Ratio Debt may be incurred substantially concurrently under the Ratio-Based Incremental Facility (to the extent compliant therewith), the Effective Extension Incremental Facility, the Prepayment-Based Incremental Facility and the Cash-Capped Incremental Facility or any combination of any of the foregoing, and proceeds from any such incurrence may be utilized in a single transaction or series of related transactions by, unless the applicable Borrower elects otherwise, first, calculating the incurrence under the Ratio-</w:t>
      </w:r>
    </w:p>
    <w:p>
      <w:pPr>
        <w:pStyle w:val="TextBody"/>
        <w:bidi w:val="0"/>
        <w:spacing w:before="0" w:after="0"/>
        <w:jc w:val="left"/>
        <w:rPr/>
      </w:pPr>
      <w:r>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6480175" cy="175260"/>
                <wp:effectExtent l="0" t="0" r="0" b="0"/>
                <wp:wrapNone/>
                <wp:docPr id="223" name="Frame2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Based Incremental Facility (without inclusion of (x) any amounts incurred substantially concurrently pursuant to the Prepayment-Based Incremental Facility or the Cash-Capped Incremental Facility, (y) any amounts incurred substantially concurrently under any fixed basket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then calculating the incurrence under the Effective Extension Incremental Facility and the Cash-Capped Incremental Facility, as applicable;</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(C)    all or any portion of Indebtedness originally designated as incurred under the Prepayment-Based Incremental Facility or the Cash-Capped Incremental Facility shall automatically cease to be deemed incurred under the Prepayment-Based Incremental Facility or the Cash-Capped Incremental Facility and shall instead be deemed incurred under the Ratio-Based Incremental Facility from and after the first date on which the applicable Borrower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or the Cash-Capped Incremental Facility) (which, for the avoidance of doubt, shall have the effect of increasing the Prepayment-Based Incremental Facility and/or the Cash-Capped Incremental Facility, as applicable, by all or such portion, as applicable, of the aggregate principal amount of such Indebtedness); that, for the avoidance of doubt, any Indebtedness originally designated as incurred under the Prepayment-Based Incremental Facility or the Cash-Capped Incremental Facility and subsequently deemed to be incurred under the Ratio-Based Incremental Facility pursuant to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shall not be subject to the MFN Provision as a result of being deemed incurred under the Ratio-Based Incremental Facility;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(D)    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to the extent not promptly applied, any cash proceeds of any New Loan Commitments incurred pursuant to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and any Incremental Equivalent Debt Incurred pursuant to </w:t>
      </w:r>
      <w:r>
        <w:rPr>
          <w:rFonts w:ascii="Times New Roman;serif" w:hAnsi="Times New Roman;serif"/>
          <w:b w:val="false"/>
          <w:color w:val="000000"/>
          <w:sz w:val="22"/>
          <w:u w:val="single"/>
        </w:rPr>
        <w:t>Section 2.15</w:t>
      </w:r>
      <w:r>
        <w:rPr>
          <w:rFonts w:ascii="Times New Roman;serif" w:hAnsi="Times New Roman;serif"/>
          <w:b w:val="false"/>
          <w:color w:val="000000"/>
          <w:sz w:val="22"/>
        </w:rPr>
        <w:t>, in each case, incurred at such test date shall be excluded for purposes of calculating cash or Cash Equivalents.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applicable Borrower may designate any Incremental Arranger of any New Loan Commitments with such titles under the New Loan Commitments as such Borrower may deem appropriate.</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Notwithstanding anything to the contrary contained in this Agreement or any other Loan Document, including, without limitation, this Section 2.14, after the First Amendment Effective Date, no Borrower shall be permitted to create, incur, issue, assume or suffer to exist any Incremental Facility pursuant to this Section 2.14.</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For the avoidance of doubt, the applicable Borrower will not be obligated to approach any Lender to participate in any New Loan Commitments. Any Lender approached to participate in any New Loan Commitments may elect or decline, in its sole discretion, to participate in such increase or new facility. The applicable Borrower may also invite additional Eligible Assignees reasonably satisfactory to the Incremental Arranger and, solely in connection with a Revolving Credit Commitment Increase or </w:t>
      </w:r>
    </w:p>
    <w:p>
      <w:pPr>
        <w:pStyle w:val="TextBody"/>
        <w:bidi w:val="0"/>
        <w:spacing w:before="0" w:after="0"/>
        <w:jc w:val="left"/>
        <w:rPr/>
      </w:pPr>
      <w:r>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6480175" cy="175260"/>
                <wp:effectExtent l="0" t="0" r="0" b="0"/>
                <wp:wrapNone/>
                <wp:docPr id="224" name="Frame2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New Revolving Facility, with the consent of the Administrative Agent and each L/C Issuer (to the extent the consent of any of the foregoing would be required to assign Revolving Credit Loans to such Eligible Assignee, which consent shall not be unreasonably withheld, delayed or conditioned) to become Lenders pursuant to a joinder agreement to this Agreement. Unless requested by the Company, neither the Administrative Agent nor the Collateral Agent (in their respective capacities as such) shall be required to execute, accept or acknowledge any joinder agreement pursuant to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and such execution shall not be required for any such joinder agreement to be effective; that, with respect to any New Loan Commitments, such Borrower must provide to the Administrative Agent the documentation providing for such New Loan Commitments.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If (i) a Revolving Tranche or a Term Loan Tranche is increased in accordance with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(ii) a New Term Facility or New Revolving Facility is added in accordance with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the Incremental Arranger and the applicable Borrower shall determine the effective date (the “</w:t>
      </w:r>
      <w:r>
        <w:rPr>
          <w:rFonts w:ascii="Times New Roman;serif" w:hAnsi="Times New Roman;serif"/>
          <w:b/>
          <w:color w:val="000000"/>
          <w:sz w:val="22"/>
        </w:rPr>
        <w:t>Increase Effective Date</w:t>
      </w:r>
      <w:r>
        <w:rPr>
          <w:color w:val="000000"/>
        </w:rPr>
        <w:t>”</w:t>
      </w:r>
      <w:r>
        <w:rPr>
          <w:rFonts w:ascii="Times New Roman;serif" w:hAnsi="Times New Roman;serif"/>
          <w:b w:val="false"/>
          <w:color w:val="000000"/>
          <w:sz w:val="22"/>
        </w:rPr>
        <w:t xml:space="preserve">) and the final allocation of such increase, New Term Facility or New Revolving Facility among the applicable Lenders. The Incremental Arranger shall promptly notify the applicable Lenders of the final allocation of such increase, New Term Facility or New Revolving Facility and the Increase Effective Date. In connection with (i) any increase in a Term Loan Tranche or Revolving Tranche or (ii) any addition of a New Term Facility or New Revolving Facility, in each case,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this Agreement and the other Loan Documents may be amended in writing (which may be executed and delivered by the applicable Borrower, the Administrative Agent and the Incremental Arranger (and the Lenders hereby authorize any such Incremental Arranger to execute and deliver any such documentation)) in order to establish the New Term Facility or New Revolving Facility or to effectuate the increases to the Term Loan Tranche or Revolving Tranche and to reflect any technical changes necessary or appropriate to give effect to such increase or new facility in accordance with its terms as set forth herein pursuant to the documentation relating to such New Term Facility or New Revolving Facility. As of the Increase Effective Date, in the case of an increase to an existing Term Loan Tranche, the amortization schedule for such Term Loan Tranche then increased set forth in </w:t>
      </w:r>
      <w:r>
        <w:rPr>
          <w:rFonts w:ascii="Times New Roman;serif" w:hAnsi="Times New Roman;serif"/>
          <w:b w:val="false"/>
          <w:color w:val="000000"/>
          <w:sz w:val="22"/>
          <w:u w:val="single"/>
        </w:rPr>
        <w:t>Section 2.07(a)</w:t>
      </w:r>
      <w:r>
        <w:rPr>
          <w:color w:val="000000"/>
        </w:rPr>
        <w:t xml:space="preserve"> </w:t>
      </w:r>
      <w:r>
        <w:rPr>
          <w:rFonts w:ascii="Times New Roman;serif" w:hAnsi="Times New Roman;serif"/>
          <w:b w:val="false"/>
          <w:color w:val="000000"/>
          <w:sz w:val="22"/>
        </w:rPr>
        <w:t>(or any other applicable amortization schedule for New Term Loans or Specified Refinancing Term Loans) shall be amended in writing (which may be executed and delivered by the applicable Borrower, the Administrative Agent and the Incremental Arranger (and the Lenders hereby authorize any such Incremental Arranger to execute and deliver any such documentation)) to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With respect to any Revolving Credit Commitment Increase, Term Commitment Increase or addition of New Term Facility or New Revolving Facility pursuant to this </w:t>
      </w:r>
      <w:r>
        <w:rPr>
          <w:rFonts w:ascii="Times New Roman;serif" w:hAnsi="Times New Roman;serif"/>
          <w:b w:val="false"/>
          <w:color w:val="000000"/>
          <w:sz w:val="22"/>
          <w:u w:val="single"/>
        </w:rPr>
        <w:t>Section 2.14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no Event of Default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 would exist immediately after giving effect thereto;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(A)    in the case of any increase of the Revolving Tranche, (1) the final maturity shall be the same as the Maturity Date applicable to the applicable Revolving Credit Facility, (2) no amortization or mandatory commitment reduction prior to the Latest Maturity Date applicable to the Revolving Credit Facility shall be required and (3) the terms and </w:t>
      </w:r>
    </w:p>
    <w:p>
      <w:pPr>
        <w:pStyle w:val="TextBody"/>
        <w:bidi w:val="0"/>
        <w:spacing w:before="0" w:after="0"/>
        <w:jc w:val="left"/>
        <w:rPr/>
      </w:pPr>
      <w:r>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6480175" cy="175260"/>
                <wp:effectExtent l="0" t="0" r="0" b="0"/>
                <wp:wrapNone/>
                <wp:docPr id="225" name="Frame2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documentation applicable to the Revolving Credit Facility shall apply (other than with respect to pricing (except with respect to the Applicable Rate and any interest rate floors) and fees),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in the case of any New Revolving Facility, (1) the final maturity shall be no earlier than the Latest Maturity Date applicable to the Revolving Credit Facility, (2) no amortization or mandatory commitment reduction prior to the Latest Maturity Date applicable to the Revolving Credit Facility shall be required and (3) shall have terms that are substantially the same as those applicable to the Revolving Credit Facility (other than with respect to pricing and fees) or that are otherwise reasonably acceptable to the Administrative Agent (it being understood that certain provisions regarding prepayment, borrowing, participation and commitment reduction may differ and that any terms that are applicable only after the Latest Maturity Date of the then existing Revolving Credit Facility shall be deemed acceptable to the Administrative Agent),</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(C)    in the case of an increase to an existing Term Loan Tranche, (1) the final maturity shall be the same as the Maturity Date applicable to the applicable Term Loan Tranche, (2) the amortization shall be as described under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above and (3) the terms and documentation applicable to the applicable existing Term Loan Tranche shall apply (other than with respect to pricing (except with respect to the Applicable Rate and any interest rate floors) and fees),</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(D)    in the case of any New Term Facility, the final maturity of the New Term Loans thereunder shall be no earlier than the Latest Maturity Date for, and such New Term Loans shall not have a Weighted Average Life to Maturity shorter than the remaining Weighted Average Life to Maturity of, the then outstanding Initial Term Loans; that </w:t>
      </w:r>
      <w:r>
        <w:rPr>
          <w:rFonts w:ascii="Times New Roman;serif" w:hAnsi="Times New Roman;serif"/>
          <w:b w:val="false"/>
          <w:strike/>
          <w:color w:val="FF0000"/>
          <w:sz w:val="22"/>
        </w:rPr>
        <w:t xml:space="preserve">(x) </w:t>
      </w:r>
      <w:r>
        <w:rPr>
          <w:rFonts w:ascii="Times New Roman;serif" w:hAnsi="Times New Roman;serif"/>
          <w:b w:val="false"/>
          <w:color w:val="000000"/>
          <w:sz w:val="22"/>
        </w:rPr>
        <w:t xml:space="preserve">Extendable Bridge Loans/Interim Debt </w:t>
      </w:r>
      <w:r>
        <w:rPr>
          <w:rFonts w:ascii="Times New Roman;serif" w:hAnsi="Times New Roman;serif"/>
          <w:b w:val="false"/>
          <w:strike/>
          <w:color w:val="FF0000"/>
          <w:sz w:val="22"/>
        </w:rPr>
        <w:t xml:space="preserve">and (y) an aggregate principal amount of New Term Loans under such New Term Facility not in excess of the maximum aggregate principal amount then-permitted to be incurred in reliance on the Inside Maturity Basket, in each case, </w:t>
      </w:r>
      <w:r>
        <w:rPr>
          <w:rFonts w:ascii="Times New Roman;serif" w:hAnsi="Times New Roman;serif"/>
          <w:b w:val="false"/>
          <w:color w:val="000000"/>
          <w:sz w:val="22"/>
        </w:rPr>
        <w:t>may have a maturity date earlier than the Latest Maturity Date for the then outstanding Initial Term Loans and the Weighted Average Life to Maturity thereof may be shorter than the remaining Weighted Average Life to Maturity of the then outstanding Initial Term Loans, and</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(E)    (to the extent the initial Facilities are then outstanding) in the case of any New Term Facility or New Revolving Facility, the terms of such facility (other than pricing, final maturity and Weighted Average Life to Maturity), taken as a whole, shall not be materially more restrictive than the terms of the initial Term Facility or </w:t>
      </w:r>
      <w:r>
        <w:rPr>
          <w:rFonts w:ascii="Times New Roman;serif" w:hAnsi="Times New Roman;serif"/>
          <w:b w:val="false"/>
          <w:strike/>
          <w:color w:val="FF0000"/>
          <w:sz w:val="22"/>
        </w:rPr>
        <w:t>the</w:t>
      </w:r>
      <w:r>
        <w:rPr>
          <w:rFonts w:ascii="Times New Roman;serif" w:hAnsi="Times New Roman;serif"/>
          <w:b w:val="false"/>
          <w:color w:val="0000FF"/>
          <w:sz w:val="22"/>
          <w:u w:val="single"/>
        </w:rPr>
        <w:t>any</w:t>
      </w:r>
      <w:r>
        <w:rPr>
          <w:color w:val="000000"/>
        </w:rPr>
        <w:t xml:space="preserve"> </w:t>
      </w:r>
      <w:r>
        <w:rPr>
          <w:rFonts w:ascii="Times New Roman;serif" w:hAnsi="Times New Roman;serif"/>
          <w:b w:val="false"/>
          <w:color w:val="000000"/>
          <w:sz w:val="22"/>
        </w:rPr>
        <w:t xml:space="preserve">initial Revolving </w:t>
      </w:r>
      <w:r>
        <w:rPr>
          <w:rFonts w:ascii="Times New Roman;serif" w:hAnsi="Times New Roman;serif"/>
          <w:b w:val="false"/>
          <w:color w:val="0000FF"/>
          <w:sz w:val="22"/>
          <w:u w:val="single"/>
        </w:rPr>
        <w:t xml:space="preserve">Credit </w:t>
      </w:r>
      <w:r>
        <w:rPr>
          <w:rFonts w:ascii="Times New Roman;serif" w:hAnsi="Times New Roman;serif"/>
          <w:b w:val="false"/>
          <w:color w:val="000000"/>
          <w:sz w:val="22"/>
        </w:rPr>
        <w:t>Facility, respectively, as determined in good faith by the Company (but excluding any terms (x) that are added in the applicable initial Facility for the benefit of the Lenders thereunder pursuant to an amendment hereto (with no consent of the Lenders being required), (y) that are only applicable to periods after the latest final maturity date of the applicable initial Facility existing at the time of the incurrence of such facility or (z) reflect market terms and conditions (as determined by the Company in good faith) at the time of incurrence);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except as set forth in </w:t>
      </w:r>
      <w:r>
        <w:rPr>
          <w:rFonts w:ascii="Times New Roman;serif" w:hAnsi="Times New Roman;serif"/>
          <w:b w:val="false"/>
          <w:color w:val="000000"/>
          <w:sz w:val="22"/>
          <w:u w:val="single"/>
        </w:rPr>
        <w:t>subclause (f)(iv)</w:t>
      </w:r>
      <w:r>
        <w:rPr>
          <w:color w:val="000000"/>
        </w:rPr>
        <w:t xml:space="preserve"> </w:t>
      </w:r>
      <w:r>
        <w:rPr>
          <w:rFonts w:ascii="Times New Roman;serif" w:hAnsi="Times New Roman;serif"/>
          <w:b w:val="false"/>
          <w:color w:val="000000"/>
          <w:sz w:val="22"/>
        </w:rPr>
        <w:t xml:space="preserve">below with respect to the All-in Yield applicable to any New Term Facility described therein and as set forth in </w:t>
      </w:r>
      <w:r>
        <w:rPr>
          <w:rFonts w:ascii="Times New Roman;serif" w:hAnsi="Times New Roman;serif"/>
          <w:b w:val="false"/>
          <w:color w:val="000000"/>
          <w:sz w:val="22"/>
          <w:u w:val="single"/>
        </w:rPr>
        <w:t>subclause (d)(ii)(D)</w:t>
      </w:r>
      <w:r>
        <w:rPr>
          <w:color w:val="000000"/>
        </w:rPr>
        <w:t xml:space="preserve"> </w:t>
      </w:r>
      <w:r>
        <w:rPr>
          <w:rFonts w:ascii="Times New Roman;serif" w:hAnsi="Times New Roman;serif"/>
          <w:b w:val="false"/>
          <w:color w:val="000000"/>
          <w:sz w:val="22"/>
        </w:rPr>
        <w:t xml:space="preserve">above with respect to final maturity and Weighted Average Life to Maturity of any New Term Facility, and subject to </w:t>
      </w:r>
      <w:r>
        <w:rPr>
          <w:rFonts w:ascii="Times New Roman;serif" w:hAnsi="Times New Roman;serif"/>
          <w:b w:val="false"/>
          <w:color w:val="000000"/>
          <w:sz w:val="22"/>
          <w:u w:val="single"/>
        </w:rPr>
        <w:t>subclause (d)(ii)(E)</w:t>
      </w:r>
      <w:r>
        <w:rPr>
          <w:rFonts w:ascii="Times New Roman;serif" w:hAnsi="Times New Roman;serif"/>
          <w:b w:val="false"/>
          <w:color w:val="000000"/>
          <w:sz w:val="22"/>
        </w:rPr>
        <w:t xml:space="preserve">, any such New Term Facility or New Revolving Facility shall have such terms as are agreed to by the applicable Borrower and the Incremental Arranger (including with respect to the currency, interest rate margins, OID, upfront fees (if any), </w:t>
      </w:r>
    </w:p>
    <w:p>
      <w:pPr>
        <w:pStyle w:val="TextBody"/>
        <w:bidi w:val="0"/>
        <w:spacing w:before="0" w:after="0"/>
        <w:jc w:val="left"/>
        <w:rPr/>
      </w:pPr>
      <w:r>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6480175" cy="175260"/>
                <wp:effectExtent l="0" t="0" r="0" b="0"/>
                <wp:wrapNone/>
                <wp:docPr id="226" name="Frame2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interest rate “floors” (if any) and amortization schedule of such New Term Facility or New Revolving Facility,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to the extent reasonably requested by the Incremental Arranger and expressly set forth in the documentation relating to such New Loan Commitments, the Incremental Arranger shall have received legal opinions, resolutions, officers’ certificates, reaffirmation agreements and/or subsequent ranking agreements or amendment agreements to, confirmations of and/or lower ranking Collateral Documents, as applicable, consistent with those delivered on the Closing Date under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or delivered from time to time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with respect to the applicable Borrower and each material Guarantor that is organized in a jurisdiction for which counsel to the Administrative Agent advises that such deliveries are reasonably necessary to preserve the Collateral in such jurisdiction (other than changes to such legal opinions resulting from a change in Law, change in fact or change to counsel’s form of opinion);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 xml:space="preserve">, except to the extent otherwise agreed by the applicable Incremental Arranger and the Borrower, no Revolving Credit Commitment Increase, Term Commitment Increase, New Term Commitment or New Revolving Commitment shall become effective unless (x) the representations and warranties of each the Company and each other Loan Party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other Loan Document shall be true and correct in all material respects (and in all respects if any such representation or warranty is already qualified by materiality) on and as of the date of such effectiveness,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 of this </w:t>
      </w:r>
      <w:r>
        <w:rPr>
          <w:rFonts w:ascii="Times New Roman;serif" w:hAnsi="Times New Roman;serif"/>
          <w:b w:val="false"/>
          <w:color w:val="000000"/>
          <w:sz w:val="22"/>
          <w:u w:val="single"/>
        </w:rPr>
        <w:t>clause (v)</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Sections 5.05(a)</w:t>
      </w:r>
      <w:r>
        <w:rPr>
          <w:color w:val="000000"/>
        </w:rPr>
        <w:t xml:space="preserve"> </w:t>
      </w:r>
      <w:r>
        <w:rPr>
          <w:rFonts w:ascii="Times New Roman;serif" w:hAnsi="Times New Roman;serif"/>
          <w:b w:val="false"/>
          <w:color w:val="000000"/>
          <w:sz w:val="22"/>
        </w:rPr>
        <w:t xml:space="preserve">and (b) shall be deemed to refer to the most recent financial statements furnished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 prior to such effectiveness or (y) in the event that such Revolving Credit Commitment Increase, Term Commitment Increase, New Term Commitment or New Revolving Commitment is used to finance a Limited Condition Transaction, the Specified Representations, and in the case of any Limited Condition Transaction consisting of an acquisition, those representations of the seller or the target company (as applicable) included in the acquisition agreement related to such acquisition that are material to the interests of the Lenders in respect of such Revolving Credit Commitment Increase, Term Commitment Increase, New Term Commitment or New Revolving Commitment and only to the extent that the Borrower or its applicable Subsidiary has the right to terminate its obligations under such acquisition agreement as a result of a failure of such representations to be accurate, shall be true and correct in all material respects (and in all respects if any such representation or warranty is already qualified by materiality) on and as of the date of such effectiveness,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Subject to the foregoing, the conditions precedent to each such increase or New Loan Commitment shall be solely those agreed to by the Lenders providing such increase or New Loan Commitment, as applicable, and the applicable Borrower.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the foregoing, (x) to the extent any terms of any Term Commitment Increase, Revolving Credit Commitment Increase, New Term Facility or New Revolving Facility are more </w:t>
      </w:r>
    </w:p>
    <w:p>
      <w:pPr>
        <w:pStyle w:val="TextBody"/>
        <w:bidi w:val="0"/>
        <w:spacing w:before="0" w:after="0"/>
        <w:jc w:val="left"/>
        <w:rPr/>
      </w:pPr>
      <w:r>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6480175" cy="175260"/>
                <wp:effectExtent l="0" t="0" r="0" b="0"/>
                <wp:wrapNone/>
                <wp:docPr id="227" name="Frame2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favorable (with respect to the lenders thereunder) than the comparable terms hereunder (with respect to the Lenders under the Initial Term Loans or </w:t>
      </w:r>
      <w:r>
        <w:rPr>
          <w:rFonts w:ascii="Times New Roman;serif" w:hAnsi="Times New Roman;serif"/>
          <w:b w:val="false"/>
          <w:strike/>
          <w:color w:val="FF0000"/>
          <w:sz w:val="22"/>
        </w:rPr>
        <w:t>the</w:t>
      </w:r>
      <w:r>
        <w:rPr>
          <w:rFonts w:ascii="Times New Roman;serif" w:hAnsi="Times New Roman;serif"/>
          <w:b w:val="false"/>
          <w:color w:val="0000FF"/>
          <w:sz w:val="22"/>
          <w:u w:val="single"/>
        </w:rPr>
        <w:t>any</w:t>
      </w:r>
      <w:r>
        <w:rPr>
          <w:color w:val="000000"/>
        </w:rPr>
        <w:t xml:space="preserve"> </w:t>
      </w:r>
      <w:r>
        <w:rPr>
          <w:rFonts w:ascii="Times New Roman;serif" w:hAnsi="Times New Roman;serif"/>
          <w:b w:val="false"/>
          <w:color w:val="000000"/>
          <w:sz w:val="22"/>
        </w:rPr>
        <w:t xml:space="preserve">Initial Revolving Tranche, as applicable), such terms (if favorable to the applicable Lenders) may be, solely at the request of the Company, incorporated into this Agreement (or any other applicable Loan Document) for the benefit of the applicable Lenders (to the extent applicable to such Lender) without further amendment requirements (it being agreed and understood, for the avoidance of doubt, that, at the option of the Company and with the consent of the Administrative Agent (not to be unreasonably withheld or delayed), the Company may, but shall not be required to, increase the Applicable Rate or amortization payments relating to any existing Term Facility to bring such Applicable Rate in line with the relevant Term Commitment Increase or New Term Facility to achieve fungibility with such existing Term Facility) and (y) such terms other than the terms described in </w:t>
      </w:r>
      <w:r>
        <w:rPr>
          <w:rFonts w:ascii="Times New Roman;serif" w:hAnsi="Times New Roman;serif"/>
          <w:b w:val="false"/>
          <w:color w:val="000000"/>
          <w:sz w:val="22"/>
          <w:u w:val="single"/>
        </w:rPr>
        <w:t>clause (x)</w:t>
      </w:r>
      <w:r>
        <w:rPr>
          <w:color w:val="000000"/>
        </w:rPr>
        <w:t xml:space="preserve"> </w:t>
      </w:r>
      <w:r>
        <w:rPr>
          <w:rFonts w:ascii="Times New Roman;serif" w:hAnsi="Times New Roman;serif"/>
          <w:b w:val="false"/>
          <w:color w:val="000000"/>
          <w:sz w:val="22"/>
        </w:rPr>
        <w:t>above may, solely at the request of the Company, be incorporated into this Agreement (or any other applicable Loan Document) for the benefit of the applicable Lenders (to the extent applicable to such Lender) without further amendment requirements if reasonably satisfactory to the Company, the Incremental Arranger and the Administrative Agent.</w:t>
      </w:r>
    </w:p>
    <w:p>
      <w:pPr>
        <w:pStyle w:val="TextBody"/>
        <w:bidi w:val="0"/>
        <w:spacing w:lineRule="auto" w:line="288" w:before="0" w:after="240"/>
        <w:jc w:val="left"/>
        <w:rPr/>
      </w:pPr>
      <w:r>
        <w:rPr>
          <w:rFonts w:ascii="Times New Roman;serif" w:hAnsi="Times New Roman;serif"/>
          <w:b w:val="false"/>
          <w:color w:val="000000"/>
          <w:sz w:val="22"/>
        </w:rPr>
        <w:t>To the extent a Borrower establishes a New Revolving Facility, then the Administrative Agent and such Borrower shall be permitted to amend this Agreement to require borrowings and repayments on a pro rata basis among Revolving Tranches (except for (A) payments of interest and fees at different rates on the Revolving Credit Commitments (and related outstandings), (B) repayments required upon the Maturity Date of any Revolving Credit Loan</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(C) repayments made in connection with a permanent repayment and termination of the Revolving Credit Loans or Revolving Credit Commitments of Revolving Credit Loans after the effective date of such New Revolving Facility</w:t>
      </w:r>
      <w:r>
        <w:rPr>
          <w:rFonts w:ascii="Times New Roman;serif" w:hAnsi="Times New Roman;serif"/>
          <w:b w:val="false"/>
          <w:strike/>
          <w:color w:val="FF0000"/>
          <w:sz w:val="22"/>
        </w:rPr>
        <w:t>).</w:t>
      </w:r>
      <w:r>
        <w:rPr>
          <w:color w:val="0000FF"/>
          <w:u w:val="single"/>
        </w:rPr>
        <w:t xml:space="preserve"> </w:t>
      </w:r>
      <w:r>
        <w:rPr>
          <w:rFonts w:ascii="Times New Roman;serif" w:hAnsi="Times New Roman;serif"/>
          <w:b w:val="false"/>
          <w:color w:val="0000FF"/>
          <w:sz w:val="22"/>
          <w:u w:val="single"/>
        </w:rPr>
        <w:t xml:space="preserve">and (D) voluntary prepayments of Revolving Credit Loans under a Maturing Revolving Tranche made on a non-pro rata basis during the seven (7) Business Day period prior to the Maturity Date of such Maturing Revolving Tranche </w:t>
      </w:r>
      <w:r>
        <w:rPr>
          <w:rFonts w:ascii="Times New Roman;serif" w:hAnsi="Times New Roman;serif"/>
          <w:b w:val="false"/>
          <w:color w:val="008000"/>
          <w:sz w:val="22"/>
          <w:u w:val="single"/>
        </w:rPr>
        <w:t xml:space="preserve">in accordance with Section </w:t>
      </w:r>
      <w:r>
        <w:rPr>
          <w:rFonts w:ascii="Times New Roman;serif" w:hAnsi="Times New Roman;serif"/>
          <w:b w:val="false"/>
          <w:color w:val="0000FF"/>
          <w:sz w:val="22"/>
          <w:u w:val="single"/>
        </w:rPr>
        <w:t>2.05(a)(i)).</w:t>
      </w:r>
    </w:p>
    <w:p>
      <w:pPr>
        <w:pStyle w:val="TextBody"/>
        <w:bidi w:val="0"/>
        <w:spacing w:lineRule="auto" w:line="288" w:before="0" w:after="240"/>
        <w:ind w:left="0" w:right="0" w:firstLine="720"/>
        <w:jc w:val="left"/>
        <w:rPr/>
      </w:pPr>
      <w:r>
        <w:rPr>
          <w:rFonts w:ascii="Times New Roman;serif" w:hAnsi="Times New Roman;serif"/>
          <w:b w:val="false"/>
          <w:color w:val="000000"/>
          <w:sz w:val="22"/>
        </w:rPr>
        <w:t>(e)    On the Increase Effective Date with respect to an increase to an Existing Revolving Tranche, (x) each Revolving Credit Lender immediately prior to such increase will automatically and without further act be deemed to have assigned to each Lender providing a portion of the increase to the Revolving Credit Commitments (each, a “</w:t>
      </w:r>
      <w:r>
        <w:rPr>
          <w:rFonts w:ascii="Times New Roman;serif" w:hAnsi="Times New Roman;serif"/>
          <w:b/>
          <w:color w:val="000000"/>
          <w:sz w:val="22"/>
        </w:rPr>
        <w:t>Revolving Commitment Increase Lender</w:t>
      </w:r>
      <w:r>
        <w:rPr>
          <w:color w:val="000000"/>
        </w:rPr>
        <w:t>”</w:t>
      </w:r>
      <w:r>
        <w:rPr>
          <w:rFonts w:ascii="Times New Roman;serif" w:hAnsi="Times New Roman;serif"/>
          <w:b w:val="false"/>
          <w:color w:val="000000"/>
          <w:sz w:val="22"/>
        </w:rPr>
        <w:t xml:space="preserve">), and each such Revolving Commitment Increase Lender will automatically and without further act be deemed to have assumed, a portion of such Revolving Credit Lender’s participations hereunder in outstanding L/C Obligations such that, after giving effect to each such deemed assignment and assumption of participations, the percentage of the aggregate outstanding participations hereunder in L/C Obligations will equal the Pro Rata Share of the aggregate Revolving Credit Commitments of all Revolving Credit Lenders represented by such Revolving Credit Lender’s Revolving Credit Commitment and (y) if, on the date of such increase, there are any Revolving Credit Loans outstanding, such Revolving Credit Loans shall on or prior to the Increase Effective Date be prepaid from the proceeds of Revolving Credit Loans made hereunder (reflecting such increase in Revolving Credit Commitments), which prepayment shall be accompanied by accrued interest on the Revolving Credit Loans being prepaid and any costs incurred by any Lender in accordance with Section 3.06. The Administrative Agent and the Lenders hereby agree that the minimum borrowing, pro rata borrowing and pro rata payment requirements contained elsewhere in this Agreement shall not apply to the transactions effected pursuant to the immediately preceding sentence. The additional Term Loans made under the Term Loan Tranche subject to the increases shall be made by the applicable Lenders participating therein pursuant to the procedures set forth in </w:t>
      </w:r>
      <w:r>
        <w:rPr>
          <w:rFonts w:ascii="Times New Roman;serif" w:hAnsi="Times New Roman;serif"/>
          <w:b w:val="false"/>
          <w:color w:val="000000"/>
          <w:sz w:val="22"/>
          <w:u w:val="single"/>
        </w:rPr>
        <w:t>Sections 2.01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2.02</w:t>
      </w:r>
      <w:r>
        <w:rPr>
          <w:color w:val="000000"/>
        </w:rPr>
        <w:t xml:space="preserve"> </w:t>
      </w:r>
      <w:r>
        <w:rPr>
          <w:rFonts w:ascii="Times New Roman;serif" w:hAnsi="Times New Roman;serif"/>
          <w:b w:val="false"/>
          <w:color w:val="000000"/>
          <w:sz w:val="22"/>
        </w:rPr>
        <w:t xml:space="preserve">and on the date of the making of such New Term Loans, and notwithstanding anything to the contrary set forth in </w:t>
      </w:r>
      <w:r>
        <w:rPr>
          <w:rFonts w:ascii="Times New Roman;serif" w:hAnsi="Times New Roman;serif"/>
          <w:b w:val="false"/>
          <w:color w:val="000000"/>
          <w:sz w:val="22"/>
          <w:u w:val="single"/>
        </w:rPr>
        <w:t>Sections 2.01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2.02</w:t>
      </w:r>
      <w:r>
        <w:rPr>
          <w:rFonts w:ascii="Times New Roman;serif" w:hAnsi="Times New Roman;serif"/>
          <w:b w:val="false"/>
          <w:color w:val="000000"/>
          <w:sz w:val="22"/>
        </w:rPr>
        <w:t xml:space="preserve">, such new Loans shall be added to (and form part of) each </w:t>
      </w:r>
    </w:p>
    <w:p>
      <w:pPr>
        <w:pStyle w:val="TextBody"/>
        <w:bidi w:val="0"/>
        <w:spacing w:before="0" w:after="0"/>
        <w:jc w:val="left"/>
        <w:rPr/>
      </w:pPr>
      <w:r>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6480175" cy="175260"/>
                <wp:effectExtent l="0" t="0" r="0" b="0"/>
                <wp:wrapNone/>
                <wp:docPr id="228" name="Frame2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Borrowing of outstanding Term Loans under such Term Loan Tranche on a pro rata basis (based on the relative sizes of the various outstanding Borrowings), so that each Lender under such Term Loan Tranche will participate proportionately in each then outstanding Borrowing of Term Loans under the Term Loan Tranche.</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(f)    (i)     Any New Revolving Facility and New Term Facility, shall comply with the Incremental Debt Lien/Guarantee Parameters,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the New Term Facility or New Revolving Facility, as applicable, shall, for purposes of prepayments, be treated substantially the same as (and in any event no more favorably than) the Initial Term Loans or </w:t>
      </w:r>
      <w:r>
        <w:rPr>
          <w:rFonts w:ascii="Times New Roman;serif" w:hAnsi="Times New Roman;serif"/>
          <w:b w:val="false"/>
          <w:color w:val="0000FF"/>
          <w:sz w:val="22"/>
          <w:u w:val="single"/>
        </w:rPr>
        <w:t xml:space="preserve">any </w:t>
      </w:r>
      <w:r>
        <w:rPr>
          <w:rFonts w:ascii="Times New Roman;serif" w:hAnsi="Times New Roman;serif"/>
          <w:b w:val="false"/>
          <w:color w:val="000000"/>
          <w:sz w:val="22"/>
        </w:rPr>
        <w:t xml:space="preserve">Initial Revolving Tranche, as applicable, unless the applicable Borrower otherwise elects (but in any event no more favorably than the Initial Term Loans or </w:t>
      </w:r>
      <w:r>
        <w:rPr>
          <w:rFonts w:ascii="Times New Roman;serif" w:hAnsi="Times New Roman;serif"/>
          <w:b w:val="false"/>
          <w:strike/>
          <w:color w:val="FF0000"/>
          <w:sz w:val="22"/>
        </w:rPr>
        <w:t>the</w:t>
      </w:r>
      <w:r>
        <w:rPr>
          <w:rFonts w:ascii="Times New Roman;serif" w:hAnsi="Times New Roman;serif"/>
          <w:b w:val="false"/>
          <w:color w:val="0000FF"/>
          <w:sz w:val="22"/>
          <w:u w:val="single"/>
        </w:rPr>
        <w:t>any</w:t>
      </w:r>
      <w:r>
        <w:rPr>
          <w:color w:val="000000"/>
        </w:rPr>
        <w:t xml:space="preserve"> </w:t>
      </w:r>
      <w:r>
        <w:rPr>
          <w:rFonts w:ascii="Times New Roman;serif" w:hAnsi="Times New Roman;serif"/>
          <w:b w:val="false"/>
          <w:color w:val="000000"/>
          <w:sz w:val="22"/>
        </w:rPr>
        <w:t xml:space="preserve">Initial Revolving Tranche, as applicable), unless any such more favorable terms are applicable only after the Latest Maturity Date of the Initial Term Loans </w:t>
      </w:r>
      <w:r>
        <w:rPr>
          <w:rFonts w:ascii="Times New Roman;serif" w:hAnsi="Times New Roman;serif"/>
          <w:b w:val="false"/>
          <w:strike/>
          <w:color w:val="FF0000"/>
          <w:sz w:val="22"/>
        </w:rPr>
        <w:t>and the</w:t>
      </w:r>
      <w:r>
        <w:rPr>
          <w:rFonts w:ascii="Times New Roman;serif" w:hAnsi="Times New Roman;serif"/>
          <w:b w:val="false"/>
          <w:color w:val="0000FF"/>
          <w:sz w:val="22"/>
          <w:u w:val="single"/>
        </w:rPr>
        <w:t>any</w:t>
      </w:r>
      <w:r>
        <w:rPr>
          <w:color w:val="000000"/>
        </w:rPr>
        <w:t xml:space="preserve"> </w:t>
      </w:r>
      <w:r>
        <w:rPr>
          <w:rFonts w:ascii="Times New Roman;serif" w:hAnsi="Times New Roman;serif"/>
          <w:b w:val="false"/>
          <w:color w:val="000000"/>
          <w:sz w:val="22"/>
        </w:rPr>
        <w:t>Initial Revolving Tranche,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any New Term Facility that is secured by a lien on the Collateral on a basis with the Initial Term Loans shall share ratably (or on a lesser basis) with respect to any mandatory prepayments of the Initial Term Loans (other than mandatory prepayments resulting from a refinancing of any Facility, which may be applied exclusively to the Facility being refinanced)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solely with respect to any floating rate term loans denominated in Dollars that are incurred on or prior to the date that is twelve months after the Closing Date under a New Term Facility that is (x) in right of payment with the Initial Term Loans and (y) secured by a Lien on the Collateral on a basis with the Initial Term Loans, the All-in Yield payable by the applicable Borrower in respect of such New Term Facility shall not be more than 50 basis points higher than the All-in Yield payable by the Borrower in respect of the Initial Term Loans unless the interest rate margin applicable to the Initial Term Loans is increased by an amount necessary so that the difference between the All-in Yield payable by the applicable Borrower in respect of such New Term Facility and the All-in Yield payable by the Borrower in respect of the Initial Term Loans is no greater than 50 basis points (this </w:t>
      </w:r>
      <w:r>
        <w:rPr>
          <w:rFonts w:ascii="Times New Roman;serif" w:hAnsi="Times New Roman;serif"/>
          <w:b w:val="false"/>
          <w:color w:val="000000"/>
          <w:sz w:val="22"/>
          <w:u w:val="single"/>
        </w:rPr>
        <w:t>clause (iv)</w:t>
      </w:r>
      <w:r>
        <w:rPr>
          <w:rFonts w:ascii="Times New Roman;serif" w:hAnsi="Times New Roman;serif"/>
          <w:b w:val="false"/>
          <w:color w:val="000000"/>
          <w:sz w:val="22"/>
        </w:rPr>
        <w:t>, the “</w:t>
      </w:r>
      <w:r>
        <w:rPr>
          <w:rFonts w:ascii="Times New Roman;serif" w:hAnsi="Times New Roman;serif"/>
          <w:b/>
          <w:color w:val="000000"/>
          <w:sz w:val="22"/>
        </w:rPr>
        <w:t>MFN Provision</w:t>
      </w:r>
      <w:r>
        <w:rPr>
          <w:color w:val="000000"/>
        </w:rPr>
        <w:t>”</w:t>
      </w:r>
      <w:r>
        <w:rPr>
          <w:rFonts w:ascii="Times New Roman;serif" w:hAnsi="Times New Roman;serif"/>
          <w:b w:val="false"/>
          <w:color w:val="000000"/>
          <w:sz w:val="22"/>
        </w:rPr>
        <w:t xml:space="preserve">); , that (i) any increase in All-in Yield with respect to existing Initial Term Loans due to the application of an interest rate “floor” to any New Term Facility greater than the interest rate “floor” applicable to such existing Initial Term Loans shall be effected solely through an increase in the interest rate “floor” applicable to such Initial Term Loans and (ii) for the avoidance of doubt, if such Initial Term Loans are outstanding in the form of a U.S. Dollar-denominated Tranche and one or more non-U.S. Dollar-denominated Tranches are outstanding at such time, then this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shall only apply to such Initial Term Loans outstanding in the form of a U.S. Dollar-denominated Tranche.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(including amendments to this Agreement and the other Loan Documents), any comments to such documentation reasonably requested by the Administrative Agent shall be reflected therein.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(h)    To the extent any New Revolving Facility or New Term Facility shall be denominated in an Alternative Currency, this Agreement and the other Loan Documents shall be amended to the extent </w:t>
      </w:r>
    </w:p>
    <w:p>
      <w:pPr>
        <w:pStyle w:val="TextBody"/>
        <w:bidi w:val="0"/>
        <w:spacing w:before="0" w:after="0"/>
        <w:jc w:val="left"/>
        <w:rPr/>
      </w:pPr>
      <w:r>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6480175" cy="175260"/>
                <wp:effectExtent l="0" t="0" r="0" b="0"/>
                <wp:wrapNone/>
                <wp:docPr id="229" name="Frame2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necessary or appropriate to provide for the administrative and operational provisions applicable to such Alternative Currency, in each case as are reasonably satisfactory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2.15    </w:t>
      </w:r>
      <w:r>
        <w:rPr>
          <w:rFonts w:ascii="Times New Roman;serif" w:hAnsi="Times New Roman;serif"/>
          <w:b w:val="false"/>
          <w:color w:val="000000"/>
          <w:sz w:val="22"/>
          <w:u w:val="single"/>
        </w:rPr>
        <w:t>Incremental Equivalent Debt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Any Loan Party may from time to time after the Closing Date issue one or more series of senior secured, senior unsecured, senior subordinated or subordinated notes, loans or Extendable Bridge Loans/Interim Debt (such notes, loans and/or Extendable Bridge Loans/Interim Debt, collectively, “</w:t>
      </w:r>
      <w:r>
        <w:rPr>
          <w:rFonts w:ascii="Times New Roman;serif" w:hAnsi="Times New Roman;serif"/>
          <w:b/>
          <w:color w:val="000000"/>
          <w:sz w:val="22"/>
        </w:rPr>
        <w:t>Incremental Equivalent Debt</w:t>
      </w:r>
      <w:r>
        <w:rPr>
          <w:color w:val="000000"/>
        </w:rPr>
        <w:t>”</w:t>
      </w:r>
      <w:r>
        <w:rPr>
          <w:rFonts w:ascii="Times New Roman;serif" w:hAnsi="Times New Roman;serif"/>
          <w:b w:val="false"/>
          <w:color w:val="000000"/>
          <w:sz w:val="22"/>
        </w:rPr>
        <w:t xml:space="preserve">) in an amount not to exceed the Incremental Amount at the time of incurrence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 xml:space="preserve">); that (i) no Event of Default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 xml:space="preserve">) would exist immediately after giving effect to any such incurrence of Incremental Equivalent Debt and (ii) any such incurrence of Incremental Equivalent Debt shall be in a minimum amount of the lesser of (x) $5,000,000 (or the equivalent Dollar Amount) and (y) the entire amount that may be requested under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that:</w:t>
      </w:r>
    </w:p>
    <w:p>
      <w:pPr>
        <w:pStyle w:val="TextBody"/>
        <w:bidi w:val="0"/>
        <w:spacing w:lineRule="auto" w:line="288" w:before="0" w:after="240"/>
        <w:ind w:left="0" w:right="0" w:firstLine="1440"/>
        <w:jc w:val="left"/>
        <w:rPr/>
      </w:pPr>
      <w:r>
        <w:rPr>
          <w:rFonts w:ascii="Times New Roman;serif" w:hAnsi="Times New Roman;serif"/>
          <w:b w:val="false"/>
          <w:color w:val="0000FF"/>
          <w:sz w:val="22"/>
          <w:u w:val="single"/>
        </w:rPr>
        <w:t>(A)    </w:t>
      </w:r>
      <w:r>
        <w:rPr>
          <w:rFonts w:ascii="Times New Roman;serif" w:hAnsi="Times New Roman;serif"/>
          <w:b w:val="false"/>
          <w:strike/>
          <w:color w:val="FF0000"/>
          <w:sz w:val="24"/>
        </w:rPr>
        <w:t xml:space="preserve">(F) </w:t>
      </w:r>
      <w:r>
        <w:rPr>
          <w:rFonts w:ascii="Times New Roman;serif" w:hAnsi="Times New Roman;serif"/>
          <w:b w:val="false"/>
          <w:color w:val="000000"/>
          <w:sz w:val="22"/>
        </w:rPr>
        <w:t>unless the applicable Borrower elects otherwise, (x) the Borrower shall be deemed to have used amounts under the Ratio-Based Incremental Facility (to the extent compliant therewith) prior to using amounts under the Effective Extension Incremental Facility, the Prepayment-Based Incremental Facility or the Cash-Capped Incremental Facility and (y) the Borrower shall be deemed to have used the Prepayment-Based Incremental Facility prior to utilization of the Cash-Capped Incremental Facility;</w:t>
      </w:r>
    </w:p>
    <w:p>
      <w:pPr>
        <w:pStyle w:val="TextBody"/>
        <w:bidi w:val="0"/>
        <w:spacing w:lineRule="auto" w:line="288" w:before="0" w:after="240"/>
        <w:ind w:left="0" w:right="0" w:firstLine="1440"/>
        <w:jc w:val="left"/>
        <w:rPr/>
      </w:pPr>
      <w:r>
        <w:rPr>
          <w:rFonts w:ascii="Times New Roman;serif" w:hAnsi="Times New Roman;serif"/>
          <w:b w:val="false"/>
          <w:color w:val="0000FF"/>
          <w:sz w:val="22"/>
          <w:u w:val="single"/>
        </w:rPr>
        <w:t>(B)    </w:t>
      </w:r>
      <w:r>
        <w:rPr>
          <w:rFonts w:ascii="Times New Roman;serif" w:hAnsi="Times New Roman;serif"/>
          <w:b w:val="false"/>
          <w:strike/>
          <w:color w:val="FF0000"/>
          <w:sz w:val="24"/>
        </w:rPr>
        <w:t xml:space="preserve">(G) </w:t>
      </w:r>
      <w:r>
        <w:rPr>
          <w:rFonts w:ascii="Times New Roman;serif" w:hAnsi="Times New Roman;serif"/>
          <w:b w:val="false"/>
          <w:color w:val="000000"/>
          <w:sz w:val="22"/>
        </w:rPr>
        <w:t xml:space="preserve">New Loan Commitments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Incremental Equivalent Debt pursuant to this </w:t>
      </w:r>
      <w:r>
        <w:rPr>
          <w:rFonts w:ascii="Times New Roman;serif" w:hAnsi="Times New Roman;serif"/>
          <w:b w:val="false"/>
          <w:color w:val="000000"/>
          <w:sz w:val="22"/>
          <w:u w:val="single"/>
        </w:rPr>
        <w:t>Section 2.15</w:t>
      </w:r>
      <w:r>
        <w:rPr>
          <w:color w:val="000000"/>
        </w:rPr>
        <w:t xml:space="preserve"> </w:t>
      </w:r>
      <w:r>
        <w:rPr>
          <w:rFonts w:ascii="Times New Roman;serif" w:hAnsi="Times New Roman;serif"/>
          <w:b w:val="false"/>
          <w:color w:val="000000"/>
          <w:sz w:val="22"/>
        </w:rPr>
        <w:t xml:space="preserve">and Ratio Debt may be incurred substantially concurrently under the Ratio-Based Incremental Facility (to the extent compliant therewith), the Effective Extension Incremental Facility, the Prepayment-Based Incremental Facility and the Cash-Capped Incremental Facility or any combination of any of the foregoing, and proceeds from any such incurrence may be utilized in a single transaction or series of related transactions by, unless the applicable Borrower elects otherwise, first, calculating the incurrence under the Ratio-Based Incremental Facility (without inclusion of (x) any amounts incurred substantially concurrently pursuant to the Prepayment-Based Incremental Facility or the Cash-Capped Incremental Facility, (y) any amounts incurred substantially concurrently under any fixed basket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then calculating the incurrence under the Effective Extension Incremental Facility and the Cash-Capped Incremental Facility, as applicable;</w:t>
      </w:r>
    </w:p>
    <w:p>
      <w:pPr>
        <w:pStyle w:val="TextBody"/>
        <w:bidi w:val="0"/>
        <w:spacing w:lineRule="auto" w:line="288" w:before="0" w:after="240"/>
        <w:ind w:left="0" w:right="0" w:firstLine="1440"/>
        <w:jc w:val="left"/>
        <w:rPr/>
      </w:pPr>
      <w:r>
        <w:rPr>
          <w:rFonts w:ascii="Times New Roman;serif" w:hAnsi="Times New Roman;serif"/>
          <w:b w:val="false"/>
          <w:color w:val="0000FF"/>
          <w:sz w:val="22"/>
          <w:u w:val="single"/>
        </w:rPr>
        <w:t>(C)    </w:t>
      </w:r>
      <w:r>
        <w:rPr>
          <w:rFonts w:ascii="Times New Roman;serif" w:hAnsi="Times New Roman;serif"/>
          <w:b w:val="false"/>
          <w:strike/>
          <w:color w:val="FF0000"/>
          <w:sz w:val="24"/>
        </w:rPr>
        <w:t xml:space="preserve">(H) </w:t>
      </w:r>
      <w:r>
        <w:rPr>
          <w:rFonts w:ascii="Times New Roman;serif" w:hAnsi="Times New Roman;serif"/>
          <w:b w:val="false"/>
          <w:color w:val="000000"/>
          <w:sz w:val="22"/>
        </w:rPr>
        <w:t>all or any portion of Indebtedness originally designated as incurred under the Prepayment-Based Incremental Facility or the Cash-Capped Incremental Facility shall automatically cease to be deemed incurred under the Prepayment-Based Incremental Facility or the Cash-Capped Incremental Facility and shall instead be deemed incurred under the Ratio-Based Incremental Facility from and after the first date on which the applicable Borrower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or the Cash-Capped Incremental Facility) (which, for the avoidance of doubt, shall have the effect of increasing the Prepayment-</w:t>
      </w:r>
    </w:p>
    <w:p>
      <w:pPr>
        <w:pStyle w:val="TextBody"/>
        <w:bidi w:val="0"/>
        <w:spacing w:before="0" w:after="0"/>
        <w:jc w:val="left"/>
        <w:rPr/>
      </w:pPr>
      <w:r>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6480175" cy="175260"/>
                <wp:effectExtent l="0" t="0" r="0" b="0"/>
                <wp:wrapNone/>
                <wp:docPr id="230" name="Frame2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Based Incremental Facility and/or the Cash-Capped Incremental Facility, as applicable, by all or such portion, as applicable, of the aggregate principal amount of such Indebtedness); and</w:t>
      </w:r>
    </w:p>
    <w:p>
      <w:pPr>
        <w:pStyle w:val="TextBody"/>
        <w:bidi w:val="0"/>
        <w:spacing w:lineRule="auto" w:line="288" w:before="0" w:after="240"/>
        <w:ind w:left="0" w:right="0" w:firstLine="1440"/>
        <w:jc w:val="left"/>
        <w:rPr/>
      </w:pPr>
      <w:r>
        <w:rPr>
          <w:rFonts w:ascii="Times New Roman;serif" w:hAnsi="Times New Roman;serif"/>
          <w:b w:val="false"/>
          <w:color w:val="0000FF"/>
          <w:sz w:val="22"/>
          <w:u w:val="single"/>
        </w:rPr>
        <w:t>(D)    </w:t>
      </w:r>
      <w:r>
        <w:rPr>
          <w:rFonts w:ascii="Times New Roman;serif" w:hAnsi="Times New Roman;serif"/>
          <w:b w:val="false"/>
          <w:strike/>
          <w:color w:val="FF0000"/>
          <w:sz w:val="24"/>
        </w:rPr>
        <w:t xml:space="preserve">(I) </w:t>
      </w:r>
      <w:r>
        <w:rPr>
          <w:rFonts w:ascii="Times New Roman;serif" w:hAnsi="Times New Roman;serif"/>
          <w:b w:val="false"/>
          <w:color w:val="000000"/>
          <w:sz w:val="22"/>
        </w:rPr>
        <w:t xml:space="preserve">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to the extent not promptly applied, any cash proceeds of any New Loan Commitments incurred pursuant to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any Incremental Equivalent Debt Incurred pursuant to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in each case, incurred at such test date shall be excluded for purposes of calculating cash or Cash Equivalents.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The applicable Borrower may appoint any Person as arranger of such Incremental Equivalent Debt (such Person (who may be the Administrative Agent, if it so agrees), the “</w:t>
      </w:r>
      <w:r>
        <w:rPr>
          <w:rFonts w:ascii="Times New Roman;serif" w:hAnsi="Times New Roman;serif"/>
          <w:b/>
          <w:color w:val="000000"/>
          <w:sz w:val="22"/>
        </w:rPr>
        <w:t>Incremental Equivalent Debt Arranger</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Notwithstanding anything to the contrary contained in this Agreement or any other Loan Document, including, without limitation, this Section 2.15, after the First Amendment Effective Date, no Borrower shall </w:t>
      </w:r>
      <w:r>
        <w:rPr>
          <w:rFonts w:ascii="Times New Roman;serif" w:hAnsi="Times New Roman;serif"/>
          <w:b w:val="false"/>
          <w:color w:val="008000"/>
          <w:sz w:val="22"/>
          <w:u w:val="single"/>
        </w:rPr>
        <w:t xml:space="preserve">be permitted to </w:t>
      </w:r>
      <w:r>
        <w:rPr>
          <w:rFonts w:ascii="Times New Roman;serif" w:hAnsi="Times New Roman;serif"/>
          <w:b w:val="false"/>
          <w:color w:val="0000FF"/>
          <w:sz w:val="22"/>
          <w:u w:val="single"/>
        </w:rPr>
        <w:t xml:space="preserve">create, incur, issue, assume or suffer to exist any </w:t>
      </w:r>
      <w:r>
        <w:rPr>
          <w:rFonts w:ascii="Times New Roman;serif" w:hAnsi="Times New Roman;serif"/>
          <w:b w:val="false"/>
          <w:color w:val="008000"/>
          <w:sz w:val="22"/>
          <w:u w:val="single"/>
        </w:rPr>
        <w:t xml:space="preserve">Incremental Equivalent Debt pursuant to </w:t>
      </w:r>
      <w:r>
        <w:rPr>
          <w:rFonts w:ascii="Times New Roman;serif" w:hAnsi="Times New Roman;serif"/>
          <w:b w:val="false"/>
          <w:color w:val="0000FF"/>
          <w:sz w:val="22"/>
          <w:u w:val="single"/>
        </w:rPr>
        <w:t>this Section 2.15.</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    (i) Any Incremental Equivalent Debt shall comply with the Incremental Debt Lien/Guarantee Parameters,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the final maturity of any Incremental Equivalent Debt shall be no earlier than the Latest Maturity Date for, and such Incremental Equivalent Debt shall not have a Weighted Average Life to Maturity shorter than the remaining Weighted Average Life to Maturity of, the then outstanding Initial Term Loans; that </w:t>
      </w:r>
      <w:r>
        <w:rPr>
          <w:rFonts w:ascii="Times New Roman;serif" w:hAnsi="Times New Roman;serif"/>
          <w:b w:val="false"/>
          <w:strike/>
          <w:color w:val="FF0000"/>
          <w:sz w:val="22"/>
        </w:rPr>
        <w:t xml:space="preserve">(x) </w:t>
      </w:r>
      <w:r>
        <w:rPr>
          <w:rFonts w:ascii="Times New Roman;serif" w:hAnsi="Times New Roman;serif"/>
          <w:b w:val="false"/>
          <w:color w:val="000000"/>
          <w:sz w:val="22"/>
        </w:rPr>
        <w:t xml:space="preserve">Extendable Bridge Loans/Interim Debt </w:t>
      </w:r>
      <w:r>
        <w:rPr>
          <w:rFonts w:ascii="Times New Roman;serif" w:hAnsi="Times New Roman;serif"/>
          <w:b w:val="false"/>
          <w:strike/>
          <w:color w:val="FF0000"/>
          <w:sz w:val="22"/>
        </w:rPr>
        <w:t xml:space="preserve">and (y) an aggregate principal amount of Incremental Equivalent Debt not in excess of the maximum aggregate principal amount then permitted to be incurred in reliance on the Inside Maturity Basket, in each case, </w:t>
      </w:r>
      <w:r>
        <w:rPr>
          <w:rFonts w:ascii="Times New Roman;serif" w:hAnsi="Times New Roman;serif"/>
          <w:b w:val="false"/>
          <w:color w:val="000000"/>
          <w:sz w:val="22"/>
        </w:rPr>
        <w:t>may have a maturity date earlier than the Latest Maturity Date for the then outstanding Initial Term Loans and the Weighted Average Life to Maturity thereof may be shorter than the remaining Weighted Average Life to Maturity of the then outstanding Initial Term Loans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any Incremental Equivalent Debt (other than any Extendable Bridge Loans/Interim Debt) shall not be subject to any mandatory redemption or prepayment provisions or rights, except to the extent any such mandatory redemption or prepayment is required to be applied pro rata (or greater than pro rata) to the Initial Term Loans and other Incremental Equivalent Debt that is secured by a lien on the Collateral on a basis with the Initial Term Loans. Subject to the foregoing, the conditions precedent to each such incurrence shall be agreed to by the creditors providing such Incremental Equivalent Debt and the applicable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The Lenders hereby authorize the Incremental Equivalent Debt Arranger and the Administrative Agent (and the Lenders hereby authorize the Incremental Equivalent Debt Arranger and the Administrative Agent to execute and deliver such amendments) to enter into amendments to this Agreement and the other Loan Documents with the applicable Borrower as may be necessary in order to secure any Incremental Equivalent Debt with the Collateral and/or to make such technical amendments as may be necessary or appropriate in the reasonable opinion of the Incremental Equivalent Debt Arranger, the Administrative Agent and such Borrower in connection with the incurrence of such Incremental </w:t>
      </w:r>
    </w:p>
    <w:p>
      <w:pPr>
        <w:pStyle w:val="TextBody"/>
        <w:bidi w:val="0"/>
        <w:spacing w:before="0" w:after="0"/>
        <w:jc w:val="left"/>
        <w:rPr/>
      </w:pPr>
      <w:r>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6480175" cy="175260"/>
                <wp:effectExtent l="0" t="0" r="0" b="0"/>
                <wp:wrapNone/>
                <wp:docPr id="231" name="Frame2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Equivalent Debt, in each case on terms consistent with this </w:t>
      </w:r>
      <w:r>
        <w:rPr>
          <w:rFonts w:ascii="Times New Roman;serif" w:hAnsi="Times New Roman;serif"/>
          <w:b w:val="false"/>
          <w:color w:val="000000"/>
          <w:sz w:val="22"/>
          <w:u w:val="single"/>
        </w:rPr>
        <w:t>Section 2.15</w:t>
      </w:r>
      <w:r>
        <w:rPr>
          <w:rFonts w:ascii="Times New Roman;serif" w:hAnsi="Times New Roman;serif"/>
          <w:b w:val="false"/>
          <w:color w:val="000000"/>
          <w:sz w:val="22"/>
        </w:rPr>
        <w:t>. If the Incremental Equivalent Debt Arranger is not the Administrative Agent, the actions authorized to be taken by the Incremental Equivalent Debt Arranger herein shall be done in consultation with the Administrative Agent and, with respect to applicable documentation (including amendments to this Agreement and the other Loan Documents), any comments to such documentation reasonably requested by the Administrative Agent shall be reflected therein.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2.16    </w:t>
      </w:r>
      <w:r>
        <w:rPr>
          <w:rFonts w:ascii="Times New Roman;serif" w:hAnsi="Times New Roman;serif"/>
          <w:b w:val="false"/>
          <w:color w:val="000000"/>
          <w:sz w:val="22"/>
          <w:u w:val="single"/>
        </w:rPr>
        <w:t>Cash Collateral</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Upon the request of the Administrative Agent or the applicable L/C Issuer (i) if the applicable L/C Issuer has honored any full or partial drawing request under any Letter of Credit and such drawing has resulted in an L/C Borrowing or (ii) if, as of the Letter of Credit Sublimit Expiration Date, any L/C Obligation for any reason remains outstanding, the applicable Borrower shall, in each case, promptly deliver to the Administrative Agent Cash Collateral in an amount sufficient to cover 103.0% of the then Outstanding Amount of all L/C Obligations. At any time that there shall exist a Defaulting Lender, promptly upon the request of the Administrative Agent or the applicable L/C Issuer, the applicable Borrower shall deliver to the Administrative Agent Cash Collateral in an amount sufficient to cover 103.0% of all Fronting Exposure of such Defaulting Lender after giving effect to </w:t>
      </w:r>
      <w:r>
        <w:rPr>
          <w:rFonts w:ascii="Times New Roman;serif" w:hAnsi="Times New Roman;serif"/>
          <w:b w:val="false"/>
          <w:color w:val="000000"/>
          <w:sz w:val="22"/>
          <w:u w:val="single"/>
        </w:rPr>
        <w:t>Section 2.17(a)(iv)</w:t>
      </w:r>
      <w:r>
        <w:rPr>
          <w:color w:val="000000"/>
        </w:rPr>
        <w:t xml:space="preserve"> </w:t>
      </w:r>
      <w:r>
        <w:rPr>
          <w:rFonts w:ascii="Times New Roman;serif" w:hAnsi="Times New Roman;serif"/>
          <w:b w:val="false"/>
          <w:color w:val="000000"/>
          <w:sz w:val="22"/>
        </w:rPr>
        <w:t>and any Cash Collateral provided by such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All Cash Collateral (other than credit support not constituting funds subject to deposit) shall be maintained in blocked, deposit accounts at the Administrative Agent or the Collateral Agent (or other financial institution selected by any of them). The Borrower, and to the extent provided by any Revolving Credit Lender, such Revolving Credit Lender, hereby grant to (and subject to the control of) the Administrative Agent and the Collateral Agent, for the benefit of the Administrative Agent, the applicable L/C Issuer and the Revolving Credit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serif" w:hAnsi="Times New Roman;serif"/>
          <w:b w:val="false"/>
          <w:color w:val="000000"/>
          <w:sz w:val="22"/>
          <w:u w:val="single"/>
        </w:rPr>
        <w:t>Section 2.16(c)</w:t>
      </w:r>
      <w:r>
        <w:rPr>
          <w:rFonts w:ascii="Times New Roman;serif" w:hAnsi="Times New Roman;serif"/>
          <w:b w:val="false"/>
          <w:color w:val="000000"/>
          <w:sz w:val="22"/>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applicable Borrower and the relevant Defaulting Lender shall, promptly upon demand by the Administrative Agent, pay or provide to the Administrative Agent additional Cash Collateral in an amount sufficient to eliminate such deficiency.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Notwithstanding anything to the contrary contained in this Agreement, Cash Collateral provided under any of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Sections 2.03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8.02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8.04</w:t>
      </w:r>
      <w:r>
        <w:rPr>
          <w:color w:val="000000"/>
        </w:rPr>
        <w:t xml:space="preserve"> </w:t>
      </w:r>
      <w:r>
        <w:rPr>
          <w:rFonts w:ascii="Times New Roman;serif" w:hAnsi="Times New Roman;serif"/>
          <w:b w:val="false"/>
          <w:color w:val="000000"/>
          <w:sz w:val="22"/>
        </w:rPr>
        <w:t>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Cash Collateral (or the appropriate portion thereof) provided to reduce Fronting Exposure or other obligations shall be released promptly following (i) the elimination of the applicable Fronting Exposure (after giving effect to such release) or other obligations giving rise thereto (including by the termination of Defaulting Lender status of the applicable Lender (or, as appropriate, its assignee following compliance with </w:t>
      </w:r>
      <w:r>
        <w:rPr>
          <w:rFonts w:ascii="Times New Roman;serif" w:hAnsi="Times New Roman;serif"/>
          <w:b w:val="false"/>
          <w:color w:val="000000"/>
          <w:sz w:val="22"/>
          <w:u w:val="single"/>
        </w:rPr>
        <w:t>Section 10.07(b)(viii)</w:t>
      </w:r>
      <w:r>
        <w:rPr>
          <w:rFonts w:ascii="Times New Roman;serif" w:hAnsi="Times New Roman;serif"/>
          <w:b w:val="false"/>
          <w:color w:val="000000"/>
          <w:sz w:val="22"/>
        </w:rPr>
        <w:t xml:space="preserve">)) or (ii) the Administrative Agent’s good faith determination that there exists excess Cash Collateral;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(x) that Cash Collateral furnished by or on behalf of a Loan Party shall not be released during the continuance of a Default under </w:t>
      </w:r>
    </w:p>
    <w:p>
      <w:pPr>
        <w:pStyle w:val="TextBody"/>
        <w:bidi w:val="0"/>
        <w:spacing w:before="0" w:after="0"/>
        <w:jc w:val="left"/>
        <w:rPr/>
      </w:pPr>
      <w:r>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6480175" cy="175260"/>
                <wp:effectExtent l="0" t="0" r="0" b="0"/>
                <wp:wrapNone/>
                <wp:docPr id="232" name="Frame2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or an Event of Default (and following application as provided in this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may be otherwise applied in accordance with </w:t>
      </w:r>
      <w:r>
        <w:rPr>
          <w:rFonts w:ascii="Times New Roman;serif" w:hAnsi="Times New Roman;serif"/>
          <w:b w:val="false"/>
          <w:color w:val="000000"/>
          <w:sz w:val="22"/>
          <w:u w:val="single"/>
        </w:rPr>
        <w:t>Section 8.04)</w:t>
      </w:r>
      <w:r>
        <w:rPr>
          <w:color w:val="000000"/>
        </w:rPr>
        <w:t xml:space="preserve"> </w:t>
      </w:r>
      <w:r>
        <w:rPr>
          <w:rFonts w:ascii="Times New Roman;serif" w:hAnsi="Times New Roman;serif"/>
          <w:b w:val="false"/>
          <w:color w:val="000000"/>
          <w:sz w:val="22"/>
        </w:rPr>
        <w:t>and (y) the Person providing Cash Collateral and the applicable L/C Issuer may agree that Cash Collateral shall not be released but instead held to support future anticipated Fronting Exposure or other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2.17    </w:t>
      </w:r>
      <w:r>
        <w:rPr>
          <w:rFonts w:ascii="Times New Roman;serif" w:hAnsi="Times New Roman;serif"/>
          <w:b w:val="false"/>
          <w:color w:val="000000"/>
          <w:sz w:val="22"/>
          <w:u w:val="single"/>
        </w:rPr>
        <w:t>Defaulting Lenders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Notwithstanding anything to the contrary contained in this Agreement, if any Lender becomes a Defaulting Lender, then, until such time as that Lender is no longer a Defaulting Lender, to the extent permitted by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That Defaulting Lender’s right to approve or disapprove any amendment, waiver or consent with respect to this Agreement shall be restricted as set forth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Any payment of principal, interest, fees or other amounts received by the Administrative Agent for the account of that Defaulting Lender (whether voluntary or mandatory, at maturity,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or otherwise, and including any amounts made available to the Administrative Agent by that Defaulting Lender pursuant to </w:t>
      </w:r>
      <w:r>
        <w:rPr>
          <w:rFonts w:ascii="Times New Roman;serif" w:hAnsi="Times New Roman;serif"/>
          <w:b w:val="false"/>
          <w:color w:val="000000"/>
          <w:sz w:val="22"/>
          <w:u w:val="single"/>
        </w:rPr>
        <w:t>Section 10.09</w:t>
      </w:r>
      <w:r>
        <w:rPr>
          <w:rFonts w:ascii="Times New Roman;serif" w:hAnsi="Times New Roman;serif"/>
          <w:b w:val="false"/>
          <w:color w:val="000000"/>
          <w:sz w:val="22"/>
        </w:rPr>
        <w:t xml:space="preserve">), shall be applied at such time or times as may be determined by the Administrative Agent as follows: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the payment of any amounts owing by that Defaulting Lender to the Administrative Agent hereunder; </w:t>
      </w:r>
      <w:r>
        <w:rPr>
          <w:rFonts w:ascii="Times New Roman;serif" w:hAnsi="Times New Roman;serif"/>
          <w:b w:val="false"/>
          <w:color w:val="000000"/>
          <w:sz w:val="22"/>
          <w:u w:val="single"/>
        </w:rPr>
        <w:t>second</w:t>
      </w:r>
      <w:r>
        <w:rPr>
          <w:rFonts w:ascii="Times New Roman;serif" w:hAnsi="Times New Roman;serif"/>
          <w:b w:val="false"/>
          <w:color w:val="000000"/>
          <w:sz w:val="22"/>
        </w:rPr>
        <w:t xml:space="preserve">, to the payment on a pro rata basis of any amounts owing by that Defaulting Lender to the L/C Issuers hereunder;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if so reasonably determined by the Administrative Agent or reasonably requested by the applicable L/C Issuer, to be held as Cash Collateral for future funding obligations of that Defaulting Lender of any participation in any Letter of Credit;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as the applicable 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the payment of any amounts owing to the Lenders or any L/C Issuer as a result of any non-appealable judgment of a court of competent jurisdiction obtained by any Lender or any L/C Issuer against that Defaulting Lender as a result of that Defaulting Lender’s breach of its obligations under this Agreement; </w:t>
      </w:r>
      <w:r>
        <w:rPr>
          <w:rFonts w:ascii="Times New Roman;serif" w:hAnsi="Times New Roman;serif"/>
          <w:b w:val="false"/>
          <w:color w:val="000000"/>
          <w:sz w:val="22"/>
          <w:u w:val="single"/>
        </w:rPr>
        <w:t>seventh</w:t>
      </w:r>
      <w:r>
        <w:rPr>
          <w:rFonts w:ascii="Times New Roman;serif" w:hAnsi="Times New Roman;serif"/>
          <w:b w:val="false"/>
          <w:color w:val="000000"/>
          <w:sz w:val="22"/>
        </w:rPr>
        <w:t xml:space="preserve">, so long as no Default or Event of Default pursuant to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exists, to the payment of any amounts owing to the Company or any of its Subsidiaries as a result of any non-appealable judgment of a court of competent jurisdiction obtained by the Company or any of its Subsidiaries against that Defaulting Lender as a result of that Defaulting Lender’s breach of its obligations under this Agreement; and </w:t>
      </w:r>
      <w:r>
        <w:rPr>
          <w:rFonts w:ascii="Times New Roman;serif" w:hAnsi="Times New Roman;serif"/>
          <w:b w:val="false"/>
          <w:color w:val="000000"/>
          <w:sz w:val="22"/>
          <w:u w:val="single"/>
        </w:rPr>
        <w:t>eighth</w:t>
      </w:r>
      <w:r>
        <w:rPr>
          <w:rFonts w:ascii="Times New Roman;serif" w:hAnsi="Times New Roman;serif"/>
          <w:b w:val="false"/>
          <w:color w:val="000000"/>
          <w:sz w:val="22"/>
        </w:rPr>
        <w:t xml:space="preserve">, to that Defaulting Lender or as otherwise directed by a court of competent jurisdiction;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2"/>
          <w:u w:val="single"/>
        </w:rPr>
        <w:t>Section 2.17(a)(ii)</w:t>
      </w:r>
      <w:r>
        <w:rPr>
          <w:color w:val="000000"/>
        </w:rPr>
        <w:t xml:space="preserve"> </w:t>
      </w:r>
      <w:r>
        <w:rPr>
          <w:rFonts w:ascii="Times New Roman;serif" w:hAnsi="Times New Roman;serif"/>
          <w:b w:val="false"/>
          <w:color w:val="000000"/>
          <w:sz w:val="22"/>
        </w:rPr>
        <w:t>shall be deemed paid to and redirected by that Defaulting Lender, and each Lender irrevocably consents hereto.</w:t>
      </w:r>
    </w:p>
    <w:p>
      <w:pPr>
        <w:pStyle w:val="TextBody"/>
        <w:bidi w:val="0"/>
        <w:spacing w:before="0" w:after="0"/>
        <w:jc w:val="left"/>
        <w:rPr/>
      </w:pPr>
      <w:r>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6480175" cy="175260"/>
                <wp:effectExtent l="0" t="0" r="0" b="0"/>
                <wp:wrapNone/>
                <wp:docPr id="233" name="Frame2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That Defaulting Lender (x) shall not be entitled to receive any commitment fee pursuant to </w:t>
      </w:r>
      <w:r>
        <w:rPr>
          <w:rFonts w:ascii="Times New Roman;serif" w:hAnsi="Times New Roman;serif"/>
          <w:b w:val="false"/>
          <w:color w:val="000000"/>
          <w:sz w:val="22"/>
          <w:u w:val="single"/>
        </w:rPr>
        <w:t>Section 2.09(a)</w:t>
      </w:r>
      <w:r>
        <w:rPr>
          <w:color w:val="000000"/>
        </w:rPr>
        <w:t xml:space="preserve"> </w:t>
      </w:r>
      <w:r>
        <w:rPr>
          <w:rFonts w:ascii="Times New Roman;serif" w:hAnsi="Times New Roman;serif"/>
          <w:b w:val="false"/>
          <w:color w:val="000000"/>
          <w:sz w:val="22"/>
        </w:rPr>
        <w:t xml:space="preserve">for any period during which that Lender is a Defaulting Lender (and the applicable Borrower shall not be required to pay any such fee that otherwise would have been required to have been paid to that Defaulting Lender) and (y) shall be limited in its right to receive Letter of Credit fees as provided in </w:t>
      </w:r>
      <w:r>
        <w:rPr>
          <w:rFonts w:ascii="Times New Roman;serif" w:hAnsi="Times New Roman;serif"/>
          <w:b w:val="false"/>
          <w:color w:val="000000"/>
          <w:sz w:val="22"/>
          <w:u w:val="single"/>
        </w:rPr>
        <w:t>Section 2.03(h)</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During any period in which there is a Defaulting Lender, for purposes of computing the amount of the obligation of each non-Defaulting Lender to acquire, refinance or fund participations in Letters of Credit pursuant to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the Pro Rata Share of each non-Defaulting Lender under a Revolving Tranche shall be determined without giving effect to the Commitment under such Revolving Tranche of that Defaulting Lender; that the aggregate obligation of each non-Defaulting Lender under a Revolving Tranche to acquire, refinance or fund participations in Letters of Credit issued under such Revolving Tranche shall not exceed the positive difference, if any, of (1) the Commitment under such Revolving Tranche of that non-Defaulting Lender </w:t>
      </w:r>
      <w:r>
        <w:rPr>
          <w:rFonts w:ascii="Times New Roman;serif" w:hAnsi="Times New Roman;serif"/>
          <w:b w:val="false"/>
          <w:i/>
          <w:color w:val="000000"/>
          <w:sz w:val="22"/>
        </w:rPr>
        <w:t>minus</w:t>
      </w:r>
      <w:r>
        <w:rPr>
          <w:color w:val="000000"/>
        </w:rPr>
        <w:t xml:space="preserve"> </w:t>
      </w:r>
      <w:r>
        <w:rPr>
          <w:rFonts w:ascii="Times New Roman;serif" w:hAnsi="Times New Roman;serif"/>
          <w:b w:val="false"/>
          <w:color w:val="000000"/>
          <w:sz w:val="22"/>
        </w:rPr>
        <w:t>(2) the aggregate Outstanding Amount of the Loans under such Revolving Tranche of that Revolving Credit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If the Company, the Administrative Agent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to be held on a pro rata basis by the Lenders in accordance with their ratable shares (without giving effect to the application of </w:t>
      </w:r>
      <w:r>
        <w:rPr>
          <w:rFonts w:ascii="Times New Roman;serif" w:hAnsi="Times New Roman;serif"/>
          <w:b w:val="false"/>
          <w:color w:val="000000"/>
          <w:sz w:val="22"/>
          <w:u w:val="single"/>
        </w:rPr>
        <w:t>Section 2.17(a)(iv)</w:t>
      </w:r>
      <w:r>
        <w:rPr>
          <w:rFonts w:ascii="Times New Roman;serif" w:hAnsi="Times New Roman;serif"/>
          <w:b w:val="false"/>
          <w:color w:val="000000"/>
          <w:sz w:val="22"/>
        </w:rPr>
        <w:t xml:space="preserve">) in respect of that Lender, whereupon that Lender will cease to be a Defaulting Lender; that no adjustments will be made retroactively with respect to fees accrued or payments made by or on behalf of any Borrower while that Lender was a Defaulting Lender; and </w:t>
      </w:r>
      <w:r>
        <w:rPr>
          <w:rFonts w:ascii="Times New Roman;serif" w:hAnsi="Times New Roman;serif"/>
          <w:b w:val="false"/>
          <w:i/>
          <w:color w:val="000000"/>
          <w:sz w:val="22"/>
        </w:rPr>
        <w:t>provided, further</w:t>
      </w:r>
      <w:r>
        <w:rPr>
          <w:rFonts w:ascii="Times New Roman;serif" w:hAnsi="Times New Roman;serif"/>
          <w:b w:val="false"/>
          <w:color w:val="000000"/>
          <w:sz w:val="22"/>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2.18    </w:t>
      </w:r>
      <w:r>
        <w:rPr>
          <w:rFonts w:ascii="Times New Roman;serif" w:hAnsi="Times New Roman;serif"/>
          <w:b w:val="false"/>
          <w:color w:val="000000"/>
          <w:sz w:val="22"/>
          <w:u w:val="single"/>
        </w:rPr>
        <w:t>Specified Refinancing Debt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A Borrower may, from time to time after the Closing Date, add one or more new term loan facilities and new revolving credit facilities to the Facilities (“</w:t>
      </w:r>
      <w:r>
        <w:rPr>
          <w:rFonts w:ascii="Times New Roman;serif" w:hAnsi="Times New Roman;serif"/>
          <w:b/>
          <w:color w:val="000000"/>
          <w:sz w:val="22"/>
        </w:rPr>
        <w:t>Specified Refinancing Debt</w:t>
      </w:r>
      <w:r>
        <w:rPr>
          <w:color w:val="000000"/>
        </w:rPr>
        <w:t>”</w:t>
      </w:r>
      <w:r>
        <w:rPr>
          <w:rFonts w:ascii="Times New Roman;serif" w:hAnsi="Times New Roman;serif"/>
          <w:b w:val="false"/>
          <w:color w:val="000000"/>
          <w:sz w:val="22"/>
        </w:rPr>
        <w:t>; and the commitments in respect of such new term facilities, the “</w:t>
      </w:r>
      <w:r>
        <w:rPr>
          <w:rFonts w:ascii="Times New Roman;serif" w:hAnsi="Times New Roman;serif"/>
          <w:b/>
          <w:color w:val="000000"/>
          <w:sz w:val="22"/>
        </w:rPr>
        <w:t>Specified Refinancing Term Commitment</w:t>
      </w:r>
      <w:r>
        <w:rPr>
          <w:color w:val="000000"/>
        </w:rPr>
        <w:t>”</w:t>
      </w:r>
      <w:r>
        <w:rPr>
          <w:rFonts w:ascii="Times New Roman;serif" w:hAnsi="Times New Roman;serif"/>
          <w:b w:val="false"/>
          <w:color w:val="000000"/>
          <w:sz w:val="22"/>
        </w:rPr>
        <w:t>; and such new term facilities, “</w:t>
      </w:r>
      <w:r>
        <w:rPr>
          <w:rFonts w:ascii="Times New Roman;serif" w:hAnsi="Times New Roman;serif"/>
          <w:b/>
          <w:color w:val="000000"/>
          <w:sz w:val="22"/>
        </w:rPr>
        <w:t>Specified Refinancing Term Facilities</w:t>
      </w:r>
      <w:r>
        <w:rPr>
          <w:color w:val="000000"/>
        </w:rPr>
        <w:t>”</w:t>
      </w:r>
      <w:r>
        <w:rPr>
          <w:rFonts w:ascii="Times New Roman;serif" w:hAnsi="Times New Roman;serif"/>
          <w:b w:val="false"/>
          <w:color w:val="000000"/>
          <w:sz w:val="22"/>
        </w:rPr>
        <w:t>; and the commitments in respect of such new revolving credit facilities, the “</w:t>
      </w:r>
      <w:r>
        <w:rPr>
          <w:rFonts w:ascii="Times New Roman;serif" w:hAnsi="Times New Roman;serif"/>
          <w:b/>
          <w:color w:val="000000"/>
          <w:sz w:val="22"/>
        </w:rPr>
        <w:t>Specified Refinancing Revolving Credit Commitment</w:t>
      </w:r>
      <w:r>
        <w:rPr>
          <w:color w:val="000000"/>
        </w:rPr>
        <w:t>”</w:t>
      </w:r>
      <w:r>
        <w:rPr>
          <w:rFonts w:ascii="Times New Roman;serif" w:hAnsi="Times New Roman;serif"/>
          <w:b w:val="false"/>
          <w:color w:val="000000"/>
          <w:sz w:val="22"/>
        </w:rPr>
        <w:t>) pursuant to procedures reasonably specified by any Person appointed by such Borrower, as agent under such Specified Refinancing Debt (such Person (who may be the Administrative Agent, if it so agrees), the “</w:t>
      </w:r>
      <w:r>
        <w:rPr>
          <w:rFonts w:ascii="Times New Roman;serif" w:hAnsi="Times New Roman;serif"/>
          <w:b/>
          <w:color w:val="000000"/>
          <w:sz w:val="22"/>
        </w:rPr>
        <w:t>Specified Refinancing Agent</w:t>
      </w:r>
      <w:r>
        <w:rPr>
          <w:color w:val="000000"/>
        </w:rPr>
        <w:t>”</w:t>
      </w:r>
      <w:r>
        <w:rPr>
          <w:rFonts w:ascii="Times New Roman;serif" w:hAnsi="Times New Roman;serif"/>
          <w:b w:val="false"/>
          <w:color w:val="000000"/>
          <w:sz w:val="22"/>
        </w:rPr>
        <w:t>) and reasonably acceptable to such Borrower, to refinance (including by extending the maturity):</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(x) all or any portion of any Term Loan Tranches then outstanding under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6480175" cy="175260"/>
                <wp:effectExtent l="0" t="0" r="0" b="0"/>
                <wp:wrapNone/>
                <wp:docPr id="234" name="Frame2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(y) all or any portion of any Revolving Tranches then in effect under this Agreement or</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(z) all or any portion of any Revolving Credit Commitment Increase, Term Commitment Increase, New Term Facility or New Revolving Facility then in effect that was incurred under Section 2.14, in each case pursuant to a Refinancing Amendment;</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provided that: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such Specified Refinancing Debt shall comply with the Incremental Debt Lien/Guarantee Parameters;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such Specified Refinancing Debt shall have such pricing and optional prepayment terms as may be agreed by the applicable Borrower and the applicable Lenders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such Specified Refinancing Debt (x) to the extent constituting Specified Refinancing Revolving Credit Commitments, shall not have a maturity date (or have mandatory commitment reductions or amortization) that is prior to the scheduled Maturity Date of the applicable Revolving Tranche being refinanced and (y) to the extent constituting Specified Refinancing Term Loans, shall have a maturity date that is not prior to the date that is the Latest Maturity Date of, and will have a Weighted Average Life to Maturity that is not shorter than the remaining Weighted Average Life to Maturity of, the Term Loans being refinanced; that </w:t>
      </w:r>
      <w:r>
        <w:rPr>
          <w:rFonts w:ascii="Times New Roman;serif" w:hAnsi="Times New Roman;serif"/>
          <w:b w:val="false"/>
          <w:strike/>
          <w:color w:val="FF0000"/>
          <w:sz w:val="22"/>
        </w:rPr>
        <w:t xml:space="preserve">(x) </w:t>
      </w:r>
      <w:r>
        <w:rPr>
          <w:rFonts w:ascii="Times New Roman;serif" w:hAnsi="Times New Roman;serif"/>
          <w:b w:val="false"/>
          <w:color w:val="000000"/>
          <w:sz w:val="22"/>
        </w:rPr>
        <w:t xml:space="preserve">Extendable Bridge Loans/Interim Debt </w:t>
      </w:r>
      <w:r>
        <w:rPr>
          <w:rFonts w:ascii="Times New Roman;serif" w:hAnsi="Times New Roman;serif"/>
          <w:b w:val="false"/>
          <w:strike/>
          <w:color w:val="FF0000"/>
          <w:sz w:val="22"/>
        </w:rPr>
        <w:t xml:space="preserve">and (y) an aggregate principal amount of Specified Refinancing Term Loans not in excess of the maximum aggregate principal amount then permitted to be incurred in reliance on the Inside Maturity Basket, in each case, </w:t>
      </w:r>
      <w:r>
        <w:rPr>
          <w:rFonts w:ascii="Times New Roman;serif" w:hAnsi="Times New Roman;serif"/>
          <w:b w:val="false"/>
          <w:color w:val="000000"/>
          <w:sz w:val="22"/>
        </w:rPr>
        <w:t>may have a maturity date that is earlier than the Latest Maturity Date of the Term Loans being refinanced and the Weighted Average Life to Maturity thereof may be shorter than the remaining Weighted Average Life to Maturity of the Term Loans being refinanced;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(iv)    such Specified Refinancing Debt, in the case of Specified Refinancing Term Loans, shall share ratably in any mandatory prepayments of the then outstanding Initial Term Loans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(or otherwise provide for more favorable prepayment treatment for the then outstanding Initial Term Loans than the Specified Refinancing Term Loans);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such Specified Refinancing Debt, in the case of Specified Refinancing Revolving Credit Commitments, shall provide that each Revolving Credit Borrowing (including any deemed Revolving Credit Borrowings made pursuant to </w:t>
      </w:r>
      <w:r>
        <w:rPr>
          <w:rFonts w:ascii="Times New Roman;serif" w:hAnsi="Times New Roman;serif"/>
          <w:b w:val="false"/>
          <w:color w:val="000000"/>
          <w:sz w:val="22"/>
          <w:u w:val="single"/>
        </w:rPr>
        <w:t>Section 2.03</w:t>
      </w:r>
      <w:r>
        <w:rPr>
          <w:rFonts w:ascii="Times New Roman;serif" w:hAnsi="Times New Roman;serif"/>
          <w:b w:val="false"/>
          <w:color w:val="000000"/>
          <w:sz w:val="22"/>
        </w:rPr>
        <w:t xml:space="preserve">) and participations in Letters of Credit pursuant to </w:t>
      </w:r>
      <w:r>
        <w:rPr>
          <w:rFonts w:ascii="Times New Roman;serif" w:hAnsi="Times New Roman;serif"/>
          <w:b w:val="false"/>
          <w:color w:val="000000"/>
          <w:sz w:val="22"/>
          <w:u w:val="single"/>
        </w:rPr>
        <w:t>Section 2.03</w:t>
      </w:r>
      <w:r>
        <w:rPr>
          <w:color w:val="000000"/>
        </w:rPr>
        <w:t xml:space="preserve"> </w:t>
      </w:r>
      <w:r>
        <w:rPr>
          <w:rFonts w:ascii="Times New Roman;serif" w:hAnsi="Times New Roman;serif"/>
          <w:b w:val="false"/>
          <w:color w:val="000000"/>
          <w:sz w:val="22"/>
        </w:rPr>
        <w:t>shall be allocated pro rata among the Revolving Tranches;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    the Net Cash Proceeds of such Specified Refinancing Debt shall be applied, substantially concurrently with the incurrence thereof, to the pro rata prepayment of outstanding Loans or Commitments being so refinanced (or less than the pro rata prepayment of outstanding Loans made by any Term Lenders or the Revolving Credit Lenders, as applicable, that will be lenders of the Specified Refinancing Debt, as approved by such Term Lenders or the Revolving Credit Lenders, as applicable); that in the case of Revolving Credit Loans, a corresponding amount of Revolving Credit Commitments shall be permanently reduced, in each case pursuant to </w:t>
      </w:r>
      <w:r>
        <w:rPr>
          <w:rFonts w:ascii="Times New Roman;serif" w:hAnsi="Times New Roman;serif"/>
          <w:b w:val="false"/>
          <w:color w:val="000000"/>
          <w:sz w:val="22"/>
          <w:u w:val="single"/>
        </w:rPr>
        <w:t>Sections 2.05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2.06</w:t>
      </w:r>
      <w:r>
        <w:rPr>
          <w:rFonts w:ascii="Times New Roman;serif" w:hAnsi="Times New Roman;serif"/>
          <w:b w:val="false"/>
          <w:color w:val="000000"/>
          <w:sz w:val="22"/>
        </w:rPr>
        <w:t>, as applicable, and the payment of fees, expenses and premiums, if any, payable in connection therewith;</w:t>
      </w:r>
    </w:p>
    <w:p>
      <w:pPr>
        <w:pStyle w:val="TextBody"/>
        <w:bidi w:val="0"/>
        <w:spacing w:before="0" w:after="0"/>
        <w:jc w:val="left"/>
        <w:rPr/>
      </w:pPr>
      <w:r>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6480175" cy="175260"/>
                <wp:effectExtent l="0" t="0" r="0" b="0"/>
                <wp:wrapNone/>
                <wp:docPr id="235" name="Frame2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i/>
          <w:color w:val="000000"/>
          <w:sz w:val="22"/>
        </w:rPr>
        <w:t>provided, however</w:t>
      </w:r>
      <w:r>
        <w:rPr>
          <w:rFonts w:ascii="Times New Roman;serif" w:hAnsi="Times New Roman;serif"/>
          <w:b w:val="false"/>
          <w:color w:val="000000"/>
          <w:sz w:val="22"/>
        </w:rPr>
        <w:t>, that such Specified Refinancing Debt shall not have a principal or commitment amount (or accreted value) greater than the Loans or Commitments being refinanced (plus an amount equal to accrued interest, fees, discounts, premiums and expenses).</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Any Lender approached to provide all or a portion of any Specified Refinancing Debt may elect or decline, in its sole discretion, to provide such Specified Refinancing Debt. To achieve the full amount of a requested issuance of Specified Refinancing Debt, and subject to the approval of the Administrative Agent and each L/C Issuer in the case of Specified Refinancing Revolving Credit Commitments, the applicable Borrower may also invite additional Eligible Assignees to become Lenders in respect of such Specified Refinancing Debt pursuant to a joinder agreement to this Agreement in form and substance reasonably satisfactory to the Specified Refinancing Agent. For the avoidance of doubt, any allocations of Specified Refinancing Debt shall be made at the applicable Borrower’s sole discretion, and the applicable Borrower will not be obligated to allocate any Specified Refinancing Debt to any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The effectiveness of any Refinancing Amendment shall be subject to conditions as are mutually agreed with the participating Lenders providing such Specified Refinancing Debt and to the extent reasonably requested by the Specified Refinancing Agent and expressly set forth in the documentation relating to such Specified Refinancing Debt, receipt by the Specified Refinancing Agent of legal opinions, board resolutions, officers’ certificates and/or reaffirmation agreements with respect to the applicable Borrower and the Guarantors, including any supplements or amendments to the Collateral Documents providing for such Specified Refinancing Debt to be secured thereby, consistent with those delivered on the Closing Date under </w:t>
      </w:r>
      <w:r>
        <w:rPr>
          <w:rFonts w:ascii="Times New Roman;serif" w:hAnsi="Times New Roman;serif"/>
          <w:b w:val="false"/>
          <w:color w:val="000000"/>
          <w:sz w:val="22"/>
          <w:u w:val="single"/>
        </w:rPr>
        <w:t>Section 4.01</w:t>
      </w:r>
      <w:r>
        <w:rPr>
          <w:color w:val="000000"/>
        </w:rPr>
        <w:t xml:space="preserve"> </w:t>
      </w:r>
      <w:r>
        <w:rPr>
          <w:rFonts w:ascii="Times New Roman;serif" w:hAnsi="Times New Roman;serif"/>
          <w:b w:val="false"/>
          <w:color w:val="000000"/>
          <w:sz w:val="22"/>
        </w:rPr>
        <w:t xml:space="preserve">or delivered from time to time pursuant to </w:t>
      </w:r>
      <w:r>
        <w:rPr>
          <w:rFonts w:ascii="Times New Roman;serif" w:hAnsi="Times New Roman;serif"/>
          <w:b w:val="false"/>
          <w:color w:val="000000"/>
          <w:sz w:val="22"/>
          <w:u w:val="single"/>
        </w:rPr>
        <w:t>Sections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6.14</w:t>
      </w:r>
      <w:r>
        <w:rPr>
          <w:color w:val="000000"/>
        </w:rPr>
        <w:t xml:space="preserve"> </w:t>
      </w:r>
      <w:r>
        <w:rPr>
          <w:rFonts w:ascii="Times New Roman;serif" w:hAnsi="Times New Roman;serif"/>
          <w:b w:val="false"/>
          <w:color w:val="000000"/>
          <w:sz w:val="22"/>
        </w:rPr>
        <w:t xml:space="preserve">and/or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 xml:space="preserve">(other than changes to such legal opinions resulting from a change in Law, change in fact or change to counsel’s form of opinion). The Lenders hereby authorize the Specified Refinancing Agent to enter into amendments to this Agreement and the other Loan Documents with the applicable Borrower as may be necessary in order to establish new Tranches of Specified Refinancing Debt and to make such technical amendments as may be necessary or appropriate in the reasonable opinion of the Specified Refinancing Agent and such Borrower in connection with the establishment of such new Tranches, in each case on terms consistent with and/or to effect the provisions of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Each class of Specified Refinancing Debt incurred under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shall be in an aggregate principal amount that is (x) not less than $5,000,000 (or the equivalent Dollar Amount) and (y) an integral multiple of $1,000,000 (or the equivalent Dollar Amount) in excess thereof. Any Refinancing Amendment may provide for the issuance of Letters of Credit for the account of the applicable Borrower in respect of a Revolving Tranche pursuant to any revolving credit facility established thereby, in each case on terms substantially equivalent to the terms applicable to Letters of Credit under the Revolving Credit Commitments.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applicable Borrower, the Specified Refinancing Agent and the Lenders providing such Specified Refinancing Debt, effect such amendments to this Agreement and the other Loan Documents as may be necessary or appropriate, in the reasonable opinion of the Specified Refinancing </w:t>
      </w:r>
    </w:p>
    <w:p>
      <w:pPr>
        <w:pStyle w:val="TextBody"/>
        <w:bidi w:val="0"/>
        <w:spacing w:before="0" w:after="0"/>
        <w:jc w:val="left"/>
        <w:rPr/>
      </w:pPr>
      <w:r>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6480175" cy="175260"/>
                <wp:effectExtent l="0" t="0" r="0" b="0"/>
                <wp:wrapNone/>
                <wp:docPr id="236" name="Frame2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Agent and the applicable Borrower, to effect the provisions of or consistent with this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In addition, if so provided in the relevant Refinancing Amendment and with the consent of each L/C Issuer, participations in Letters of Credit expiring on or after the scheduled Maturity Date in respect of a Revolving Tranche shall be reallocated from Lenders holding Revolving Credit Commitments to Lenders holding extended revolving commitments in accordance with the terms of such Refinancing Amendment;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 If the Specified Refinancing Agent is not the Administrative Agent, the actions authorized to be taken by the Specified Refinancing Agent herein shall be done in consultation with the Administrative Agent and, with respect to the preparation of any documentation necessary or appropriate to carry out the provisions of this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(including amendments to this Agreement and the other Loan Documents), any comments to such documentation reasonably requested by the Administrative Agent shall be reflected therein.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2.19    </w:t>
      </w:r>
      <w:r>
        <w:rPr>
          <w:rFonts w:ascii="Times New Roman;serif" w:hAnsi="Times New Roman;serif"/>
          <w:b w:val="false"/>
          <w:color w:val="000000"/>
          <w:sz w:val="22"/>
          <w:u w:val="single"/>
        </w:rPr>
        <w:t>Extension of Term Loans and Revolving Credit Commitments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A Borrower may at any time and from time to time request that all or a portion of the (i) Term Loans of one or more Tranches existing at the time of such request (each, an “</w:t>
      </w:r>
      <w:r>
        <w:rPr>
          <w:rFonts w:ascii="Times New Roman;serif" w:hAnsi="Times New Roman;serif"/>
          <w:b/>
          <w:color w:val="000000"/>
          <w:sz w:val="22"/>
        </w:rPr>
        <w:t>Existing Term Tranche</w:t>
      </w:r>
      <w:r>
        <w:rPr>
          <w:color w:val="000000"/>
        </w:rPr>
        <w:t>”</w:t>
      </w:r>
      <w:r>
        <w:rPr>
          <w:rFonts w:ascii="Times New Roman;serif" w:hAnsi="Times New Roman;serif"/>
          <w:b w:val="false"/>
          <w:color w:val="000000"/>
          <w:sz w:val="22"/>
        </w:rPr>
        <w:t>, and the Term Loans of such Tranche, the “</w:t>
      </w:r>
      <w:r>
        <w:rPr>
          <w:rFonts w:ascii="Times New Roman;serif" w:hAnsi="Times New Roman;serif"/>
          <w:b/>
          <w:color w:val="000000"/>
          <w:sz w:val="22"/>
        </w:rPr>
        <w:t>Existing Term Loans</w:t>
      </w:r>
      <w:r>
        <w:rPr>
          <w:color w:val="000000"/>
        </w:rPr>
        <w:t>”</w:t>
      </w:r>
      <w:r>
        <w:rPr>
          <w:rFonts w:ascii="Times New Roman;serif" w:hAnsi="Times New Roman;serif"/>
          <w:b w:val="false"/>
          <w:color w:val="000000"/>
          <w:sz w:val="22"/>
        </w:rPr>
        <w:t>) or (ii) Revolving Credit Commitments of one or more Tranches existing at the time of such request (each, an “</w:t>
      </w:r>
      <w:r>
        <w:rPr>
          <w:rFonts w:ascii="Times New Roman;serif" w:hAnsi="Times New Roman;serif"/>
          <w:b/>
          <w:color w:val="000000"/>
          <w:sz w:val="22"/>
        </w:rPr>
        <w:t>Existing Revolving Tranche</w:t>
      </w:r>
      <w:r>
        <w:rPr>
          <w:color w:val="000000"/>
        </w:rPr>
        <w:t xml:space="preserve">” </w:t>
      </w:r>
      <w:r>
        <w:rPr>
          <w:rFonts w:ascii="Times New Roman;serif" w:hAnsi="Times New Roman;serif"/>
          <w:b w:val="false"/>
          <w:color w:val="000000"/>
          <w:sz w:val="22"/>
        </w:rPr>
        <w:t>and together with the Existing Term Tranches, each an “</w:t>
      </w:r>
      <w:r>
        <w:rPr>
          <w:rFonts w:ascii="Times New Roman;serif" w:hAnsi="Times New Roman;serif"/>
          <w:b/>
          <w:color w:val="000000"/>
          <w:sz w:val="22"/>
        </w:rPr>
        <w:t>Existing Tranche</w:t>
      </w:r>
      <w:r>
        <w:rPr>
          <w:color w:val="000000"/>
        </w:rPr>
        <w:t>”</w:t>
      </w:r>
      <w:r>
        <w:rPr>
          <w:rFonts w:ascii="Times New Roman;serif" w:hAnsi="Times New Roman;serif"/>
          <w:b w:val="false"/>
          <w:color w:val="000000"/>
          <w:sz w:val="22"/>
        </w:rPr>
        <w:t>, and the Revolving Credit Commitments of such Existing Revolving Tranche together with the Existing Term Loans, the “</w:t>
      </w:r>
      <w:r>
        <w:rPr>
          <w:rFonts w:ascii="Times New Roman;serif" w:hAnsi="Times New Roman;serif"/>
          <w:b/>
          <w:color w:val="000000"/>
          <w:sz w:val="22"/>
        </w:rPr>
        <w:t>Existing Loans</w:t>
      </w:r>
      <w:r>
        <w:rPr>
          <w:color w:val="000000"/>
        </w:rPr>
        <w:t>”</w:t>
      </w:r>
      <w:r>
        <w:rPr>
          <w:rFonts w:ascii="Times New Roman;serif" w:hAnsi="Times New Roman;serif"/>
          <w:b w:val="false"/>
          <w:color w:val="000000"/>
          <w:sz w:val="22"/>
        </w:rPr>
        <w:t>), in each case, be converted to extend the scheduled maturity date(s) of any payment of principal with respect to all or a portion of any principal amount of any Existing Tranche (any such Existing Tranche which has been so extended, an “</w:t>
      </w:r>
      <w:r>
        <w:rPr>
          <w:rFonts w:ascii="Times New Roman;serif" w:hAnsi="Times New Roman;serif"/>
          <w:b/>
          <w:color w:val="000000"/>
          <w:sz w:val="22"/>
        </w:rPr>
        <w:t>Extended Term Tranche</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Extended Revolving Tranche</w:t>
      </w:r>
      <w:r>
        <w:rPr>
          <w:color w:val="000000"/>
        </w:rPr>
        <w:t>”</w:t>
      </w:r>
      <w:r>
        <w:rPr>
          <w:rFonts w:ascii="Times New Roman;serif" w:hAnsi="Times New Roman;serif"/>
          <w:b w:val="false"/>
          <w:color w:val="000000"/>
          <w:sz w:val="22"/>
        </w:rPr>
        <w:t>, as applicable, and each an “</w:t>
      </w:r>
      <w:r>
        <w:rPr>
          <w:rFonts w:ascii="Times New Roman;serif" w:hAnsi="Times New Roman;serif"/>
          <w:b/>
          <w:color w:val="000000"/>
          <w:sz w:val="22"/>
        </w:rPr>
        <w:t>Extended Tranche</w:t>
      </w:r>
      <w:r>
        <w:rPr>
          <w:color w:val="000000"/>
        </w:rPr>
        <w:t>”</w:t>
      </w:r>
      <w:r>
        <w:rPr>
          <w:rFonts w:ascii="Times New Roman;serif" w:hAnsi="Times New Roman;serif"/>
          <w:b w:val="false"/>
          <w:color w:val="000000"/>
          <w:sz w:val="22"/>
        </w:rPr>
        <w:t>, and the Term Loans or Revolving Credit Commitments, as applicable, of such Extended Tranches, the “</w:t>
      </w:r>
      <w:r>
        <w:rPr>
          <w:rFonts w:ascii="Times New Roman;serif" w:hAnsi="Times New Roman;serif"/>
          <w:b/>
          <w:color w:val="000000"/>
          <w:sz w:val="22"/>
        </w:rPr>
        <w:t>Extended Term Loans</w:t>
      </w:r>
      <w:r>
        <w:rPr>
          <w:color w:val="000000"/>
        </w:rPr>
        <w:t xml:space="preserve">” </w:t>
      </w:r>
      <w:r>
        <w:rPr>
          <w:rFonts w:ascii="Times New Roman;serif" w:hAnsi="Times New Roman;serif"/>
          <w:b w:val="false"/>
          <w:color w:val="000000"/>
          <w:sz w:val="22"/>
        </w:rPr>
        <w:t>or “</w:t>
      </w:r>
      <w:r>
        <w:rPr>
          <w:rFonts w:ascii="Times New Roman;serif" w:hAnsi="Times New Roman;serif"/>
          <w:b/>
          <w:color w:val="000000"/>
          <w:sz w:val="22"/>
        </w:rPr>
        <w:t>Extended Revolving Commitments</w:t>
      </w:r>
      <w:r>
        <w:rPr>
          <w:color w:val="000000"/>
        </w:rPr>
        <w:t>”</w:t>
      </w:r>
      <w:r>
        <w:rPr>
          <w:rFonts w:ascii="Times New Roman;serif" w:hAnsi="Times New Roman;serif"/>
          <w:b w:val="false"/>
          <w:color w:val="000000"/>
          <w:sz w:val="22"/>
        </w:rPr>
        <w:t>, as applicable, and collectively, the “</w:t>
      </w:r>
      <w:r>
        <w:rPr>
          <w:rFonts w:ascii="Times New Roman;serif" w:hAnsi="Times New Roman;serif"/>
          <w:b/>
          <w:color w:val="000000"/>
          <w:sz w:val="22"/>
        </w:rPr>
        <w:t>Extended Loans</w:t>
      </w:r>
      <w:r>
        <w:rPr>
          <w:color w:val="000000"/>
        </w:rPr>
        <w:t>”</w:t>
      </w:r>
      <w:r>
        <w:rPr>
          <w:rFonts w:ascii="Times New Roman;serif" w:hAnsi="Times New Roman;serif"/>
          <w:b w:val="false"/>
          <w:color w:val="000000"/>
          <w:sz w:val="22"/>
        </w:rPr>
        <w:t xml:space="preserve">) and to provide for other terms consistent with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that (i) any such request shall be made by the applicable Borrower to certain Lenders specified by such Borrower with Term Loans or Revolving Credit Commitments, as applicable, with a like maturity date (whether under one or more Tranches) on a pro rata basis (based on the aggregate outstanding principal amount of the Term Loans or on the aggregate Revolving Credit Commitments, as applicable) and (ii) any applicable Minimum Extension Condition shall be satisfied unless waived by such Borrower in its sole discretion. In order to establish any Extended Tranche, the applicable Borrower shall provide a notice to the Administrative Agent (in such capacity, the “</w:t>
      </w:r>
      <w:r>
        <w:rPr>
          <w:rFonts w:ascii="Times New Roman;serif" w:hAnsi="Times New Roman;serif"/>
          <w:b/>
          <w:color w:val="000000"/>
          <w:sz w:val="22"/>
        </w:rPr>
        <w:t>Extended Loans Agent</w:t>
      </w:r>
      <w:r>
        <w:rPr>
          <w:color w:val="000000"/>
        </w:rPr>
        <w:t>”</w:t>
      </w:r>
      <w:r>
        <w:rPr>
          <w:rFonts w:ascii="Times New Roman;serif" w:hAnsi="Times New Roman;serif"/>
          <w:b w:val="false"/>
          <w:color w:val="000000"/>
          <w:sz w:val="22"/>
        </w:rPr>
        <w:t>) (who shall provide a copy of such notice to each of the requested Lenders of the applicable Existing Tranche) (an “</w:t>
      </w:r>
      <w:r>
        <w:rPr>
          <w:rFonts w:ascii="Times New Roman;serif" w:hAnsi="Times New Roman;serif"/>
          <w:b/>
          <w:color w:val="000000"/>
          <w:sz w:val="22"/>
        </w:rPr>
        <w:t>Extension Request</w:t>
      </w:r>
      <w:r>
        <w:rPr>
          <w:color w:val="000000"/>
        </w:rPr>
        <w:t>”</w:t>
      </w:r>
      <w:r>
        <w:rPr>
          <w:rFonts w:ascii="Times New Roman;serif" w:hAnsi="Times New Roman;serif"/>
          <w:b w:val="false"/>
          <w:color w:val="000000"/>
          <w:sz w:val="22"/>
        </w:rPr>
        <w:t>) setting forth the proposed terms of the Extended Tranche to be established, which terms shall be substantially similar to those applicable to the Existing Tranche from which they are to be extended (the “</w:t>
      </w:r>
      <w:r>
        <w:rPr>
          <w:rFonts w:ascii="Times New Roman;serif" w:hAnsi="Times New Roman;serif"/>
          <w:b/>
          <w:color w:val="000000"/>
          <w:sz w:val="22"/>
        </w:rPr>
        <w:t>Specified Existing Tranche</w:t>
      </w:r>
      <w:r>
        <w:rPr>
          <w:color w:val="000000"/>
        </w:rPr>
        <w:t>”</w:t>
      </w:r>
      <w:r>
        <w:rPr>
          <w:rFonts w:ascii="Times New Roman;serif" w:hAnsi="Times New Roman;serif"/>
          <w:b w:val="false"/>
          <w:color w:val="000000"/>
          <w:sz w:val="22"/>
        </w:rPr>
        <w:t xml:space="preserve">), except that (w) all or any of the final maturity dates of such Extended Tranches shall be delayed to later dates than the final maturity dates of the Specified Existing Tranche, (x) (A) the interest margins with respect to the Extended Tranche may be higher or lower than the interest margins for the Specified Existing Tranche and/or (B) additional fees may be payable to the Lenders providing such Extended Tranche in addition to or in lieu of any increased margins contemplated by the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(y) in the case of any Extended Term Tranche, such Extended Term Tranche shall share ratably in any mandatory prepayments of the then outstanding Initial Term Loans pursuant to </w:t>
      </w:r>
      <w:r>
        <w:rPr>
          <w:rFonts w:ascii="Times New Roman;serif" w:hAnsi="Times New Roman;serif"/>
          <w:b w:val="false"/>
          <w:color w:val="000000"/>
          <w:sz w:val="22"/>
          <w:u w:val="single"/>
        </w:rPr>
        <w:t>Section 2.05</w:t>
      </w:r>
      <w:r>
        <w:rPr>
          <w:color w:val="000000"/>
        </w:rPr>
        <w:t xml:space="preserve"> </w:t>
      </w:r>
      <w:r>
        <w:rPr>
          <w:rFonts w:ascii="Times New Roman;serif" w:hAnsi="Times New Roman;serif"/>
          <w:b w:val="false"/>
          <w:color w:val="000000"/>
          <w:sz w:val="22"/>
        </w:rPr>
        <w:t>(or otherwise provide for more favorable mandatory prepayment treatment for the then outstanding Initial Term Loans than such Extended Term Tranche) and (z) in the case of any Extended Term Tranche</w:t>
      </w:r>
      <w:r>
        <w:rPr>
          <w:strike/>
          <w:color w:val="008000"/>
        </w:rPr>
        <w:t xml:space="preserve"> </w:t>
      </w:r>
      <w:r>
        <w:rPr>
          <w:rFonts w:ascii="Times New Roman;serif" w:hAnsi="Times New Roman;serif"/>
          <w:b w:val="false"/>
          <w:strike/>
          <w:color w:val="008000"/>
          <w:sz w:val="22"/>
        </w:rPr>
        <w:t xml:space="preserve">(other than </w:t>
      </w:r>
      <w:r>
        <w:rPr>
          <w:rFonts w:ascii="Times New Roman;serif" w:hAnsi="Times New Roman;serif"/>
          <w:b w:val="false"/>
          <w:strike/>
          <w:color w:val="FF0000"/>
          <w:sz w:val="22"/>
        </w:rPr>
        <w:t xml:space="preserve">any Extended </w:t>
      </w:r>
    </w:p>
    <w:p>
      <w:pPr>
        <w:pStyle w:val="TextBody"/>
        <w:bidi w:val="0"/>
        <w:spacing w:before="0" w:after="0"/>
        <w:jc w:val="left"/>
        <w:rPr/>
      </w:pPr>
      <w:r>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6480175" cy="175260"/>
                <wp:effectExtent l="0" t="0" r="0" b="0"/>
                <wp:wrapNone/>
                <wp:docPr id="237" name="Frame2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Term Tranche </w:t>
      </w:r>
      <w:r>
        <w:rPr>
          <w:rFonts w:ascii="Times New Roman;serif" w:hAnsi="Times New Roman;serif"/>
          <w:b w:val="false"/>
          <w:strike/>
          <w:color w:val="008000"/>
          <w:sz w:val="22"/>
        </w:rPr>
        <w:t xml:space="preserve">in an aggregate principal amount </w:t>
      </w:r>
      <w:r>
        <w:rPr>
          <w:rFonts w:ascii="Times New Roman;serif" w:hAnsi="Times New Roman;serif"/>
          <w:b w:val="false"/>
          <w:strike/>
          <w:color w:val="FF0000"/>
          <w:sz w:val="22"/>
        </w:rPr>
        <w:t xml:space="preserve">not in excess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maximum aggregate principal amount then permitted to be incurred in reliance </w:t>
      </w:r>
      <w:r>
        <w:rPr>
          <w:rFonts w:ascii="Times New Roman;serif" w:hAnsi="Times New Roman;serif"/>
          <w:b w:val="false"/>
          <w:strike/>
          <w:color w:val="008000"/>
          <w:sz w:val="22"/>
        </w:rPr>
        <w:t xml:space="preserve">on the </w:t>
      </w:r>
      <w:r>
        <w:rPr>
          <w:rFonts w:ascii="Times New Roman;serif" w:hAnsi="Times New Roman;serif"/>
          <w:b w:val="false"/>
          <w:strike/>
          <w:color w:val="FF0000"/>
          <w:sz w:val="22"/>
        </w:rPr>
        <w:t>Inside Maturity Basket),</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 xml:space="preserve">so long as the Weighted Average Life to Maturity of such Extended Tranche would be no shorter than the remaining Weighted Average Life to Maturity of the Specified Existing Tranche, amortization rates with respect to the Extended Term Tranche may be higher or lower than the amortization rates for the Specified Existing Tranche, in each case to the extent provided in the applicable Extension Amendment; that, notwithstanding anything to the contrary in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or otherwise, assignments and participations of Extended Tranches shall be governed by the same or, at the applicable Borrower’s discretion, more restrictive assignment and participation provisions applicable to Initial Term Loans or Revolving Credit Commitments, as applicable, set forth in </w:t>
      </w:r>
      <w:r>
        <w:rPr>
          <w:rFonts w:ascii="Times New Roman;serif" w:hAnsi="Times New Roman;serif"/>
          <w:b w:val="false"/>
          <w:color w:val="000000"/>
          <w:sz w:val="22"/>
          <w:u w:val="single"/>
        </w:rPr>
        <w:t>Section 10.07</w:t>
      </w:r>
      <w:r>
        <w:rPr>
          <w:rFonts w:ascii="Times New Roman;serif" w:hAnsi="Times New Roman;serif"/>
          <w:b w:val="false"/>
          <w:color w:val="000000"/>
          <w:sz w:val="22"/>
        </w:rPr>
        <w:t xml:space="preserve">. No requested Lender shall have any obligation to agree to have any of its Existing Loans converted into an Extended Tranche pursuant to any Extension Request and the commitment of any L/C Issuer to issue or maintain Letters of Credit shall not be extended pursuant to an extension of any Existing Revolving Tranche pursuant to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without its written consent. Any Extended Tranche shall constitute a separate Tranche of Loans from the Specified Existing Tranches and from any other Existing Tranches (together with any other Extended Tranches so established on such date). On the Extension Date applicable to any applicable Revolving Tranche under the Revolving Credit Facility, the applicable Borrower shall prepay the Revolving Credit Loans or L/C Advances (to the extent participated to Revolving Credit Lenders) outstanding on such Extension Date applicable to the relevant Revolving Tranche (and pay any additional amounts required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 xml:space="preserve">) to the extent necessary to keep the outstanding Revolving Credit Loans or L/C Advances (to the extent participated to Revolving Credit Lenders), as applicable, applicable to the non-extending Revolving Credit Lenders under such Revolving Tranche in accordance with any revised Pro Rata Share of a Revolving Credit Lender in respect of the extended Revolving Credit Facility arising from any non-ratable Extension to the Revolving Credit Commitments under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(b)    The applicable Borrower shall provide the applicable Extension Request at least ten (10) Business Days (or such shorter period as the Extended Loans Agent may agree in its sole discretion) prior to the date on which Lenders under the applicable Existing Tranche or Existing Tranches are requested to respond. Any Lender (an “</w:t>
      </w:r>
      <w:r>
        <w:rPr>
          <w:rFonts w:ascii="Times New Roman;serif" w:hAnsi="Times New Roman;serif"/>
          <w:b/>
          <w:color w:val="000000"/>
          <w:sz w:val="22"/>
        </w:rPr>
        <w:t>Extending Lender</w:t>
      </w:r>
      <w:r>
        <w:rPr>
          <w:color w:val="000000"/>
        </w:rPr>
        <w:t>”</w:t>
      </w:r>
      <w:r>
        <w:rPr>
          <w:rFonts w:ascii="Times New Roman;serif" w:hAnsi="Times New Roman;serif"/>
          <w:b w:val="false"/>
          <w:color w:val="000000"/>
          <w:sz w:val="22"/>
        </w:rPr>
        <w:t>) wishing to have all or a portion of its Specified Existing Tranche converted into an Extended Tranche shall notify the Extended Loans Agent (each, an “</w:t>
      </w:r>
      <w:r>
        <w:rPr>
          <w:rFonts w:ascii="Times New Roman;serif" w:hAnsi="Times New Roman;serif"/>
          <w:b/>
          <w:color w:val="000000"/>
          <w:sz w:val="22"/>
        </w:rPr>
        <w:t>Extension Election</w:t>
      </w:r>
      <w:r>
        <w:rPr>
          <w:color w:val="000000"/>
        </w:rPr>
        <w:t>”</w:t>
      </w:r>
      <w:r>
        <w:rPr>
          <w:rFonts w:ascii="Times New Roman;serif" w:hAnsi="Times New Roman;serif"/>
          <w:b w:val="false"/>
          <w:color w:val="000000"/>
          <w:sz w:val="22"/>
        </w:rPr>
        <w:t xml:space="preserve">)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(each, an “</w:t>
      </w:r>
      <w:r>
        <w:rPr>
          <w:rFonts w:ascii="Times New Roman;serif" w:hAnsi="Times New Roman;serif"/>
          <w:b/>
          <w:color w:val="000000"/>
          <w:sz w:val="22"/>
        </w:rPr>
        <w:t>Extension</w:t>
      </w:r>
      <w:r>
        <w:rPr>
          <w:color w:val="000000"/>
        </w:rPr>
        <w:t>”</w:t>
      </w:r>
      <w:r>
        <w:rPr>
          <w:rFonts w:ascii="Times New Roman;serif" w:hAnsi="Times New Roman;serif"/>
          <w:b w:val="false"/>
          <w:color w:val="000000"/>
          <w:sz w:val="22"/>
        </w:rPr>
        <w:t xml:space="preserve">), the applicable Borrower and Extended Loans Agent shall agree to such procedures regarding timing, rounding, lender revocation and other administrative adjustments to ensure reasonable administrative management of the credit facilities hereunder after such Extension, in each case acting reasonably to accomplish the purposes of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Such Borrower may amend, revoke or replace an Extension Request pursuant to procedures reasonably acceptable to the Extended Loans Agent at any time prior to the date on which Lenders under the applicable Existing Term Tranche or Existing Term Tranches are requested to respond to the Extension Request.</w:t>
      </w:r>
    </w:p>
    <w:p>
      <w:pPr>
        <w:pStyle w:val="TextBody"/>
        <w:bidi w:val="0"/>
        <w:spacing w:lineRule="auto" w:line="288" w:before="0" w:after="240"/>
        <w:ind w:left="0" w:right="0" w:firstLine="720"/>
        <w:jc w:val="left"/>
        <w:rPr/>
      </w:pPr>
      <w:r>
        <w:rPr>
          <w:rFonts w:ascii="Times New Roman;serif" w:hAnsi="Times New Roman;serif"/>
          <w:b w:val="false"/>
          <w:color w:val="000000"/>
          <w:sz w:val="22"/>
        </w:rPr>
        <w:t>(c)    Extended Tranches shall be established pursuant to an amendment (an “</w:t>
      </w:r>
      <w:r>
        <w:rPr>
          <w:rFonts w:ascii="Times New Roman;serif" w:hAnsi="Times New Roman;serif"/>
          <w:b/>
          <w:color w:val="000000"/>
          <w:sz w:val="22"/>
        </w:rPr>
        <w:t>Extension Amendment</w:t>
      </w:r>
      <w:r>
        <w:rPr>
          <w:color w:val="000000"/>
        </w:rPr>
        <w:t>”</w:t>
      </w:r>
      <w:r>
        <w:rPr>
          <w:rFonts w:ascii="Times New Roman;serif" w:hAnsi="Times New Roman;serif"/>
          <w:b w:val="false"/>
          <w:color w:val="000000"/>
          <w:sz w:val="22"/>
        </w:rPr>
        <w:t xml:space="preserve">) to this Agreement (which may include amendments to provisions related to maturity, interest margins or fees referenced in clauses (x) and (y) of </w:t>
      </w:r>
      <w:r>
        <w:rPr>
          <w:rFonts w:ascii="Times New Roman;serif" w:hAnsi="Times New Roman;serif"/>
          <w:b w:val="false"/>
          <w:color w:val="000000"/>
          <w:sz w:val="22"/>
          <w:u w:val="single"/>
        </w:rPr>
        <w:t>Section 2.19(a)</w:t>
      </w:r>
      <w:r>
        <w:rPr>
          <w:rFonts w:ascii="Times New Roman;serif" w:hAnsi="Times New Roman;serif"/>
          <w:b w:val="false"/>
          <w:color w:val="000000"/>
          <w:sz w:val="22"/>
        </w:rPr>
        <w:t xml:space="preserve">, or, in the case of Extended Term Tranches, amortization rates referenced in </w:t>
      </w:r>
      <w:r>
        <w:rPr>
          <w:rFonts w:ascii="Times New Roman;serif" w:hAnsi="Times New Roman;serif"/>
          <w:b w:val="false"/>
          <w:color w:val="000000"/>
          <w:sz w:val="22"/>
          <w:u w:val="single"/>
        </w:rPr>
        <w:t>clause (z)</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2.19(a)</w:t>
      </w:r>
      <w:r>
        <w:rPr>
          <w:rFonts w:ascii="Times New Roman;serif" w:hAnsi="Times New Roman;serif"/>
          <w:b w:val="false"/>
          <w:color w:val="000000"/>
          <w:sz w:val="22"/>
        </w:rPr>
        <w:t xml:space="preserve">, and which, in each case, </w:t>
      </w:r>
    </w:p>
    <w:p>
      <w:pPr>
        <w:pStyle w:val="TextBody"/>
        <w:bidi w:val="0"/>
        <w:spacing w:before="0" w:after="0"/>
        <w:jc w:val="left"/>
        <w:rPr/>
      </w:pPr>
      <w:r>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6480175" cy="175260"/>
                <wp:effectExtent l="0" t="0" r="0" b="0"/>
                <wp:wrapNone/>
                <wp:docPr id="238" name="Frame2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except to the extent expressly contemplated by the last sentence of this </w:t>
      </w:r>
      <w:r>
        <w:rPr>
          <w:rFonts w:ascii="Times New Roman;serif" w:hAnsi="Times New Roman;serif"/>
          <w:b w:val="false"/>
          <w:color w:val="000000"/>
          <w:sz w:val="22"/>
          <w:u w:val="single"/>
        </w:rPr>
        <w:t>Section 2.19(c)</w:t>
      </w:r>
      <w:r>
        <w:rPr>
          <w:color w:val="000000"/>
        </w:rPr>
        <w:t xml:space="preserve"> </w:t>
      </w:r>
      <w:r>
        <w:rPr>
          <w:rFonts w:ascii="Times New Roman;serif" w:hAnsi="Times New Roman;serif"/>
          <w:b w:val="false"/>
          <w:color w:val="000000"/>
          <w:sz w:val="22"/>
        </w:rPr>
        <w:t xml:space="preserve">and notwithstanding anything to the contrary set forth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shall not require the consent of any Lender other than the Extending Lenders with respect to the Extended Tranches established thereby) executed by the Loan Parties, the Extended Loans Agent, and the Extending Lenders. Subject to the requirements of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and without limiting the generality or applicability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to any Section 2.19 Additional Amendments (as defined below), any Extension Amendment may provide for additional terms and/or additional amendments other than those referred to or contemplated above (any such additional amendment, a “</w:t>
      </w:r>
      <w:r>
        <w:rPr>
          <w:rFonts w:ascii="Times New Roman;serif" w:hAnsi="Times New Roman;serif"/>
          <w:b/>
          <w:color w:val="000000"/>
          <w:sz w:val="22"/>
        </w:rPr>
        <w:t>Section 2.19 Additional Amendment</w:t>
      </w:r>
      <w:r>
        <w:rPr>
          <w:color w:val="000000"/>
        </w:rPr>
        <w:t>”</w:t>
      </w:r>
      <w:r>
        <w:rPr>
          <w:rFonts w:ascii="Times New Roman;serif" w:hAnsi="Times New Roman;serif"/>
          <w:b w:val="false"/>
          <w:color w:val="000000"/>
          <w:sz w:val="22"/>
        </w:rPr>
        <w:t xml:space="preserve">) to this Agreement and the other Loan Documents; that such Section 2.19 Additional Amendments do not become effective prior to the time that such Section 2.19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2.19 Additional Amendments to become effective in accordance with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such Extended Tranche shall comply with the Incremental Debt Lien/Guarantee Parameters. Notwithstanding anything to the contrary in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any such Extension Amendment may, without the consent of any other Lenders, effect such amendments to any Loan Documents as may be necessary or appropriate, in the reasonable judgment of the applicable Borrower and the Extended Loans Agent, to effect the provisions of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that the foregoing shall not constitute a consent on behalf of any Lender to the terms of any Section 2.19 Additional Amendment. The Lenders hereby authorize the Extended Loans Agent to enter into amendments to this Agreement and the other Loan Documents with the applicable Borrower as may be necessary in order to establish any Extended Loans and to make such technical amendments as may be necessary or appropriate in the reasonable opinion of the Extended Loans Agent and such Borrower in connection with the establishment of such Extended Loans, in each case on terms consistent with and/or to effect the provisions of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(d)    Notwithstanding anything to the contrary contained in this Agreement, on any date on which any Existing Tranche is converted to extend the related scheduled maturity date(s) in accordance with clause (a) above (an “</w:t>
      </w:r>
      <w:r>
        <w:rPr>
          <w:rFonts w:ascii="Times New Roman;serif" w:hAnsi="Times New Roman;serif"/>
          <w:b/>
          <w:color w:val="000000"/>
          <w:sz w:val="22"/>
        </w:rPr>
        <w:t>Extension Date</w:t>
      </w:r>
      <w:r>
        <w:rPr>
          <w:color w:val="000000"/>
        </w:rPr>
        <w:t>”</w:t>
      </w:r>
      <w:r>
        <w:rPr>
          <w:rFonts w:ascii="Times New Roman;serif" w:hAnsi="Times New Roman;serif"/>
          <w:b w:val="false"/>
          <w:color w:val="000000"/>
          <w:sz w:val="22"/>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(e)    If, in connection with any proposed Extension Amendment, any requested Lender declines to consent to the applicable extension on the terms and by the deadline set forth in the applicable Extension Request (each such other Lender, a “</w:t>
      </w:r>
      <w:r>
        <w:rPr>
          <w:rFonts w:ascii="Times New Roman;serif" w:hAnsi="Times New Roman;serif"/>
          <w:b/>
          <w:color w:val="000000"/>
          <w:sz w:val="22"/>
        </w:rPr>
        <w:t>Non-Extending Lender</w:t>
      </w:r>
      <w:r>
        <w:rPr>
          <w:color w:val="000000"/>
        </w:rPr>
        <w:t>”</w:t>
      </w:r>
      <w:r>
        <w:rPr>
          <w:rFonts w:ascii="Times New Roman;serif" w:hAnsi="Times New Roman;serif"/>
          <w:b w:val="false"/>
          <w:color w:val="000000"/>
          <w:sz w:val="22"/>
        </w:rPr>
        <w:t xml:space="preserve">) then the applicable Borrower may, on notice to the Extended Loans Agent and the Non-Extending Lender, replace such Non-Extending Lender by causing such Lender to (and such Lender shall be obligated to) assign pursuant to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 xml:space="preserve">(with the assignment fee and any other costs and expenses to be paid by the applicable Borrower in such instance) all of its rights and obligations under this Agreement to one or more assignees; that neither the Extended Loans Agent nor any Lender shall have any obligation to the applicable Borrower to find a replacement Lender;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applicable assignee shall have agreed to provide Extended Loans on the terms set forth in such Extension Amendment;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all obligations of the applicable Borrower owing to the Non-Extending Lender relating to the Existing Loans so assigned shall be paid in full by the assignee Lender to such Non-Extending Lender concurrently with such Assignment and Assumption. In connection with any such replacement under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if the Non-Extending Lender does not execute and deliver to the Extended Loans Agent a duly completed Assignment and </w:t>
      </w:r>
    </w:p>
    <w:p>
      <w:pPr>
        <w:pStyle w:val="TextBody"/>
        <w:bidi w:val="0"/>
        <w:spacing w:before="0" w:after="0"/>
        <w:jc w:val="left"/>
        <w:rPr/>
      </w:pPr>
      <w:r>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6480175" cy="175260"/>
                <wp:effectExtent l="0" t="0" r="0" b="0"/>
                <wp:wrapNone/>
                <wp:docPr id="239" name="Frame2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Assumption by the later of (A) the date on which the replacement Lender executes and delivers such Assignment and Assumption and (B) the date as of which all obligations of the applicable Borrower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applicable Borrower shall be entitled (but not obligated) to execute and deliver such Assignment and Assumption on behalf of such Non-Extending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(f)    Following any Extension Date, with the written consent of the applicable Borrower, any Non-Extending Lender may elect to have all or a portion of its Existing Loans deemed to be an Extended Loan under the applicable Extended Tranche on any date (each date a “</w:t>
      </w:r>
      <w:r>
        <w:rPr>
          <w:rFonts w:ascii="Times New Roman;serif" w:hAnsi="Times New Roman;serif"/>
          <w:b/>
          <w:color w:val="000000"/>
          <w:sz w:val="22"/>
        </w:rPr>
        <w:t>Designation Date</w:t>
      </w:r>
      <w:r>
        <w:rPr>
          <w:color w:val="000000"/>
        </w:rPr>
        <w:t>”</w:t>
      </w:r>
      <w:r>
        <w:rPr>
          <w:rFonts w:ascii="Times New Roman;serif" w:hAnsi="Times New Roman;serif"/>
          <w:b w:val="false"/>
          <w:color w:val="000000"/>
          <w:sz w:val="22"/>
        </w:rPr>
        <w:t xml:space="preserve">) prior to the maturity date of such Extended Tranche; that such Lender shall have provided written notice to the applicable Borrower and the Extended Loans Agent at least ten Business Days prior to such Designation Date (or such shorter period as the Administrative Agent may agree in its reasonable discretion); </w:t>
      </w:r>
      <w:r>
        <w:rPr>
          <w:rFonts w:ascii="Times New Roman;serif" w:hAnsi="Times New Roman;serif"/>
          <w:b w:val="false"/>
          <w:i/>
          <w:color w:val="000000"/>
          <w:sz w:val="22"/>
        </w:rPr>
        <w:t>provided, further</w:t>
      </w:r>
      <w:r>
        <w:rPr>
          <w:rFonts w:ascii="Times New Roman;serif" w:hAnsi="Times New Roman;serif"/>
          <w:b w:val="false"/>
          <w:color w:val="000000"/>
          <w:sz w:val="22"/>
        </w:rPr>
        <w:t>, that no greater amount shall be paid by or on behalf of the applicable Borrower or any of its Affiliates to any such Non-Extending Lender as consideration for its extension into such Extended Tranche than was paid to any Extending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With respect to all Extensions consummated by a Borrower pursuant to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(i) such Extensions shall not constitute optional or mandatory payments or prepayments for purposes of </w:t>
      </w:r>
      <w:r>
        <w:rPr>
          <w:rFonts w:ascii="Times New Roman;serif" w:hAnsi="Times New Roman;serif"/>
          <w:b w:val="false"/>
          <w:color w:val="000000"/>
          <w:sz w:val="22"/>
          <w:u w:val="single"/>
        </w:rPr>
        <w:t>Sections 2.05(a)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and (ii) no Extension Request is required to be in any minimum amount or any minimum increment; that the applicable Borrower may at its election specify as a condition (a “</w:t>
      </w:r>
      <w:r>
        <w:rPr>
          <w:rFonts w:ascii="Times New Roman;serif" w:hAnsi="Times New Roman;serif"/>
          <w:b/>
          <w:color w:val="000000"/>
          <w:sz w:val="22"/>
        </w:rPr>
        <w:t>Minimum Extension Condition</w:t>
      </w:r>
      <w:r>
        <w:rPr>
          <w:color w:val="000000"/>
        </w:rPr>
        <w:t>”</w:t>
      </w:r>
      <w:r>
        <w:rPr>
          <w:rFonts w:ascii="Times New Roman;serif" w:hAnsi="Times New Roman;serif"/>
          <w:b w:val="false"/>
          <w:color w:val="000000"/>
          <w:sz w:val="22"/>
        </w:rPr>
        <w:t xml:space="preserve">) to consummating any such Extension that a minimum amount (to be determined and specified in the relevant Extension Request in such Borrower’s sole discretion and may be waived by such Borrower) of Existing Loans of any or all applicable Tranches be extended. The Administrative Agent and the Lenders hereby consent to the transactions contemplated by this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(including, for the avoidance of doubt, payment of any interest, fees or premium in respect of any Extended Loans on such terms as may be set forth in the relevant Extension Request) and hereby waive the requirements of any provision of this Agreement (including, without limitation, </w:t>
      </w:r>
      <w:r>
        <w:rPr>
          <w:rFonts w:ascii="Times New Roman;serif" w:hAnsi="Times New Roman;serif"/>
          <w:b w:val="false"/>
          <w:color w:val="000000"/>
          <w:sz w:val="22"/>
          <w:u w:val="single"/>
        </w:rPr>
        <w:t>Sections 2.05(a)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2.07</w:t>
      </w:r>
      <w:r>
        <w:rPr>
          <w:rFonts w:ascii="Times New Roman;serif" w:hAnsi="Times New Roman;serif"/>
          <w:b w:val="false"/>
          <w:color w:val="000000"/>
          <w:sz w:val="22"/>
        </w:rPr>
        <w:t xml:space="preserve">) or any other Loan Document that may otherwise prohibit any such Extension or any other transaction contemplated by this </w:t>
      </w:r>
      <w:r>
        <w:rPr>
          <w:rFonts w:ascii="Times New Roman;serif" w:hAnsi="Times New Roman;serif"/>
          <w:b w:val="false"/>
          <w:color w:val="000000"/>
          <w:sz w:val="22"/>
          <w:u w:val="single"/>
        </w:rPr>
        <w:t>Section 2.19</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2.20    </w:t>
      </w:r>
      <w:r>
        <w:rPr>
          <w:rFonts w:ascii="Times New Roman;serif" w:hAnsi="Times New Roman;serif"/>
          <w:b w:val="false"/>
          <w:color w:val="000000"/>
          <w:sz w:val="22"/>
          <w:u w:val="single"/>
        </w:rPr>
        <w:t>Permitted Debt Exchanges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Notwithstanding anything to the contrary contained in this Agreement, pursuant to one or more offers (each, a “</w:t>
      </w:r>
      <w:r>
        <w:rPr>
          <w:rFonts w:ascii="Times New Roman;serif" w:hAnsi="Times New Roman;serif"/>
          <w:b/>
          <w:color w:val="000000"/>
          <w:sz w:val="22"/>
        </w:rPr>
        <w:t>Permitted Debt Exchange Offer</w:t>
      </w:r>
      <w:r>
        <w:rPr>
          <w:color w:val="000000"/>
        </w:rPr>
        <w:t>”</w:t>
      </w:r>
      <w:r>
        <w:rPr>
          <w:rFonts w:ascii="Times New Roman;serif" w:hAnsi="Times New Roman;serif"/>
          <w:b w:val="false"/>
          <w:color w:val="000000"/>
          <w:sz w:val="22"/>
        </w:rPr>
        <w:t>) made from time to time by a Borrower, a Borrower may from time to time following the Closing Date consummate one or more exchanges of Term Loans for Permitted Debt Exchange Notes (each such exchange a “</w:t>
      </w:r>
      <w:r>
        <w:rPr>
          <w:rFonts w:ascii="Times New Roman;serif" w:hAnsi="Times New Roman;serif"/>
          <w:b/>
          <w:color w:val="000000"/>
          <w:sz w:val="22"/>
        </w:rPr>
        <w:t>Permitted Debt Exchange</w:t>
      </w:r>
      <w:r>
        <w:rPr>
          <w:color w:val="000000"/>
        </w:rPr>
        <w:t>”</w:t>
      </w:r>
      <w:r>
        <w:rPr>
          <w:rFonts w:ascii="Times New Roman;serif" w:hAnsi="Times New Roman;serif"/>
          <w:b w:val="false"/>
          <w:color w:val="000000"/>
          <w:sz w:val="22"/>
        </w:rPr>
        <w:t xml:space="preserve">) with any Lender (other than any Lender that, if requested by the applicable Borrower, is unable to certify that it is either a “qualified institutional buyer” (as defined in Rule 144A under the Securities Act) or an institutional “accredited investor” (as defined in Rule 501 under the Securities Act)),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w:t>
      </w:r>
    </w:p>
    <w:p>
      <w:pPr>
        <w:pStyle w:val="TextBody"/>
        <w:bidi w:val="0"/>
        <w:spacing w:before="0" w:after="0"/>
        <w:jc w:val="left"/>
        <w:rPr/>
      </w:pPr>
      <w:r>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6480175" cy="175260"/>
                <wp:effectExtent l="0" t="0" r="0" b="0"/>
                <wp:wrapNone/>
                <wp:docPr id="240" name="Frame2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thereof) of Permitted Debt Exchange Notes issued in exchange for such Term Loans; that the aggregate principal amount of the Permitted Debt Exchange Notes may include accrued interest and premium (if any) under the Term Loans exchanged and underwriting discounts, fees, commissions and other amounts referred to in </w:t>
      </w:r>
      <w:r>
        <w:rPr>
          <w:rFonts w:ascii="Times New Roman;serif" w:hAnsi="Times New Roman;serif"/>
          <w:b w:val="false"/>
          <w:color w:val="000000"/>
          <w:sz w:val="22"/>
          <w:u w:val="single"/>
        </w:rPr>
        <w:t>clause (3)</w:t>
      </w:r>
      <w:r>
        <w:rPr>
          <w:color w:val="000000"/>
        </w:rPr>
        <w:t xml:space="preserve"> </w:t>
      </w:r>
      <w:r>
        <w:rPr>
          <w:rFonts w:ascii="Times New Roman;serif" w:hAnsi="Times New Roman;serif"/>
          <w:b w:val="false"/>
          <w:color w:val="000000"/>
          <w:sz w:val="22"/>
        </w:rPr>
        <w:t>of the definition of “Refinancing Indebtedness” in connection with the issuance of such Permitted Debt Exchange Notes, (iii) the aggregate principal amount (calculated on the face amount thereof) of all Term Loans exchanged by the applicable Borrower pursuant to any Permitted Debt Exchange shall automatically be cancelled and retired by the applicable Borrower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applicable Borrower for immediate cancellation), (iv) if the aggregate principal amount of all Term Loans (calculated on the face amount thereof) tendered by Lenders in respect of the relevant Permitted Debt Exchange Offer (with no Lender being permitted to tender a principal amount of Term Loans which exceeds the principal amount thereof actually held by it) shall exceed the maximum aggregate principal amount of such Term Loans offered to be exchanged by the applicable Borrower pursuant to such Permitted Debt Exchange Offer, then the applicable Borrower shall exchange Term Loans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applicable Borrower and the Exchange Agent and (vi) any applicable Minimum Tender Condition (as defined below) shall be satisfied.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With respect to all Permitted Debt Exchanges effected by a Borrower pursuant to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xml:space="preserve">, (i) such Permitted Debt Exchanges (and the cancellation of the exchanged Term Loans in connection therewith) shall not constitute voluntary or mandatory payments or prepayments for purposes of </w:t>
      </w:r>
      <w:r>
        <w:rPr>
          <w:rFonts w:ascii="Times New Roman;serif" w:hAnsi="Times New Roman;serif"/>
          <w:b w:val="false"/>
          <w:color w:val="000000"/>
          <w:sz w:val="22"/>
          <w:u w:val="single"/>
        </w:rPr>
        <w:t>Section 2.05(a)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and (ii) such Permitted Debt Exchange Offer shall be made for not less than $5,000,000 (or the equivalent Dollar Amount) in aggregate principal amount of Term Loans; that subject to the foregoing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the applicable Borrower may at its election specify as a condition (a “</w:t>
      </w:r>
      <w:r>
        <w:rPr>
          <w:rFonts w:ascii="Times New Roman;serif" w:hAnsi="Times New Roman;serif"/>
          <w:b/>
          <w:color w:val="000000"/>
          <w:sz w:val="22"/>
        </w:rPr>
        <w:t>Minimum Tender Condition</w:t>
      </w:r>
      <w:r>
        <w:rPr>
          <w:color w:val="000000"/>
        </w:rPr>
        <w:t>”</w:t>
      </w:r>
      <w:r>
        <w:rPr>
          <w:rFonts w:ascii="Times New Roman;serif" w:hAnsi="Times New Roman;serif"/>
          <w:b w:val="false"/>
          <w:color w:val="000000"/>
          <w:sz w:val="22"/>
        </w:rPr>
        <w:t>) to consummating any such Permitted Debt Exchange that a minimum amount (to be determined and specified in the relevant Permitted Debt Exchange Offer in such Borrower’s discretion) of Term Loans of any or all applicable classes be tendered.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In connection with each Permitted Debt Exchange, the applicable Borrower and the Exchange Agent shall mutually agree to such procedures as may be necessary or advisable to accomplish the purposes of this </w:t>
      </w:r>
      <w:r>
        <w:rPr>
          <w:rFonts w:ascii="Times New Roman;serif" w:hAnsi="Times New Roman;serif"/>
          <w:b w:val="false"/>
          <w:color w:val="000000"/>
          <w:sz w:val="22"/>
          <w:u w:val="single"/>
        </w:rPr>
        <w:t>Section 2.20</w:t>
      </w:r>
      <w:r>
        <w:rPr>
          <w:color w:val="000000"/>
        </w:rPr>
        <w:t xml:space="preserve"> </w:t>
      </w:r>
      <w:r>
        <w:rPr>
          <w:rFonts w:ascii="Times New Roman;serif" w:hAnsi="Times New Roman;serif"/>
          <w:b w:val="false"/>
          <w:color w:val="000000"/>
          <w:sz w:val="22"/>
        </w:rPr>
        <w:t xml:space="preserve">and without conflict with </w:t>
      </w:r>
      <w:r>
        <w:rPr>
          <w:rFonts w:ascii="Times New Roman;serif" w:hAnsi="Times New Roman;serif"/>
          <w:b w:val="false"/>
          <w:color w:val="000000"/>
          <w:sz w:val="22"/>
          <w:u w:val="single"/>
        </w:rPr>
        <w:t>Section 2.20(d)</w:t>
      </w:r>
      <w:r>
        <w:rPr>
          <w:rFonts w:ascii="Times New Roman;serif" w:hAnsi="Times New Roman;serif"/>
          <w:b w:val="false"/>
          <w:color w:val="000000"/>
          <w:sz w:val="22"/>
        </w:rPr>
        <w:t>; that the terms of any Permitted Debt Exchange Offer shall provide that the date by which the relevant Lenders are required to indicate their election to participate in such Permitted Debt Exchange shall be not less than a reasonable period (in the discretion of such Borrower and the Exchange Agent) of time following the date on which the Permitted Debt Exchange Offer is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The applicable Borrower shall be responsible for compliance with, and hereby agrees to comply with, all applicable securities and other laws and regulations in connection with each Permitted Debt Exchange, it being understood and agreed that (x) none of the Exchange Agent, the Administrative Agent nor any Lender assumes any responsibility in connection with such Borrower’s compliance with such laws and regulations in connection with any Permitted Debt Exchange (other than such Borrower’s reliance on any certificate delivered pursuant to </w:t>
      </w:r>
      <w:r>
        <w:rPr>
          <w:rFonts w:ascii="Times New Roman;serif" w:hAnsi="Times New Roman;serif"/>
          <w:b w:val="false"/>
          <w:color w:val="000000"/>
          <w:sz w:val="22"/>
          <w:u w:val="single"/>
        </w:rPr>
        <w:t>Section 2.20(a)</w:t>
      </w:r>
      <w:r>
        <w:rPr>
          <w:color w:val="000000"/>
        </w:rPr>
        <w:t xml:space="preserve"> </w:t>
      </w:r>
      <w:r>
        <w:rPr>
          <w:rFonts w:ascii="Times New Roman;serif" w:hAnsi="Times New Roman;serif"/>
          <w:b w:val="false"/>
          <w:color w:val="000000"/>
          <w:sz w:val="22"/>
        </w:rPr>
        <w:t xml:space="preserve">above for which such Lender shall bear sole responsibility) and (y) each Lender shall be solely responsible for its compliance with any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6480175" cy="175260"/>
                <wp:effectExtent l="0" t="0" r="0" b="0"/>
                <wp:wrapNone/>
                <wp:docPr id="241" name="Frame2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color w:val="000000"/>
        </w:rPr>
      </w:pPr>
      <w:r>
        <w:rPr>
          <w:color w:val="000000"/>
        </w:rPr>
        <w:t>“</w:t>
      </w:r>
      <w:r>
        <w:rPr>
          <w:rFonts w:ascii="Times New Roman;serif" w:hAnsi="Times New Roman;serif"/>
          <w:b w:val="false"/>
          <w:color w:val="000000"/>
          <w:sz w:val="22"/>
        </w:rPr>
        <w:t>insider trading” laws and regulations to which such Lender may be subject under the Exchange Act, and/or other applicable securities laws and regulations.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If the Exchange Agent is not the Administrative Agent, the actions authorized to be taken by the Exchange Agent herein shall be done in consultation with the Administrative Agent and, with respect to the preparation of any documentation necessary or appropriate to carry out the provisions of this </w:t>
      </w:r>
      <w:r>
        <w:rPr>
          <w:rFonts w:ascii="Times New Roman;serif" w:hAnsi="Times New Roman;serif"/>
          <w:b w:val="false"/>
          <w:color w:val="000000"/>
          <w:sz w:val="22"/>
          <w:u w:val="single"/>
        </w:rPr>
        <w:t>Section 2.20</w:t>
      </w:r>
      <w:r>
        <w:rPr>
          <w:rFonts w:ascii="Times New Roman;serif" w:hAnsi="Times New Roman;serif"/>
          <w:b w:val="false"/>
          <w:color w:val="000000"/>
          <w:sz w:val="22"/>
        </w:rPr>
        <w:t>, any comments to such documentation reasonably requested by the Administrative Agent shall be reflected therein.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2.21    </w:t>
      </w:r>
      <w:r>
        <w:rPr>
          <w:rFonts w:ascii="Times New Roman;serif" w:hAnsi="Times New Roman;serif"/>
          <w:b w:val="false"/>
          <w:color w:val="000000"/>
          <w:sz w:val="22"/>
          <w:u w:val="single"/>
        </w:rPr>
        <w:t>Additional Alternative Currencies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 Borrower may from time to time request that Revolving Credit Loans be made and/or Letters of Credit be issued in a currency other than those specifically listed in the definition of “Alternative Currency”; that such requested currency is a lawful currency that is readily available and freely transferable and convertible into Dollars. In the case of any such request with respect to the making of Revolving Credit Loans, such request shall be subject to the approval of the Administrative Agent and the Revolving Credit Lenders; and, in the case of any such request with respect to the issuance of Letters of Credit, such request shall be subject to the approval of the Administrative Agent and the applicable L/C Issuer.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such request shall be made to the Administrative Agent not later than 11:00 a.m. ten Business Days prior to the date of the desired Borrowing (or such other time or date as may be agreed by the Administrative Agent and, in the case of any such request pertaining to Letters of Credit, the relevant L/C Issuer, in its or their sole discretion). In the case of any such request pertaining to Revolving Credit Loans, the Administrative Agent shall promptly notify each Revolving Credit Lender thereof and in the case of any such request pertaining to Letters of Credit, the Administrative Agent shall promptly notify the relevant L/C Issuer. Each such Revolving Credit Lender (in the case of any such request pertaining to Revolving Credit Loans) or the L/C Issuer (in the case of a request pertaining to Letters of Credit) shall notify the Administrative Agent not later than 11:00 a.m. five Business Days after receipt of such request whether it consents, in its sole discretion, to the making of Revolving Credit Loans or the issuance of Letters of Credit, as applicable, in the requested currency.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Any failure by any Revolving Credit Lender or any L/C Issuer, as applicable, to respond to such request within the time period specified in the preceding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be deemed to be a refusal by such Revolving Credit Lender or L/C Issuer, as applicable, to permit Revolving Credit Loans to be made or Letters of Credit to be issued in such requested currency. If the Administrative Agent and all the Revolving Credit Lenders that would be obligated to make Revolving Credit Loans denominated in such requested currency consent to making Revolving Credit Loans in such requested currency, the Administrative Agent shall so notify the applicable Borrower and such currency shall thereupon be deemed for all purposes to be an Alternative Currency hereunder for purposes of any Borrowings of Revolving Credit Loans; and if the Administrative Agent and the relevant L/C Issuer consent to the issuance of Letters of Credit in such requested currency, the Administrative Agent shall so notify the applicable Borrower and such currency shall thereupon be deemed for all purposes to be an Alternative Currency hereunder for purposes of any Letter of Credit issuances. If the Administrative Agent shall fail to obtain the requisite consent to any request for an additional currency under this </w:t>
      </w:r>
      <w:r>
        <w:rPr>
          <w:rFonts w:ascii="Times New Roman;serif" w:hAnsi="Times New Roman;serif"/>
          <w:b w:val="false"/>
          <w:color w:val="000000"/>
          <w:sz w:val="22"/>
          <w:u w:val="single"/>
        </w:rPr>
        <w:t>Section 2.21</w:t>
      </w:r>
      <w:r>
        <w:rPr>
          <w:rFonts w:ascii="Times New Roman;serif" w:hAnsi="Times New Roman;serif"/>
          <w:b w:val="false"/>
          <w:color w:val="000000"/>
          <w:sz w:val="22"/>
        </w:rPr>
        <w:t>, the Administrative Agent shall promptly so notify the applicable Borrower.</w:t>
      </w:r>
    </w:p>
    <w:p>
      <w:pPr>
        <w:pStyle w:val="TextBody"/>
        <w:bidi w:val="0"/>
        <w:spacing w:before="0" w:after="0"/>
        <w:jc w:val="left"/>
        <w:rPr/>
      </w:pPr>
      <w:r>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6480175" cy="175260"/>
                <wp:effectExtent l="0" t="0" r="0" b="0"/>
                <wp:wrapNone/>
                <wp:docPr id="242" name="Frame2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III</w:t>
      </w:r>
      <w:r>
        <w:rPr>
          <w:rFonts w:ascii="Times New Roman;serif" w:hAnsi="Times New Roman;serif"/>
          <w:b/>
          <w:color w:val="000000"/>
          <w:sz w:val="22"/>
        </w:rPr>
        <w:br/>
        <w:br/>
        <w:t>TAXES, INCREASED COSTS PROTECTION AND ILLEGALITY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3.01    </w:t>
      </w:r>
      <w:r>
        <w:rPr>
          <w:rFonts w:ascii="Times New Roman;serif" w:hAnsi="Times New Roman;serif"/>
          <w:b w:val="false"/>
          <w:color w:val="000000"/>
          <w:sz w:val="22"/>
          <w:u w:val="single"/>
        </w:rPr>
        <w:t>Taxes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All payments by or on account of any obligation of any Borrower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 applicable Withholding Agent shall be entitled to make such deduction or withholding and shall timely pay the full amount deducted or withheld to the relevant Governmental Authority in accordance with applicable Law and, if such Tax is an Indemnified Tax, the sum payable by the applicable Loan Party shall be increased as necessary so that after all such deductions or withholdings for Indemnified Taxes have been made (including such deductions and withholdings for Indemnified Taxes applicable to additional sums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Administrative Agent (for amounts paid to the Administrative Agent in its own right) or Lender receives an amount equal to the sum it would have received had no such deduction or withholding for Indemnified Taxes been made.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In addition but without duplication, the Loan Parties shall timely pay to the relevant Governmental Authority in accordance with applicable Law, or at the option of the Administrative Agent timely reimburse it for the payment of, any Other Taxes.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Without duplication of amounts paid pursuant to </w:t>
      </w:r>
      <w:r>
        <w:rPr>
          <w:rFonts w:ascii="Times New Roman;serif" w:hAnsi="Times New Roman;serif"/>
          <w:b w:val="false"/>
          <w:color w:val="000000"/>
          <w:sz w:val="22"/>
          <w:u w:val="single"/>
        </w:rPr>
        <w:t>Section 3.01(a)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3.01(b)</w:t>
      </w:r>
      <w:r>
        <w:rPr>
          <w:rFonts w:ascii="Times New Roman;serif" w:hAnsi="Times New Roman;serif"/>
          <w:b w:val="false"/>
          <w:color w:val="000000"/>
          <w:sz w:val="22"/>
        </w:rPr>
        <w:t xml:space="preserve">, the Loan Parties shall jointly and severally indemnify each Recipient, within 30 days after receipt by the applicable Loan Party of written demand therefor, for the full amount of any Indemnified Taxes (including Indemnified Taxes imposed or asserted on or attributable to amounts payable under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payable or paid by such Recipient or required to be withheld or deducted from a payment to or for the account of such Recipient and any reasonable out-of-pocket expenses arising therefrom or with respect thereto, whether or not such Indemnified Taxes were correctly or legally imposed or asserted by the relevant Governmental Authority. A certificate setting forth in reasonable detail the calculation of the amount of such payment or liability delivered to the applicable Borrower by a Lender (with a copy to the Administrative Agent), or by the Administrative Agent on its own behalf or on behalf of a Lender, shall be conclusive absent manifest error.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As soon as reasonably practicable after any payment of Taxes by any Loan Party to a Governmental Authority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If any Recipient determines, in its sole discretion exercised in good faith, that it has received a refund of any Indemnified Taxes as to which it has been indemnified pursuant to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(including by the payment of additional amounts pursuant to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it shall pay to the indemnifying party an amount equal to such refund (but only to the extent of indemnity payments made under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with respect to the Indemnified Taxes giving rise to such refund), net of all </w:t>
      </w:r>
    </w:p>
    <w:p>
      <w:pPr>
        <w:pStyle w:val="TextBody"/>
        <w:bidi w:val="0"/>
        <w:spacing w:before="0" w:after="0"/>
        <w:jc w:val="left"/>
        <w:rPr/>
      </w:pPr>
      <w:r>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6480175" cy="175260"/>
                <wp:effectExtent l="0" t="0" r="0" b="0"/>
                <wp:wrapNone/>
                <wp:docPr id="243" name="Frame2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reasonable out-of-pocket expenses (including Taxes) of such indemnified party and without interest (other than any interest paid by the relevant Governmental Authority with respect to such refund). Such indemnifying party, upon the request of such indemnified party (which request shall include a copy of any notice of assessment or other evidence of any requirement to repay such refund, </w:t>
      </w:r>
      <w:r>
        <w:rPr>
          <w:rFonts w:ascii="Times New Roman;serif" w:hAnsi="Times New Roman;serif"/>
          <w:b w:val="false"/>
          <w:i/>
          <w:color w:val="000000"/>
          <w:sz w:val="22"/>
        </w:rPr>
        <w:t>, that</w:t>
      </w:r>
      <w:r>
        <w:rPr>
          <w:rFonts w:ascii="Times New Roman;serif" w:hAnsi="Times New Roman;serif"/>
          <w:b w:val="false"/>
          <w:color w:val="000000"/>
          <w:sz w:val="22"/>
        </w:rPr>
        <w:t xml:space="preserve">, such Recipient may redact any information therein that such Recipient deems confidential), shall promptly repay to such indemnified party the amount paid over pursuant to this </w:t>
      </w:r>
      <w:r>
        <w:rPr>
          <w:rFonts w:ascii="Times New Roman;serif" w:hAnsi="Times New Roman;serif"/>
          <w:b w:val="false"/>
          <w:color w:val="000000"/>
          <w:sz w:val="22"/>
          <w:u w:val="single"/>
        </w:rPr>
        <w:t>Section 3.01(f)</w:t>
      </w:r>
      <w:r>
        <w:rPr>
          <w:color w:val="000000"/>
        </w:rPr>
        <w:t xml:space="preserve"> </w:t>
      </w:r>
      <w:r>
        <w:rPr>
          <w:rFonts w:ascii="Times New Roman;serif" w:hAnsi="Times New Roman;serif"/>
          <w:b w:val="false"/>
          <w:color w:val="000000"/>
          <w:sz w:val="22"/>
        </w:rPr>
        <w:t xml:space="preserve">(plus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erif" w:hAnsi="Times New Roman;serif"/>
          <w:b w:val="false"/>
          <w:color w:val="000000"/>
          <w:sz w:val="22"/>
          <w:u w:val="single"/>
        </w:rPr>
        <w:t>Section 3.01(f)</w:t>
      </w:r>
      <w:r>
        <w:rPr>
          <w:rFonts w:ascii="Times New Roman;serif" w:hAnsi="Times New Roman;serif"/>
          <w:b w:val="false"/>
          <w:color w:val="000000"/>
          <w:sz w:val="22"/>
        </w:rPr>
        <w:t xml:space="preserve">, in no event will the indemnified party be required to pay any amount to an indemnifying party pursuant to this </w:t>
      </w:r>
      <w:r>
        <w:rPr>
          <w:rFonts w:ascii="Times New Roman;serif" w:hAnsi="Times New Roman;serif"/>
          <w:b w:val="false"/>
          <w:color w:val="000000"/>
          <w:sz w:val="22"/>
          <w:u w:val="single"/>
        </w:rPr>
        <w:t>Section 3.01(f)</w:t>
      </w:r>
      <w:r>
        <w:rPr>
          <w:color w:val="000000"/>
        </w:rPr>
        <w:t xml:space="preserve"> </w:t>
      </w:r>
      <w:r>
        <w:rPr>
          <w:rFonts w:ascii="Times New Roman;serif" w:hAnsi="Times New Roman;serif"/>
          <w:b w:val="false"/>
          <w:color w:val="000000"/>
          <w:sz w:val="22"/>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erif" w:hAnsi="Times New Roman;serif"/>
          <w:b w:val="false"/>
          <w:color w:val="000000"/>
          <w:sz w:val="22"/>
          <w:u w:val="single"/>
        </w:rPr>
        <w:t>Section 3.01(f)</w:t>
      </w:r>
      <w:r>
        <w:rPr>
          <w:color w:val="000000"/>
        </w:rPr>
        <w:t xml:space="preserve"> </w:t>
      </w:r>
      <w:r>
        <w:rPr>
          <w:rFonts w:ascii="Times New Roman;serif" w:hAnsi="Times New Roman;serif"/>
          <w:b w:val="false"/>
          <w:color w:val="000000"/>
          <w:sz w:val="22"/>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(i) Any Lender that is entitled to an exemption from or reduction of withholding Tax with respect to any payments made under any Loan Document shall deliver to the applicable Borrower and the Administrative Agent, at the time or times reasonably requested by such Borrower or the Administrative Agent and at the time or times prescribed by applicable Law, such properly completed and executed documentation reasonably requested by such Borrower or the Administrative Agent or prescribed by applicable Law as will permit such payments to be made without withholding or at a reduced rate of withholding. In addition, any Lender, if reasonably requested by such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Without limiting the generality of the foregoing,</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(A)    any Lender that is a U.S. Person shall deliver to the Borrower and the Administrative Agent (in such number as shall be requested by the recipient) on or prior to the date on which such Lender becomes a Lender under this Agreement (and from time to time thereafter upon the reasonable request of the Borrower or the Administrative Agent) a properly completed and duly executed IRS Form W-9 (or any successor form) certifying that such Lender is exempt from U.S. federal backup withholding Tax;</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(B)    any Non-U.S. Lender shall, to the extent it is legally eligible to do so, deliver to the Borrower and the Administrative Agent (in such number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(1)    in the case of a Non-U.S. Lender claiming the benefits of an income tax treaty to which the United States is a party, a properly completed and duly executed IRS Form W-8BEN or IRS Form W-8BEN-E, as applicable (or </w:t>
      </w:r>
    </w:p>
    <w:p>
      <w:pPr>
        <w:pStyle w:val="TextBody"/>
        <w:bidi w:val="0"/>
        <w:spacing w:before="0" w:after="0"/>
        <w:jc w:val="left"/>
        <w:rPr/>
      </w:pPr>
      <w:r>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6480175" cy="175260"/>
                <wp:effectExtent l="0" t="0" r="0" b="0"/>
                <wp:wrapNone/>
                <wp:docPr id="244" name="Frame2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any applicable successor form), claiming an exemption from, or reduction of, U.S. federal withholding Tax pursuant to such tax treaty;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in the case of a Non-U.S. Lender claiming that its extension of credit will generate U.S. effectively connected income, a properly completed and duly executed IRS Form W-8ECI (or any successor form);</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(3)    in the case of a Non-U.S. Lender claiming the benefits of the exemption for portfolio interest under Section 881(c) of the Code, (x) a certificate substantially in the form of </w:t>
      </w:r>
      <w:r>
        <w:rPr>
          <w:rFonts w:ascii="Times New Roman;serif" w:hAnsi="Times New Roman;serif"/>
          <w:b w:val="false"/>
          <w:color w:val="000000"/>
          <w:sz w:val="22"/>
          <w:u w:val="single"/>
        </w:rPr>
        <w:t>Exhibit I-1</w:t>
      </w:r>
      <w:r>
        <w:rPr>
          <w:color w:val="000000"/>
        </w:rPr>
        <w:t xml:space="preserve"> </w:t>
      </w:r>
      <w:r>
        <w:rPr>
          <w:rFonts w:ascii="Times New Roman;serif" w:hAnsi="Times New Roman;serif"/>
          <w:b w:val="false"/>
          <w:color w:val="000000"/>
          <w:sz w:val="22"/>
        </w:rPr>
        <w:t>to the effect that such Non-U.S. Lender is not a “bank” within the meaning of Section 881(c)(3)(A) of the Code, a “10 percent shareholder” of the Borrower within the meaning of Section 881(c)(3)(B) of the Code, a “controlled foreign corporation” that is related to the Borrower described in Section 881(c)(3)(C) of the Code and that no payments under any Loan Document are effectively connected with such Lender’s conduct of a U.S. trade or business (a “</w:t>
      </w:r>
      <w:r>
        <w:rPr>
          <w:rFonts w:ascii="Times New Roman;serif" w:hAnsi="Times New Roman;serif"/>
          <w:b/>
          <w:color w:val="000000"/>
          <w:sz w:val="22"/>
        </w:rPr>
        <w:t>U.S. Tax Compliance Certificate</w:t>
      </w:r>
      <w:r>
        <w:rPr>
          <w:color w:val="000000"/>
        </w:rPr>
        <w:t>”</w:t>
      </w:r>
      <w:r>
        <w:rPr>
          <w:rFonts w:ascii="Times New Roman;serif" w:hAnsi="Times New Roman;serif"/>
          <w:b w:val="false"/>
          <w:color w:val="000000"/>
          <w:sz w:val="22"/>
        </w:rPr>
        <w:t>) and (y) a properly completed and duly executed IRS Form W-8BEN or IRS Form W-8BEN-E, as applicable (or any applicable successor form);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(4)    to the extent a Non-U.S. Lender is not the beneficial owner (e.g., where the Non-U.S. Lender is a partnership or a participating Lender), a properly completed and duly executed IRS Form W-8IMY (or any successor form), accompanied by a properly completed and duly executed IRS Form W-8ECI, IRS Form W-8BEN, IRS Form W-8BEN-E, as applicable (or any applicable successor form), a certificate substantially in the form of </w:t>
      </w:r>
      <w:r>
        <w:rPr>
          <w:rFonts w:ascii="Times New Roman;serif" w:hAnsi="Times New Roman;serif"/>
          <w:b w:val="false"/>
          <w:color w:val="000000"/>
          <w:sz w:val="22"/>
          <w:u w:val="single"/>
        </w:rPr>
        <w:t>Exhibit I-2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Exhibit I-3</w:t>
      </w:r>
      <w:r>
        <w:rPr>
          <w:rFonts w:ascii="Times New Roman;serif" w:hAnsi="Times New Roman;serif"/>
          <w:b w:val="false"/>
          <w:color w:val="000000"/>
          <w:sz w:val="22"/>
        </w:rPr>
        <w:t xml:space="preserve">, IRS Form W-9 (or any successor form), and/or other certification documents from each beneficial owner, as applicable; that if the Non-U.S. Lender is a partnership (and not a participating Lender) and one or more direct or indirect partners of such Non-U.S. Lender are claiming the portfolio interest exemption, such Non-U.S. Lender shall provide a certificate substantially in the form of </w:t>
      </w:r>
      <w:r>
        <w:rPr>
          <w:rFonts w:ascii="Times New Roman;serif" w:hAnsi="Times New Roman;serif"/>
          <w:b w:val="false"/>
          <w:color w:val="000000"/>
          <w:sz w:val="22"/>
          <w:u w:val="single"/>
        </w:rPr>
        <w:t>Exhibit I-4</w:t>
      </w:r>
      <w:r>
        <w:rPr>
          <w:color w:val="000000"/>
        </w:rPr>
        <w:t xml:space="preserve"> </w:t>
      </w:r>
      <w:r>
        <w:rPr>
          <w:rFonts w:ascii="Times New Roman;serif" w:hAnsi="Times New Roman;serif"/>
          <w:b w:val="false"/>
          <w:color w:val="000000"/>
          <w:sz w:val="22"/>
        </w:rPr>
        <w:t>on behalf of such direct and indirect partner(s);</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(C)    any Non-U.S. Lender shall, to the extent it is legally eligible to do so, deliver to the Borrower or the Administrative Agent (in such number as shall be requested by the recipient) on or prior to the date on which such Non-U.S. Lender becomes a Lender under this Agreement (and from time to time thereafter upon the reasonable request of the Borrower or the Administrative Agent), any properly completed and duly executed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w:t>
      </w:r>
    </w:p>
    <w:p>
      <w:pPr>
        <w:pStyle w:val="TextBody"/>
        <w:bidi w:val="0"/>
        <w:spacing w:before="0" w:after="0"/>
        <w:jc w:val="left"/>
        <w:rPr/>
      </w:pPr>
      <w:r>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6480175" cy="175260"/>
                <wp:effectExtent l="0" t="0" r="0" b="0"/>
                <wp:wrapNone/>
                <wp:docPr id="245" name="Frame2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such additional documentation reasonably requested by the Borrower or the Administrative Agent as may be necessary for the Borrower and the Administrative Agent to (i) comply with their obligations under FATCA and (ii) determine whether such Lender has complied with such Recipient’s obligations under FATCA or to determine the amount to deduct and withhold from such payment. For purposes of this Section 3.01(ii)(D), “FATCA” shall include any amendments made to FATCA after the date of this Agreement; and</w:t>
      </w:r>
    </w:p>
    <w:p>
      <w:pPr>
        <w:pStyle w:val="TextBody"/>
        <w:bidi w:val="0"/>
        <w:spacing w:lineRule="auto" w:line="288" w:before="0" w:after="240"/>
        <w:ind w:left="0" w:right="0" w:firstLine="1440"/>
        <w:jc w:val="left"/>
        <w:rPr>
          <w:rFonts w:ascii="Times New Roman;serif" w:hAnsi="Times New Roman;serif"/>
          <w:b w:val="false"/>
          <w:color w:val="000000"/>
          <w:sz w:val="22"/>
        </w:rPr>
      </w:pPr>
      <w:r>
        <w:rPr>
          <w:rFonts w:ascii="Times New Roman;serif" w:hAnsi="Times New Roman;serif"/>
          <w:b w:val="false"/>
          <w:color w:val="000000"/>
          <w:sz w:val="22"/>
        </w:rPr>
        <w:t>(E)    the Administrative Agent, and any successor or supplemental Administrative Agent, shall deliver to the Borrower (in such number as shall be requested by the recipient) on or prior to the date on which the Administrative Agent becomes the administrative agent hereunder or under any other Loan Document (and from time to time thereafter upon the reasonable request of the Borrower) either a properly completed and duly executed (i) if it is a “United States person” (as defined in Section 7701(a)(30) of the Code), IRS Form W-9 (or any successor form) or (ii) if it is not a “United States person”, a U.S. branch withholding certificate on IRS Form W-8IMY (or any successor form), together with the required accompanying documentation,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 Notwithstanding any provision of this Section 3.01(h), the Administrative Agent shall not be required to deliver any form or other documentation that the Administrative Agent is not legally eligible to deliver as a result of a Change in Law after the date of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Recipient agrees that if any documentation it previously delivered expires or becomes obsolete or inaccurate in any respect, it shall promptly update and deliver such documentation to the Borrower and the Administrative Agent or promptly notify the Borrower and the Administrative Agent in writing of its legal ineligibility to do so. Notwithstanding any other provision of this Section 3.01(h), no Lender shall be required to provide any documentation that such Lender is not legally eligible to provide.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serif" w:hAnsi="Times New Roman;serif"/>
          <w:b w:val="false"/>
          <w:color w:val="000000"/>
          <w:sz w:val="22"/>
          <w:u w:val="single"/>
        </w:rPr>
        <w:t>Section 3.01(h)</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The agreements in this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shall survive the resignation and/or replacement of the Administrative Agent, any assignment of rights by, or the replacement of, a Lender, the termination of the Commitments and the repayment, satisfaction or discharge of all other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(j)    For the avoidance of doubt, for purposes of this </w:t>
      </w:r>
      <w:r>
        <w:rPr>
          <w:rFonts w:ascii="Times New Roman;serif" w:hAnsi="Times New Roman;serif"/>
          <w:b w:val="false"/>
          <w:color w:val="000000"/>
          <w:sz w:val="22"/>
          <w:u w:val="single"/>
        </w:rPr>
        <w:t>Section 3.01</w:t>
      </w:r>
      <w:r>
        <w:rPr>
          <w:rFonts w:ascii="Times New Roman;serif" w:hAnsi="Times New Roman;serif"/>
          <w:b w:val="false"/>
          <w:color w:val="000000"/>
          <w:sz w:val="22"/>
        </w:rPr>
        <w:t>, the term “Lender” shall include any L/C Issuer, and the term “applicable Law” includes FATCA.</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3.02    </w:t>
      </w:r>
      <w:r>
        <w:rPr>
          <w:rFonts w:ascii="Times New Roman;serif" w:hAnsi="Times New Roman;serif"/>
          <w:b w:val="false"/>
          <w:color w:val="000000"/>
          <w:sz w:val="22"/>
          <w:u w:val="single"/>
        </w:rPr>
        <w:t>Inability to Determine Rates</w:t>
      </w:r>
      <w:r>
        <w:rPr>
          <w:rFonts w:ascii="Times New Roman;serif" w:hAnsi="Times New Roman;serif"/>
          <w:b w:val="false"/>
          <w:color w:val="000000"/>
          <w:sz w:val="22"/>
        </w:rPr>
        <w:t xml:space="preserve">. Subject to </w:t>
      </w:r>
      <w:r>
        <w:rPr>
          <w:rFonts w:ascii="Times New Roman;serif" w:hAnsi="Times New Roman;serif"/>
          <w:b w:val="false"/>
          <w:color w:val="000000"/>
          <w:sz w:val="22"/>
          <w:u w:val="single"/>
        </w:rPr>
        <w:t>Section 3.04</w:t>
      </w:r>
      <w:r>
        <w:rPr>
          <w:rFonts w:ascii="Times New Roman;serif" w:hAnsi="Times New Roman;serif"/>
          <w:b w:val="false"/>
          <w:color w:val="000000"/>
          <w:sz w:val="22"/>
        </w:rPr>
        <w:t>, if, on or prior to the first day of any Interest Period for any SOFR Loan or Eurocurrency Rate Loan: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Administrative Agent determines (which determination shall be conclusive and binding absent manifest error) that “Term SOFR” or the “Adjusted Eurocurrency Rate” cannot be determined pursuant to the definition thereof,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the Required Lenders determine that for any reason in connection with any request for a SOFR Loan or Eurocurrency Rate Loan or a conversion thereto or a continuation thereof that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6480175" cy="175260"/>
                <wp:effectExtent l="0" t="0" r="0" b="0"/>
                <wp:wrapNone/>
                <wp:docPr id="246" name="Frame2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the Adjusted Eurocurrency Rate, as applicable, for any requested Interest Period with respect to a proposed SOFR Loan or Eurocurrency Rate Loan, as applicable, does not adequately and fairly reflect the cost to such Lenders of making and maintaining such Loan, and the Required Lenders have provided notice of such determination to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Administrative Agent will promptly so notify the Borrower and each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Upon notice thereof by the Administrative Agent to the Borrower, any obligation of the Lenders to make SOFR Loans or Eurocurrency Rate Loans, and any right of the Borrower to continue SOFR Loans or Eurocurrency Rate Loans or to convert ABR Loans to SOFR Loans or Eurocurrency Rate Loans, shall be suspended (to the extent of the affected SOFR Loans or Eurocurrency Rate Loans or affected Interest Periods) until the Administrative Agent (with respect to clause (b), at the instruction of the Required Lenders) revokes such notice. Upon receipt of such notice, (i) the Borrower may revoke any pending request for a borrowing of, conversion to or continuation of SOFR Loans or Eurocurrency Rate Loans (to the extent of the affected SOFR Loans or Eurocurrency Rate Loans or affected Interest Periods) or, failing that, the Borrower will be deemed to have converted any such request into a request for a Borrowing of or conversion to ABR Loans denominated in Dollars in the amount specified therein (or, in the case of any Eurocurrency Rate Loans, in an amount equal to the Dollar equivalent of the applicable Alternative Currency) and (ii) any outstanding affected SOFR Loans or Eurocurrency Rate Loans will be deemed to have been converted into ABR Loans at the end of the applicable Interest Period (in the case of any Eurocurrency Rate Loans, in an amount equal to the Dollar equivalent of the applicable Alternative Currency). Upon any such conversion, the Borrower shall also pay accrued interest on the amount so converted. Subject to </w:t>
      </w:r>
      <w:r>
        <w:rPr>
          <w:rFonts w:ascii="Times New Roman;serif" w:hAnsi="Times New Roman;serif"/>
          <w:b w:val="false"/>
          <w:color w:val="000000"/>
          <w:sz w:val="22"/>
          <w:u w:val="single"/>
        </w:rPr>
        <w:t>Section 3.04</w:t>
      </w:r>
      <w:r>
        <w:rPr>
          <w:rFonts w:ascii="Times New Roman;serif" w:hAnsi="Times New Roman;serif"/>
          <w:b w:val="false"/>
          <w:color w:val="000000"/>
          <w:sz w:val="22"/>
        </w:rPr>
        <w:t>,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3.03    </w:t>
      </w:r>
      <w:r>
        <w:rPr>
          <w:rFonts w:ascii="Times New Roman;serif" w:hAnsi="Times New Roman;serif"/>
          <w:b w:val="false"/>
          <w:color w:val="000000"/>
          <w:sz w:val="22"/>
          <w:u w:val="single"/>
        </w:rPr>
        <w:t>Illegality</w:t>
      </w:r>
      <w:r>
        <w:rPr>
          <w:rFonts w:ascii="Times New Roman;serif" w:hAnsi="Times New Roman;serif"/>
          <w:b w:val="false"/>
          <w:color w:val="000000"/>
          <w:sz w:val="22"/>
        </w:rPr>
        <w:t xml:space="preserve">. If any Lender reasonably determines that any Law has made it unlawful, or that any Governmental Authority has asserted that it is unlawful, for any Lender or its applicable Lending Office to make, maintain or fund Loans whose interest is determined by reference to the Term SOFR Reference Rate or the Eurocurrency Rate (whether denominated in Dollars or an Alternative Currency), or to determine or charge interest rates based upon Term SOFR or the Adjusted Eurocurrency Rate (whether denominated in Dollars or an Alternative Currency), or any Governmental Authority has imposed material restrictions on the authority of such Lender to purchase or sell, or to take deposits of, Dollars or an Alternative Currency in the applicable interbank market, then, on notice thereof by such Lender to the Borrower through the Administrative Agent, (i) any obligation of such Lender to make or continue SOFR Loans or Eurocurrency Rate Loans in the affected currency or currencies or to convert ABR Loans to SOFR Loans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Borrower that the circumstances giving rise to such determination no longer exist. Upon receipt of such notice, the Borrower shall, upon demand from such Lender (with a copy to the Administrative Agent), (A) if applicable and such Lender’s SOFR Loans are denominated in Dollars, prepay or convert all of such Lender’s SOFR Loans to ABR Loans (the interest rate on which ABR Loans of such Lender shall, if necessary to avoid such illegality, be determined by the Administrative Agent without reference to the Term SOFR component of the ABR) or (B) if applicable and such Lender’s Eurocurrency Rate </w:t>
      </w:r>
    </w:p>
    <w:p>
      <w:pPr>
        <w:pStyle w:val="TextBody"/>
        <w:bidi w:val="0"/>
        <w:spacing w:before="0" w:after="0"/>
        <w:jc w:val="left"/>
        <w:rPr/>
      </w:pPr>
      <w:r>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6480175" cy="175260"/>
                <wp:effectExtent l="0" t="0" r="0" b="0"/>
                <wp:wrapNone/>
                <wp:docPr id="247" name="Frame2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Loans are denominated in an Alternative Currency, prepay all of such Lender’s Eurocurrency Rate Loans (the interest rate with respect to such Eurocurrency Rate Loans shall be determined by an alternative rate mutually acceptable to the Borrower and the applicable Revolving Credit Lenders), in each case, either on the last day of the Interest Period therefor, if such Lender may lawfully continue to maintain such Eurocurrency Rate Loans to such day, or promptly after such demand, if such Lender may not lawfully continue to maintain such Eurocurrency Rate Loans. Upon any such prepayment or conversion, the Borrower shall also pay accrued interest on the amount so prepaid or converted and all amounts due, if any, in connection with such prepayment or conversion under </w:t>
      </w:r>
      <w:r>
        <w:rPr>
          <w:rFonts w:ascii="Times New Roman;serif" w:hAnsi="Times New Roman;serif"/>
          <w:b w:val="false"/>
          <w:color w:val="000000"/>
          <w:sz w:val="22"/>
          <w:u w:val="single"/>
        </w:rPr>
        <w:t>Section 3.06</w:t>
      </w:r>
      <w:r>
        <w:rPr>
          <w:rFonts w:ascii="Times New Roman;serif" w:hAnsi="Times New Roman;serif"/>
          <w:b w:val="false"/>
          <w:color w:val="000000"/>
          <w:sz w:val="22"/>
        </w:rPr>
        <w:t>. Each Lender agrees to designate a different Lending Office if such designation will avoid the need for such notice and will not, in the good faith judgment of such Lender, otherwise be materially disadvantageous to such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3.04    </w:t>
      </w:r>
      <w:r>
        <w:rPr>
          <w:rFonts w:ascii="Times New Roman;serif" w:hAnsi="Times New Roman;serif"/>
          <w:b w:val="false"/>
          <w:color w:val="000000"/>
          <w:sz w:val="22"/>
          <w:u w:val="single"/>
        </w:rPr>
        <w:t>Benchmark Replacement Setting</w:t>
      </w:r>
      <w:r>
        <w:rPr>
          <w:rFonts w:ascii="Times New Roman;serif" w:hAnsi="Times New Roman;serif"/>
          <w:b w:val="false"/>
          <w:color w:val="000000"/>
          <w:sz w:val="22"/>
        </w:rPr>
        <w:t xml:space="preserve">. (a) </w:t>
      </w:r>
      <w:r>
        <w:rPr>
          <w:rFonts w:ascii="Times New Roman;serif" w:hAnsi="Times New Roman;serif"/>
          <w:b w:val="false"/>
          <w:color w:val="000000"/>
          <w:sz w:val="22"/>
          <w:u w:val="single"/>
        </w:rPr>
        <w:t>USD Benchmark Replacement</w:t>
      </w:r>
      <w:r>
        <w:rPr>
          <w:rFonts w:ascii="Times New Roman;serif" w:hAnsi="Times New Roman;serif"/>
          <w:b w:val="false"/>
          <w:color w:val="000000"/>
          <w:sz w:val="22"/>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Replacing Other Benchmarks</w:t>
      </w:r>
      <w:r>
        <w:rPr>
          <w:rFonts w:ascii="Times New Roman;serif" w:hAnsi="Times New Roman;serif"/>
          <w:b w:val="false"/>
          <w:color w:val="000000"/>
          <w:sz w:val="22"/>
        </w:rPr>
        <w:t xml:space="preserve">. Notwithstanding anything to the contrary herein or in any other Loan Document, with respect to Obligations, interest, fees, commissions or other amounts denominated in or calculated with respect to an Alternative Currency, upon the occurrence of a Benchmark Transition Event with respect to any applicable Benchmark, the Administrative Agent and the Borrower may amend this Agreement to replace such Benchmark with a Benchmark Replacement. Any such amendment with respect to a Benchmark Transition Event will become effective at 5:00 p.m. (New York City time) on the fifth (5th) Business Day after the Administrative Agent has posted such proposed amendment to all Lenders and the Borrower so long as the Administrative Agent has not received, by such time, written notice of objection to such amendment from Lenders comprising the Required Lenders of the applicable Class. No replacement of a Benchmark with a Benchmark Replacement pursuant to this </w:t>
      </w:r>
      <w:r>
        <w:rPr>
          <w:rFonts w:ascii="Times New Roman;serif" w:hAnsi="Times New Roman;serif"/>
          <w:b w:val="false"/>
          <w:color w:val="000000"/>
          <w:sz w:val="22"/>
          <w:u w:val="single"/>
        </w:rPr>
        <w:t>Section 3.04(c)</w:t>
      </w:r>
      <w:r>
        <w:rPr>
          <w:color w:val="000000"/>
        </w:rPr>
        <w:t xml:space="preserve"> </w:t>
      </w:r>
      <w:r>
        <w:rPr>
          <w:rFonts w:ascii="Times New Roman;serif" w:hAnsi="Times New Roman;serif"/>
          <w:b w:val="false"/>
          <w:color w:val="000000"/>
          <w:sz w:val="22"/>
        </w:rPr>
        <w:t>will occur prior to the applicable Benchmark Replacement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Benchmark Replacement Conforming Changes</w:t>
      </w:r>
      <w:r>
        <w:rPr>
          <w:rFonts w:ascii="Times New Roman;serif" w:hAnsi="Times New Roman;serif"/>
          <w:b w:val="false"/>
          <w:color w:val="000000"/>
          <w:sz w:val="22"/>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6480175" cy="175260"/>
                <wp:effectExtent l="0" t="0" r="0" b="0"/>
                <wp:wrapNone/>
                <wp:docPr id="248" name="Frame2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Notices; Standards for Decisions and Determinations</w:t>
      </w:r>
      <w:r>
        <w:rPr>
          <w:rFonts w:ascii="Times New Roman;serif" w:hAnsi="Times New Roman;serif"/>
          <w:b w:val="false"/>
          <w:color w:val="000000"/>
          <w:sz w:val="22"/>
        </w:rPr>
        <w:t xml:space="preserve">. The Administrative Agent will promptly notify the Borrower and the applicable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clause (g) below and (y) the commencement of any Benchmark Unavailability Period. Any determination, decision or election that may be made by the Administrative Agent or, if applicable, any Lender (or group of Lenders) pursuant to this </w:t>
      </w:r>
      <w:r>
        <w:rPr>
          <w:rFonts w:ascii="Times New Roman;serif" w:hAnsi="Times New Roman;serif"/>
          <w:b w:val="false"/>
          <w:color w:val="000000"/>
          <w:sz w:val="22"/>
          <w:u w:val="single"/>
        </w:rPr>
        <w:t>Section 3.04</w:t>
      </w:r>
      <w:r>
        <w:rPr>
          <w:rFonts w:ascii="Times New Roman;serif" w:hAnsi="Times New Roman;serif"/>
          <w:b w:val="false"/>
          <w:color w:val="000000"/>
          <w:sz w:val="22"/>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erif" w:hAnsi="Times New Roman;serif"/>
          <w:b w:val="false"/>
          <w:color w:val="000000"/>
          <w:sz w:val="22"/>
          <w:u w:val="single"/>
        </w:rPr>
        <w:t>Section 3.04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(ii)    </w:t>
      </w:r>
      <w:r>
        <w:rPr>
          <w:rFonts w:ascii="Times New Roman;serif" w:hAnsi="Times New Roman;serif"/>
          <w:b w:val="false"/>
          <w:color w:val="000000"/>
          <w:sz w:val="22"/>
          <w:u w:val="single"/>
        </w:rPr>
        <w:t>Unavailability of Tenor of Benchmark</w:t>
      </w:r>
      <w:r>
        <w:rPr>
          <w:rFonts w:ascii="Times New Roman;serif" w:hAnsi="Times New Roman;serif"/>
          <w:b w:val="false"/>
          <w:color w:val="000000"/>
          <w:sz w:val="22"/>
        </w:rPr>
        <w:t xml:space="preserve">. Notwithstanding anything to the contrary herein or in any other Loan Document, at any time (including in connection with the implementation of a Benchmark Replacement), (i) if any then-current Benchmark is a term rate (including the Term SOFR Reference Rate or any Adjusted Eurocurrency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Benchmark Unavailability Period</w:t>
      </w:r>
      <w:r>
        <w:rPr>
          <w:rFonts w:ascii="Times New Roman;serif" w:hAnsi="Times New Roman;serif"/>
          <w:b w:val="false"/>
          <w:color w:val="000000"/>
          <w:sz w:val="22"/>
        </w:rPr>
        <w:t>. Upon the Borrower’s receipt of notice of the commencement of a Benchmark Unavailability Period with respect to a given Benchmark:</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the Borrower may revoke any pending request for a Borrowing of, conversion to or continuation of Eurocurrency Rate Loans in an Alternative Currency, in each case, to be made, converted or continued during any Benchmark Unavailability Period denominated in the applicable currency and, failing that, (x) in the case of any request for any such affected Eurocurrency Rate Borrowing in such Alternative Currency, then such request shall be ineffective and (y) any such outstanding affected Eurocurrency Rate Loans in such Alternative Currency, at the Borrower’s election, shall either (1) be converted into ABR Loans denominated in Dollars (in an amount equal to the Dollar equivalent of such Alternative Currency) immediately or, in the case of Eurocurrency Rate Loans, at the end of the applicable Interest Period or (2) be prepaid in </w:t>
      </w:r>
    </w:p>
    <w:p>
      <w:pPr>
        <w:pStyle w:val="TextBody"/>
        <w:bidi w:val="0"/>
        <w:spacing w:before="0" w:after="0"/>
        <w:jc w:val="left"/>
        <w:rPr/>
      </w:pPr>
      <w:r>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6480175" cy="175260"/>
                <wp:effectExtent l="0" t="0" r="0" b="0"/>
                <wp:wrapNone/>
                <wp:docPr id="249" name="Frame2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full immediately or, in the case of Eurocurrency Rate Loans, at the end of the applicable Interest Period; that, with respect to any Eurocurrency Rate Loan, if no election is made by the Borrower by the earlier of (x) the date that is three Business Days after receipt by the Borrower of such notice and (y) the last day of the current Interest Period for the applicable Eurocurrency Rate Loan, the Borrower shall be deemed to have elected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above.</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Upon any such prepayment or conversion, the Borrower shall also pay accrued interest on the amount so prepaid or converted, together with any additional amounts required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 During a Benchmark Unavailability Period with respect to any Benchmark or at any time that a tenor for any then-current Benchmark is not an Available Tenor, the component of ABR based upon the then-current Benchmark that is the subject of such Benchmark Unavailability Period or such tenor for such Benchmark, as applicable, will not be used in any determination of ABR.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3.05    </w:t>
      </w:r>
      <w:r>
        <w:rPr>
          <w:rFonts w:ascii="Times New Roman;serif" w:hAnsi="Times New Roman;serif"/>
          <w:b w:val="false"/>
          <w:color w:val="000000"/>
          <w:sz w:val="22"/>
          <w:u w:val="single"/>
        </w:rPr>
        <w:t>Increased Cost and Reduced Return; Capital Adequacy and Liquidity Requirements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If any Lender reasonably determines that as a result of the introduction of or any change in or in the interpretation of any Law, in each case after the date hereof, or such Lender’s compliance therewith, there shall be any material increase in the cost to such Lender of agreeing to make or making, funding or maintaining any Loan or (as applicable) issuing or participating in Letters of Credit, or a material reduction in the amount received or receivable by such Lender in connection with any of the foregoing (including Taxes on or in respect of its loans, letters of credit, commitments, or other obligations, or its deposits, reserves, other liabilities or capital attributable thereto, but excluding for purposes of this </w:t>
      </w:r>
      <w:r>
        <w:rPr>
          <w:rFonts w:ascii="Times New Roman;serif" w:hAnsi="Times New Roman;serif"/>
          <w:b w:val="false"/>
          <w:color w:val="000000"/>
          <w:sz w:val="22"/>
          <w:u w:val="single"/>
        </w:rPr>
        <w:t>Section 3.05(a)</w:t>
      </w:r>
      <w:r>
        <w:rPr>
          <w:color w:val="000000"/>
        </w:rPr>
        <w:t xml:space="preserve"> </w:t>
      </w:r>
      <w:r>
        <w:rPr>
          <w:rFonts w:ascii="Times New Roman;serif" w:hAnsi="Times New Roman;serif"/>
          <w:b w:val="false"/>
          <w:color w:val="000000"/>
          <w:sz w:val="22"/>
        </w:rPr>
        <w:t xml:space="preserve">any such increased costs or reduction in amount resulting from (i) Indemnified Taxes and (ii) Excluded Taxes), then within 15 days after demand of such Lender setting forth in reasonable detail such increased costs (with a copy of such demand to the Administrative Agent given in accordance with </w:t>
      </w:r>
      <w:r>
        <w:rPr>
          <w:rFonts w:ascii="Times New Roman;serif" w:hAnsi="Times New Roman;serif"/>
          <w:b w:val="false"/>
          <w:color w:val="000000"/>
          <w:sz w:val="22"/>
          <w:u w:val="single"/>
        </w:rPr>
        <w:t>Section 3.06</w:t>
      </w:r>
      <w:r>
        <w:rPr>
          <w:rFonts w:ascii="Times New Roman;serif" w:hAnsi="Times New Roman;serif"/>
          <w:b w:val="false"/>
          <w:color w:val="000000"/>
          <w:sz w:val="22"/>
        </w:rPr>
        <w:t>), the Borrower shall pay to such Lender such additional amounts as will compensate such Lender for such increased cost or reduction.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within 15 days after demand of such Lender setting forth in reasonable detail the charge and the calculation of such reduced rate of return (with a copy of such demand to the Administrative Agent given in accordance with </w:t>
      </w:r>
      <w:r>
        <w:rPr>
          <w:rFonts w:ascii="Times New Roman;serif" w:hAnsi="Times New Roman;serif"/>
          <w:b w:val="false"/>
          <w:color w:val="000000"/>
          <w:sz w:val="22"/>
          <w:u w:val="single"/>
        </w:rPr>
        <w:t>Section 3.06</w:t>
      </w:r>
      <w:r>
        <w:rPr>
          <w:rFonts w:ascii="Times New Roman;serif" w:hAnsi="Times New Roman;serif"/>
          <w:b w:val="false"/>
          <w:color w:val="000000"/>
          <w:sz w:val="22"/>
        </w:rPr>
        <w:t>), the Borrower shall pay to such Lender such additional amounts as will compensate such Lender for such reduction.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The Borrower shall pay to each Lender, (i) as long as such Lender shall be required to maintain reserves or liquidity with respect to liabilities or assets consisting of or including SOFR or Eurocurrency Rate funds or deposits, additional interest on the unpaid principal amount of each Eurocurrency Rate Loan equal to the actual costs of such reserves or liquidity allocated to such Loan by such Lender (as determined by such Lender in good faith, which determination shall be conclusive in the absence of manifest error), and (ii) as long as such Lender shall be required to comply with any liquidity requirement, reserve ratio requirement or analogous requirement of any other central banking or financial regulatory authority imposed in respect of the maintenance of the Commitments or the funding of the SOFR Loans or Eurocurrency Rate Loans, such additional costs (expressed as a percentage per annum </w:t>
      </w:r>
    </w:p>
    <w:p>
      <w:pPr>
        <w:pStyle w:val="TextBody"/>
        <w:bidi w:val="0"/>
        <w:spacing w:before="0" w:after="0"/>
        <w:jc w:val="left"/>
        <w:rPr/>
      </w:pPr>
      <w:r>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6480175" cy="175260"/>
                <wp:effectExtent l="0" t="0" r="0" b="0"/>
                <wp:wrapNone/>
                <wp:docPr id="250" name="Frame2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the Borrower shall have received at least 15 days’ prior written notice (with a copy to the Administrative Agent) of such additional interest or cost from such Lender. If a Lender fails to give written notice 15 days prior to the relevant Interest Payment Date, such additional interest or cost shall be due and payable 15 days from receipt of such written notice.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For purposes of this </w:t>
      </w:r>
      <w:r>
        <w:rPr>
          <w:rFonts w:ascii="Times New Roman;serif" w:hAnsi="Times New Roman;serif"/>
          <w:b w:val="false"/>
          <w:color w:val="000000"/>
          <w:sz w:val="22"/>
          <w:u w:val="single"/>
        </w:rPr>
        <w:t>Section 3.05</w:t>
      </w:r>
      <w:r>
        <w:rPr>
          <w:rFonts w:ascii="Times New Roman;serif" w:hAnsi="Times New Roman;serif"/>
          <w:b w:val="false"/>
          <w:color w:val="000000"/>
          <w:sz w:val="22"/>
        </w:rPr>
        <w:t>,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shall, in each case, be deemed to have gone into effect after the date hereof and on the date enacted, adopted or issued.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3.06    </w:t>
      </w:r>
      <w:r>
        <w:rPr>
          <w:rFonts w:ascii="Times New Roman;serif" w:hAnsi="Times New Roman;serif"/>
          <w:b w:val="false"/>
          <w:color w:val="000000"/>
          <w:sz w:val="22"/>
          <w:u w:val="single"/>
        </w:rPr>
        <w:t>Funding Losses</w:t>
      </w:r>
      <w:r>
        <w:rPr>
          <w:rFonts w:ascii="Times New Roman;serif" w:hAnsi="Times New Roman;serif"/>
          <w:b w:val="false"/>
          <w:color w:val="000000"/>
          <w:sz w:val="22"/>
        </w:rPr>
        <w:t>. Upon written demand of any Lender (with a copy to the Administrative Agent) from time to time, setting forth in reasonable detail the basis for calculating such compensation, the applicable Borrower shall promptly compensate such Lender for and hold such Lender harmless from any actual loss, cost or expense incurred by it as a result 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any continuation (if applicable), conversion, payment or prepayment of any SOFR Loans or Eurocurrency Rate Loan on a day other than the last day of the Interest Period for such Loan (whether voluntary, mandatory, automatic, by reason of acceleration, or otherwise);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any failure by such Borrower (for a reason other than the failure of such Lender to make a Loan or pursuant to a conditional notice that has been revoked in accordance with the terms of this Agreement) to prepay, borrow, continue or convert any SOFR Loan or Eurocurrency Rate Loan on the date or in the amount notified by such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any failure by such Borrower to make payment of any Loan or drawing under any Letter of Credit (or interest due thereon) denominated in an Alternative Currency on its scheduled due date or any payment of any Loan or drawing under any Letter of Credit (or interest due thereon) in a different currency from such Loan or Letter of Credit drawing;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any mandatory assignment of such Lender’s SOFR Loans or Eurocurrency Rate Loans pursuant to Section 3.08 on a day other than the last day of the Interest Period for such Loans (including any loss or expense arising from the liquidation or reemployment of funds obtained by it to maintain such Loan or from fees payable to terminate the deposits from which such funds were obtained but excluding anticipated profits). The applicable Borrower shall also pay any customary administrative fees charged by such Lender in connection with the foregoing.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3.07    </w:t>
      </w:r>
      <w:r>
        <w:rPr>
          <w:rFonts w:ascii="Times New Roman;serif" w:hAnsi="Times New Roman;serif"/>
          <w:b w:val="false"/>
          <w:color w:val="000000"/>
          <w:sz w:val="22"/>
          <w:u w:val="single"/>
        </w:rPr>
        <w:t>Matters Applicable to All Requests for Compensation</w:t>
      </w:r>
      <w:r>
        <w:rPr>
          <w:rFonts w:ascii="Times New Roman;serif" w:hAnsi="Times New Roman;serif"/>
          <w:b w:val="false"/>
          <w:color w:val="000000"/>
          <w:sz w:val="22"/>
        </w:rPr>
        <w:t xml:space="preserve">. A certificate of any Agent or any Lender claiming compensation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 xml:space="preserve">and setting forth in reasonable detail a calculation of the additional amount or amounts to be paid to it hereunder shall be conclusive in the absence of manifest error. In determining such amount, such Agent or such Lender may use any reasonable averaging and attribution methods. With respect to any Recipient’s claim for compensation under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the Loan Parties shall not be required to compensate such Recipient for any amount incurred more than 180 days prior to the date that such Recipient notifies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480175" cy="175260"/>
                <wp:effectExtent l="0" t="0" r="0" b="0"/>
                <wp:wrapNone/>
                <wp:docPr id="251" name="Frame2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Borrower of the event that gives rise to such claim; that, if the circumstance giving rise to such claim is retroactive, then such 180-day period referred to above shall be extended to include the period of retroactive effect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If any Lender requests compensation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or the applicable Borrower is required to pay any additional amount to any Lender, any L/C Issuer, or any Governmental Authority for the account of any Lender or any L/C Issuer pursuant to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or if any Lender gives a notice pursuant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then such Lender or the L/C Issuer, as applicable, will, if requested by a Borrower and at such Borrower’s expense, use commercially reasonable efforts to designate another Lending Office for any Loan or Letter of Credit affected by such event; that such efforts (i) would eliminate or reduce amounts payable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as applicable, in the future and (ii) would not, in the reasonable judgment of such Lender or such L/C Issuer, as applicable, be disadvantageous in any material legal, economic or regulatory respect to such Lender or its Lending Office or such L/C Issuer. The provisions of this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shall not affect or postpone any Obligations of such Borrower or rights of such Lender pursuant to </w:t>
      </w:r>
      <w:r>
        <w:rPr>
          <w:rFonts w:ascii="Times New Roman;serif" w:hAnsi="Times New Roman;serif"/>
          <w:b w:val="false"/>
          <w:color w:val="000000"/>
          <w:sz w:val="22"/>
          <w:u w:val="single"/>
        </w:rPr>
        <w:t>Sections 3.01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If any Lender requests compensation by a Borrower under </w:t>
      </w:r>
      <w:r>
        <w:rPr>
          <w:rFonts w:ascii="Times New Roman;serif" w:hAnsi="Times New Roman;serif"/>
          <w:b w:val="false"/>
          <w:color w:val="000000"/>
          <w:sz w:val="22"/>
          <w:u w:val="single"/>
        </w:rPr>
        <w:t>Section 3.05</w:t>
      </w:r>
      <w:r>
        <w:rPr>
          <w:rFonts w:ascii="Times New Roman;serif" w:hAnsi="Times New Roman;serif"/>
          <w:b w:val="false"/>
          <w:color w:val="000000"/>
          <w:sz w:val="22"/>
        </w:rPr>
        <w:t xml:space="preserve">, such Borrower may, by notice to such Lender (with a copy to the Administrative Agent), suspend the obligation of such Lender to make or continue from one Interest Period to another SOFR Loans or Eurocurrency Rate Loans, as applicable, or to convert ABR Loans into SOFR Loans or Eurocurrency Rate Loans, until the event or condition giving rise to such request ceases to be in effect (in which case the provisions of </w:t>
      </w:r>
      <w:r>
        <w:rPr>
          <w:rFonts w:ascii="Times New Roman;serif" w:hAnsi="Times New Roman;serif"/>
          <w:b w:val="false"/>
          <w:color w:val="000000"/>
          <w:sz w:val="22"/>
          <w:u w:val="single"/>
        </w:rPr>
        <w:t>Section 3.07(e)</w:t>
      </w:r>
      <w:r>
        <w:rPr>
          <w:color w:val="000000"/>
        </w:rPr>
        <w:t xml:space="preserve"> </w:t>
      </w:r>
      <w:r>
        <w:rPr>
          <w:rFonts w:ascii="Times New Roman;serif" w:hAnsi="Times New Roman;serif"/>
          <w:b w:val="false"/>
          <w:color w:val="000000"/>
          <w:sz w:val="22"/>
        </w:rPr>
        <w:t>shall be applicable); that such suspension shall not affect the right of such Lender to receive the compensation so requested.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If the obligation of any Lender to make or continue from one Interest Period to another any SOFR Loans or Eurocurrency Rate Loan, or to convert ABR Loans into SOFR Loans or Eurocurrency Rate Loans shall be suspended pursuant to </w:t>
      </w:r>
      <w:r>
        <w:rPr>
          <w:rFonts w:ascii="Times New Roman;serif" w:hAnsi="Times New Roman;serif"/>
          <w:b w:val="false"/>
          <w:color w:val="000000"/>
          <w:sz w:val="22"/>
          <w:u w:val="single"/>
        </w:rPr>
        <w:t>Section 3.07(c)</w:t>
      </w:r>
      <w:r>
        <w:rPr>
          <w:color w:val="000000"/>
        </w:rPr>
        <w:t xml:space="preserve"> </w:t>
      </w:r>
      <w:r>
        <w:rPr>
          <w:rFonts w:ascii="Times New Roman;serif" w:hAnsi="Times New Roman;serif"/>
          <w:b w:val="false"/>
          <w:color w:val="000000"/>
          <w:sz w:val="22"/>
        </w:rPr>
        <w:t xml:space="preserve">hereof, such Lender’s SOFR Loans or Eurocurrency Rate Loans, as applicable, shall be automatically converted into ABR Loans on the last day(s) of the then current Interest Period(s) for such Eurocurrency Rate Loans (or, in the case of an immediate conversion required by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on such earlier date as required by Law) and, unless and until such Lender gives notice as provided below that the circumstances specified in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hereof that gave rise to such conversion no longer exist: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to the extent that such Lender’s SOFR Loans or Eurocurrency Rate Loans have been so converted, all payments and prepayments of principal that would otherwise be applied to such Lender’s SOFR Loans or Eurocurrency Rate Loans shall be applied instead to its ABR Loans;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all Loans that would otherwise be made or continued from one Interest Period to another by such Lender as SOFR Loans or Eurocurrency Rate Loans shall be made or continued instead as ABR Loans, and all ABR Loans of such Lender that would otherwise be converted into SOFR Loans or Eurocurrency Rate Loans shall remain as ABR Loans.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If any Lender gives notice to a Borrower (with a copy to the Administrative Agent) that the circumstances specified in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hereof that gave rise to the conversion of such Lender’s SOFR Loans or Eurocurrency Rate Loans pursuant to this </w:t>
      </w:r>
      <w:r>
        <w:rPr>
          <w:rFonts w:ascii="Times New Roman;serif" w:hAnsi="Times New Roman;serif"/>
          <w:b w:val="false"/>
          <w:color w:val="000000"/>
          <w:sz w:val="22"/>
          <w:u w:val="single"/>
        </w:rPr>
        <w:t>Section 3.07</w:t>
      </w:r>
      <w:r>
        <w:rPr>
          <w:color w:val="000000"/>
        </w:rPr>
        <w:t xml:space="preserve"> </w:t>
      </w:r>
      <w:r>
        <w:rPr>
          <w:rFonts w:ascii="Times New Roman;serif" w:hAnsi="Times New Roman;serif"/>
          <w:b w:val="false"/>
          <w:color w:val="000000"/>
          <w:sz w:val="22"/>
        </w:rPr>
        <w:t xml:space="preserve">no longer exist (which such Lender agrees to do promptly upon such circumstances ceasing to exist) at a time when SOFR Loans </w:t>
      </w:r>
    </w:p>
    <w:p>
      <w:pPr>
        <w:pStyle w:val="TextBody"/>
        <w:bidi w:val="0"/>
        <w:spacing w:before="0" w:after="0"/>
        <w:jc w:val="left"/>
        <w:rPr/>
      </w:pPr>
      <w:r>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6480175" cy="175260"/>
                <wp:effectExtent l="0" t="0" r="0" b="0"/>
                <wp:wrapNone/>
                <wp:docPr id="252" name="Frame2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Eurocurrency Rate Loans, as applicable, made by other Lenders are outstanding, such Lender’s ABR Loans shall be automatically converted, on the first day(s) of the next succeeding Interest Period(s) for such outstanding SOFR Loans or Eurocurrency Rate Loans to the extent necessary so that, after giving effect thereto, all Loans held by the Lenders holding SOFR Loans or Eurocurrency Rate Loans, as applicable, and by such Lender are held pro rata (as to principal amounts, interest rate basis, and Interest Periods) in accordance with their respective Commitments.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A Lender shall not be entitled to any compensation pursuant to </w:t>
      </w:r>
      <w:r>
        <w:rPr>
          <w:rFonts w:ascii="Times New Roman;serif" w:hAnsi="Times New Roman;serif"/>
          <w:b w:val="false"/>
          <w:color w:val="000000"/>
          <w:sz w:val="22"/>
          <w:u w:val="single"/>
        </w:rPr>
        <w:t>Section 3.03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to the extent such Lender does not upon request certify that it is imposing such charges or requesting such compensation from borrowers (similarly situated to any applicable Borrower hereunder) under comparable syndicated credit facilities.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3.08    </w:t>
      </w:r>
      <w:r>
        <w:rPr>
          <w:rFonts w:ascii="Times New Roman;serif" w:hAnsi="Times New Roman;serif"/>
          <w:b w:val="false"/>
          <w:color w:val="000000"/>
          <w:sz w:val="22"/>
          <w:u w:val="single"/>
        </w:rPr>
        <w:t>Replacement of Lenders under Certain Circumstances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If at any time (i) any Borrower becomes obligated to pay additional amounts or indemnity payments described in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as a result of any condition described in such Sections or any Lender ceases to make SOFR Loans or Eurocurrency Rate Loans, as and if applicable, as a result of any condition described in </w:t>
      </w:r>
      <w:r>
        <w:rPr>
          <w:rFonts w:ascii="Times New Roman;serif" w:hAnsi="Times New Roman;serif"/>
          <w:b w:val="false"/>
          <w:color w:val="000000"/>
          <w:sz w:val="22"/>
          <w:u w:val="single"/>
        </w:rPr>
        <w:t>Section 3.03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(ii) any Lender becomes a Defaulting Lender, (iii) any Lender becomes a Non-Consenting Lender (as defined below in this </w:t>
      </w:r>
      <w:r>
        <w:rPr>
          <w:rFonts w:ascii="Times New Roman;serif" w:hAnsi="Times New Roman;serif"/>
          <w:b w:val="false"/>
          <w:color w:val="000000"/>
          <w:sz w:val="22"/>
          <w:u w:val="single"/>
        </w:rPr>
        <w:t>Section 3.08</w:t>
      </w:r>
      <w:r>
        <w:rPr>
          <w:rFonts w:ascii="Times New Roman;serif" w:hAnsi="Times New Roman;serif"/>
          <w:b w:val="false"/>
          <w:color w:val="000000"/>
          <w:sz w:val="22"/>
        </w:rPr>
        <w:t>) or (iv) any Lender becomes a Non-Extending Lender (collectively, a “</w:t>
      </w:r>
      <w:r>
        <w:rPr>
          <w:rFonts w:ascii="Times New Roman;serif" w:hAnsi="Times New Roman;serif"/>
          <w:b/>
          <w:color w:val="000000"/>
          <w:sz w:val="22"/>
        </w:rPr>
        <w:t>Replaceable Lender</w:t>
      </w:r>
      <w:r>
        <w:rPr>
          <w:color w:val="000000"/>
        </w:rPr>
        <w:t>”</w:t>
      </w:r>
      <w:r>
        <w:rPr>
          <w:rFonts w:ascii="Times New Roman;serif" w:hAnsi="Times New Roman;serif"/>
          <w:b w:val="false"/>
          <w:color w:val="000000"/>
          <w:sz w:val="22"/>
        </w:rPr>
        <w:t xml:space="preserve">), then a Borrower may, on three Business Days’ prior written notice from such Borrower to the Administrative Agent and such Lender (for the avoidance of doubt, such notice shall be deemed provided on the same day that an amendment or waiver is posted to the Lenders for consent), either (i) replace such Lender by causing such Lender to (and such Lender shall be obligated to) assign pursuant to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 xml:space="preserve">(with the assignment fee to be paid by such Borrower in such instance unless waived by the Administrative Agent) all of its rights and obligations under this Agreement (or, in the case of a Non-Consenting Lender, all of its rights and obligations under this Agreement with respect to the Facility or Facilities for which its consent is required) to one or more Eligible Assignees; that neither the Administrative Agent nor any Lender shall have any obligation to such Borrower to find a replacement Lender or other such Person or (ii) so long as no Default or Event of Default shall have occurred and be continuing, terminate the Commitment of such Lender or L/C Issuer, as applicable, and (1) in the case of a Lender (other than an L/C Issuer), repay all Obligations of such Borrower owing (and the amount of all accrued interest and fees in respect thereof) to such Lender relating to the Loans and participations held by such Lender as of such termination date and (2) in the case of an L/C Issuer, repay all obligations of such Borrower owing to such L/C Issuer relating to the Loans and participations held by such L/C Issuer as of such termination date and cancel or backstop on terms satisfactory to such L/C Issuer any Letters of Credit issued by it; that (i) in the case of any such replacement of, or termination of Commitments with respect to a Non-Consenting Lender such replacement or termination shall be sufficient (together with all other consenting Lenders including any other replacement Lender) to cause the adoption of the applicable modification, waiver or amendment of the Loan Documents, (ii) in the case of any such replacement of, or termination of Commitments with respect to a Non-Extending Lender, such replacement Lender shall have agreed to the applicable Extension and (iii) in the case of any such replacement as a result of such Borrower having become obligated to pay amounts described in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such replacement would eliminate or reduce payments pursuant to </w:t>
      </w:r>
      <w:r>
        <w:rPr>
          <w:rFonts w:ascii="Times New Roman;serif" w:hAnsi="Times New Roman;serif"/>
          <w:b w:val="false"/>
          <w:color w:val="000000"/>
          <w:sz w:val="22"/>
          <w:u w:val="single"/>
        </w:rPr>
        <w:t>Section 3.01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as applicable, in the future. Any Lender being replaced pursuant to this </w:t>
      </w:r>
      <w:r>
        <w:rPr>
          <w:rFonts w:ascii="Times New Roman;serif" w:hAnsi="Times New Roman;serif"/>
          <w:b w:val="false"/>
          <w:color w:val="000000"/>
          <w:sz w:val="22"/>
          <w:u w:val="single"/>
        </w:rPr>
        <w:t>Section 3.08(a)</w:t>
      </w:r>
      <w:r>
        <w:rPr>
          <w:color w:val="000000"/>
        </w:rPr>
        <w:t xml:space="preserve"> </w:t>
      </w:r>
      <w:r>
        <w:rPr>
          <w:rFonts w:ascii="Times New Roman;serif" w:hAnsi="Times New Roman;serif"/>
          <w:b w:val="false"/>
          <w:color w:val="000000"/>
          <w:sz w:val="22"/>
        </w:rPr>
        <w:t xml:space="preserve">shall (i) execute and deliver an Assignment and Assumption with respect to such Lender’s Commitment and outstanding Loans and participations in L/C Obligations and (ii) deliver any Notes evidencing such Loans to such Borrower or the Administrative Agent (for return to such Borrower). Pursuant to such Assignment and Assumption, (A) the assignee Lender shall acquire all or a portion, as applicable, of the assigning Lender’s Commitment and outstanding Loans and </w:t>
      </w:r>
    </w:p>
    <w:p>
      <w:pPr>
        <w:pStyle w:val="TextBody"/>
        <w:bidi w:val="0"/>
        <w:spacing w:before="0" w:after="0"/>
        <w:jc w:val="left"/>
        <w:rPr/>
      </w:pPr>
      <w:r>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6480175" cy="175260"/>
                <wp:effectExtent l="0" t="0" r="0" b="0"/>
                <wp:wrapNone/>
                <wp:docPr id="253" name="Frame2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participations in L/C Obligations, (B) all Obligations relating to the Loans and participations (and the amount of all accrued interest, fees and premiums in respect thereof)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such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 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this </w:t>
      </w:r>
      <w:r>
        <w:rPr>
          <w:rFonts w:ascii="Times New Roman;serif" w:hAnsi="Times New Roman;serif"/>
          <w:b w:val="false"/>
          <w:color w:val="000000"/>
          <w:sz w:val="22"/>
          <w:u w:val="single"/>
        </w:rPr>
        <w:t>Section 3.08(a)</w:t>
      </w:r>
      <w:r>
        <w:rPr>
          <w:rFonts w:ascii="Times New Roman;serif" w:hAnsi="Times New Roman;serif"/>
          <w:b w:val="false"/>
          <w:color w:val="000000"/>
          <w:sz w:val="22"/>
        </w:rPr>
        <w:t xml:space="preserve">, such Borrower shall pay to such Lender such amounts as may be required pursuant to </w:t>
      </w:r>
      <w:r>
        <w:rPr>
          <w:rFonts w:ascii="Times New Roman;serif" w:hAnsi="Times New Roman;serif"/>
          <w:b w:val="false"/>
          <w:color w:val="000000"/>
          <w:sz w:val="22"/>
          <w:u w:val="single"/>
        </w:rPr>
        <w:t>Section 3.06</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Notwithstanding anything to the contrary contained above, (i) any Lender that acts as an L/C Issuer may not be replaced hereunder at any time that it has any Letter of Credit outstanding hereunder unless arrangements satisfactory to such L/C Issuer (including the furnishing of a backstop standby letter of credit in form and substance and issued by an issuer reasonably satisfactory to such L/C Issuer or the depositing of Cash Collateral into a cash collateral account in amounts and pursuant to arrangements consistent with the requirements of </w:t>
      </w:r>
      <w:r>
        <w:rPr>
          <w:rFonts w:ascii="Times New Roman;serif" w:hAnsi="Times New Roman;serif"/>
          <w:b w:val="false"/>
          <w:color w:val="000000"/>
          <w:sz w:val="22"/>
          <w:u w:val="single"/>
        </w:rPr>
        <w:t>Section 2.16)</w:t>
      </w:r>
      <w:r>
        <w:rPr>
          <w:color w:val="000000"/>
        </w:rPr>
        <w:t xml:space="preserve"> </w:t>
      </w:r>
      <w:r>
        <w:rPr>
          <w:rFonts w:ascii="Times New Roman;serif" w:hAnsi="Times New Roman;serif"/>
          <w:b w:val="false"/>
          <w:color w:val="000000"/>
          <w:sz w:val="22"/>
        </w:rPr>
        <w:t xml:space="preserve">have been made with respect to such outstanding Letter of Credit and (ii) the Lender that acts as the Administrative Agent may not be replaced hereunder in its capacity as the Administrative Agent or Collateral Agent except in accordance with the terms of </w:t>
      </w:r>
      <w:r>
        <w:rPr>
          <w:rFonts w:ascii="Times New Roman;serif" w:hAnsi="Times New Roman;serif"/>
          <w:b w:val="false"/>
          <w:color w:val="000000"/>
          <w:sz w:val="22"/>
          <w:u w:val="single"/>
        </w:rPr>
        <w:t>Section 9.09</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In the event that (i) any Borrower or the Administrative Agent has requested the Lenders to consent to a waiver of any provisions of the Loan Documents or to agree to any amendment or other modification thereto, (ii) the waiver, amendment or modification in question requires the agreement of all affected Lenders in accordance with the terms of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or all the Lenders with respect to a certain class of the Loans and (iii) the Required Lenders or Majority Lenders of the applicable class, as applicable, have agreed to such waiver, amendment or modification, then any Lender who does not agree to such waiver, amendment or modification, in each case, shall be deemed a “Non-Consenting Lender”; , that the term “</w:t>
      </w:r>
      <w:r>
        <w:rPr>
          <w:rFonts w:ascii="Times New Roman;serif" w:hAnsi="Times New Roman;serif"/>
          <w:b/>
          <w:color w:val="000000"/>
          <w:sz w:val="22"/>
        </w:rPr>
        <w:t>Non-Consenting Lender</w:t>
      </w:r>
      <w:r>
        <w:rPr>
          <w:color w:val="000000"/>
        </w:rPr>
        <w:t xml:space="preserve">” </w:t>
      </w:r>
      <w:r>
        <w:rPr>
          <w:rFonts w:ascii="Times New Roman;serif" w:hAnsi="Times New Roman;serif"/>
          <w:b w:val="false"/>
          <w:color w:val="000000"/>
          <w:sz w:val="22"/>
        </w:rPr>
        <w:t xml:space="preserve">shall also include any Lender that (x) rejects (or is deemed to reject) an Extension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which Extension has been accepted by at least the Majority Lenders of the respective Tranche of Loans whose Loans and/or Commitments are to be extended pursuant to such Extension and (y) does not elect to become a lender in respect of any Specified Refinancing Debt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For the avoidance of doubt, if any applicable Lender shall be deemed a Non-Consenting Lender and is required to assign all or any portion of its Initial Term Loans or its Initial Term Loans are prepaid by the Borrower, pursuant to </w:t>
      </w:r>
      <w:r>
        <w:rPr>
          <w:rFonts w:ascii="Times New Roman;serif" w:hAnsi="Times New Roman;serif"/>
          <w:b w:val="false"/>
          <w:color w:val="000000"/>
          <w:sz w:val="22"/>
          <w:u w:val="single"/>
        </w:rPr>
        <w:t>Section 3.08(a)</w:t>
      </w:r>
      <w:r>
        <w:rPr>
          <w:color w:val="000000"/>
        </w:rPr>
        <w:t xml:space="preserve"> </w:t>
      </w:r>
      <w:r>
        <w:rPr>
          <w:rFonts w:ascii="Times New Roman;serif" w:hAnsi="Times New Roman;serif"/>
          <w:b w:val="false"/>
          <w:color w:val="000000"/>
          <w:sz w:val="22"/>
        </w:rPr>
        <w:t>on or prior to the date that is six months after the Closing Date in connection with any such waiver, amendment or modification constituting a Repricing Event, the Borrower shall pay such Non-Consenting Lender a fee equal to 1.00% of the principal amount of the Initial Term Loans so assigned or prepaid.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Survival. All of the Loan Parties’ obligations under this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shall survive termination of the Aggregate Commitments and repayment of all other Obligations hereunder, any assignment by or replacement of a Lender and any resignation or removal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6480175" cy="175260"/>
                <wp:effectExtent l="0" t="0" r="0" b="0"/>
                <wp:wrapNone/>
                <wp:docPr id="254" name="Frame2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IV</w:t>
      </w:r>
      <w:r>
        <w:rPr>
          <w:rFonts w:ascii="Times New Roman;serif" w:hAnsi="Times New Roman;serif"/>
          <w:b/>
          <w:color w:val="000000"/>
          <w:sz w:val="22"/>
        </w:rPr>
        <w:br/>
        <w:br/>
        <w:t>CONDITIONS PRECEDENT TO CREDIT EXTENSIONS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4.01    </w:t>
      </w:r>
      <w:r>
        <w:rPr>
          <w:rFonts w:ascii="Times New Roman;serif" w:hAnsi="Times New Roman;serif"/>
          <w:b w:val="false"/>
          <w:color w:val="000000"/>
          <w:sz w:val="22"/>
          <w:u w:val="single"/>
        </w:rPr>
        <w:t>Conditions to the Initial Credit Extension on the Closing Date</w:t>
      </w:r>
      <w:r>
        <w:rPr>
          <w:rFonts w:ascii="Times New Roman;serif" w:hAnsi="Times New Roman;serif"/>
          <w:b w:val="false"/>
          <w:color w:val="000000"/>
          <w:sz w:val="22"/>
        </w:rPr>
        <w:t>. The obligation of each Lender to make its initial Credit Extension hereunder on the Closing Date is subject to satisfaction of each of the following conditions precedent, except as may be waived or otherwise agreed between the Company and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Administrative Agent shall have received all of the following, subject to </w:t>
      </w:r>
      <w:r>
        <w:rPr>
          <w:rFonts w:ascii="Times New Roman;serif" w:hAnsi="Times New Roman;serif"/>
          <w:b w:val="false"/>
          <w:color w:val="000000"/>
          <w:sz w:val="22"/>
          <w:u w:val="single"/>
        </w:rPr>
        <w:t>Section 6.16</w:t>
      </w:r>
      <w:r>
        <w:rPr>
          <w:rFonts w:ascii="Times New Roman;serif" w:hAnsi="Times New Roman;serif"/>
          <w:b w:val="false"/>
          <w:color w:val="000000"/>
          <w:sz w:val="22"/>
        </w:rPr>
        <w:t>, each of which shall be originals or facsimiles or “pdf” files unless otherwise specified, each properly executed by a Responsible Officer of the signing Loan Party, as applicable, each dated as of the Closing Date (or, in the case of certificates of governmental officials, as of a recent date before the Closing Date), and each accompanied by their respective required schedules and other attachments (and set forth thereon shall be all required information with respect to BD, the Company and its Subsidiaries, after giving effect to the Transactions):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an executed counterpart of this Agreement from the Company;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BD Guaranty, duly executed by BD;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 Note executed by the Company in favor of each Lender requesting a Note at least three Business Days prior to the Closing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a Committed Loan Notice and a Letter of Credit Application, if applicable, in each case relating to the initial Credit Extension to be made on the Closing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such customary documents and certifications (including Organization Documents and, if applicable, good standing certificates or certificates of status) as the Administrative Agent may reasonably require to evidence (A) the identity, authority and capacity of each Responsible Officer of each of BD and the Company acting as such in connection with this Agreement and the other Loan Documents and (B) that each of BD and the Company is duly organized or formed, validly existing and in good standing, except to the extent that failure to be so qualified could not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an opinion of (A) Wachtell, Lipton, Rosen &amp; Katz, special New York and Delaware counsel to the Company and (B) in-house counsel for BD, in each case in form and substance reasonably satisfactory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(vii)    a certificate of a Responsible Officer of the Company certifying that the conditions set forth in </w:t>
      </w:r>
      <w:r>
        <w:rPr>
          <w:rFonts w:ascii="Times New Roman;serif" w:hAnsi="Times New Roman;serif"/>
          <w:b w:val="false"/>
          <w:color w:val="000000"/>
          <w:sz w:val="22"/>
          <w:u w:val="single"/>
        </w:rPr>
        <w:t>Sections 4.01(b)</w:t>
      </w:r>
      <w:r>
        <w:rPr>
          <w:color w:val="000000"/>
        </w:rPr>
        <w:t xml:space="preserve"> </w:t>
      </w:r>
      <w:r>
        <w:rPr>
          <w:rFonts w:ascii="Times New Roman;serif" w:hAnsi="Times New Roman;serif"/>
          <w:b w:val="false"/>
          <w:color w:val="000000"/>
          <w:sz w:val="22"/>
        </w:rPr>
        <w:t>and (d) have been satisfied.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Since December 31, 2021, a Material Adverse Effect shall not have occurred.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The Company shall have provided at least three Business Days prior to the Closing Date (x) all documentation and other information about BD, the Company and the other Guarantors as has been reasonably requested in writing at least ten Business Days prior to the Closing Date by any Lender that such Lender reasonably determines is required by regulatory authorities under applicable “know your customer” requirements and applicable anti-money-laundering laws, including the PATRIOT Act and (y) if any Borrower qualifies as a “legal entity customer” under the Beneficial Ownership Regulation, such </w:t>
      </w:r>
    </w:p>
    <w:p>
      <w:pPr>
        <w:pStyle w:val="TextBody"/>
        <w:bidi w:val="0"/>
        <w:spacing w:before="0" w:after="0"/>
        <w:jc w:val="left"/>
        <w:rPr/>
      </w:pPr>
      <w:r>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6480175" cy="175260"/>
                <wp:effectExtent l="0" t="0" r="0" b="0"/>
                <wp:wrapNone/>
                <wp:docPr id="255" name="Frame2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Borrower shall have delivered to each Lender that so requests a Beneficial Ownership Certification in relation to such Borrower.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The representations and warranties of the Company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and of BD contained in the BD Guaranty shall be true and correct in all material respects (and in all respects if any such representation or warranty is already qualified by materiality) on and as of the Closing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All fees required to be paid on the Closing Date and the reasonable and documented out-of-pocket expenses required to be paid on the Closing Date, to the extent such expenses are invoiced at least three Business Days prior to the Closing Date (or such later date as the Company may reasonably agree) shall, upon the initial borrowing hereunder, have been paid or shall be paid substantially concurrently with the initial funding under this Agreement (which amounts may, at the Company’s option, be offset against the proceeds of the Initial Term Loans or the proceeds of the funding of the Initial Revolving Credit Commitments).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The Company shall have issued the Senior Secured Notes prior to, or substantially concurrently with, the initial Credit Extension hereunder on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Without limiting the generality of the provisions of </w:t>
      </w:r>
      <w:r>
        <w:rPr>
          <w:rFonts w:ascii="Times New Roman;serif" w:hAnsi="Times New Roman;serif"/>
          <w:b w:val="false"/>
          <w:color w:val="000000"/>
          <w:sz w:val="22"/>
          <w:u w:val="single"/>
        </w:rPr>
        <w:t>Section 9.03</w:t>
      </w:r>
      <w:r>
        <w:rPr>
          <w:rFonts w:ascii="Times New Roman;serif" w:hAnsi="Times New Roman;serif"/>
          <w:b w:val="false"/>
          <w:color w:val="000000"/>
          <w:sz w:val="22"/>
        </w:rPr>
        <w:t xml:space="preserve">, for purposes of determining compliance with the conditions specified in this </w:t>
      </w:r>
      <w:r>
        <w:rPr>
          <w:rFonts w:ascii="Times New Roman;serif" w:hAnsi="Times New Roman;serif"/>
          <w:b w:val="false"/>
          <w:color w:val="000000"/>
          <w:sz w:val="22"/>
          <w:u w:val="single"/>
        </w:rPr>
        <w:t>Section 4.01</w:t>
      </w:r>
      <w:r>
        <w:rPr>
          <w:rFonts w:ascii="Times New Roman;serif" w:hAnsi="Times New Roman;serif"/>
          <w:b w:val="false"/>
          <w:color w:val="000000"/>
          <w:sz w:val="22"/>
        </w:rPr>
        <w:t>,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4.02    </w:t>
      </w:r>
      <w:r>
        <w:rPr>
          <w:rFonts w:ascii="Times New Roman;serif" w:hAnsi="Times New Roman;serif"/>
          <w:b w:val="false"/>
          <w:color w:val="000000"/>
          <w:sz w:val="22"/>
          <w:u w:val="single"/>
        </w:rPr>
        <w:t>Conditions to All Credit Extensions</w:t>
      </w:r>
      <w:r>
        <w:rPr>
          <w:rFonts w:ascii="Times New Roman;serif" w:hAnsi="Times New Roman;serif"/>
          <w:b w:val="false"/>
          <w:color w:val="000000"/>
          <w:sz w:val="22"/>
        </w:rPr>
        <w:t xml:space="preserve">. The obligation of each Lender to honor any Request for Credit Extension (other than on the Closing Date, or with respect to a Committed Loan Notice requesting only a conversion of Loans to the other Type, or a continuation of SOFR Loans or Eurocurrency Rate Loans) is subject to the satisfaction or due waiver in accordance with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of the following conditions precedent (subject to </w:t>
      </w:r>
      <w:r>
        <w:rPr>
          <w:rFonts w:ascii="Times New Roman;serif" w:hAnsi="Times New Roman;serif"/>
          <w:b w:val="false"/>
          <w:color w:val="000000"/>
          <w:sz w:val="22"/>
          <w:u w:val="single"/>
        </w:rPr>
        <w:t>Section 1.02(i)</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representations and warranties of the Company and each other Loan Party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other Loan 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serif" w:hAnsi="Times New Roman;serif"/>
          <w:b w:val="false"/>
          <w:color w:val="000000"/>
          <w:sz w:val="22"/>
          <w:u w:val="single"/>
        </w:rPr>
        <w:t>Section 4.02</w:t>
      </w:r>
      <w:r>
        <w:rPr>
          <w:rFonts w:ascii="Times New Roman;serif" w:hAnsi="Times New Roman;serif"/>
          <w:b w:val="false"/>
          <w:color w:val="000000"/>
          <w:sz w:val="22"/>
        </w:rPr>
        <w:t xml:space="preserve">, the representations and warranties contained in </w:t>
      </w:r>
      <w:r>
        <w:rPr>
          <w:rFonts w:ascii="Times New Roman;serif" w:hAnsi="Times New Roman;serif"/>
          <w:b w:val="false"/>
          <w:color w:val="000000"/>
          <w:sz w:val="22"/>
          <w:u w:val="single"/>
        </w:rPr>
        <w:t>Sections 5.05(a)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shall be deemed to refer to the most recent financial statements furnished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rFonts w:ascii="Times New Roman;serif" w:hAnsi="Times New Roman;serif"/>
          <w:b w:val="false"/>
          <w:color w:val="000000"/>
          <w:sz w:val="22"/>
        </w:rPr>
        <w:t>, respectively, prior to such proposed Credit Extension.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 Default or Event of Default shall exist at the time of or immediately after giving effect to such proposed Credit Extension.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The Administrative Agent and, if applicable, the L/C Issuer shall have received a Request for Credit Extension in accordance with the requirements hereof.</w:t>
      </w:r>
    </w:p>
    <w:p>
      <w:pPr>
        <w:pStyle w:val="TextBody"/>
        <w:bidi w:val="0"/>
        <w:spacing w:before="0" w:after="0"/>
        <w:jc w:val="left"/>
        <w:rPr/>
      </w:pPr>
      <w:r>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6480175" cy="175260"/>
                <wp:effectExtent l="0" t="0" r="0" b="0"/>
                <wp:wrapNone/>
                <wp:docPr id="256" name="Frame2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(d)    At the time of the delivery of any Request for Credit Extension, the Loan Parties shall not have any Excess Cash On-Hand (which</w:t>
      </w:r>
      <w:r>
        <w:rPr>
          <w:rFonts w:ascii="Times New Roman;serif" w:hAnsi="Times New Roman;serif"/>
          <w:b w:val="false"/>
          <w:color w:val="008000"/>
          <w:sz w:val="22"/>
          <w:u w:val="single"/>
        </w:rPr>
        <w:t>, for purposes of this clause (</w:t>
      </w:r>
      <w:r>
        <w:rPr>
          <w:rFonts w:ascii="Times New Roman;serif" w:hAnsi="Times New Roman;serif"/>
          <w:b w:val="false"/>
          <w:color w:val="0000FF"/>
          <w:sz w:val="22"/>
          <w:u w:val="single"/>
        </w:rPr>
        <w:t xml:space="preserve">d), shall be </w:t>
      </w:r>
      <w:r>
        <w:rPr>
          <w:rFonts w:ascii="Times New Roman;serif" w:hAnsi="Times New Roman;serif"/>
          <w:b w:val="false"/>
          <w:color w:val="008000"/>
          <w:sz w:val="22"/>
          <w:u w:val="single"/>
        </w:rPr>
        <w:t xml:space="preserve">calculated on a pro forma basis </w:t>
      </w:r>
      <w:r>
        <w:rPr>
          <w:rFonts w:ascii="Times New Roman;serif" w:hAnsi="Times New Roman;serif"/>
          <w:b w:val="false"/>
          <w:color w:val="0000FF"/>
          <w:sz w:val="22"/>
          <w:u w:val="single"/>
        </w:rPr>
        <w:t>giving effect to any use of proceeds thereof).</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(e)    No proceeds of such proposed Credit Extension shall be applied to repay or prepay any Term Loan, other than scheduled amortization payments required pursuant to Section 2.07</w:t>
      </w:r>
      <w:r>
        <w:rPr>
          <w:rFonts w:ascii="Times New Roman;serif" w:hAnsi="Times New Roman;serif"/>
          <w:b w:val="false"/>
          <w:color w:val="008000"/>
          <w:sz w:val="22"/>
          <w:u w:val="single"/>
        </w:rPr>
        <w:t>(a).</w:t>
      </w:r>
    </w:p>
    <w:p>
      <w:pPr>
        <w:pStyle w:val="TextBody"/>
        <w:bidi w:val="0"/>
        <w:spacing w:lineRule="auto" w:line="288" w:before="0" w:after="240"/>
        <w:jc w:val="center"/>
        <w:rPr/>
      </w:pPr>
      <w:r>
        <w:rPr>
          <w:rFonts w:ascii="Times New Roman;serif" w:hAnsi="Times New Roman;serif"/>
          <w:b/>
          <w:color w:val="000000"/>
          <w:sz w:val="24"/>
        </w:rPr>
        <w:t>ARTICLE V</w:t>
      </w:r>
      <w:r>
        <w:rPr>
          <w:rFonts w:ascii="Times New Roman;serif" w:hAnsi="Times New Roman;serif"/>
          <w:b/>
          <w:color w:val="000000"/>
          <w:sz w:val="22"/>
        </w:rPr>
        <w:br/>
        <w:br/>
        <w:t>REPRESENTATIONS AND WARRANTIES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of the Company and each other Borrower represents and warrants, in each case after giving effect to the Transactions, to the Administrative Agent, Collateral Agent and the Lenders on the Closing Date, the Spin-Off Date and on each other date thereafter on which a Credit Extension is made,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5.01    </w:t>
      </w:r>
      <w:r>
        <w:rPr>
          <w:rFonts w:ascii="Times New Roman;serif" w:hAnsi="Times New Roman;serif"/>
          <w:b w:val="false"/>
          <w:color w:val="000000"/>
          <w:sz w:val="22"/>
          <w:u w:val="single"/>
        </w:rPr>
        <w:t>Existence, Qualification and Power; Compliance with Laws</w:t>
      </w:r>
      <w:r>
        <w:rPr>
          <w:rFonts w:ascii="Times New Roman;serif" w:hAnsi="Times New Roman;serif"/>
          <w:b w:val="false"/>
          <w:color w:val="000000"/>
          <w:sz w:val="22"/>
        </w:rPr>
        <w:t xml:space="preserve">. Each Loan Party and each of the Restricted Subsidiaries (subject, in the case of </w:t>
      </w:r>
      <w:r>
        <w:rPr>
          <w:rFonts w:ascii="Times New Roman;serif" w:hAnsi="Times New Roman;serif"/>
          <w:b w:val="false"/>
          <w:color w:val="000000"/>
          <w:sz w:val="22"/>
          <w:u w:val="single"/>
        </w:rPr>
        <w:t>clause (c)</w:t>
      </w:r>
      <w:r>
        <w:rPr>
          <w:rFonts w:ascii="Times New Roman;serif" w:hAnsi="Times New Roman;serif"/>
          <w:b w:val="false"/>
          <w:color w:val="000000"/>
          <w:sz w:val="22"/>
        </w:rPr>
        <w:t xml:space="preserve">, to </w:t>
      </w:r>
      <w:r>
        <w:rPr>
          <w:rFonts w:ascii="Times New Roman;serif" w:hAnsi="Times New Roman;serif"/>
          <w:b w:val="false"/>
          <w:color w:val="000000"/>
          <w:sz w:val="22"/>
          <w:u w:val="single"/>
        </w:rPr>
        <w:t>Section 5.03</w:t>
      </w:r>
      <w:r>
        <w:rPr>
          <w:rFonts w:ascii="Times New Roman;serif" w:hAnsi="Times New Roman;serif"/>
          <w:b w:val="false"/>
          <w:color w:val="000000"/>
          <w:sz w:val="22"/>
        </w:rPr>
        <w:t xml:space="preserve">) (a) is a Person duly organized, formed or incorporated, amalgamated or continued, validly existing and in good standing (to the extent such concept is applicable in the relevant jurisdiction) under the Laws of the jurisdiction of its incorporation or organization, (b) has all requisite power and authority to (i) own or lease its assets and carry on its business and (ii) execute, deliver and 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(other than with respect to the Borrowers), </w:t>
      </w:r>
      <w:r>
        <w:rPr>
          <w:rFonts w:ascii="Times New Roman;serif" w:hAnsi="Times New Roman;serif"/>
          <w:b w:val="false"/>
          <w:color w:val="000000"/>
          <w:sz w:val="22"/>
          <w:u w:val="single"/>
        </w:rPr>
        <w:t>(b)(i)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(b)(ii)</w:t>
      </w:r>
      <w:r>
        <w:rPr>
          <w:color w:val="000000"/>
        </w:rPr>
        <w:t xml:space="preserve"> </w:t>
      </w:r>
      <w:r>
        <w:rPr>
          <w:rFonts w:ascii="Times New Roman;serif" w:hAnsi="Times New Roman;serif"/>
          <w:b w:val="false"/>
          <w:color w:val="000000"/>
          <w:sz w:val="22"/>
        </w:rPr>
        <w:t xml:space="preserve">(other than with respect to the Borrowers),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rFonts w:ascii="Times New Roman;serif" w:hAnsi="Times New Roman;serif"/>
          <w:b w:val="false"/>
          <w:color w:val="000000"/>
          <w:sz w:val="22"/>
        </w:rPr>
        <w:t>, to the extent that any failure to be so or to have such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5.02    </w:t>
      </w:r>
      <w:r>
        <w:rPr>
          <w:rFonts w:ascii="Times New Roman;serif" w:hAnsi="Times New Roman;serif"/>
          <w:b w:val="false"/>
          <w:color w:val="000000"/>
          <w:sz w:val="22"/>
          <w:u w:val="single"/>
        </w:rPr>
        <w:t>Authorization; No Contravention</w:t>
      </w:r>
      <w:r>
        <w:rPr>
          <w:rFonts w:ascii="Times New Roman;serif" w:hAnsi="Times New Roman;serif"/>
          <w:b w:val="false"/>
          <w:color w:val="000000"/>
          <w:sz w:val="22"/>
        </w:rPr>
        <w:t>. The execution, delivery and performance by each Loan Party of each Loan Document to which such Person is or is to be a party, are within such Loan Party’s corporate or other powers, have been duly authorized by all necessary corporate or other organizational action and do not (a) contravene the terms of any of such Person’s Organization Documents or (b) violate any Law, except in the case of this clause (b), to the extent that such violation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5.03    </w:t>
      </w:r>
      <w:r>
        <w:rPr>
          <w:rFonts w:ascii="Times New Roman;serif" w:hAnsi="Times New Roman;serif"/>
          <w:b w:val="false"/>
          <w:color w:val="000000"/>
          <w:sz w:val="22"/>
          <w:u w:val="single"/>
        </w:rPr>
        <w:t>Governmental Authorization; Other Consents</w:t>
      </w:r>
      <w:r>
        <w:rPr>
          <w:rFonts w:ascii="Times New Roman;serif" w:hAnsi="Times New Roman;serif"/>
          <w:b w:val="false"/>
          <w:color w:val="000000"/>
          <w:sz w:val="22"/>
        </w:rPr>
        <w:t xml:space="preserve">. No approval, consent, exemption, authorization or other action by, or notice to, or filing with, any Governmental Authority or any other Person is necessary or required in connection with (a) the execution, delivery,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except for (w) filings and registrations necessary to perfect the Liens on the Collateral granted by the Loan Parties consisting of UCC financing statements and filings in the United States Patent and Trademark Office and the United States Copyright Office,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w:t>
      </w:r>
    </w:p>
    <w:p>
      <w:pPr>
        <w:pStyle w:val="TextBody"/>
        <w:bidi w:val="0"/>
        <w:spacing w:before="0" w:after="0"/>
        <w:jc w:val="left"/>
        <w:rPr/>
      </w:pPr>
      <w:r>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6480175" cy="175260"/>
                <wp:effectExtent l="0" t="0" r="0" b="0"/>
                <wp:wrapNone/>
                <wp:docPr id="257" name="Frame2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authorizations or other actions, notices or filings, the failure of which to obtain or make would not reasonably be expected to have, individually or in the aggregate,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5.04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xml:space="preserve">. This Agreement and each other Loan Document has been duly executed and delivered by each Loan Party (to the extent such concept is applicable in the relevant jurisdiction and subject, in each case, to </w:t>
      </w:r>
      <w:r>
        <w:rPr>
          <w:rFonts w:ascii="Times New Roman;serif" w:hAnsi="Times New Roman;serif"/>
          <w:b w:val="false"/>
          <w:color w:val="000000"/>
          <w:sz w:val="22"/>
          <w:u w:val="single"/>
        </w:rPr>
        <w:t>Section 5.03</w:t>
      </w:r>
      <w:r>
        <w:rPr>
          <w:rFonts w:ascii="Times New Roman;serif" w:hAnsi="Times New Roman;serif"/>
          <w:b w:val="false"/>
          <w:color w:val="000000"/>
          <w:sz w:val="22"/>
        </w:rPr>
        <w:t>) that is party thereto. This Agreement and each other Loan Document constitutes, a legal, valid and binding obligation of such Loan Party, enforceable against each Loan Party that is party thereto in accordance with its terms (except as such enforceability may be limited by applicable bankruptcy, insolvency, reorganization, moratorium or other similar laws affecting creditors’ rights generally and by general principles of equity).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5.05    </w:t>
      </w:r>
      <w:r>
        <w:rPr>
          <w:rFonts w:ascii="Times New Roman;serif" w:hAnsi="Times New Roman;serif"/>
          <w:b w:val="false"/>
          <w:color w:val="000000"/>
          <w:sz w:val="22"/>
          <w:u w:val="single"/>
        </w:rPr>
        <w:t>Financial Statements; No Material Adverse Effect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audited consolidated financial statements of the Company (or of any Parent Holding Company or Subsidiary of a Parent Holding Company allowed to be delivered pursuant to the terms hereof) and its Subsidiaries most recently delivered pursuant to </w:t>
      </w:r>
      <w:r>
        <w:rPr>
          <w:rFonts w:ascii="Times New Roman;serif" w:hAnsi="Times New Roman;serif"/>
          <w:b w:val="false"/>
          <w:color w:val="000000"/>
          <w:sz w:val="22"/>
          <w:u w:val="single"/>
        </w:rPr>
        <w:t>Section 6.01(a)</w:t>
      </w:r>
      <w:r>
        <w:rPr>
          <w:color w:val="000000"/>
        </w:rPr>
        <w:t xml:space="preserve"> </w:t>
      </w:r>
      <w:r>
        <w:rPr>
          <w:rFonts w:ascii="Times New Roman;serif" w:hAnsi="Times New Roman;serif"/>
          <w:b w:val="false"/>
          <w:color w:val="000000"/>
          <w:sz w:val="22"/>
        </w:rPr>
        <w:t>fairly present in all material respects the consolidated financial condition of the Company (or of any Parent Holding Company or Subsidiary of a Parent Holding Company allowed to be delivered pursuant to the terms hereof) and its Subsidiaries as of the dates thereof and their results of operations for the period covered thereby in accordance with GAAP consistently applied throughout the period covered thereby, except as otherwise expressly noted therein.</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The unaudited consolidated financial statements of the Company (or of any Parent Holding Company or Subsidiary of a Parent Holding Company allowed to be delivered pursuant to the terms hereof) and its Subsidiaries most recently delivered pursuant to </w:t>
      </w:r>
      <w:r>
        <w:rPr>
          <w:rFonts w:ascii="Times New Roman;serif" w:hAnsi="Times New Roman;serif"/>
          <w:b w:val="false"/>
          <w:color w:val="000000"/>
          <w:sz w:val="22"/>
          <w:u w:val="single"/>
        </w:rPr>
        <w:t>Section 6.01(b)</w:t>
      </w:r>
      <w:r>
        <w:rPr>
          <w:color w:val="000000"/>
        </w:rPr>
        <w:t xml:space="preserve"> </w:t>
      </w:r>
      <w:r>
        <w:rPr>
          <w:rFonts w:ascii="Times New Roman;serif" w:hAnsi="Times New Roman;serif"/>
          <w:b w:val="false"/>
          <w:color w:val="000000"/>
          <w:sz w:val="22"/>
        </w:rPr>
        <w:t>(i) were prepared in accordance with GAAP consistently applied throughout the period covered thereby, except as otherwise expressly noted therein, and (ii) fairly present in all material respects the consolidated financial condition of the Company (or of any Parent Holding Company or Subsidiary of a Parent Holding Company allowed to be delivered pursuant to the terms hereof) and its Subsidiaries as of the date thereof and their results of operations for the period covered thereby, subject to the absence of footnotes and to normal and recurring year-end audit adjustments.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Since the Closing Date, there has been no event or circumstance, either individually or in the aggregate, that has had or would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The Projections prepared by or on behalf of the Company or any of its representatives and that have been made available to any Lenders or Agents in writing prior to the Closing Date in connection with the Transactions or the other transactions contemplated hereby were prepared in good faith on the basis of the assumptions stated therein, which assumptions were believed by the Company to be reasonable in light of the conditions existing at the time of delivery of such forecasts; it being understood that no assurance can be given that any particular projections will be realized, actual results may vary from such forecasts and that such variations may be material.</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5.06    </w:t>
      </w:r>
      <w:r>
        <w:rPr>
          <w:rFonts w:ascii="Times New Roman;serif" w:hAnsi="Times New Roman;serif"/>
          <w:b w:val="false"/>
          <w:color w:val="000000"/>
          <w:sz w:val="22"/>
          <w:u w:val="single"/>
        </w:rPr>
        <w:t>Litigation</w:t>
      </w:r>
      <w:r>
        <w:rPr>
          <w:rFonts w:ascii="Times New Roman;serif" w:hAnsi="Times New Roman;serif"/>
          <w:b w:val="false"/>
          <w:color w:val="000000"/>
          <w:sz w:val="22"/>
        </w:rPr>
        <w:t>. There are no actions, suits, proceedings, claims or disputes pending or, to the knowledge of any Borrower, threatened in writing, at law, in equity, in arbitration or before any Governmental Authority, against any Restricted Group Member, or against any of their properties or revenues that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5.07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The Borrowers:</w:t>
      </w:r>
    </w:p>
    <w:p>
      <w:pPr>
        <w:pStyle w:val="TextBody"/>
        <w:bidi w:val="0"/>
        <w:spacing w:before="0" w:after="0"/>
        <w:jc w:val="left"/>
        <w:rPr/>
      </w:pPr>
      <w:r>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6480175" cy="175260"/>
                <wp:effectExtent l="0" t="0" r="0" b="0"/>
                <wp:wrapNone/>
                <wp:docPr id="258" name="Frame2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will only use the proceeds of the Initial Term Loans (i) to finance the Special Payment, (ii) to pay the Transaction Costs (including paying any fees, commissions and expenses associated therewith), (iii) to finance any OID and/or upfront fees and (iv) for working capital and other general corporate purposes;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will only use the proceeds of the Revolving Credit Loans made on the Closing Date (i) to fund any OID and/or upfront fees, (ii) for working capital and other general corporate purposes, and (iii) to pay Transaction Costs in an amount not to exceed $10,000,000;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will use the Letters of Credit issued and the proceeds of all other Borrowings made after the Closing Date to finance the working capital needs of any Restricted Group Member, for general corporate purposes of any Restricted Group Member (including acquisitions, restricted payments and other Investments permitted hereunder) and/or for any other purpose not prohibited by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5.08    </w:t>
      </w:r>
      <w:r>
        <w:rPr>
          <w:rFonts w:ascii="Times New Roman;serif" w:hAnsi="Times New Roman;serif"/>
          <w:b w:val="false"/>
          <w:color w:val="000000"/>
          <w:sz w:val="22"/>
          <w:u w:val="single"/>
        </w:rPr>
        <w:t>Ownership of Property; Liens</w:t>
      </w:r>
      <w:r>
        <w:rPr>
          <w:rFonts w:ascii="Times New Roman;serif" w:hAnsi="Times New Roman;serif"/>
          <w:b w:val="false"/>
          <w:color w:val="000000"/>
          <w:sz w:val="22"/>
        </w:rPr>
        <w:t xml:space="preserve">. Each Loan Party and each of the Restricted Subsidiaries has fee simple or other comparable valid title to, or leasehold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not prohibited by </w:t>
      </w:r>
      <w:r>
        <w:rPr>
          <w:rFonts w:ascii="Times New Roman;serif" w:hAnsi="Times New Roman;serif"/>
          <w:b w:val="false"/>
          <w:color w:val="000000"/>
          <w:sz w:val="22"/>
          <w:u w:val="single"/>
        </w:rPr>
        <w:t>Section 7.02</w:t>
      </w:r>
      <w:r>
        <w:rPr>
          <w:rFonts w:ascii="Times New Roman;serif" w:hAnsi="Times New Roman;serif"/>
          <w:b w:val="false"/>
          <w:color w:val="000000"/>
          <w:sz w:val="22"/>
        </w:rPr>
        <w:t>, except where the failure to have such title or interests would not reasonably be expected to have, individually or in the aggregate, a Material Adverse Effect on the use or operation of any real property necessary for the ordinary conduct of the Borrowers’ business, taken as a whole.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5.09    </w:t>
      </w:r>
      <w:r>
        <w:rPr>
          <w:rFonts w:ascii="Times New Roman;serif" w:hAnsi="Times New Roman;serif"/>
          <w:b w:val="false"/>
          <w:color w:val="000000"/>
          <w:sz w:val="22"/>
          <w:u w:val="single"/>
        </w:rPr>
        <w:t>Environmental Compliance</w:t>
      </w:r>
      <w:r>
        <w:rPr>
          <w:rFonts w:ascii="Times New Roman;serif" w:hAnsi="Times New Roman;serif"/>
          <w:b w:val="false"/>
          <w:color w:val="000000"/>
          <w:sz w:val="22"/>
        </w:rPr>
        <w:t>. Except as would not, individually or in the aggregate, reasonably be expected to have a Material Adverse Effect: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Restricted Group and their respective operations and properties are in compliance with all applicable Environmental Laws and Environmental Permits and none of the Restricted Group are subject to any Environmental Liability.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(i) None of the properties currently or, to the knowledge of any Borrower, formerly owned or operated by any Restricted Group Member is listed or, to the knowledge of any Borrower, proposed for listing on the NPL or on the SEMS or any analogous foreign, state, provincial, territorial or local list, (ii) there is no asbestos or asbestos-containing material on any property currently owned or operated by any Restricted Group Member requiring investigation, remediation, mitigation, removal, or assessment, or other response, remedial or corrective action, pursuant to any Environmental Law and (iii) Hazardous Materials have not been Released and there exists no threat of Release of Hazardous Materials on any property currently or, to the knowledge of any Borrower, formerly owned or operated by any Restricted Group Member, except for such Releases or threats of Releases that were in compliance with, or would not reasonably be expected to give rise to liability of any Restricted Group Member under any Environmental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None of the Restricted Group is undertaking, either individually or together with other potentially responsible parties, any investigation, remediation, mitigation, removal, assessment or remedial, response or corrective action relating to any actual or threatened Release of Hazardous Materials at any site, location or operation, either voluntarily or pursuant to the order of any Governmental Authority or the requirements of any Environmental Law.</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All Hazardous Materials Released, generated, used, treated, handled or stored at, or transported to or from, any property currently or, to the knowledge of any Borrower, formerly owned or </w:t>
      </w:r>
    </w:p>
    <w:p>
      <w:pPr>
        <w:pStyle w:val="TextBody"/>
        <w:bidi w:val="0"/>
        <w:spacing w:before="0" w:after="0"/>
        <w:jc w:val="left"/>
        <w:rPr/>
      </w:pPr>
      <w:r>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6480175" cy="175260"/>
                <wp:effectExtent l="0" t="0" r="0" b="0"/>
                <wp:wrapNone/>
                <wp:docPr id="259" name="Frame2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operated by any Restricted Group Member have been disposed of in a manner that would not reasonably be expected to result in liability to any Restricted Group Member.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None of the Restricted Group has received notice of or is subject to any claim, action, proceeding or suit with respect to any actual or alleged Environmental Liability.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5.10    </w:t>
      </w:r>
      <w:r>
        <w:rPr>
          <w:rFonts w:ascii="Times New Roman;serif" w:hAnsi="Times New Roman;serif"/>
          <w:b w:val="false"/>
          <w:color w:val="000000"/>
          <w:sz w:val="22"/>
          <w:u w:val="single"/>
        </w:rPr>
        <w:t>Taxes</w:t>
      </w:r>
      <w:r>
        <w:rPr>
          <w:rFonts w:ascii="Times New Roman;serif" w:hAnsi="Times New Roman;serif"/>
          <w:b w:val="false"/>
          <w:color w:val="000000"/>
          <w:sz w:val="22"/>
        </w:rPr>
        <w:t>. The Restricted Group have filed or have caused to be filed all Tax returns and reports required to have been filed (taking into account any valid extensions thereof), and have paid all Taxes (including in their capacity as withholding agents) levied or imposed upon them or their properties, income or assets otherwise due and payable, except those (a) which are being contested in good faith by appropriate proceedings diligently conducted and for which adequate reserves have been provided in accordance with GAAP or (b) with respect to which the failure to make such filing or payment would not reasonably be expected, individually or in the aggregate,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5.11    </w:t>
      </w:r>
      <w:r>
        <w:rPr>
          <w:rFonts w:ascii="Times New Roman;serif" w:hAnsi="Times New Roman;serif"/>
          <w:b w:val="false"/>
          <w:color w:val="000000"/>
          <w:sz w:val="22"/>
          <w:u w:val="single"/>
        </w:rPr>
        <w:t>Employee Benefit Plans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Except as would not reasonably be expected, individually or in the aggregate, to result in a Material Adverse Effect, (i) each Plan is in compliance with the applicable provisions of ERISA, the Code and other applicable federal and state Laws and (ii)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or is currently being processed by the IRS, and to the knowledge of any Loan Party, nothing has occurred that would prevent, or cause the loss of, such tax-qualified status.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Except as would not reasonably be expected, individually or in the aggregate, to result in a Material Adverse Effect, each Foreign Plan is in compliance with all requirements of Law applicable thereto and the respective requirements of the governing documents for such plan.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Except as would not reasonably be expected to have a Material Adverse Effect: (i) there are no pending or, to the knowledge of any Loan Party, threatened claims, actions or lawsuits, or action by any Governmental Authority, with respect to any Plan and (ii) there has been no “prohibited transaction” within the meaning of Section 4975 of the Code or Section 406 or 407 of ERISA (and not otherwise exempt under Section 408 of ERISA) with respect to any Plan.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(d)    Except as would not reasonably be expected to have a Material Adverse Effect: (i) No ERISA Event has occurred and neither any Loan Party nor, to the knowledge of any Loan Party, any ERISA Affiliate is aware of any fact, event or circumstance that would reasonably be expected to constitute or result in an ERISA Event with respect to any Plan, Multiemployer Plan or Foreign Plan, (ii) each Loan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 did not exceed the value of the assets of such Plan allocable to such accrued benefits, (v) neither any Loan Party nor, to the knowledge of any Loan Party, any ERISA Affiliate knows of any facts or circumstances that would reasonably be expected to </w:t>
      </w:r>
    </w:p>
    <w:p>
      <w:pPr>
        <w:pStyle w:val="TextBody"/>
        <w:bidi w:val="0"/>
        <w:spacing w:before="0" w:after="0"/>
        <w:jc w:val="left"/>
        <w:rPr/>
      </w:pPr>
      <w:r>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6480175" cy="175260"/>
                <wp:effectExtent l="0" t="0" r="0" b="0"/>
                <wp:wrapNone/>
                <wp:docPr id="260" name="Frame2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cause the funding target attainment percentage (as defined in Section 430(d)(2) of the Code) for any Plan, if applicable, to drop below 80.0% as of the most recent valuation date, (vi) neither any Loan Party nor any ERISA Affiliate has incurred any liability to the PBGC other than for the payment of premiums, and there are no premium payments which have become due that are unpaid, (vii) neither any Loan Party nor any ERISA Affiliate has engaged in a transaction that could be subject to Sections 4069 or 4212(c) of ERISA and (viii) no Plan has been terminated by the plan administrator thereof or by the PBGC and no event or circumstance has occurred or exists that would reasonably be expected to cause the PBGC to institute proceedings under Title IV of ERISA to terminate any Plan or Multiemployer Plan.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5.12    </w:t>
      </w:r>
      <w:r>
        <w:rPr>
          <w:rFonts w:ascii="Times New Roman;serif" w:hAnsi="Times New Roman;serif"/>
          <w:b w:val="false"/>
          <w:color w:val="000000"/>
          <w:sz w:val="22"/>
          <w:u w:val="single"/>
        </w:rPr>
        <w:t>Subsidiaries; Capital Stock</w:t>
      </w:r>
      <w:r>
        <w:rPr>
          <w:rFonts w:ascii="Times New Roman;serif" w:hAnsi="Times New Roman;serif"/>
          <w:b w:val="false"/>
          <w:color w:val="000000"/>
          <w:sz w:val="22"/>
        </w:rPr>
        <w:t xml:space="preserve">. As of the Spin-Off Date, after giving effect to the Transactions, there are no Restricted Subsidiaries other than those specifically disclosed in </w:t>
      </w:r>
      <w:r>
        <w:rPr>
          <w:rFonts w:ascii="Times New Roman;serif" w:hAnsi="Times New Roman;serif"/>
          <w:b w:val="false"/>
          <w:color w:val="000000"/>
          <w:sz w:val="22"/>
          <w:u w:val="single"/>
        </w:rPr>
        <w:t>Schedule 5.12</w:t>
      </w:r>
      <w:r>
        <w:rPr>
          <w:rFonts w:ascii="Times New Roman;serif" w:hAnsi="Times New Roman;serif"/>
          <w:b w:val="false"/>
          <w:color w:val="000000"/>
          <w:sz w:val="22"/>
        </w:rPr>
        <w:t xml:space="preserve">, and all of the outstanding Capital Stock in such Restricted Subsidiaries that are owned by a Loan Party have been validly issued, are fully paid and non-assessable (other than for those Restricted Subsidiaries that are limited liability companies and limited partnerships and to the extent such concepts are not applicable in the relevant jurisdiction) and are owned free and clear of all Liens except for Permitted Liens. As of the Spin-Off Date, after giving effect to the Transactions, each Subsidiary of the Company (other than any Excluded Subsidiaries) is listed on </w:t>
      </w:r>
      <w:r>
        <w:rPr>
          <w:rFonts w:ascii="Times New Roman;serif" w:hAnsi="Times New Roman;serif"/>
          <w:b w:val="false"/>
          <w:color w:val="000000"/>
          <w:sz w:val="22"/>
          <w:u w:val="single"/>
        </w:rPr>
        <w:t>Schedule 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5.13    </w:t>
      </w:r>
      <w:r>
        <w:rPr>
          <w:rFonts w:ascii="Times New Roman;serif" w:hAnsi="Times New Roman;serif"/>
          <w:b w:val="false"/>
          <w:color w:val="000000"/>
          <w:sz w:val="22"/>
          <w:u w:val="single"/>
        </w:rPr>
        <w:t>Margin Regulations; Investment Company Act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None of the Loan Parties is engaged, nor will any such Loan Party engage, principally or as one of its important activities, in the business of purchasing or carrying Margin Stock, or extending credit for the purpose of purchasing or carrying Margin Stock. Neither the making of any Credit Extension hereunder nor the use of proceeds thereof will violate any regulations of the FRB, including the provisions of Regulations T, U or X of the FRB. No proceeds of any Borrowings and no Letters of Credit will be used to purchase or carry any Margin Stock or to extend credit to others for the purpose of purchasing or carrying any Margin Stock; that this sentence shall not be included in any representation or warranty in connection with the establishment of any New Loan Commitments or the incurrence of New Term Loans unless otherwise agreed by the applicable Borrower and the applicable lenders under any such facility.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None of the Loan Parties is, or is required to be, registered as an “investment company” under the Investment Company Act of 1940, as amended.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5.14    </w:t>
      </w:r>
      <w:r>
        <w:rPr>
          <w:rFonts w:ascii="Times New Roman;serif" w:hAnsi="Times New Roman;serif"/>
          <w:b w:val="false"/>
          <w:color w:val="000000"/>
          <w:sz w:val="22"/>
          <w:u w:val="single"/>
        </w:rPr>
        <w:t>Disclosure</w:t>
      </w:r>
      <w:r>
        <w:rPr>
          <w:rFonts w:ascii="Times New Roman;serif" w:hAnsi="Times New Roman;serif"/>
          <w:b w:val="false"/>
          <w:color w:val="000000"/>
          <w:sz w:val="22"/>
        </w:rPr>
        <w:t>. As of the Closing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that, with respect to projected and pro forma financial information, each Borrower represents only that such information was prepared in good faith based upon assumptions believed to be reasonable at the time of preparation and delivery; it being understood that actual results may vary from such forecasts and that such variances may be material. As of the Closing Date, in relation to the Initial Term Loans incurred by the Company on such date, the information included in the Beneficial Ownership Certification, if applicable, is, to the knowledge of the Company, true and correct in all respects.</w:t>
      </w:r>
    </w:p>
    <w:p>
      <w:pPr>
        <w:pStyle w:val="TextBody"/>
        <w:bidi w:val="0"/>
        <w:spacing w:before="0" w:after="0"/>
        <w:jc w:val="left"/>
        <w:rPr/>
      </w:pPr>
      <w:r>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6480175" cy="175260"/>
                <wp:effectExtent l="0" t="0" r="0" b="0"/>
                <wp:wrapNone/>
                <wp:docPr id="261" name="Frame2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5.15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The Company and each Restricted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5.16    </w:t>
      </w:r>
      <w:r>
        <w:rPr>
          <w:rFonts w:ascii="Times New Roman;serif" w:hAnsi="Times New Roman;serif"/>
          <w:b w:val="false"/>
          <w:color w:val="000000"/>
          <w:sz w:val="22"/>
          <w:u w:val="single"/>
        </w:rPr>
        <w:t>Intellectual Property; Licenses, Etc</w:t>
      </w:r>
      <w:r>
        <w:rPr>
          <w:rFonts w:ascii="Times New Roman;serif" w:hAnsi="Times New Roman;serif"/>
          <w:b w:val="false"/>
          <w:color w:val="000000"/>
          <w:sz w:val="22"/>
        </w:rPr>
        <w:t>. To the knowledge of each Borrower, each Borrower and each Guarantor owns, licenses or possesses the right to use, all of the trademarks, service marks, trade names, copyrights, patents and other intellectual property rights (collectively, “</w:t>
      </w:r>
      <w:r>
        <w:rPr>
          <w:rFonts w:ascii="Times New Roman;serif" w:hAnsi="Times New Roman;serif"/>
          <w:b/>
          <w:color w:val="000000"/>
          <w:sz w:val="22"/>
        </w:rPr>
        <w:t>IP Rights</w:t>
      </w:r>
      <w:r>
        <w:rPr>
          <w:color w:val="000000"/>
        </w:rPr>
        <w:t>”</w:t>
      </w:r>
      <w:r>
        <w:rPr>
          <w:rFonts w:ascii="Times New Roman;serif" w:hAnsi="Times New Roman;serif"/>
          <w:b w:val="false"/>
          <w:color w:val="000000"/>
          <w:sz w:val="22"/>
        </w:rPr>
        <w:t xml:space="preserve">) that are necessary for the operation of its respective business, as currently conducted, except to the extent such failure to own, license or possess, either individually or in the aggregate, could not reasonably be expected to have a Material Adverse Effect and provided that the foregoing shall not be deemed to constitute a representation that the Borrowers and the Guarantors do not infringe or violate the IP Rights held by any other Person. Set forth on </w:t>
      </w:r>
      <w:r>
        <w:rPr>
          <w:rFonts w:ascii="Times New Roman;serif" w:hAnsi="Times New Roman;serif"/>
          <w:b w:val="false"/>
          <w:color w:val="000000"/>
          <w:sz w:val="22"/>
          <w:u w:val="single"/>
        </w:rPr>
        <w:t>Schedule 5.16</w:t>
      </w:r>
      <w:r>
        <w:rPr>
          <w:color w:val="000000"/>
        </w:rPr>
        <w:t xml:space="preserve"> </w:t>
      </w:r>
      <w:r>
        <w:rPr>
          <w:rFonts w:ascii="Times New Roman;serif" w:hAnsi="Times New Roman;serif"/>
          <w:b w:val="false"/>
          <w:color w:val="000000"/>
          <w:sz w:val="22"/>
        </w:rPr>
        <w:t>is a complete and accurate list of all material registrations or applications for registration in the United States Patent and Trademark Office or the United States Copyright Office of patents, trademarks, and copyrights owned or, in the case of copyrights, exclusively licensed by the Company and Guarantors as of the Spin-Off Date, after giving effect to the Transactions. To the knowledge of each Borrower, the conduct of the business of the Borrowers or Guarantors as currently conducted does not infringe upon or violate any IP Rights held by any other Person, except for such infringements and violations which, individually or in the aggregate, could not reasonably be expected to have a Material Adverse Effect, and no claim or litigation alleging any such infringement or violation is pending or, to the knowledge of each Borrower, threatened in writing, which, either individually or in the aggregate,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5.17    </w:t>
      </w:r>
      <w:r>
        <w:rPr>
          <w:rFonts w:ascii="Times New Roman;serif" w:hAnsi="Times New Roman;serif"/>
          <w:b w:val="false"/>
          <w:color w:val="000000"/>
          <w:sz w:val="22"/>
          <w:u w:val="single"/>
        </w:rPr>
        <w:t>Solvency</w:t>
      </w:r>
      <w:r>
        <w:rPr>
          <w:rFonts w:ascii="Times New Roman;serif" w:hAnsi="Times New Roman;serif"/>
          <w:b w:val="false"/>
          <w:color w:val="000000"/>
          <w:sz w:val="22"/>
        </w:rPr>
        <w:t>. On the Closing Date and on the Spin-Off Date, in each case after giving effect to the Transactions, including the incurrence of indebtedness and obligations being incurred in connection with this Agreement and the Transactions, the Company and its Restricted Subsidiaries, on a consolidated basis, are Solvent.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5.18    </w:t>
      </w:r>
      <w:r>
        <w:rPr>
          <w:rFonts w:ascii="Times New Roman;serif" w:hAnsi="Times New Roman;serif"/>
          <w:b w:val="false"/>
          <w:color w:val="000000"/>
          <w:sz w:val="22"/>
          <w:u w:val="single"/>
        </w:rPr>
        <w:t>Perfection, Etc</w:t>
      </w:r>
      <w:r>
        <w:rPr>
          <w:rFonts w:ascii="Times New Roman;serif" w:hAnsi="Times New Roman;serif"/>
          <w:b w:val="false"/>
          <w:color w:val="000000"/>
          <w:sz w:val="22"/>
        </w:rPr>
        <w:t xml:space="preserve">. Each Collateral Document delivered pursuant to this Agreement will, upon execution and delivery thereof, be effective to create in favor of the Collateral Agent for the benefit of the Secured Parties, legal, valid and enforceable Liens on, and security interests in, the Collateral described therein to the extent intended to be created thereby, except as to enforcement, as may be limited by applicable domestic or foreign bankruptcy, winding-up, insolvency, fraudulent conveyance, reorganization (by way of voluntary arrangement, schemes of arrangements or otherwise), moratorium and other similar laws relating to or affecting creditors’ rights generally, general equitable principles (whether considered in a proceeding in equity or at law) and (a) when financing statements and other filings in the appropriate form are filed or registered, as applicable, in the offices of the Secretary of State of each Loan Party’s jurisdiction of organization or formation and applicable documents are filed and recorded as applicable in the United States Copyright Office or the United States Patent and Trademark Office and (b)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applicable Collateral Document) the Liens created by the Collateral Documents shall constitute fully perfected Liens and, solely with respect to Equity Interests (other than with respect to Equity Interests constituting Excluded Property), fully perfected Liens (subject to no other Liens other than Permitted Liens), in each case, so far as possible under relevant law on, and security interests in (to the extent intended to be created thereby and required to be perfected under the Loan Documents), all </w:t>
      </w:r>
    </w:p>
    <w:p>
      <w:pPr>
        <w:pStyle w:val="TextBody"/>
        <w:bidi w:val="0"/>
        <w:spacing w:before="0" w:after="0"/>
        <w:jc w:val="left"/>
        <w:rPr/>
      </w:pPr>
      <w:r>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6480175" cy="175260"/>
                <wp:effectExtent l="0" t="0" r="0" b="0"/>
                <wp:wrapNone/>
                <wp:docPr id="262" name="Frame2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right, title and interest of the grantors in such Collateral in each case free and clear of any Liens other than Liens permitted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5.19    </w:t>
      </w:r>
      <w:r>
        <w:rPr>
          <w:rFonts w:ascii="Times New Roman;serif" w:hAnsi="Times New Roman;serif"/>
          <w:b w:val="false"/>
          <w:color w:val="000000"/>
          <w:sz w:val="22"/>
          <w:u w:val="single"/>
        </w:rPr>
        <w:t>Sanctions; OFAC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Sanctions Laws and Regulations</w:t>
      </w:r>
      <w:r>
        <w:rPr>
          <w:rFonts w:ascii="Times New Roman;serif" w:hAnsi="Times New Roman;serif"/>
          <w:b w:val="false"/>
          <w:color w:val="000000"/>
          <w:sz w:val="22"/>
        </w:rPr>
        <w:t>. Each of the Company, each Borrower and each of their respective Subsidiaries is (i) in compliance with applicable Sanctions Laws and Regulations and (ii) in compliance, in all material respects, with applicable anti-money laundering laws and regulations. No Borrowing or Letter of Credit, or use of proceeds therefrom, will violate or result in the violation of any Sanctions Laws and Regulations by any party 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OFAC</w:t>
      </w:r>
      <w:r>
        <w:rPr>
          <w:rFonts w:ascii="Times New Roman;serif" w:hAnsi="Times New Roman;serif"/>
          <w:b w:val="false"/>
          <w:color w:val="000000"/>
          <w:sz w:val="22"/>
        </w:rPr>
        <w:t>. None of (I) the Company, any Borrower or any other Loan Party and (II) the Non-Loan Party Subsidiaries or any director, officer or, to the knowledge of each Borrower, manager, agent or employee of the Company, any Borrower or any of their respective Restricted Subsidiaries, in each case, (i) is a person whose property or interest in property is blocked or subject to blocking pursuant to Section 1 of the Executive Order, (ii) engages in any dealings or transactions prohibited by Section 2 of the Executive Order, or is otherwise associated with any such person in any manner that violates Section 2 of the Executive Order or (iii) is a Sanctioned Person. No Borrower will directly or indirectly use the proceeds of the Loans or otherwise make available such proceeds to any Person, (x) for the purpose of financing activities or transactions of or with any Sanctioned Person, or dealings or investments in or with any Sanctioned Country, in each case in violation of Sanctions Laws and Regulations, or (y) in any manner that would constitute or give rise to a violation of Sanctions Laws and Regulations by any party 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5.20    </w:t>
      </w:r>
      <w:r>
        <w:rPr>
          <w:rFonts w:ascii="Times New Roman;serif" w:hAnsi="Times New Roman;serif"/>
          <w:b w:val="false"/>
          <w:color w:val="000000"/>
          <w:sz w:val="22"/>
          <w:u w:val="single"/>
        </w:rPr>
        <w:t>Anti-Corruption Laws</w:t>
      </w:r>
      <w:r>
        <w:rPr>
          <w:rFonts w:ascii="Times New Roman;serif" w:hAnsi="Times New Roman;serif"/>
          <w:b w:val="false"/>
          <w:color w:val="000000"/>
          <w:sz w:val="22"/>
        </w:rPr>
        <w:t>. No part of the proceeds of any Loan will, directly or, to the knowledge of each Borrower, indirectly, be used for any improper payments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the United States Foreign Corrupt Practices Act of 1977, as amended, or any other similar law relating to corruption or bribery that applies to any Loan Party or any of its Subsidiaries (the “</w:t>
      </w:r>
      <w:r>
        <w:rPr>
          <w:rFonts w:ascii="Times New Roman;serif" w:hAnsi="Times New Roman;serif"/>
          <w:b/>
          <w:color w:val="000000"/>
          <w:sz w:val="22"/>
        </w:rPr>
        <w:t>Anti-Corruption Laws</w:t>
      </w:r>
      <w:r>
        <w:rPr>
          <w:color w:val="000000"/>
        </w:rPr>
        <w:t>”</w:t>
      </w:r>
      <w:r>
        <w:rPr>
          <w:rFonts w:ascii="Times New Roman;serif" w:hAnsi="Times New Roman;serif"/>
          <w:b w:val="false"/>
          <w:color w:val="000000"/>
          <w:sz w:val="22"/>
        </w:rPr>
        <w:t>). Each of the Company, each Borrower, each of their respective Subsidiaries and their respective officers, directors and, to the knowledge of the Company and each Borrower, employees and agents are in compliance in all material respects with Anti-Corruption Laws.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5.21    </w:t>
      </w:r>
      <w:r>
        <w:rPr>
          <w:rFonts w:ascii="Times New Roman;serif" w:hAnsi="Times New Roman;serif"/>
          <w:b w:val="false"/>
          <w:color w:val="000000"/>
          <w:sz w:val="22"/>
          <w:u w:val="single"/>
        </w:rPr>
        <w:t>No Default</w:t>
      </w:r>
      <w:r>
        <w:rPr>
          <w:rFonts w:ascii="Times New Roman;serif" w:hAnsi="Times New Roman;serif"/>
          <w:b w:val="false"/>
          <w:color w:val="000000"/>
          <w:sz w:val="22"/>
        </w:rPr>
        <w:t>. No Default or Event of Default has occurred or is continuing under this Agreement.</w:t>
      </w:r>
    </w:p>
    <w:p>
      <w:pPr>
        <w:pStyle w:val="TextBody"/>
        <w:bidi w:val="0"/>
        <w:spacing w:lineRule="auto" w:line="288" w:before="0" w:after="240"/>
        <w:jc w:val="center"/>
        <w:rPr/>
      </w:pPr>
      <w:r>
        <w:rPr>
          <w:rFonts w:ascii="Times New Roman;serif" w:hAnsi="Times New Roman;serif"/>
          <w:b/>
          <w:color w:val="000000"/>
          <w:sz w:val="24"/>
        </w:rPr>
        <w:t>ARTICLE VI</w:t>
      </w:r>
      <w:r>
        <w:rPr>
          <w:rFonts w:ascii="Times New Roman;serif" w:hAnsi="Times New Roman;serif"/>
          <w:b/>
          <w:color w:val="000000"/>
          <w:sz w:val="22"/>
        </w:rPr>
        <w:br/>
        <w:br/>
        <w:t>AFFIRMATIVE COVENANTS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So long as any Lender shall have any Commitment hereunder, any Loan or other Obligation (other than any Remaining Obligations) hereunder shall remain unpaid or unsatisfied, or any Letter of Credit remains outstanding (other than any Remaining Obligations), the Company shall, and shall (except in the case of the covenants set forth in </w:t>
      </w:r>
      <w:r>
        <w:rPr>
          <w:rFonts w:ascii="Times New Roman;serif" w:hAnsi="Times New Roman;serif"/>
          <w:b w:val="false"/>
          <w:color w:val="000000"/>
          <w:sz w:val="22"/>
          <w:u w:val="single"/>
        </w:rPr>
        <w:t>Sections 6.01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6.02</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6.03</w:t>
      </w:r>
      <w:r>
        <w:rPr>
          <w:rFonts w:ascii="Times New Roman;serif" w:hAnsi="Times New Roman;serif"/>
          <w:b w:val="false"/>
          <w:color w:val="000000"/>
          <w:sz w:val="22"/>
        </w:rPr>
        <w:t>) cause each Restricted Subsidiary: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6.01    </w:t>
      </w:r>
      <w:r>
        <w:rPr>
          <w:rFonts w:ascii="Times New Roman;serif" w:hAnsi="Times New Roman;serif"/>
          <w:b w:val="false"/>
          <w:color w:val="000000"/>
          <w:sz w:val="22"/>
          <w:u w:val="single"/>
        </w:rPr>
        <w:t>Financial Statements</w:t>
      </w:r>
      <w:r>
        <w:rPr>
          <w:rFonts w:ascii="Times New Roman;serif" w:hAnsi="Times New Roman;serif"/>
          <w:b w:val="false"/>
          <w:color w:val="000000"/>
          <w:sz w:val="22"/>
        </w:rPr>
        <w:t>. Deliver to the Administrative Agent for further distribution to each Lender:</w:t>
      </w:r>
    </w:p>
    <w:p>
      <w:pPr>
        <w:pStyle w:val="TextBody"/>
        <w:bidi w:val="0"/>
        <w:spacing w:before="0" w:after="0"/>
        <w:jc w:val="left"/>
        <w:rPr/>
      </w:pPr>
      <w:r>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6480175" cy="175260"/>
                <wp:effectExtent l="0" t="0" r="0" b="0"/>
                <wp:wrapNone/>
                <wp:docPr id="263" name="Frame2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within 125 days after the end of each fiscal year (or 150 days after the fiscal year ending September 30, 2022) (or if such day is not a Business Day, on the next succeeding Business Day) of the Company (which period for delivery may be extended by the Administrative Agent in its sole discretion by up to 30 days), a consolidated balance sheet of the Company and its Subsidiaries as at the end of such fiscal year, and the related consolidated statements of income or operations, shareholders’ equity and cash flows for such fiscal year, setting forth in each case, starting with the fiscal year ending September 30, 2023, in comparative form the figures for the previous fiscal year,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 shall not be subject to any qualification or exception as to “going concern” or scope of the audit (other than any such qualification, exception or explanatory paragraph that is expressly solely with respect to, or expressly resulting solely from, (i) an upcoming maturity date under the Facilities, the Senior Secured Notes or other Indebtedness that is scheduled to occur within one year from the time such report and opinion are delivered, (ii) any actual or potential inability to satisfy a financial maintenance covenant, including the Financial Covenant, on a future date or in a future period or (iii) the activities, operations, financial results, assets or liabilities of any Unrestricted Subsidiary (but which may contain an explanatory note or emphasis of matter paragraph));</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within 65 days (or 75 days with respect to each of the first three of such fiscal quarters for which quarterly financial statements are required to be delivered pursuant to this </w:t>
      </w:r>
      <w:r>
        <w:rPr>
          <w:rFonts w:ascii="Times New Roman;serif" w:hAnsi="Times New Roman;serif"/>
          <w:b w:val="false"/>
          <w:color w:val="000000"/>
          <w:sz w:val="22"/>
          <w:u w:val="single"/>
        </w:rPr>
        <w:t>Section 6.01(b)</w:t>
      </w:r>
      <w:r>
        <w:rPr>
          <w:rFonts w:ascii="Times New Roman;serif" w:hAnsi="Times New Roman;serif"/>
          <w:b w:val="false"/>
          <w:color w:val="000000"/>
          <w:sz w:val="22"/>
        </w:rPr>
        <w:t>) after the end of each of the first three fiscal quarters of each fiscal year of the Company (or if such day is not a Business Day, the next succeeding Business Day), starting with the fiscal quarter ended June 30, 2022, a consolidated balance sheet of the Company and its Subsidiaries as at the end of such fiscal quarter, and the related consolidated statements of income or operations and cash flows for such fiscal quarter and for the portion of the fiscal year then ended, setting forth in each case, starting with the fiscal quarter ending June 30, 2023, in comparative form the figures for the corresponding fiscal quarter of the previous fiscal year and the corresponding portion of the previous fiscal year, all in reasonable detail and certified by a Responsible Officer of the Company as fairly presenting in all material respects the financial condition, results of operations and cash flows of the Company and its Subsidiaries in accordance with GAAP, subject only to normal year-end audit adjustments and the absence of footnotes;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[reserved];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if the Company has designated any of its Subsidiaries as an Unrestricted Subsidiary, and such Unrestricted Subsidiary would, if taken as a whole with all other Unrestricted Subsidiaries, constitute a Material Subsidiary, then the annual and quarterly information required by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shall include a presentation, either on the face of the financial statements or in footnotes thereto, to reflect the adjustments which would be necessary to eliminate the accounts of Unrestricted Subsidiaries from such financial statements (and which presentation, for the avoidance of doubt, need not be audited).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the foregoing:</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(A)    the obligations in </w:t>
      </w:r>
      <w:r>
        <w:rPr>
          <w:rFonts w:ascii="Times New Roman;serif" w:hAnsi="Times New Roman;serif"/>
          <w:b w:val="false"/>
          <w:color w:val="000000"/>
          <w:sz w:val="22"/>
          <w:u w:val="single"/>
        </w:rPr>
        <w:t>clauses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may be satisfied by furnishing, at the Company’s option, the applicable financial statements or, as applicable, forecasts of (I) any successor of the Company, (II) any Wholly Owned Restricted Subsidiary of the Company that, together with its consolidated Restricted Subsidiaries, constitutes substantially all of the assets of the Company and its combined and consolidated Subsidiaries (a </w:t>
      </w:r>
    </w:p>
    <w:p>
      <w:pPr>
        <w:pStyle w:val="TextBody"/>
        <w:bidi w:val="0"/>
        <w:spacing w:before="0" w:after="0"/>
        <w:jc w:val="left"/>
        <w:rPr/>
      </w:pPr>
      <w:r>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6480175" cy="175260"/>
                <wp:effectExtent l="0" t="0" r="0" b="0"/>
                <wp:wrapNone/>
                <wp:docPr id="264" name="Frame2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color w:val="000000"/>
        </w:rPr>
        <w:t>“</w:t>
      </w:r>
      <w:r>
        <w:rPr>
          <w:rFonts w:ascii="Times New Roman;serif" w:hAnsi="Times New Roman;serif"/>
          <w:b/>
          <w:color w:val="000000"/>
          <w:sz w:val="22"/>
        </w:rPr>
        <w:t>Qualified Reporting Subsidiary</w:t>
      </w:r>
      <w:r>
        <w:rPr>
          <w:color w:val="000000"/>
        </w:rPr>
        <w:t>”</w:t>
      </w:r>
      <w:r>
        <w:rPr>
          <w:rFonts w:ascii="Times New Roman;serif" w:hAnsi="Times New Roman;serif"/>
          <w:b w:val="false"/>
          <w:color w:val="000000"/>
          <w:sz w:val="22"/>
        </w:rPr>
        <w:t xml:space="preserve">) or (III) any Parent Holding Company; that to the extent such information relates to a Qualified Reporting Subsidiary or a Parent Holding Company, such information is accompanied by customary consolidating information (which may be unaudited) that explains in reasonable detail the material differences between the information relating to such Qualified Reporting Subsidiary or any Parent Holding Company, on the one hand, and the information relating to the Restricted Group on a standalone basis, on the other hand, </w:t>
      </w:r>
    </w:p>
    <w:p>
      <w:pPr>
        <w:pStyle w:val="TextBody"/>
        <w:bidi w:val="0"/>
        <w:spacing w:lineRule="auto" w:line="288" w:before="0" w:after="240"/>
        <w:ind w:left="0" w:right="0" w:firstLine="1440"/>
        <w:jc w:val="left"/>
        <w:rPr/>
      </w:pPr>
      <w:r>
        <w:rPr>
          <w:rFonts w:ascii="Times New Roman;serif" w:hAnsi="Times New Roman;serif"/>
          <w:b w:val="false"/>
          <w:color w:val="0000FF"/>
          <w:sz w:val="22"/>
          <w:u w:val="single"/>
        </w:rPr>
        <w:t>(B)    </w:t>
      </w:r>
      <w:r>
        <w:rPr>
          <w:strike/>
          <w:color w:val="FF0000"/>
        </w:rPr>
        <w:t xml:space="preserve"> </w:t>
      </w:r>
      <w:r>
        <w:rPr>
          <w:rFonts w:ascii="Times New Roman;serif" w:hAnsi="Times New Roman;serif"/>
          <w:b w:val="false"/>
          <w:strike/>
          <w:color w:val="FF0000"/>
          <w:sz w:val="22"/>
        </w:rPr>
        <w:t xml:space="preserve">(B) </w:t>
      </w:r>
      <w:r>
        <w:rPr>
          <w:rFonts w:ascii="Times New Roman;serif" w:hAnsi="Times New Roman;serif"/>
          <w:b w:val="false"/>
          <w:color w:val="000000"/>
          <w:sz w:val="22"/>
        </w:rPr>
        <w:t xml:space="preserve">(i) in the event that the Company (or any Parent Holding Company or Subsidiary of a Parent Holding Company allowed to be delivered pursuant to the terms hereof) delivers to the Administrative Agent an Annual Report on Form 10-K for any fiscal year (or similar filing in the applicable jurisdiction or other reports or filings which contain the information contemplated herein), as filed with the SEC or in such form as would have been suitable for filing with the SEC (or similar governing body in the applicable jurisdiction, in each case), within the time frames set forth in clause (a) above, such Form 10-K shall satisfy all requirements of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with respect to such fiscal year to the extent that it contains the information and report and opinion required by such clause (a) and such report and opinion does not contain any qualification or exception as to “going concern” or the scope of the audit (other than any such qualification, exception or explanatory paragraph that is expressly permitted to be contained therein under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rFonts w:ascii="Times New Roman;serif" w:hAnsi="Times New Roman;serif"/>
          <w:b w:val="false"/>
          <w:color w:val="000000"/>
          <w:sz w:val="22"/>
        </w:rPr>
        <w:t xml:space="preserve">) (but which may contain an explanatory note or emphasis of matter paragraph) and (ii) in the event that the Company (or any Parent Holding Company or Subsidiary of a Parent Holding Company allowed to be delivered pursuant to the terms hereof) delivers to the Administrative Agent a Quarterly Report on Form 10-Q for any fiscal quarter (or similar filing in the applicable jurisdiction or other reports or filings which contain the information contemplated herein), as filed with the SEC or in such form as would have been suitable for filing with the SEC (or similar governing body in the applicable jurisdiction, in each case), within the time frames set forth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above, such Form 10-Q shall satisfy all requirements of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 xml:space="preserve">with respect to such fiscal quarter to the extent that it contains the information required by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rFonts w:ascii="Times New Roman;serif" w:hAnsi="Times New Roman;serif"/>
          <w:b w:val="false"/>
          <w:strike/>
          <w:color w:val="FF0000"/>
          <w:sz w:val="24"/>
        </w:rPr>
      </w:pPr>
      <w:r>
        <w:rPr>
          <w:rFonts w:ascii="Times New Roman;serif" w:hAnsi="Times New Roman;serif"/>
          <w:b w:val="false"/>
          <w:strike/>
          <w:color w:val="FF0000"/>
          <w:sz w:val="24"/>
        </w:rPr>
        <w:t xml:space="preserve">(B) </w:t>
      </w:r>
    </w:p>
    <w:p>
      <w:pPr>
        <w:pStyle w:val="TextBody"/>
        <w:bidi w:val="0"/>
        <w:spacing w:lineRule="auto" w:line="288" w:before="0" w:after="240"/>
        <w:ind w:left="0" w:right="0" w:firstLine="1440"/>
        <w:jc w:val="left"/>
        <w:rPr/>
      </w:pPr>
      <w:r>
        <w:rPr>
          <w:rFonts w:ascii="Times New Roman;serif" w:hAnsi="Times New Roman;serif"/>
          <w:b w:val="false"/>
          <w:color w:val="000000"/>
          <w:sz w:val="22"/>
        </w:rPr>
        <w:t xml:space="preserve">(C)    any financial statements required to be delivered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6.01(b)</w:t>
      </w:r>
      <w:r>
        <w:rPr>
          <w:color w:val="000000"/>
        </w:rPr>
        <w:t xml:space="preserve"> </w:t>
      </w:r>
      <w:r>
        <w:rPr>
          <w:rFonts w:ascii="Times New Roman;serif" w:hAnsi="Times New Roman;serif"/>
          <w:b w:val="false"/>
          <w:color w:val="000000"/>
          <w:sz w:val="22"/>
        </w:rPr>
        <w:t>shall not be required to contain: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purchase accounting adjustments relating to the Transactions or any other transactions permitted hereunder to the extent it is not practicable to include any such adjustments in such financial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segment reporting and disclosure (including any required by FASB Accounting Standards Codification Topic 280),</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separate financial statements or other information contemplated by Rules 3-05, 3-09, 3-10, 3-16, Rule 13-01 and Rule 13-02 or 4-08 of Regulation S-X (or any successor provisions) or any schedules required by Regulation S-X,</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information required by Regulation G under the Exchange Act or Item 10, Item 302, Item 402 or Item 601 of Regulation S-K (or any successor provision),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XBRL exhibits,</w:t>
      </w:r>
    </w:p>
    <w:p>
      <w:pPr>
        <w:pStyle w:val="TextBody"/>
        <w:bidi w:val="0"/>
        <w:spacing w:before="0" w:after="0"/>
        <w:jc w:val="left"/>
        <w:rPr/>
      </w:pPr>
      <w:r>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6480175" cy="175260"/>
                <wp:effectExtent l="0" t="0" r="0" b="0"/>
                <wp:wrapNone/>
                <wp:docPr id="265" name="Frame2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earnings per share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information regarding executive compensation and related party disclosure related to SEC Release Nos. 33-8732A, 34-54302A and IC-27444A,</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(viii)    other information customarily excluded from an offering circular, including any information that is not otherwise of the type and form currently included in the applicable offering circulars relating to the Senior Secured Notes,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(ix)    following the consummation of an acquisition in the applicable period or the period thereafter, the obligations in </w:t>
      </w:r>
      <w:r>
        <w:rPr>
          <w:rFonts w:ascii="Times New Roman;serif" w:hAnsi="Times New Roman;serif"/>
          <w:b w:val="false"/>
          <w:color w:val="000000"/>
          <w:sz w:val="22"/>
          <w:u w:val="single"/>
        </w:rPr>
        <w:t>clauses (a)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6.01</w:t>
      </w:r>
      <w:r>
        <w:rPr>
          <w:color w:val="000000"/>
        </w:rPr>
        <w:t xml:space="preserve"> </w:t>
      </w:r>
      <w:r>
        <w:rPr>
          <w:rFonts w:ascii="Times New Roman;serif" w:hAnsi="Times New Roman;serif"/>
          <w:b w:val="false"/>
          <w:color w:val="000000"/>
          <w:sz w:val="22"/>
        </w:rPr>
        <w:t>with respect to the target of such acquisition may be satisfied by, at the option of the Company, (A) furnishing management accounts for the target of such acquisition or (B) omitting the target of such acquisition from the required financial statements of the Company and its Subsidiaries for the applicable period and the period thereafter.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6.02    </w:t>
      </w:r>
      <w:r>
        <w:rPr>
          <w:rFonts w:ascii="Times New Roman;serif" w:hAnsi="Times New Roman;serif"/>
          <w:b w:val="false"/>
          <w:color w:val="000000"/>
          <w:sz w:val="22"/>
          <w:u w:val="single"/>
        </w:rPr>
        <w:t>Certificates; Other Information</w:t>
      </w:r>
      <w:r>
        <w:rPr>
          <w:rFonts w:ascii="Times New Roman;serif" w:hAnsi="Times New Roman;serif"/>
          <w:b w:val="false"/>
          <w:color w:val="000000"/>
          <w:sz w:val="22"/>
        </w:rPr>
        <w:t>. Deliver to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no later than five Business Days after the delivery of (i) the financial statements referred to in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(ii) an Annual Report on Form 10-K or a Quarterly Report on Form 10-Q (in either case, delivered pursuant to the last paragraph of </w:t>
      </w:r>
      <w:r>
        <w:rPr>
          <w:rFonts w:ascii="Times New Roman;serif" w:hAnsi="Times New Roman;serif"/>
          <w:b w:val="false"/>
          <w:color w:val="000000"/>
          <w:sz w:val="22"/>
          <w:u w:val="single"/>
        </w:rPr>
        <w:t>Section 6.01</w:t>
      </w:r>
      <w:r>
        <w:rPr>
          <w:rFonts w:ascii="Times New Roman;serif" w:hAnsi="Times New Roman;serif"/>
          <w:b w:val="false"/>
          <w:color w:val="000000"/>
          <w:sz w:val="22"/>
        </w:rPr>
        <w:t>), a duly completed Compliance Certificate signed by a Responsible Officer of the Company (which delivery may, unless the Administrative Agent or a Lender requests executed originals, be by electronic communication including fax or email and shall be deemed to be an original authentic counterpart thereof for all purposes);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promptly after the same are available, copies of all annual, regular, periodic and special reports and registration statements which the Company may file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promptly after the receipt thereof by any Loan Party or any of its Subsidiaries,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of its Subsidiaries;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promptly after the assertion or occurrence thereof, notice of any action arising under any Environmental Law against any Loan Party or any of its Subsidiaries, or of any noncompliance by any Loan Party or any of its Subsidiaries with any Environmental Law or Environmental Permit, in each case that would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together with the delivery of each Compliance Certificate pursuant to </w:t>
      </w:r>
      <w:r>
        <w:rPr>
          <w:rFonts w:ascii="Times New Roman;serif" w:hAnsi="Times New Roman;serif"/>
          <w:b w:val="false"/>
          <w:color w:val="000000"/>
          <w:sz w:val="22"/>
          <w:u w:val="single"/>
        </w:rPr>
        <w:t>Section 6.02(a)</w:t>
      </w:r>
      <w:r>
        <w:rPr>
          <w:rFonts w:ascii="Times New Roman;serif" w:hAnsi="Times New Roman;serif"/>
          <w:b w:val="false"/>
          <w:color w:val="000000"/>
          <w:sz w:val="22"/>
        </w:rPr>
        <w:t xml:space="preserve">, a report supplementing </w:t>
      </w:r>
      <w:r>
        <w:rPr>
          <w:rFonts w:ascii="Times New Roman;serif" w:hAnsi="Times New Roman;serif"/>
          <w:b w:val="false"/>
          <w:color w:val="000000"/>
          <w:sz w:val="22"/>
          <w:u w:val="single"/>
        </w:rPr>
        <w:t>Schedule 5.12</w:t>
      </w:r>
      <w:r>
        <w:rPr>
          <w:color w:val="000000"/>
        </w:rPr>
        <w:t xml:space="preserve"> </w:t>
      </w:r>
      <w:r>
        <w:rPr>
          <w:rFonts w:ascii="Times New Roman;serif" w:hAnsi="Times New Roman;serif"/>
          <w:b w:val="false"/>
          <w:color w:val="000000"/>
          <w:sz w:val="22"/>
        </w:rPr>
        <w:t>hereto to the extent necessary so that the related representation and warranty would be true and correct if made as of the date of such Compliance Certificate;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(g)    promptly, such additional information regarding the business, legal, financial or corporate affairs of any Loan Party or any Restricted Subsidiary thereof as the Administrative Agent</w:t>
      </w:r>
      <w:r>
        <w:rPr>
          <w:rFonts w:ascii="Times New Roman;serif" w:hAnsi="Times New Roman;serif"/>
          <w:b w:val="false"/>
          <w:color w:val="0000FF"/>
          <w:sz w:val="22"/>
          <w:u w:val="single"/>
        </w:rPr>
        <w:t>, the First Amendment Lead Arranger</w:t>
      </w:r>
      <w:r>
        <w:rPr>
          <w:color w:val="000000"/>
        </w:rPr>
        <w:t xml:space="preserve"> </w:t>
      </w:r>
      <w:r>
        <w:rPr>
          <w:rFonts w:ascii="Times New Roman;serif" w:hAnsi="Times New Roman;serif"/>
          <w:b w:val="false"/>
          <w:color w:val="000000"/>
          <w:sz w:val="22"/>
        </w:rPr>
        <w:t xml:space="preserve">or, following the occurrence and continuation of any Event of Default, any </w:t>
      </w:r>
    </w:p>
    <w:p>
      <w:pPr>
        <w:pStyle w:val="TextBody"/>
        <w:bidi w:val="0"/>
        <w:spacing w:before="0" w:after="0"/>
        <w:jc w:val="left"/>
        <w:rPr/>
      </w:pPr>
      <w:r>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6480175" cy="175260"/>
                <wp:effectExtent l="0" t="0" r="0" b="0"/>
                <wp:wrapNone/>
                <wp:docPr id="266" name="Frame2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Lender through the Administrative Agent may from time to time reasonably request, except to the extent that the provision of any such information would breach any law or contract to which the Company or a Subsidiary is a party.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Documents required to be delivered pursuant to </w:t>
      </w:r>
      <w:r>
        <w:rPr>
          <w:rFonts w:ascii="Times New Roman;serif" w:hAnsi="Times New Roman;serif"/>
          <w:b w:val="false"/>
          <w:color w:val="000000"/>
          <w:sz w:val="22"/>
          <w:u w:val="single"/>
        </w:rPr>
        <w:t>Section 6.01(a)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6.02(b)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(or to the extent any such documents are included in materials otherwise filed with the SEC) may be delivered electronically and if so delivered, shall be deemed to have been delivered on the date on which such documents are posted on the Company’s (or any Parent Holding Company or Subsidiary of a Parent Holding Company allowed to be delivered pursuant to the terms hereof) behalf on the Platform or another relevant internet or intranet website, if any, to which each Lender and the Administrative Agent have access (whether a commercial, third-party website or whether sponsored by the Administrative Agent). The Administrative Agent shall have no responsibility to monitor compliance by the Company, and each Lender shall be solely responsible for timely accessing posted documents.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The Company hereby acknowledges that (a) the Administrative Agent and/or the Arrangers will make available to the Lenders and the L/C Issuers materials and/or information provided by or on behalf of the Company hereunder (collectively, “</w:t>
      </w:r>
      <w:r>
        <w:rPr>
          <w:rFonts w:ascii="Times New Roman;serif" w:hAnsi="Times New Roman;serif"/>
          <w:b/>
          <w:color w:val="000000"/>
          <w:sz w:val="22"/>
        </w:rPr>
        <w:t>Borrower Materials</w:t>
      </w:r>
      <w:r>
        <w:rPr>
          <w:color w:val="000000"/>
        </w:rPr>
        <w:t>”</w:t>
      </w:r>
      <w:r>
        <w:rPr>
          <w:rFonts w:ascii="Times New Roman;serif" w:hAnsi="Times New Roman;serif"/>
          <w:b w:val="false"/>
          <w:color w:val="000000"/>
          <w:sz w:val="22"/>
        </w:rPr>
        <w:t>) by posting the Borrower Materials on IntraLinks/IntraAgency, SyndTrak or another similar electronic system (the “</w:t>
      </w:r>
      <w:r>
        <w:rPr>
          <w:rFonts w:ascii="Times New Roman;serif" w:hAnsi="Times New Roman;serif"/>
          <w:b/>
          <w:color w:val="000000"/>
          <w:sz w:val="22"/>
        </w:rPr>
        <w:t>Platform</w:t>
      </w:r>
      <w:r>
        <w:rPr>
          <w:color w:val="000000"/>
        </w:rPr>
        <w:t>”</w:t>
      </w:r>
      <w:r>
        <w:rPr>
          <w:rFonts w:ascii="Times New Roman;serif" w:hAnsi="Times New Roman;serif"/>
          <w:b w:val="false"/>
          <w:color w:val="000000"/>
          <w:sz w:val="22"/>
        </w:rPr>
        <w:t>) and (b) certain of the Lenders (each, a “</w:t>
      </w:r>
      <w:r>
        <w:rPr>
          <w:rFonts w:ascii="Times New Roman;serif" w:hAnsi="Times New Roman;serif"/>
          <w:b/>
          <w:color w:val="000000"/>
          <w:sz w:val="22"/>
        </w:rPr>
        <w:t>Public Lender</w:t>
      </w:r>
      <w:r>
        <w:rPr>
          <w:color w:val="000000"/>
        </w:rPr>
        <w:t>”</w:t>
      </w:r>
      <w:r>
        <w:rPr>
          <w:rFonts w:ascii="Times New Roman;serif" w:hAnsi="Times New Roman;serif"/>
          <w:b w:val="false"/>
          <w:color w:val="000000"/>
          <w:sz w:val="22"/>
        </w:rPr>
        <w:t>) may have personnel who wish only to receive information that (i) is publicly available, (ii) is not material with respect to the Restricted Group or its respective securities for purposes of applicable foreign, United States federal and state securities laws with respect to the Company or its Affiliates, or the respective securities of any of the foregoing, and who may be engaged in investment and other market related activities with respect to such Persons’ securities or (iii) constitutes information of a type that would be publicly available if the Restricted Group were public reporting companies (as determined by the Company in good faith) (such information, “</w:t>
      </w:r>
      <w:r>
        <w:rPr>
          <w:rFonts w:ascii="Times New Roman;serif" w:hAnsi="Times New Roman;serif"/>
          <w:b/>
          <w:color w:val="000000"/>
          <w:sz w:val="22"/>
        </w:rPr>
        <w:t>Public Side Information</w:t>
      </w:r>
      <w:r>
        <w:rPr>
          <w:color w:val="000000"/>
        </w:rPr>
        <w:t>”</w:t>
      </w:r>
      <w:r>
        <w:rPr>
          <w:rFonts w:ascii="Times New Roman;serif" w:hAnsi="Times New Roman;serif"/>
          <w:b w:val="false"/>
          <w:color w:val="000000"/>
          <w:sz w:val="22"/>
        </w:rPr>
        <w:t xml:space="preserve">). Notwithstanding anything herein to the contrary, the Administrative Agent may treat financial statements delivered pursuant to </w:t>
      </w:r>
      <w:r>
        <w:rPr>
          <w:rFonts w:ascii="Times New Roman;serif" w:hAnsi="Times New Roman;serif"/>
          <w:b w:val="false"/>
          <w:color w:val="000000"/>
          <w:sz w:val="22"/>
          <w:u w:val="single"/>
        </w:rPr>
        <w:t>Sections 6.01(a)</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and Compliance Certificates delivered pursuant to </w:t>
      </w:r>
      <w:r>
        <w:rPr>
          <w:rFonts w:ascii="Times New Roman;serif" w:hAnsi="Times New Roman;serif"/>
          <w:b w:val="false"/>
          <w:color w:val="000000"/>
          <w:sz w:val="22"/>
          <w:u w:val="single"/>
        </w:rPr>
        <w:t>Section 6.02(a)</w:t>
      </w:r>
      <w:r>
        <w:rPr>
          <w:color w:val="000000"/>
        </w:rPr>
        <w:t xml:space="preserve"> </w:t>
      </w:r>
      <w:r>
        <w:rPr>
          <w:rFonts w:ascii="Times New Roman;serif" w:hAnsi="Times New Roman;serif"/>
          <w:b w:val="false"/>
          <w:color w:val="000000"/>
          <w:sz w:val="22"/>
        </w:rPr>
        <w:t>as being deemed to be suitable for posting on a portion of the Platform designated “Public Side Information”.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6.03    </w:t>
      </w:r>
      <w:r>
        <w:rPr>
          <w:rFonts w:ascii="Times New Roman;serif" w:hAnsi="Times New Roman;serif"/>
          <w:b w:val="false"/>
          <w:color w:val="000000"/>
          <w:sz w:val="22"/>
          <w:u w:val="single"/>
        </w:rPr>
        <w:t>Notices</w:t>
      </w:r>
      <w:r>
        <w:rPr>
          <w:rFonts w:ascii="Times New Roman;serif" w:hAnsi="Times New Roman;serif"/>
          <w:b w:val="false"/>
          <w:color w:val="000000"/>
          <w:sz w:val="22"/>
        </w:rPr>
        <w:t>. Promptly, after a Responsible Officer of any Loan Party has obtained knowledge thereof, notify the Administrative Agent: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of the occurrence of any Default or Event of Default (it being understood that any delivery of a notice of Default or Event of Default shall automatically cure any Default or Event of Default then existing with respect to any failure to deliver such notice, unless a Responsible Officer of the Borrower had actual knowledge that such Default or Event of Default had occurred and should have reasonably known in the course of his or her duties that failure to provide such notice would constitute an Event of Default);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of the institution of any material litigation not previously disclosed by the Company to the Administrative Agent, or any material development in any material litigation that is reasonably likely to be adversely determined, and would, in either case, if adversely determined be reasonably expected to have a Material Adverse Effect;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(c)    (i) of the occurrence of any ERISA Event, where there is any reasonable likelihood of the imposition of liability on any Loan Party as a result thereof that would be reasonably expected to have a Material Adverse Effect; and (ii) promptly after any reasonable request therefor by the Administrative Agent or any Lender, provide copies of (A) any documents described in Section 101(k)(1) of ERISA that </w:t>
      </w:r>
    </w:p>
    <w:p>
      <w:pPr>
        <w:pStyle w:val="TextBody"/>
        <w:bidi w:val="0"/>
        <w:spacing w:before="0" w:after="0"/>
        <w:jc w:val="left"/>
        <w:rPr/>
      </w:pPr>
      <w:r>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6480175" cy="175260"/>
                <wp:effectExtent l="0" t="0" r="0" b="0"/>
                <wp:wrapNone/>
                <wp:docPr id="267" name="Frame2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 Company or any ERISA Affiliate has received with respect to any Multiemployer Plan with respect to which there is any reasonable likelihood of a Material Adverse Effect or (B) any notices described in Section 101(l)(1) of ERISA that the Company or any ERISA Affiliate has received with respect to any Multiemployer Plan with respect to which there is any reasonable likelihood of the imposition of liability that would reasonably be expected to have a Material Adverse Effect; </w:t>
      </w:r>
      <w:r>
        <w:rPr>
          <w:rFonts w:ascii="Times New Roman;serif" w:hAnsi="Times New Roman;serif"/>
          <w:b w:val="false"/>
          <w:i/>
          <w:color w:val="000000"/>
          <w:sz w:val="22"/>
        </w:rPr>
        <w:t>provided, however</w:t>
      </w:r>
      <w:r>
        <w:rPr>
          <w:rFonts w:ascii="Times New Roman;serif" w:hAnsi="Times New Roman;serif"/>
          <w:b w:val="false"/>
          <w:color w:val="000000"/>
          <w:sz w:val="22"/>
        </w:rPr>
        <w:t>, that if the Company has not requested or received such documents or notices from the administrator or sponsor of the applicable Multiemployer Plan, the Company or ERISA Affiliate shall promptly make a request for such documents and notices from such administrator or sponsor and shall provide copies of such documents and notices promptly after receipt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notice pursuant to this Section 6.03 shall be accompanied by a statement of a Responsible Officer of the Company setting forth details of the occurrence referred to therein and stating what action the Company has taken and proposes to take with respect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6.04    </w:t>
      </w:r>
      <w:r>
        <w:rPr>
          <w:rFonts w:ascii="Times New Roman;serif" w:hAnsi="Times New Roman;serif"/>
          <w:b w:val="false"/>
          <w:color w:val="000000"/>
          <w:sz w:val="22"/>
          <w:u w:val="single"/>
        </w:rPr>
        <w:t>Payment of Taxes</w:t>
      </w:r>
      <w:r>
        <w:rPr>
          <w:rFonts w:ascii="Times New Roman;serif" w:hAnsi="Times New Roman;serif"/>
          <w:b w:val="false"/>
          <w:color w:val="000000"/>
          <w:sz w:val="22"/>
        </w:rPr>
        <w:t>. Pay, discharge or otherwise satisfy as the same shall become due and payable, all Taxes (including in its capacity as withholding agent) imposed upon it or its income, profits, properties or other assets except those (a) which are being contested in good faith by appropriate proceedings diligently conducted and for which adequate reserves in accordance with GAAP are being maintained by any Restricted Group Member or (b) with respect to which the failure to pay, discharge or satisfy the same would not reasonably be expected, individually or in the aggregate,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6.05    </w:t>
      </w:r>
      <w:r>
        <w:rPr>
          <w:rFonts w:ascii="Times New Roman;serif" w:hAnsi="Times New Roman;serif"/>
          <w:b w:val="false"/>
          <w:color w:val="000000"/>
          <w:sz w:val="22"/>
          <w:u w:val="single"/>
        </w:rPr>
        <w:t>Preservation of Existence, Etc</w:t>
      </w:r>
      <w:r>
        <w:rPr>
          <w:rFonts w:ascii="Times New Roman;serif" w:hAnsi="Times New Roman;serif"/>
          <w:b w:val="false"/>
          <w:color w:val="000000"/>
          <w:sz w:val="22"/>
        </w:rPr>
        <w:t xml:space="preserve">. (a) Preserve, renew and maintain in full force and effect its legal existence under the Laws of the jurisdiction of its organization except in a transaction not prohibited by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7.04</w:t>
      </w:r>
      <w:r>
        <w:rPr>
          <w:rFonts w:ascii="Times New Roman;serif" w:hAnsi="Times New Roman;serif"/>
          <w:b w:val="false"/>
          <w:color w:val="000000"/>
          <w:sz w:val="22"/>
        </w:rPr>
        <w:t xml:space="preserve">, (b) take all reasonable action to maintain all rights, privileges (including its good standing, if such concept is applicable in its jurisdiction of organization), permits, licenses and franchises necessary or desirable in the normal conduct of its business, except to the extent that failure to do so would not reasonably be expected to have a Material Adverse Effect or as otherwise permitted hereunder, and (c) use commercially reasonable efforts to preserve or renew all of its registered copyrights, patents, trademarks, trade names and service marks, the non-preservation of which would reasonably be expected to have a Material Adverse Effect or as otherwise permitted hereunder, that nothing in this </w:t>
      </w:r>
      <w:r>
        <w:rPr>
          <w:rFonts w:ascii="Times New Roman;serif" w:hAnsi="Times New Roman;serif"/>
          <w:b w:val="false"/>
          <w:color w:val="000000"/>
          <w:sz w:val="22"/>
          <w:u w:val="single"/>
        </w:rPr>
        <w:t>Section 6.05</w:t>
      </w:r>
      <w:r>
        <w:rPr>
          <w:color w:val="000000"/>
        </w:rPr>
        <w:t xml:space="preserve"> </w:t>
      </w:r>
      <w:r>
        <w:rPr>
          <w:rFonts w:ascii="Times New Roman;serif" w:hAnsi="Times New Roman;serif"/>
          <w:b w:val="false"/>
          <w:color w:val="000000"/>
          <w:sz w:val="22"/>
        </w:rPr>
        <w:t>shall require the preservation, renewal or maintenance of, or prevent the abandonment by, any Restricted Group Member of any registered copyrights, patents, trademarks, trade names and service marks that any Restricted Group Member reasonably determines is not useful to its business or is no longer commercially desirable.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6.06    </w:t>
      </w:r>
      <w:r>
        <w:rPr>
          <w:rFonts w:ascii="Times New Roman;serif" w:hAnsi="Times New Roman;serif"/>
          <w:b w:val="false"/>
          <w:color w:val="000000"/>
          <w:sz w:val="22"/>
          <w:u w:val="single"/>
        </w:rPr>
        <w:t>Maintenance of Properties</w:t>
      </w:r>
      <w:r>
        <w:rPr>
          <w:rFonts w:ascii="Times New Roman;serif" w:hAnsi="Times New Roman;serif"/>
          <w:b w:val="false"/>
          <w:color w:val="000000"/>
          <w:sz w:val="22"/>
        </w:rPr>
        <w:t>. Except if the failure to do so would not reasonably be expected to have, individually or in the aggregate, a Material Adverse Effect, maintain, preserve and protect all of its tangible properties and equipment that are necessary in the operation of its business in good working order, repair and condition, ordinary wear and tear excepted and casualty or condemnation excepted.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6.07    </w:t>
      </w:r>
      <w:r>
        <w:rPr>
          <w:rFonts w:ascii="Times New Roman;serif" w:hAnsi="Times New Roman;serif"/>
          <w:b w:val="false"/>
          <w:color w:val="000000"/>
          <w:sz w:val="22"/>
          <w:u w:val="single"/>
        </w:rPr>
        <w:t>Maintenance of Insurance</w:t>
      </w:r>
      <w:r>
        <w:rPr>
          <w:rFonts w:ascii="Times New Roman;serif" w:hAnsi="Times New Roman;serif"/>
          <w:b w:val="false"/>
          <w:color w:val="000000"/>
          <w:sz w:val="22"/>
        </w:rPr>
        <w:t xml:space="preserve">. Except if the failure to do so would not reasonably be expected to have a Material Adverse Effect, maintain in full force and effect, with insurance companies that the Company believes (in the good faith judgment of the Company) are financially sound and responsible at the time the relevant coverage is placed or renewed, insurance in at least such amounts (after giving effect to any self-insurance which the Company believes (in the good faith judgment of management of the Company) is reasonable and prudent in light of the size and nature of its business) and against at least such risks (and with such risk retentions) as are usually insured against in the same general </w:t>
      </w:r>
    </w:p>
    <w:p>
      <w:pPr>
        <w:pStyle w:val="TextBody"/>
        <w:bidi w:val="0"/>
        <w:spacing w:before="0" w:after="0"/>
        <w:jc w:val="left"/>
        <w:rPr/>
      </w:pPr>
      <w:r>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6480175" cy="175260"/>
                <wp:effectExtent l="0" t="0" r="0" b="0"/>
                <wp:wrapNone/>
                <wp:docPr id="268" name="Frame2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area by companies engaged in businesses similar to those engaged by the Restricted Group. Subject to </w:t>
      </w:r>
      <w:r>
        <w:rPr>
          <w:rFonts w:ascii="Times New Roman;serif" w:hAnsi="Times New Roman;serif"/>
          <w:b w:val="false"/>
          <w:color w:val="000000"/>
          <w:sz w:val="22"/>
          <w:u w:val="single"/>
        </w:rPr>
        <w:t>Section 6.16</w:t>
      </w:r>
      <w:r>
        <w:rPr>
          <w:rFonts w:ascii="Times New Roman;serif" w:hAnsi="Times New Roman;serif"/>
          <w:b w:val="false"/>
          <w:color w:val="000000"/>
          <w:sz w:val="22"/>
        </w:rPr>
        <w:t xml:space="preserve">, the Company shall use commercially reasonable efforts to ensure that at all times from and after the Spin-Off Date the Collateral Agent, for the benefit of the Secured Parties, shall be named as an additional insured with respect to liability policies (other than directors and officers policies and workers compensation) maintained by the Company, each Borrower and each Guarantor and the Collateral Agent, for the benefit of the Secured Parties, shall be named as loss payee and mortgagee with respect to the property insurance maintained by the Company, each Borrower and each Guarantor; that, unless an Event of Default shall have occurred and be continuing subject to </w:t>
      </w:r>
      <w:r>
        <w:rPr>
          <w:rFonts w:ascii="Times New Roman;serif" w:hAnsi="Times New Roman;serif"/>
          <w:b w:val="false"/>
          <w:color w:val="000000"/>
          <w:sz w:val="22"/>
          <w:u w:val="single"/>
        </w:rPr>
        <w:t>Section 2.05</w:t>
      </w:r>
      <w:r>
        <w:rPr>
          <w:rFonts w:ascii="Times New Roman;serif" w:hAnsi="Times New Roman;serif"/>
          <w:b w:val="false"/>
          <w:color w:val="000000"/>
          <w:sz w:val="22"/>
        </w:rPr>
        <w:t>, (A) all proceeds from insurance policies shall be paid to the applicable Borrower or applicable Guarantor, (B) to the extent the Collateral Agent receives any proceeds, the Collateral Agent shall turn over to the Company any amounts received by it as an additional insured or loss payee under any property insurance maintained by the Company and its Subsidiaries and (C) the Collateral Agent agrees that the Company and/or its Subsidiaries shall have the sole right to adjust or settle any claims under such insurance.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6.08    </w:t>
      </w:r>
      <w:r>
        <w:rPr>
          <w:rFonts w:ascii="Times New Roman;serif" w:hAnsi="Times New Roman;serif"/>
          <w:b w:val="false"/>
          <w:color w:val="000000"/>
          <w:sz w:val="22"/>
          <w:u w:val="single"/>
        </w:rPr>
        <w:t>Compliance with Laws</w:t>
      </w:r>
      <w:r>
        <w:rPr>
          <w:rFonts w:ascii="Times New Roman;serif" w:hAnsi="Times New Roman;serif"/>
          <w:b w:val="false"/>
          <w:color w:val="000000"/>
          <w:sz w:val="22"/>
        </w:rPr>
        <w:t>. Comply with all applicable Laws (including, without limitation, ERISA, the PATRIOT Act, Anti-Corruption Laws and Sanctions Laws and Regulations) in all material respects and all orders, writs, injunctions and decrees of any Governmental Authority applicable to it or to its business or property, except if the failure to comply therewith, either individually or in the aggregate, would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6.09    </w:t>
      </w:r>
      <w:r>
        <w:rPr>
          <w:rFonts w:ascii="Times New Roman;serif" w:hAnsi="Times New Roman;serif"/>
          <w:b w:val="false"/>
          <w:color w:val="000000"/>
          <w:sz w:val="22"/>
          <w:u w:val="single"/>
        </w:rPr>
        <w:t>Books and Records</w:t>
      </w:r>
      <w:r>
        <w:rPr>
          <w:rFonts w:ascii="Times New Roman;serif" w:hAnsi="Times New Roman;serif"/>
          <w:b w:val="false"/>
          <w:color w:val="000000"/>
          <w:sz w:val="22"/>
        </w:rPr>
        <w:t>. Maintain proper books of record and account, in a manner to allow financial statements to be prepared in all material respects in conformity with GAAP consistently applied in respect of all financial transactions and matters involving the assets and business of the Company or such Restricted Subsidiary, as applicable (it being understood and agreed that Non-U.S. Subsidiaries may maintain individual books and records in conformity with generally accepted accounting principles that are applicable in their respective jurisdiction of organization).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6.10    </w:t>
      </w:r>
      <w:r>
        <w:rPr>
          <w:rFonts w:ascii="Times New Roman;serif" w:hAnsi="Times New Roman;serif"/>
          <w:b w:val="false"/>
          <w:color w:val="000000"/>
          <w:sz w:val="22"/>
          <w:u w:val="single"/>
        </w:rPr>
        <w:t>Inspection Rights</w:t>
      </w:r>
      <w:r>
        <w:rPr>
          <w:rFonts w:ascii="Times New Roman;serif" w:hAnsi="Times New Roman;serif"/>
          <w:b w:val="false"/>
          <w:color w:val="000000"/>
          <w:sz w:val="22"/>
        </w:rPr>
        <w:t xml:space="preserve">. Permit representatives of the Administrative Agent and, during the continuance of any Event of Default, of each Lender to visit and inspect any of its properties (subject to the rights of lessees or sublessees thereof and subject to any restrictions or limitations in the applicable lease, sublease or other written occupancy arrangement pursuant to which any Restricted Group Member is a party), to examine its corporate, financial and operating records, and make copies thereof or abstracts therefrom, and to discuss its affairs, finances and accounts with its directors, managers, officers, and independent public accountants (subject to such accountants’ customary policies and procedures), at such reasonable times during normal business hours and as often as may be reasonably desired, upon reasonable advance written notice to the Company; that, excluding any such visits and inspections during the continuation of an Event of Default, (i) only the Administrative Agent on behalf of the Lenders may exercise rights under this </w:t>
      </w:r>
      <w:r>
        <w:rPr>
          <w:rFonts w:ascii="Times New Roman;serif" w:hAnsi="Times New Roman;serif"/>
          <w:b w:val="false"/>
          <w:color w:val="000000"/>
          <w:sz w:val="22"/>
          <w:u w:val="single"/>
        </w:rPr>
        <w:t>Section 6.10</w:t>
      </w:r>
      <w:r>
        <w:rPr>
          <w:rFonts w:ascii="Times New Roman;serif" w:hAnsi="Times New Roman;serif"/>
          <w:b w:val="false"/>
          <w:color w:val="000000"/>
          <w:sz w:val="22"/>
        </w:rPr>
        <w:t xml:space="preserve">, (ii) the Administrative Agent shall not exercise such rights more often than one time during any calendar year and (iii) such exercise shall be at the Company’s reasonable expense;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when an Event of Default is continuing the Administrative Agent (or any of its </w:t>
      </w:r>
      <w:r>
        <w:rPr>
          <w:rFonts w:ascii="Times New Roman;serif" w:hAnsi="Times New Roman;serif"/>
          <w:b w:val="false"/>
          <w:strike/>
          <w:color w:val="FF0000"/>
          <w:sz w:val="22"/>
        </w:rPr>
        <w:t xml:space="preserve">respective </w:t>
      </w:r>
      <w:r>
        <w:rPr>
          <w:rFonts w:ascii="Times New Roman;serif" w:hAnsi="Times New Roman;serif"/>
          <w:b w:val="false"/>
          <w:color w:val="000000"/>
          <w:sz w:val="22"/>
        </w:rPr>
        <w:t xml:space="preserve">representatives) may do any of the foregoing at the reasonable expense of the Company at any time and from time to time during normal business hours and upon reasonable advance written notice. The Administrative Agent and the Lenders shall give the Company the opportunity to participate in any discussions with the Company’s accountants. Notwithstanding anything to the contrary in this </w:t>
      </w:r>
      <w:r>
        <w:rPr>
          <w:rFonts w:ascii="Times New Roman;serif" w:hAnsi="Times New Roman;serif"/>
          <w:b w:val="false"/>
          <w:color w:val="000000"/>
          <w:sz w:val="22"/>
          <w:u w:val="single"/>
        </w:rPr>
        <w:t>Section 6.10</w:t>
      </w:r>
      <w:r>
        <w:rPr>
          <w:rFonts w:ascii="Times New Roman;serif" w:hAnsi="Times New Roman;serif"/>
          <w:b w:val="false"/>
          <w:color w:val="000000"/>
          <w:sz w:val="22"/>
        </w:rPr>
        <w:t xml:space="preserve">, none of the Restricted Group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w:t>
      </w:r>
    </w:p>
    <w:p>
      <w:pPr>
        <w:pStyle w:val="TextBody"/>
        <w:bidi w:val="0"/>
        <w:spacing w:before="0" w:after="0"/>
        <w:jc w:val="left"/>
        <w:rPr/>
      </w:pPr>
      <w:r>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6480175" cy="175260"/>
                <wp:effectExtent l="0" t="0" r="0" b="0"/>
                <wp:wrapNone/>
                <wp:docPr id="269" name="Frame2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agreement or (iii) that is subject to attorney client or similar privilege or constitutes attorney work product.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6.11    </w:t>
      </w:r>
      <w:r>
        <w:rPr>
          <w:rFonts w:ascii="Times New Roman;serif" w:hAnsi="Times New Roman;serif"/>
          <w:b w:val="false"/>
          <w:color w:val="000000"/>
          <w:sz w:val="22"/>
          <w:u w:val="single"/>
        </w:rPr>
        <w:t>Use of Proceeds</w:t>
      </w:r>
      <w:r>
        <w:rPr>
          <w:rFonts w:ascii="Times New Roman;serif" w:hAnsi="Times New Roman;serif"/>
          <w:b w:val="false"/>
          <w:color w:val="000000"/>
          <w:sz w:val="22"/>
        </w:rPr>
        <w:t xml:space="preserve">. The Borrowers will use the Letters of Credit and the proceeds of the Loans only as provided in </w:t>
      </w:r>
      <w:r>
        <w:rPr>
          <w:rFonts w:ascii="Times New Roman;serif" w:hAnsi="Times New Roman;serif"/>
          <w:b w:val="false"/>
          <w:color w:val="000000"/>
          <w:sz w:val="22"/>
          <w:u w:val="single"/>
        </w:rPr>
        <w:t>Sections 5.07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5.13(a)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5.19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5.20</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6.12    </w:t>
      </w:r>
      <w:r>
        <w:rPr>
          <w:rFonts w:ascii="Times New Roman;serif" w:hAnsi="Times New Roman;serif"/>
          <w:b w:val="false"/>
          <w:color w:val="000000"/>
          <w:sz w:val="22"/>
          <w:u w:val="single"/>
        </w:rPr>
        <w:t>Covenant to Guarantee Obligations and Give Security</w:t>
      </w:r>
      <w:r>
        <w:rPr>
          <w:rFonts w:ascii="Times New Roman;serif" w:hAnsi="Times New Roman;serif"/>
          <w:b w:val="false"/>
          <w:color w:val="000000"/>
          <w:sz w:val="22"/>
        </w:rPr>
        <w:t xml:space="preserve">. (a) Upon the formation or acquisition of any new Wholly Owned Subsidiary (including, without limitation, pursuant to an LLC Division or LP Division, or the creation of new Series LLC or Series LP) by any Loan Party after the </w:t>
      </w:r>
      <w:r>
        <w:rPr>
          <w:rFonts w:ascii="Times New Roman;serif" w:hAnsi="Times New Roman;serif"/>
          <w:b w:val="false"/>
          <w:strike/>
          <w:color w:val="FF0000"/>
          <w:sz w:val="22"/>
        </w:rPr>
        <w:t>Spin-Off</w:t>
      </w:r>
      <w:r>
        <w:rPr>
          <w:rFonts w:ascii="Times New Roman;serif" w:hAnsi="Times New Roman;serif"/>
          <w:b w:val="false"/>
          <w:color w:val="0000FF"/>
          <w:sz w:val="22"/>
          <w:u w:val="single"/>
        </w:rPr>
        <w:t>Closing</w:t>
      </w:r>
      <w:r>
        <w:rPr>
          <w:color w:val="000000"/>
        </w:rPr>
        <w:t xml:space="preserve"> </w:t>
      </w:r>
      <w:r>
        <w:rPr>
          <w:rFonts w:ascii="Times New Roman;serif" w:hAnsi="Times New Roman;serif"/>
          <w:b w:val="false"/>
          <w:color w:val="000000"/>
          <w:sz w:val="22"/>
        </w:rPr>
        <w:t xml:space="preserve">Date ( that each of (x) any Subsidiary Redesignation resulting in an Unrestricted Subsidiary becoming a Restricted Subsidiary and (y) any Excluded Subsidiary ceasing to be an Excluded Subsidiary but remaining a Restricted Subsidiary shall be deemed to constitute the acquisition of a Restricted Subsidiary for all purposes of this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and/or (b) upon the acquisition of any property (other than Excluded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 terms of the Collateral Documents or other Loan Documents), the Company shall, at the Company’s expense:</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    in connection with such formation or acquisition of a Subsidiary pursuant to </w:t>
      </w:r>
      <w:r>
        <w:rPr>
          <w:rFonts w:ascii="Times New Roman;serif" w:hAnsi="Times New Roman;serif"/>
          <w:b w:val="false"/>
          <w:color w:val="000000"/>
          <w:sz w:val="22"/>
          <w:u w:val="single"/>
        </w:rPr>
        <w:t>Section 6.12(a)</w:t>
      </w:r>
      <w:r>
        <w:rPr>
          <w:rFonts w:ascii="Times New Roman;serif" w:hAnsi="Times New Roman;serif"/>
          <w:b w:val="false"/>
          <w:color w:val="000000"/>
          <w:sz w:val="22"/>
        </w:rPr>
        <w:t xml:space="preserve">, within </w:t>
      </w:r>
      <w:r>
        <w:rPr>
          <w:rFonts w:ascii="Times New Roman;serif" w:hAnsi="Times New Roman;serif"/>
          <w:b w:val="false"/>
          <w:strike/>
          <w:color w:val="FF0000"/>
          <w:sz w:val="22"/>
        </w:rPr>
        <w:t xml:space="preserve">the later of (x) </w:t>
      </w:r>
      <w:r>
        <w:rPr>
          <w:rFonts w:ascii="Times New Roman;serif" w:hAnsi="Times New Roman;serif"/>
          <w:b w:val="false"/>
          <w:color w:val="000000"/>
          <w:sz w:val="22"/>
        </w:rPr>
        <w:t xml:space="preserve">90 days after such formation or acquisition </w:t>
      </w:r>
      <w:r>
        <w:rPr>
          <w:rFonts w:ascii="Times New Roman;serif" w:hAnsi="Times New Roman;serif"/>
          <w:b w:val="false"/>
          <w:strike/>
          <w:color w:val="FF0000"/>
          <w:sz w:val="22"/>
        </w:rPr>
        <w:t xml:space="preserve">or </w:t>
      </w:r>
      <w:r>
        <w:rPr>
          <w:rFonts w:ascii="Times New Roman;serif" w:hAnsi="Times New Roman;serif"/>
          <w:b w:val="false"/>
          <w:strike/>
          <w:color w:val="008000"/>
          <w:sz w:val="22"/>
        </w:rPr>
        <w:t xml:space="preserve">(y) the </w:t>
      </w:r>
      <w:r>
        <w:rPr>
          <w:rFonts w:ascii="Times New Roman;serif" w:hAnsi="Times New Roman;serif"/>
          <w:b w:val="false"/>
          <w:strike/>
          <w:color w:val="FF0000"/>
          <w:sz w:val="22"/>
        </w:rPr>
        <w:t xml:space="preserve">date of delivery of the next Compliance Certificate </w:t>
      </w:r>
      <w:r>
        <w:rPr>
          <w:rFonts w:ascii="Times New Roman;serif" w:hAnsi="Times New Roman;serif"/>
          <w:b w:val="false"/>
          <w:strike/>
          <w:color w:val="008000"/>
          <w:sz w:val="22"/>
        </w:rPr>
        <w:t xml:space="preserve">in accordance with </w:t>
      </w:r>
      <w:r>
        <w:rPr>
          <w:rFonts w:ascii="Times New Roman;serif" w:hAnsi="Times New Roman;serif"/>
          <w:b w:val="false"/>
          <w:strike/>
          <w:color w:val="008000"/>
          <w:sz w:val="22"/>
          <w:u w:val="single"/>
        </w:rPr>
        <w:t xml:space="preserve">Section </w:t>
      </w:r>
      <w:r>
        <w:rPr>
          <w:rFonts w:ascii="Times New Roman;serif" w:hAnsi="Times New Roman;serif"/>
          <w:b w:val="false"/>
          <w:strike/>
          <w:color w:val="FF0000"/>
          <w:sz w:val="22"/>
          <w:u w:val="single"/>
        </w:rPr>
        <w:t>6.02(a)</w:t>
      </w:r>
      <w:r>
        <w:rPr>
          <w:strike/>
          <w:color w:val="FF0000"/>
        </w:rPr>
        <w:t xml:space="preserve"> </w:t>
      </w:r>
      <w:r>
        <w:rPr>
          <w:rFonts w:ascii="Times New Roman;serif" w:hAnsi="Times New Roman;serif"/>
          <w:b w:val="false"/>
          <w:strike/>
          <w:color w:val="FF0000"/>
          <w:sz w:val="22"/>
        </w:rPr>
        <w:t>after such formation or acquisition (or</w:t>
      </w:r>
      <w:r>
        <w:rPr>
          <w:rFonts w:ascii="Times New Roman;serif" w:hAnsi="Times New Roman;serif"/>
          <w:b w:val="false"/>
          <w:strike/>
          <w:color w:val="008000"/>
          <w:sz w:val="22"/>
        </w:rPr>
        <w:t>, in each case,</w:t>
      </w:r>
      <w:r>
        <w:rPr>
          <w:rFonts w:ascii="Times New Roman;serif" w:hAnsi="Times New Roman;serif"/>
          <w:b w:val="false"/>
          <w:color w:val="0000FF"/>
          <w:sz w:val="22"/>
          <w:u w:val="single"/>
        </w:rPr>
        <w:t>(or</w:t>
      </w:r>
      <w:r>
        <w:rPr>
          <w:color w:val="000000"/>
        </w:rPr>
        <w:t xml:space="preserve"> </w:t>
      </w:r>
      <w:r>
        <w:rPr>
          <w:rFonts w:ascii="Times New Roman;serif" w:hAnsi="Times New Roman;serif"/>
          <w:b w:val="false"/>
          <w:color w:val="000000"/>
          <w:sz w:val="22"/>
        </w:rPr>
        <w:t>such longer period as the Collateral Agent may agree in its reasonable discretion), (A) cause each such Subsidiary that is not an Excluded Subsidiary to duly execute and deliver to the Collateral Agent and the Administrative Agent a Guaranty Supplement, in form and substance reasonably satisfactory to the Administrative Agent, and a joinder or supplement to the applicable Collateral Documents</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(B) (if not already so delivered) deliver certificates (or the foreign equivalent thereof, as applicable) representing the Pledged Interests of each such Subsidiary (if any) held by the applicable Loan Party accompanied by undated stock powers or other appropriate instruments of transfer executed in blank and instruments evidencing the Pledged Debt owing by such Subsidiary to any Loan Party indorsed in blank to the Collateral Agent, together with, if requested by the Collateral Agent, supplements to the Security Agreement; that no Excluded Property shall be required to be pledged as Collateral,</w:t>
      </w:r>
      <w:r>
        <w:rPr>
          <w:color w:val="0000FF"/>
          <w:u w:val="single"/>
        </w:rPr>
        <w:t xml:space="preserve"> </w:t>
      </w:r>
      <w:r>
        <w:rPr>
          <w:rFonts w:ascii="Times New Roman;serif" w:hAnsi="Times New Roman;serif"/>
          <w:b w:val="false"/>
          <w:color w:val="0000FF"/>
          <w:sz w:val="22"/>
          <w:u w:val="single"/>
        </w:rPr>
        <w:t xml:space="preserve">(C) deliver to the Administrative Agent such legal opinions, documents and certificates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 xml:space="preserve">type referred to in Section 4.01 as may be reasonably requested </w:t>
      </w:r>
      <w:r>
        <w:rPr>
          <w:rFonts w:ascii="Times New Roman;serif" w:hAnsi="Times New Roman;serif"/>
          <w:b w:val="false"/>
          <w:color w:val="008000"/>
          <w:sz w:val="22"/>
          <w:u w:val="single"/>
        </w:rPr>
        <w:t xml:space="preserve">by the </w:t>
      </w:r>
      <w:r>
        <w:rPr>
          <w:rFonts w:ascii="Times New Roman;serif" w:hAnsi="Times New Roman;serif"/>
          <w:b w:val="false"/>
          <w:color w:val="0000FF"/>
          <w:sz w:val="22"/>
          <w:u w:val="single"/>
        </w:rPr>
        <w:t>Administrative Agent;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in connection with such acquisition of any property pursuant to </w:t>
      </w:r>
      <w:r>
        <w:rPr>
          <w:rFonts w:ascii="Times New Roman;serif" w:hAnsi="Times New Roman;serif"/>
          <w:b w:val="false"/>
          <w:color w:val="000000"/>
          <w:sz w:val="22"/>
          <w:u w:val="single"/>
        </w:rPr>
        <w:t>Section 6.12(b)</w:t>
      </w:r>
      <w:r>
        <w:rPr>
          <w:rFonts w:ascii="Times New Roman;serif" w:hAnsi="Times New Roman;serif"/>
          <w:b w:val="false"/>
          <w:color w:val="000000"/>
          <w:sz w:val="22"/>
        </w:rPr>
        <w:t xml:space="preserve">, within </w:t>
      </w:r>
      <w:r>
        <w:rPr>
          <w:rFonts w:ascii="Times New Roman;serif" w:hAnsi="Times New Roman;serif"/>
          <w:b w:val="false"/>
          <w:strike/>
          <w:color w:val="FF0000"/>
          <w:sz w:val="22"/>
        </w:rPr>
        <w:t xml:space="preserve">the later of (x) </w:t>
      </w:r>
      <w:r>
        <w:rPr>
          <w:rFonts w:ascii="Times New Roman;serif" w:hAnsi="Times New Roman;serif"/>
          <w:b w:val="false"/>
          <w:color w:val="000000"/>
          <w:sz w:val="22"/>
        </w:rPr>
        <w:t xml:space="preserve">90 days after such acquisition </w:t>
      </w:r>
      <w:r>
        <w:rPr>
          <w:rFonts w:ascii="Times New Roman;serif" w:hAnsi="Times New Roman;serif"/>
          <w:b w:val="false"/>
          <w:strike/>
          <w:color w:val="FF0000"/>
          <w:sz w:val="22"/>
        </w:rPr>
        <w:t xml:space="preserve">or (y) the date of delivery of the next Compliance Certificate in accordance with </w:t>
      </w:r>
      <w:r>
        <w:rPr>
          <w:rFonts w:ascii="Times New Roman;serif" w:hAnsi="Times New Roman;serif"/>
          <w:b w:val="false"/>
          <w:strike/>
          <w:color w:val="FF0000"/>
          <w:sz w:val="22"/>
          <w:u w:val="single"/>
        </w:rPr>
        <w:t>Section 6.02(a)</w:t>
      </w:r>
      <w:r>
        <w:rPr>
          <w:strike/>
          <w:color w:val="FF0000"/>
        </w:rPr>
        <w:t xml:space="preserve"> </w:t>
      </w:r>
      <w:r>
        <w:rPr>
          <w:rFonts w:ascii="Times New Roman;serif" w:hAnsi="Times New Roman;serif"/>
          <w:b w:val="false"/>
          <w:strike/>
          <w:color w:val="FF0000"/>
          <w:sz w:val="22"/>
        </w:rPr>
        <w:t>after such acquisition (or, in each case,</w:t>
      </w:r>
      <w:r>
        <w:rPr>
          <w:rFonts w:ascii="Times New Roman;serif" w:hAnsi="Times New Roman;serif"/>
          <w:b w:val="false"/>
          <w:color w:val="0000FF"/>
          <w:sz w:val="22"/>
          <w:u w:val="single"/>
        </w:rPr>
        <w:t>(or</w:t>
      </w:r>
      <w:r>
        <w:rPr>
          <w:color w:val="000000"/>
        </w:rPr>
        <w:t xml:space="preserve"> </w:t>
      </w:r>
      <w:r>
        <w:rPr>
          <w:rFonts w:ascii="Times New Roman;serif" w:hAnsi="Times New Roman;serif"/>
          <w:b w:val="false"/>
          <w:color w:val="000000"/>
          <w:sz w:val="22"/>
        </w:rPr>
        <w:t xml:space="preserve">such longer period as the Collateral Agent may agree in its reasonable discretion), (A) cause each such Loan Party to duly execute and deliver to the Collateral Agent one or more Security Agreement Supplements, Intellectual Property Security Agreement Supplements and other Collateral Documents, in form and substance reasonably satisfactory to the Collateral Agent (consistent, to the extent applicable, with the Security Agreement, the Intellectual Property Security Agreement and the other Collateral Documents (and </w:t>
      </w:r>
      <w:r>
        <w:rPr>
          <w:rFonts w:ascii="Times New Roman;serif" w:hAnsi="Times New Roman;serif"/>
          <w:b w:val="false"/>
          <w:color w:val="000000"/>
          <w:sz w:val="22"/>
          <w:u w:val="single"/>
        </w:rPr>
        <w:t>Section 6.14</w:t>
      </w:r>
      <w:r>
        <w:rPr>
          <w:rFonts w:ascii="Times New Roman;serif" w:hAnsi="Times New Roman;serif"/>
          <w:b w:val="false"/>
          <w:color w:val="000000"/>
          <w:sz w:val="22"/>
        </w:rPr>
        <w:t xml:space="preserve">)), securing payment of all the Obligations of the applicable Loan Party under the Loan Documents and establishing Liens on all such </w:t>
      </w:r>
    </w:p>
    <w:p>
      <w:pPr>
        <w:pStyle w:val="TextBody"/>
        <w:bidi w:val="0"/>
        <w:spacing w:before="0" w:after="0"/>
        <w:jc w:val="left"/>
        <w:rPr/>
      </w:pPr>
      <w:r>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6480175" cy="175260"/>
                <wp:effectExtent l="0" t="0" r="0" b="0"/>
                <wp:wrapNone/>
                <wp:docPr id="270" name="Frame2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properties or property; that such properties or property shall not be required to be pledged as Collateral, and no Security Agreement Supplements, Intellectual Property Security Agreement Supplements or other Collateral Documents shall be required to be delivered in respect thereof, to the extent that any such properties or property constitute Excluded Property, </w:t>
      </w:r>
      <w:r>
        <w:rPr>
          <w:rFonts w:ascii="Times New Roman;serif" w:hAnsi="Times New Roman;serif"/>
          <w:b w:val="false"/>
          <w:strike/>
          <w:color w:val="FF0000"/>
          <w:sz w:val="22"/>
        </w:rPr>
        <w:t>and</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(3)    within </w:t>
      </w:r>
      <w:r>
        <w:rPr>
          <w:rFonts w:ascii="Times New Roman;serif" w:hAnsi="Times New Roman;serif"/>
          <w:b w:val="false"/>
          <w:strike/>
          <w:color w:val="FF0000"/>
          <w:sz w:val="22"/>
        </w:rPr>
        <w:t xml:space="preserve">the later of (x) </w:t>
      </w:r>
      <w:r>
        <w:rPr>
          <w:rFonts w:ascii="Times New Roman;serif" w:hAnsi="Times New Roman;serif"/>
          <w:b w:val="false"/>
          <w:color w:val="000000"/>
          <w:sz w:val="22"/>
        </w:rPr>
        <w:t xml:space="preserve">90 days after such formation or acquisition </w:t>
      </w:r>
      <w:r>
        <w:rPr>
          <w:rFonts w:ascii="Times New Roman;serif" w:hAnsi="Times New Roman;serif"/>
          <w:b w:val="false"/>
          <w:strike/>
          <w:color w:val="FF0000"/>
          <w:sz w:val="22"/>
        </w:rPr>
        <w:t xml:space="preserve">or (y) the date of delivery of the next Compliance Certificate in accordance with </w:t>
      </w:r>
      <w:r>
        <w:rPr>
          <w:rFonts w:ascii="Times New Roman;serif" w:hAnsi="Times New Roman;serif"/>
          <w:b w:val="false"/>
          <w:strike/>
          <w:color w:val="FF0000"/>
          <w:sz w:val="22"/>
          <w:u w:val="single"/>
        </w:rPr>
        <w:t>Section 6.02(a)</w:t>
      </w:r>
      <w:r>
        <w:rPr>
          <w:strike/>
          <w:color w:val="FF0000"/>
        </w:rPr>
        <w:t xml:space="preserve"> </w:t>
      </w:r>
      <w:r>
        <w:rPr>
          <w:rFonts w:ascii="Times New Roman;serif" w:hAnsi="Times New Roman;serif"/>
          <w:b w:val="false"/>
          <w:strike/>
          <w:color w:val="FF0000"/>
          <w:sz w:val="22"/>
        </w:rPr>
        <w:t>after such formation or acquisition (or, in each case,</w:t>
      </w:r>
      <w:r>
        <w:rPr>
          <w:rFonts w:ascii="Times New Roman;serif" w:hAnsi="Times New Roman;serif"/>
          <w:b w:val="false"/>
          <w:color w:val="0000FF"/>
          <w:sz w:val="22"/>
          <w:u w:val="single"/>
        </w:rPr>
        <w:t>(or</w:t>
      </w:r>
      <w:r>
        <w:rPr>
          <w:color w:val="000000"/>
        </w:rPr>
        <w:t xml:space="preserve"> </w:t>
      </w:r>
      <w:r>
        <w:rPr>
          <w:rFonts w:ascii="Times New Roman;serif" w:hAnsi="Times New Roman;serif"/>
          <w:b w:val="false"/>
          <w:color w:val="000000"/>
          <w:sz w:val="22"/>
        </w:rPr>
        <w:t xml:space="preserve">such longer period as the Collateral Agent may agree in its reasonable discretion), take, and cause such Subsidiary that is not an Excluded Subsidiary and each applicable Loan Party to take, whatever action (including the filing of UCC financing statements, the giving of notices and delivery of stock and membership interest certificates or foreign equivalents representing the applicable Capital Stock) as may be necessary or advisable in the reasonable opinion of the Collateral Agent to vest in the Collateral Agent (or in any representative of the Collateral Agent designated by it), subject to </w:t>
      </w:r>
      <w:r>
        <w:rPr>
          <w:rFonts w:ascii="Times New Roman;serif" w:hAnsi="Times New Roman;serif"/>
          <w:b w:val="false"/>
          <w:color w:val="000000"/>
          <w:sz w:val="22"/>
          <w:u w:val="single"/>
        </w:rPr>
        <w:t>Section 5.03</w:t>
      </w:r>
      <w:r>
        <w:rPr>
          <w:rFonts w:ascii="Times New Roman;serif" w:hAnsi="Times New Roman;serif"/>
          <w:b w:val="false"/>
          <w:color w:val="000000"/>
          <w:sz w:val="22"/>
        </w:rPr>
        <w:t xml:space="preserve">, valid and subsisting Liens on the properties purported to be subject to the Security Agreement Supplements, Intellectual Property Security Agreement Supplements, supplements to other Collateral Documents and security agreements delivered pursuant to this </w:t>
      </w:r>
      <w:r>
        <w:rPr>
          <w:rFonts w:ascii="Times New Roman;serif" w:hAnsi="Times New Roman;serif"/>
          <w:b w:val="false"/>
          <w:color w:val="000000"/>
          <w:sz w:val="22"/>
          <w:u w:val="single"/>
        </w:rPr>
        <w:t>Section 6.12</w:t>
      </w:r>
      <w:r>
        <w:rPr>
          <w:rFonts w:ascii="Times New Roman;serif" w:hAnsi="Times New Roman;serif"/>
          <w:b w:val="false"/>
          <w:color w:val="000000"/>
          <w:sz w:val="22"/>
        </w:rPr>
        <w:t>, in each case to the extent required under the Loan Documents and subject to the Perfection Exceptions, enforceable against all third parties in accordance with their terms, and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(4)    at any time and from time to time, promptly execute and deliver any and all further instruments and documents and take all such other action as the Collateral Agent in its reasonable judgment may deem necessary or desirable in obtaining the full benefits of, or in perfecting and preserving the Liens of, such guaranties, Security Agreement Supplements, Intellectual Property Security Agreement Supplements, Collateral Documents and security agreements, in each case, with respect to guaranteeing and/or securing Obligations consistent with the terms hereof, in each case to the extent required under the Loan Documents and subject to the Perfection Exceptions.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the avoidance of doubt, nothing in this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 xml:space="preserve">or in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shall be deemed to require any Restricted Group Member to grant security interests or take steps with respect to perfection thereof to the extent such steps are not required in the Collateral Documents entered into on the </w:t>
      </w:r>
      <w:r>
        <w:rPr>
          <w:rFonts w:ascii="Times New Roman;serif" w:hAnsi="Times New Roman;serif"/>
          <w:b w:val="false"/>
          <w:strike/>
          <w:color w:val="FF0000"/>
          <w:sz w:val="22"/>
        </w:rPr>
        <w:t>Spin-Off</w:t>
      </w:r>
      <w:r>
        <w:rPr>
          <w:rFonts w:ascii="Times New Roman;serif" w:hAnsi="Times New Roman;serif"/>
          <w:b w:val="false"/>
          <w:color w:val="0000FF"/>
          <w:sz w:val="22"/>
          <w:u w:val="single"/>
        </w:rPr>
        <w:t>Closing</w:t>
      </w:r>
      <w:r>
        <w:rPr>
          <w:color w:val="000000"/>
        </w:rPr>
        <w:t xml:space="preserve"> </w:t>
      </w:r>
      <w:r>
        <w:rPr>
          <w:rFonts w:ascii="Times New Roman;serif" w:hAnsi="Times New Roman;serif"/>
          <w:b w:val="false"/>
          <w:color w:val="000000"/>
          <w:sz w:val="22"/>
        </w:rPr>
        <w:t xml:space="preserve">Date (or after the </w:t>
      </w:r>
      <w:r>
        <w:rPr>
          <w:rFonts w:ascii="Times New Roman;serif" w:hAnsi="Times New Roman;serif"/>
          <w:b w:val="false"/>
          <w:strike/>
          <w:color w:val="FF0000"/>
          <w:sz w:val="22"/>
        </w:rPr>
        <w:t>Spin-Off</w:t>
      </w:r>
      <w:r>
        <w:rPr>
          <w:rFonts w:ascii="Times New Roman;serif" w:hAnsi="Times New Roman;serif"/>
          <w:b w:val="false"/>
          <w:color w:val="0000FF"/>
          <w:sz w:val="22"/>
          <w:u w:val="single"/>
        </w:rPr>
        <w:t>Closing</w:t>
      </w:r>
      <w:r>
        <w:rPr>
          <w:color w:val="000000"/>
        </w:rPr>
        <w:t xml:space="preserve"> </w:t>
      </w:r>
      <w:r>
        <w:rPr>
          <w:rFonts w:ascii="Times New Roman;serif" w:hAnsi="Times New Roman;serif"/>
          <w:b w:val="false"/>
          <w:color w:val="000000"/>
          <w:sz w:val="22"/>
        </w:rPr>
        <w:t>Date in accordance with Section 6.16) or to the extent in contravention with the Perfection Exceptions.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anything to the contrary herein or in any other Loan Document, the Company shall have the right, at any time, to designate an Excluded Subsidiary as a Guarantor (and to subsequently release such Guarantee in accordance with </w:t>
      </w:r>
      <w:r>
        <w:rPr>
          <w:rFonts w:ascii="Times New Roman;serif" w:hAnsi="Times New Roman;serif"/>
          <w:b w:val="false"/>
          <w:color w:val="000000"/>
          <w:sz w:val="22"/>
          <w:u w:val="single"/>
        </w:rPr>
        <w:t>Section 9.11(c)</w:t>
      </w:r>
      <w:r>
        <w:rPr>
          <w:rFonts w:ascii="Times New Roman;serif" w:hAnsi="Times New Roman;serif"/>
          <w:b w:val="false"/>
          <w:color w:val="000000"/>
          <w:sz w:val="22"/>
        </w:rPr>
        <w:t xml:space="preserve">); that, in the case of a designation of a Non-U.S. Subsidiary, the jurisdiction of such Subsidiary shall be reasonably satisfactory to the Administrative Agent, and the Administrative Agent, the Collateral Agent and the Revolving Credit Lenders, as applicable, shall have received a Beneficial Ownership Certification and all other documentation and other information about such Non-U.S. Subsidiary as has been reasonably requested in writing by the Administrative Agent, the Collateral Agent or such Lenders that they reasonably determine is required by regulatory authorities under applicable “know your customer” and anti-money laundering rules and regulations, including without limitation the PATRIOT Act and Beneficial Ownership Regulation; </w:t>
      </w:r>
      <w:r>
        <w:rPr>
          <w:rFonts w:ascii="Times New Roman;serif" w:hAnsi="Times New Roman;serif"/>
          <w:b w:val="false"/>
          <w:i/>
          <w:color w:val="000000"/>
          <w:sz w:val="22"/>
        </w:rPr>
        <w:t>provided, further</w:t>
      </w:r>
      <w:r>
        <w:rPr>
          <w:rFonts w:ascii="Times New Roman;serif" w:hAnsi="Times New Roman;serif"/>
          <w:b w:val="false"/>
          <w:color w:val="000000"/>
          <w:sz w:val="22"/>
        </w:rPr>
        <w:t>, that in no circumstance shall an Excluded Subsidiary become a Guarantor unless designated in writing as a Guarantor by the Company in its sole discretion.</w:t>
      </w:r>
    </w:p>
    <w:p>
      <w:pPr>
        <w:pStyle w:val="TextBody"/>
        <w:bidi w:val="0"/>
        <w:spacing w:before="0" w:after="0"/>
        <w:jc w:val="left"/>
        <w:rPr/>
      </w:pPr>
      <w:r>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6480175" cy="175260"/>
                <wp:effectExtent l="0" t="0" r="0" b="0"/>
                <wp:wrapNone/>
                <wp:docPr id="271" name="Frame2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6.13    </w:t>
      </w:r>
      <w:r>
        <w:rPr>
          <w:rFonts w:ascii="Times New Roman;serif" w:hAnsi="Times New Roman;serif"/>
          <w:b w:val="false"/>
          <w:color w:val="000000"/>
          <w:sz w:val="22"/>
          <w:u w:val="single"/>
        </w:rPr>
        <w:t>Compliance with Environmental Laws</w:t>
      </w:r>
      <w:r>
        <w:rPr>
          <w:rFonts w:ascii="Times New Roman;serif" w:hAnsi="Times New Roman;serif"/>
          <w:b w:val="false"/>
          <w:color w:val="000000"/>
          <w:sz w:val="22"/>
        </w:rPr>
        <w:t xml:space="preserve">. Except, in each case, to the extent that the failure to do so would not reasonably be expected to have a Material Adverse Effect, (a) comply, and take commercially reasonable efforts to cause all lessees operating or occupying its properties to comply with all Environmental Laws and Environmental Permits; (b) obtain, maintain and renew all applicable Environmental Permits required under Environmental Laws for its operations and properties; and (c) to the extent required under Environmental Laws, conduct any investigation, mitigation, study, sampling and testing, and undertake any cleanup, removal or remedial, corrective or other response action necessary to respond to and remove and clean up all Releases of Hazardous Materials from any of its properties, in accordance with the requirements of applicable Environmental Laws; </w:t>
      </w:r>
      <w:r>
        <w:rPr>
          <w:rFonts w:ascii="Times New Roman;serif" w:hAnsi="Times New Roman;serif"/>
          <w:b w:val="false"/>
          <w:i/>
          <w:color w:val="000000"/>
          <w:sz w:val="22"/>
        </w:rPr>
        <w:t>provided, however</w:t>
      </w:r>
      <w:r>
        <w:rPr>
          <w:rFonts w:ascii="Times New Roman;serif" w:hAnsi="Times New Roman;serif"/>
          <w:b w:val="false"/>
          <w:color w:val="000000"/>
          <w:sz w:val="22"/>
        </w:rPr>
        <w:t>, that no Restricted Group Member shall be required to undertake any such cleanup, removal, remedial, corrective or other action to the extent that its obligation to do so is being contested in good faith and by proper proceedings and appropriate reserves are being maintained with respect to such circumstances in accordance with GAAP.</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6.14    </w:t>
      </w:r>
      <w:r>
        <w:rPr>
          <w:rFonts w:ascii="Times New Roman;serif" w:hAnsi="Times New Roman;serif"/>
          <w:b w:val="false"/>
          <w:color w:val="000000"/>
          <w:sz w:val="22"/>
          <w:u w:val="single"/>
        </w:rPr>
        <w:t>Further Assurances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Promptly upon request by the Administrative Agent, or the Collateral Agent or any Lender through the Administrative Agent, and subject to the limitations described in </w:t>
      </w:r>
      <w:r>
        <w:rPr>
          <w:rFonts w:ascii="Times New Roman;serif" w:hAnsi="Times New Roman;serif"/>
          <w:b w:val="false"/>
          <w:color w:val="000000"/>
          <w:sz w:val="22"/>
          <w:u w:val="single"/>
        </w:rPr>
        <w:t>Section 6.12</w:t>
      </w:r>
      <w:r>
        <w:rPr>
          <w:rFonts w:ascii="Times New Roman;serif" w:hAnsi="Times New Roman;serif"/>
          <w:b w:val="false"/>
          <w:color w:val="000000"/>
          <w:sz w:val="22"/>
        </w:rPr>
        <w:t>, (i) correct any material defect or error that may be discovered in any 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or the Collateral Agent or any Lender through the Administrative Agent, may reasonably require from time to time in order to grant, preserve, protect and continue the validity, perfection and priority of the security interests created or intended to be created by the Collateral Documents. Notwithstanding anything to the contrary in any Loan Documents, neither the Company nor any other Loan Party shall be required to make any filings or take any other actions to perfect, evidence or create the Lien on and security interest in any intellectual property except for filings in the United States Patent and Trademark Office or the United States Copyright Office and the filing of UCC financing statements, and neither the Company nor any other Loan Party shall be required to reimburse the Administrative Agent or the Collateral Agent for any costs incurred in connection with any filings or actions to perfect, evidence or create the Lien on and security interest in any intellectual property other than in connection with such filings in the United States Patent and Trademark Office or the United States Copyright Office and the filing of such UCC financing statements.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Promptly following any request therefor, provide information and documentation reasonably requested by the Administrative Agent or any Lender for purposes of compliance with applicable “know your customer” requirements under applicable anti-money-laundering laws, the PATRIOT Act and the Beneficial Ownership Regulation.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6.15    </w:t>
      </w:r>
      <w:r>
        <w:rPr>
          <w:rFonts w:ascii="Times New Roman;serif" w:hAnsi="Times New Roman;serif"/>
          <w:b w:val="false"/>
          <w:color w:val="000000"/>
          <w:sz w:val="22"/>
          <w:u w:val="single"/>
        </w:rPr>
        <w:t>Maintenance of Ratings</w:t>
      </w:r>
      <w:r>
        <w:rPr>
          <w:rFonts w:ascii="Times New Roman;serif" w:hAnsi="Times New Roman;serif"/>
          <w:b w:val="false"/>
          <w:color w:val="000000"/>
          <w:sz w:val="22"/>
        </w:rPr>
        <w:t>. Use commercially reasonable efforts to obtain and maintain (but not obtain or maintain a specific rating) (i) a public corporate family rating of the Company and a rating of the Facilities, in each case from Moody’s, and (ii) a public corporate credit rating of the Company and a rating of the Facilities, in each case from S&amp;P (it being understood and agreed that “commercially reasonable efforts” shall in any event include the payment of customary rating agency fees and cooperation with information and data requests by Moody’s and S&amp;P in connection with their ratings process).</w:t>
      </w:r>
    </w:p>
    <w:p>
      <w:pPr>
        <w:pStyle w:val="TextBody"/>
        <w:bidi w:val="0"/>
        <w:spacing w:before="0" w:after="0"/>
        <w:jc w:val="left"/>
        <w:rPr/>
      </w:pPr>
      <w:r>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6480175" cy="175260"/>
                <wp:effectExtent l="0" t="0" r="0" b="0"/>
                <wp:wrapNone/>
                <wp:docPr id="272" name="Frame2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Section 6.16 </w:t>
      </w:r>
      <w:r>
        <w:rPr>
          <w:rFonts w:ascii="Times New Roman;serif" w:hAnsi="Times New Roman;serif"/>
          <w:b w:val="false"/>
          <w:strike/>
          <w:color w:val="FF0000"/>
          <w:sz w:val="22"/>
        </w:rPr>
        <w:t>Post-Closing Undertakings. (A) On a date that is no later than the Spin-Off Date, the Company shall have delivered to the Administrative Agent and/or the Collateral Agent, as applicable, all of the following, each of which shall be originals or facsimiles or “pdf” files unless otherwise specified, each properly executed by a Responsible Officer of the signing Loan Party or other Person, as applicable, each dated as of a date that is no later than the Spin-Off Date (or, in the case of certificates of governmental officials, as of a recent date before such date), each accompanied by their respective required schedules and other attachments (and set forth thereon shall be all required information with respect to the Company and its Subsidiaries, giving effect to the Transactions):</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(a) </w:t>
      </w:r>
      <w:r>
        <w:rPr>
          <w:rFonts w:ascii="Times New Roman;serif" w:hAnsi="Times New Roman;serif"/>
          <w:b w:val="false"/>
          <w:strike/>
          <w:color w:val="FF0000"/>
          <w:sz w:val="22"/>
        </w:rPr>
        <w:t>the Guaranty, duly executed by the Company and each Guarantor;</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(b) </w:t>
      </w:r>
      <w:r>
        <w:rPr>
          <w:rFonts w:ascii="Times New Roman;serif" w:hAnsi="Times New Roman;serif"/>
          <w:b w:val="false"/>
          <w:strike/>
          <w:color w:val="FF0000"/>
          <w:sz w:val="22"/>
        </w:rPr>
        <w:t>the Intercompany Subordination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(c) </w:t>
      </w:r>
      <w:r>
        <w:rPr>
          <w:rFonts w:ascii="Times New Roman;serif" w:hAnsi="Times New Roman;serif"/>
          <w:b w:val="false"/>
          <w:strike/>
          <w:color w:val="FF0000"/>
          <w:sz w:val="22"/>
        </w:rPr>
        <w:t>the Perfection Certificate;</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(d) </w:t>
      </w:r>
      <w:r>
        <w:rPr>
          <w:rFonts w:ascii="Times New Roman;serif" w:hAnsi="Times New Roman;serif"/>
          <w:b w:val="false"/>
          <w:strike/>
          <w:color w:val="008000"/>
          <w:sz w:val="22"/>
        </w:rPr>
        <w:t xml:space="preserve">the First </w:t>
      </w:r>
      <w:r>
        <w:rPr>
          <w:rFonts w:ascii="Times New Roman;serif" w:hAnsi="Times New Roman;serif"/>
          <w:b w:val="false"/>
          <w:strike/>
          <w:color w:val="FF0000"/>
          <w:sz w:val="22"/>
        </w:rPr>
        <w:t>Lien Intercreditor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(e) </w:t>
      </w:r>
      <w:r>
        <w:rPr>
          <w:rFonts w:ascii="Times New Roman;serif" w:hAnsi="Times New Roman;serif"/>
          <w:b w:val="false"/>
          <w:strike/>
          <w:color w:val="FF0000"/>
          <w:sz w:val="22"/>
        </w:rPr>
        <w:t>the Security Agreement, duly executed by the Company and each Guarantor, together with:</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 </w:t>
      </w:r>
      <w:r>
        <w:rPr>
          <w:rFonts w:ascii="Times New Roman;serif" w:hAnsi="Times New Roman;serif"/>
          <w:b w:val="false"/>
          <w:strike/>
          <w:color w:val="008000"/>
          <w:sz w:val="22"/>
        </w:rPr>
        <w:t xml:space="preserve">to the extent required to be </w:t>
      </w:r>
      <w:r>
        <w:rPr>
          <w:rFonts w:ascii="Times New Roman;serif" w:hAnsi="Times New Roman;serif"/>
          <w:b w:val="false"/>
          <w:strike/>
          <w:color w:val="FF0000"/>
          <w:sz w:val="22"/>
        </w:rPr>
        <w:t xml:space="preserve">pledged under the terms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Security Agreement, certificates, if any, representing the Equity Interests in each Wholly Owned Subsidiary other than Immaterial Subsidiaries (and other than </w:t>
      </w:r>
      <w:r>
        <w:rPr>
          <w:rFonts w:ascii="Times New Roman;serif" w:hAnsi="Times New Roman;serif"/>
          <w:b w:val="false"/>
          <w:strike/>
          <w:color w:val="008000"/>
          <w:sz w:val="22"/>
        </w:rPr>
        <w:t xml:space="preserve">to the extent that such </w:t>
      </w:r>
      <w:r>
        <w:rPr>
          <w:rFonts w:ascii="Times New Roman;serif" w:hAnsi="Times New Roman;serif"/>
          <w:b w:val="false"/>
          <w:strike/>
          <w:color w:val="FF0000"/>
          <w:sz w:val="22"/>
        </w:rPr>
        <w:t>Equity Interests constitute Excluded Property), accompanied by undated stock powers executed in blank (or stock transfer forms, as applicable) and instruments evidencing the Pledged Debt (as defined in the Security Agreement) indorsed in blank (or instrument of transfer, as applicable);</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(ii) </w:t>
      </w:r>
      <w:r>
        <w:rPr>
          <w:rFonts w:ascii="Times New Roman;serif" w:hAnsi="Times New Roman;serif"/>
          <w:b w:val="false"/>
          <w:strike/>
          <w:color w:val="FF0000"/>
          <w:sz w:val="22"/>
        </w:rPr>
        <w:t xml:space="preserve">copies of proper financing statements, filed or duly prepared for filing under the Uniform Commercial Code in all applicable United States jurisdictions that the Collateral Agent may deem reasonably necessary in order to perfect and protect the </w:t>
      </w:r>
      <w:r>
        <w:rPr>
          <w:rFonts w:ascii="Times New Roman;serif" w:hAnsi="Times New Roman;serif"/>
          <w:b w:val="false"/>
          <w:strike/>
          <w:color w:val="008000"/>
          <w:sz w:val="22"/>
        </w:rPr>
        <w:t xml:space="preserve">Liens on assets of each </w:t>
      </w:r>
      <w:r>
        <w:rPr>
          <w:rFonts w:ascii="Times New Roman;serif" w:hAnsi="Times New Roman;serif"/>
          <w:b w:val="false"/>
          <w:strike/>
          <w:color w:val="FF0000"/>
          <w:sz w:val="22"/>
        </w:rPr>
        <w:t>Loan Party created under the Security Agreement, covering the Collateral described in the Security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(iii) </w:t>
      </w:r>
      <w:r>
        <w:rPr>
          <w:rFonts w:ascii="Times New Roman;serif" w:hAnsi="Times New Roman;serif"/>
          <w:b w:val="false"/>
          <w:strike/>
          <w:color w:val="FF0000"/>
          <w:sz w:val="22"/>
        </w:rPr>
        <w:t xml:space="preserve">the results of the Uniform Commercial Code (or equivalent) filings, intellectual property lien searches, and tax and judgment lien searches made with respect </w:t>
      </w:r>
      <w:r>
        <w:rPr>
          <w:rFonts w:ascii="Times New Roman;serif" w:hAnsi="Times New Roman;serif"/>
          <w:b w:val="false"/>
          <w:strike/>
          <w:color w:val="008000"/>
          <w:sz w:val="22"/>
        </w:rPr>
        <w:t xml:space="preserve">to the </w:t>
      </w:r>
      <w:r>
        <w:rPr>
          <w:rFonts w:ascii="Times New Roman;serif" w:hAnsi="Times New Roman;serif"/>
          <w:b w:val="false"/>
          <w:strike/>
          <w:color w:val="FF0000"/>
          <w:sz w:val="22"/>
        </w:rPr>
        <w:t xml:space="preserve">Loan Parties in the jurisdictions contemplated by the Perfection Certificate and copies of the financing statements (or similar documents) disclosed by such search and evidence </w:t>
      </w:r>
      <w:r>
        <w:rPr>
          <w:rFonts w:ascii="Times New Roman;serif" w:hAnsi="Times New Roman;serif"/>
          <w:b w:val="false"/>
          <w:strike/>
          <w:color w:val="008000"/>
          <w:sz w:val="22"/>
        </w:rPr>
        <w:t xml:space="preserve">reasonably satisfactory to the Administrative Agent </w:t>
      </w:r>
      <w:r>
        <w:rPr>
          <w:rFonts w:ascii="Times New Roman;serif" w:hAnsi="Times New Roman;serif"/>
          <w:b w:val="false"/>
          <w:strike/>
          <w:color w:val="FF0000"/>
          <w:sz w:val="22"/>
        </w:rPr>
        <w:t xml:space="preserve">that the liens indicated by such financing statements (or similar documents) are </w:t>
      </w:r>
      <w:r>
        <w:rPr>
          <w:rFonts w:ascii="Times New Roman;serif" w:hAnsi="Times New Roman;serif"/>
          <w:b w:val="false"/>
          <w:strike/>
          <w:color w:val="008000"/>
          <w:sz w:val="22"/>
        </w:rPr>
        <w:t>permitted by this Agreement</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(iv) </w:t>
      </w:r>
      <w:r>
        <w:rPr>
          <w:rFonts w:ascii="Times New Roman;serif" w:hAnsi="Times New Roman;serif"/>
          <w:b w:val="false"/>
          <w:strike/>
          <w:color w:val="FF0000"/>
          <w:sz w:val="22"/>
        </w:rPr>
        <w:t xml:space="preserve">subject to </w:t>
      </w:r>
      <w:r>
        <w:rPr>
          <w:rFonts w:ascii="Times New Roman;serif" w:hAnsi="Times New Roman;serif"/>
          <w:b w:val="false"/>
          <w:strike/>
          <w:color w:val="FF0000"/>
          <w:sz w:val="22"/>
          <w:u w:val="single"/>
        </w:rPr>
        <w:t>Section 6.16(B)</w:t>
      </w:r>
      <w:r>
        <w:rPr>
          <w:rFonts w:ascii="Times New Roman;serif" w:hAnsi="Times New Roman;serif"/>
          <w:b w:val="false"/>
          <w:strike/>
          <w:color w:val="FF0000"/>
          <w:sz w:val="22"/>
        </w:rPr>
        <w:t xml:space="preserve">, insurance certificates and endorsements </w:t>
      </w:r>
      <w:r>
        <w:rPr>
          <w:rFonts w:ascii="Times New Roman;serif" w:hAnsi="Times New Roman;serif"/>
          <w:b w:val="false"/>
          <w:strike/>
          <w:color w:val="008000"/>
          <w:sz w:val="22"/>
        </w:rPr>
        <w:t xml:space="preserve">with respect to the </w:t>
      </w:r>
      <w:r>
        <w:rPr>
          <w:rFonts w:ascii="Times New Roman;serif" w:hAnsi="Times New Roman;serif"/>
          <w:b w:val="false"/>
          <w:strike/>
          <w:color w:val="FF0000"/>
          <w:sz w:val="22"/>
        </w:rPr>
        <w:t xml:space="preserve">insurance policies contemplated by </w:t>
      </w:r>
      <w:r>
        <w:rPr>
          <w:rFonts w:ascii="Times New Roman;serif" w:hAnsi="Times New Roman;serif"/>
          <w:b w:val="false"/>
          <w:strike/>
          <w:color w:val="FF0000"/>
          <w:sz w:val="22"/>
          <w:u w:val="single"/>
        </w:rPr>
        <w:t>Section 6.07</w:t>
      </w:r>
      <w:r>
        <w:rPr>
          <w:rFonts w:ascii="Times New Roman;serif" w:hAnsi="Times New Roman;serif"/>
          <w:b w:val="false"/>
          <w:strike/>
          <w:color w:val="FF0000"/>
          <w:sz w:val="22"/>
        </w:rPr>
        <w:t>, naming the Collateral Agent as additional insured or loss payee</w:t>
      </w:r>
      <w:r>
        <w:rPr>
          <w:rFonts w:ascii="Times New Roman;serif" w:hAnsi="Times New Roman;serif"/>
          <w:b w:val="false"/>
          <w:strike/>
          <w:color w:val="008000"/>
          <w:sz w:val="22"/>
        </w:rPr>
        <w:t xml:space="preserve">, as applicable; </w:t>
      </w:r>
      <w:r>
        <w:rPr>
          <w:rFonts w:ascii="Times New Roman;serif" w:hAnsi="Times New Roman;serif"/>
          <w:b w:val="false"/>
          <w:strike/>
          <w:color w:val="FF0000"/>
          <w:sz w:val="22"/>
        </w:rPr>
        <w:t>and</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(v) </w:t>
      </w:r>
      <w:r>
        <w:rPr>
          <w:rFonts w:ascii="Times New Roman;serif" w:hAnsi="Times New Roman;serif"/>
          <w:b w:val="false"/>
          <w:strike/>
          <w:color w:val="FF0000"/>
          <w:sz w:val="22"/>
        </w:rPr>
        <w:t>all other documents and instruments required to create and perfect the Collateral Agent’s security interests in the Collateral shall have been executed by each Loan Party, as applicable, and filed or delivered to the Collateral Agent and, if applicable, shall be in proper form for filing in accordance with applicable Law;</w:t>
      </w:r>
    </w:p>
    <w:p>
      <w:pPr>
        <w:pStyle w:val="TextBody"/>
        <w:bidi w:val="0"/>
        <w:spacing w:before="0" w:after="0"/>
        <w:jc w:val="left"/>
        <w:rPr/>
      </w:pPr>
      <w:r>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6480175" cy="175260"/>
                <wp:effectExtent l="0" t="0" r="0" b="0"/>
                <wp:wrapNone/>
                <wp:docPr id="273" name="Frame2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(f) </w:t>
      </w:r>
      <w:r>
        <w:rPr>
          <w:rFonts w:ascii="Times New Roman;serif" w:hAnsi="Times New Roman;serif"/>
          <w:b w:val="false"/>
          <w:strike/>
          <w:color w:val="FF0000"/>
          <w:sz w:val="22"/>
        </w:rPr>
        <w:t>an Intellectual Property Security Agreement, duly executed by the Collateral Agent and each Loan Party that owns intellectual property that is required to be pledged in accordance with the Security Agreement;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(g) </w:t>
      </w:r>
      <w:r>
        <w:rPr>
          <w:rFonts w:ascii="Times New Roman;serif" w:hAnsi="Times New Roman;serif"/>
          <w:b w:val="false"/>
          <w:strike/>
          <w:color w:val="FF0000"/>
          <w:sz w:val="22"/>
        </w:rPr>
        <w:t xml:space="preserve">such customary documents and certifications (including Organization Documents and, if applicable, good standing certificates or certificates of status) as the Administrative Agent may reasonably require to evidence (A) the identity, authority and capacity of each Responsible Officer of the Loan Parties acting as such in connection </w:t>
      </w:r>
      <w:r>
        <w:rPr>
          <w:rFonts w:ascii="Times New Roman;serif" w:hAnsi="Times New Roman;serif"/>
          <w:b w:val="false"/>
          <w:strike/>
          <w:color w:val="008000"/>
          <w:sz w:val="22"/>
        </w:rPr>
        <w:t xml:space="preserve">with this Agreement and the other Loan Documents </w:t>
      </w:r>
      <w:r>
        <w:rPr>
          <w:rFonts w:ascii="Times New Roman;serif" w:hAnsi="Times New Roman;serif"/>
          <w:b w:val="false"/>
          <w:strike/>
          <w:color w:val="FF0000"/>
          <w:sz w:val="22"/>
        </w:rPr>
        <w:t>and (B) that each Loan Party is duly organized or formed, and that each of them is validly existing and, to the extent applicable, in good standing (or the foreign equivalent, if any), except to the extent that failure to be so qualified could not reasonably be expected to have a Material Adverse Effect;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(h) </w:t>
      </w:r>
      <w:r>
        <w:rPr>
          <w:rFonts w:ascii="Times New Roman;serif" w:hAnsi="Times New Roman;serif"/>
          <w:b w:val="false"/>
          <w:strike/>
          <w:color w:val="FF0000"/>
          <w:sz w:val="22"/>
        </w:rPr>
        <w:t xml:space="preserve">an opinion of Wachtell, Lipton, Rosen &amp; Katz, special New York and Delaware counsel </w:t>
      </w:r>
      <w:r>
        <w:rPr>
          <w:rFonts w:ascii="Times New Roman;serif" w:hAnsi="Times New Roman;serif"/>
          <w:b w:val="false"/>
          <w:strike/>
          <w:color w:val="008000"/>
          <w:sz w:val="22"/>
        </w:rPr>
        <w:t>to the Company</w:t>
      </w:r>
      <w:r>
        <w:rPr>
          <w:rFonts w:ascii="Times New Roman;serif" w:hAnsi="Times New Roman;serif"/>
          <w:b w:val="false"/>
          <w:strike/>
          <w:color w:val="FF0000"/>
          <w:sz w:val="22"/>
        </w:rPr>
        <w:t xml:space="preserve">, </w:t>
      </w:r>
      <w:r>
        <w:rPr>
          <w:rFonts w:ascii="Times New Roman;serif" w:hAnsi="Times New Roman;serif"/>
          <w:b w:val="false"/>
          <w:strike/>
          <w:color w:val="008000"/>
          <w:sz w:val="22"/>
        </w:rPr>
        <w:t>in form and substance reasonably satisfactory to the Administrative Agent</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(i) </w:t>
      </w:r>
      <w:r>
        <w:rPr>
          <w:rFonts w:ascii="Times New Roman;serif" w:hAnsi="Times New Roman;serif"/>
          <w:b w:val="false"/>
          <w:strike/>
          <w:color w:val="FF0000"/>
          <w:sz w:val="22"/>
        </w:rPr>
        <w:t xml:space="preserve">a solvency certificate executed </w:t>
      </w:r>
      <w:r>
        <w:rPr>
          <w:rFonts w:ascii="Times New Roman;serif" w:hAnsi="Times New Roman;serif"/>
          <w:b w:val="false"/>
          <w:strike/>
          <w:color w:val="008000"/>
          <w:sz w:val="22"/>
        </w:rPr>
        <w:t xml:space="preserve">by a </w:t>
      </w:r>
      <w:r>
        <w:rPr>
          <w:rFonts w:ascii="Times New Roman;serif" w:hAnsi="Times New Roman;serif"/>
          <w:b w:val="false"/>
          <w:strike/>
          <w:color w:val="FF0000"/>
          <w:sz w:val="22"/>
        </w:rPr>
        <w:t>senior financial officer (or an officer serving the equivalent function</w:t>
      </w:r>
      <w:r>
        <w:rPr>
          <w:rFonts w:ascii="Times New Roman;serif" w:hAnsi="Times New Roman;serif"/>
          <w:b w:val="false"/>
          <w:strike/>
          <w:color w:val="008000"/>
          <w:sz w:val="22"/>
        </w:rPr>
        <w:t xml:space="preserve">) of the </w:t>
      </w:r>
      <w:r>
        <w:rPr>
          <w:rFonts w:ascii="Times New Roman;serif" w:hAnsi="Times New Roman;serif"/>
          <w:b w:val="false"/>
          <w:strike/>
          <w:color w:val="FF0000"/>
          <w:sz w:val="22"/>
        </w:rPr>
        <w:t xml:space="preserve">Company (after giving effect </w:t>
      </w:r>
      <w:r>
        <w:rPr>
          <w:rFonts w:ascii="Times New Roman;serif" w:hAnsi="Times New Roman;serif"/>
          <w:b w:val="false"/>
          <w:strike/>
          <w:color w:val="008000"/>
          <w:sz w:val="22"/>
        </w:rPr>
        <w:t xml:space="preserve">to the </w:t>
      </w:r>
      <w:r>
        <w:rPr>
          <w:rFonts w:ascii="Times New Roman;serif" w:hAnsi="Times New Roman;serif"/>
          <w:b w:val="false"/>
          <w:strike/>
          <w:color w:val="FF0000"/>
          <w:sz w:val="22"/>
        </w:rPr>
        <w:t xml:space="preserve">Transactions to occur on the Spin-Off Date) substantially </w:t>
      </w:r>
      <w:r>
        <w:rPr>
          <w:rFonts w:ascii="Times New Roman;serif" w:hAnsi="Times New Roman;serif"/>
          <w:b w:val="false"/>
          <w:strike/>
          <w:color w:val="008000"/>
          <w:sz w:val="22"/>
        </w:rPr>
        <w:t xml:space="preserve">in the form </w:t>
      </w:r>
      <w:r>
        <w:rPr>
          <w:rFonts w:ascii="Times New Roman;serif" w:hAnsi="Times New Roman;serif"/>
          <w:b w:val="false"/>
          <w:strike/>
          <w:color w:val="FF0000"/>
          <w:sz w:val="22"/>
        </w:rPr>
        <w:t xml:space="preserve">attached hereto as </w:t>
      </w:r>
      <w:r>
        <w:rPr>
          <w:rFonts w:ascii="Times New Roman;serif" w:hAnsi="Times New Roman;serif"/>
          <w:b w:val="false"/>
          <w:strike/>
          <w:color w:val="FF0000"/>
          <w:sz w:val="22"/>
          <w:u w:val="single"/>
        </w:rPr>
        <w:t>Exhibit M</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rFonts w:ascii="Times New Roman;serif" w:hAnsi="Times New Roman;serif"/>
          <w:b w:val="false"/>
          <w:strike/>
          <w:color w:val="FF0000"/>
          <w:sz w:val="24"/>
        </w:rPr>
        <w:t xml:space="preserve">(j) </w:t>
      </w:r>
      <w:r>
        <w:rPr>
          <w:rFonts w:ascii="Times New Roman;serif" w:hAnsi="Times New Roman;serif"/>
          <w:b w:val="false"/>
          <w:strike/>
          <w:color w:val="FF0000"/>
          <w:sz w:val="22"/>
        </w:rPr>
        <w:t xml:space="preserve">a certificate of a Responsible Officer of the Company certifying that (x) the conditions set forth in </w:t>
      </w:r>
      <w:r>
        <w:rPr>
          <w:rFonts w:ascii="Times New Roman;serif" w:hAnsi="Times New Roman;serif"/>
          <w:b w:val="false"/>
          <w:strike/>
          <w:color w:val="FF0000"/>
          <w:sz w:val="22"/>
          <w:u w:val="single"/>
        </w:rPr>
        <w:t>Sections 4.02(a)</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(b)</w:t>
      </w:r>
      <w:r>
        <w:rPr>
          <w:strike/>
          <w:color w:val="FF0000"/>
        </w:rPr>
        <w:t xml:space="preserve"> </w:t>
      </w:r>
      <w:r>
        <w:rPr>
          <w:rFonts w:ascii="Times New Roman;serif" w:hAnsi="Times New Roman;serif"/>
          <w:b w:val="false"/>
          <w:strike/>
          <w:color w:val="FF0000"/>
          <w:sz w:val="22"/>
        </w:rPr>
        <w:t>have been satisfied as of the Spin-Off Date after giving effect to the Transactions and (y) the BD Guaranty Release Conditions have been satisfied or waived as of such date.</w:t>
      </w:r>
    </w:p>
    <w:p>
      <w:pPr>
        <w:pStyle w:val="TextBody"/>
        <w:bidi w:val="0"/>
        <w:spacing w:lineRule="auto" w:line="288" w:before="0" w:after="240"/>
        <w:ind w:left="0" w:right="0" w:firstLine="720"/>
        <w:jc w:val="left"/>
        <w:rPr>
          <w:rFonts w:ascii="Times New Roman;serif" w:hAnsi="Times New Roman;serif"/>
          <w:b w:val="false"/>
          <w:strike/>
          <w:color w:val="FF0000"/>
          <w:sz w:val="24"/>
        </w:rPr>
      </w:pPr>
      <w:r>
        <w:rPr>
          <w:rFonts w:ascii="Times New Roman;serif" w:hAnsi="Times New Roman;serif"/>
          <w:b w:val="false"/>
          <w:strike/>
          <w:color w:val="FF0000"/>
          <w:sz w:val="24"/>
        </w:rPr>
        <w:t xml:space="preserve">(A) </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Section 6.16    </w:t>
      </w:r>
      <w:r>
        <w:rPr>
          <w:rFonts w:ascii="Times New Roman;serif" w:hAnsi="Times New Roman;serif"/>
          <w:b w:val="false"/>
          <w:strike/>
          <w:color w:val="FF0000"/>
          <w:sz w:val="24"/>
        </w:rPr>
        <w:t xml:space="preserve">(B) </w:t>
      </w:r>
      <w:r>
        <w:rPr>
          <w:rFonts w:ascii="Times New Roman;serif" w:hAnsi="Times New Roman;serif"/>
          <w:b w:val="false"/>
          <w:color w:val="0000FF"/>
          <w:sz w:val="22"/>
          <w:u w:val="single"/>
        </w:rPr>
        <w:t xml:space="preserve">Post-Closing Undertakings. </w:t>
      </w:r>
      <w:r>
        <w:rPr>
          <w:rFonts w:ascii="Times New Roman;serif" w:hAnsi="Times New Roman;serif"/>
          <w:b w:val="false"/>
          <w:color w:val="000000"/>
          <w:sz w:val="22"/>
        </w:rPr>
        <w:t xml:space="preserve">Within the time periods specified on </w:t>
      </w:r>
      <w:r>
        <w:rPr>
          <w:rFonts w:ascii="Times New Roman;serif" w:hAnsi="Times New Roman;serif"/>
          <w:b w:val="false"/>
          <w:color w:val="000000"/>
          <w:sz w:val="22"/>
          <w:u w:val="single"/>
        </w:rPr>
        <w:t>Schedule 6.16</w:t>
      </w:r>
      <w:r>
        <w:rPr>
          <w:color w:val="000000"/>
        </w:rPr>
        <w:t xml:space="preserve"> </w:t>
      </w:r>
      <w:r>
        <w:rPr>
          <w:rFonts w:ascii="Times New Roman;serif" w:hAnsi="Times New Roman;serif"/>
          <w:b w:val="false"/>
          <w:color w:val="000000"/>
          <w:sz w:val="22"/>
        </w:rPr>
        <w:t xml:space="preserve">hereto (as each may be extended by the Administrative Agent in its reasonable discretion), complete such undertakings as are set forth on </w:t>
      </w:r>
      <w:r>
        <w:rPr>
          <w:rFonts w:ascii="Times New Roman;serif" w:hAnsi="Times New Roman;serif"/>
          <w:b w:val="false"/>
          <w:color w:val="000000"/>
          <w:sz w:val="22"/>
          <w:u w:val="single"/>
        </w:rPr>
        <w:t>Schedule 6.16</w:t>
      </w:r>
      <w:r>
        <w:rPr>
          <w:color w:val="000000"/>
        </w:rPr>
        <w:t xml:space="preserve"> </w:t>
      </w:r>
      <w:r>
        <w:rPr>
          <w:rFonts w:ascii="Times New Roman;serif" w:hAnsi="Times New Roman;serif"/>
          <w:b w:val="false"/>
          <w:color w:val="000000"/>
          <w:sz w:val="22"/>
        </w:rPr>
        <w: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6.17    </w:t>
      </w:r>
      <w:r>
        <w:rPr>
          <w:rFonts w:ascii="Times New Roman;serif" w:hAnsi="Times New Roman;serif"/>
          <w:b w:val="false"/>
          <w:color w:val="000000"/>
          <w:sz w:val="22"/>
          <w:u w:val="single"/>
        </w:rPr>
        <w:t>No Change in Line of Business</w:t>
      </w:r>
      <w:r>
        <w:rPr>
          <w:rFonts w:ascii="Times New Roman;serif" w:hAnsi="Times New Roman;serif"/>
          <w:b w:val="false"/>
          <w:color w:val="000000"/>
          <w:sz w:val="22"/>
        </w:rPr>
        <w:t xml:space="preserve">. Not engage in any material lines of business substantially different from those lines of business conducted by the </w:t>
      </w:r>
      <w:r>
        <w:rPr>
          <w:rFonts w:ascii="Times New Roman;serif" w:hAnsi="Times New Roman;serif"/>
          <w:b w:val="false"/>
          <w:strike/>
          <w:color w:val="FF0000"/>
          <w:sz w:val="22"/>
        </w:rPr>
        <w:t>Spinco Business</w:t>
      </w:r>
      <w:r>
        <w:rPr>
          <w:rFonts w:ascii="Times New Roman;serif" w:hAnsi="Times New Roman;serif"/>
          <w:b w:val="false"/>
          <w:color w:val="0000FF"/>
          <w:sz w:val="22"/>
          <w:u w:val="single"/>
        </w:rPr>
        <w:t>Company</w:t>
      </w:r>
      <w:r>
        <w:rPr>
          <w:color w:val="000000"/>
        </w:rPr>
        <w:t xml:space="preserve"> </w:t>
      </w:r>
      <w:r>
        <w:rPr>
          <w:rFonts w:ascii="Times New Roman;serif" w:hAnsi="Times New Roman;serif"/>
          <w:b w:val="false"/>
          <w:color w:val="000000"/>
          <w:sz w:val="22"/>
        </w:rPr>
        <w:t xml:space="preserve">on the </w:t>
      </w:r>
      <w:r>
        <w:rPr>
          <w:rFonts w:ascii="Times New Roman;serif" w:hAnsi="Times New Roman;serif"/>
          <w:b w:val="false"/>
          <w:strike/>
          <w:color w:val="FF0000"/>
          <w:sz w:val="22"/>
        </w:rPr>
        <w:t>Spin-Off</w:t>
      </w:r>
      <w:r>
        <w:rPr>
          <w:rFonts w:ascii="Times New Roman;serif" w:hAnsi="Times New Roman;serif"/>
          <w:b w:val="false"/>
          <w:color w:val="0000FF"/>
          <w:sz w:val="22"/>
          <w:u w:val="single"/>
        </w:rPr>
        <w:t>Closing</w:t>
      </w:r>
      <w:r>
        <w:rPr>
          <w:color w:val="000000"/>
        </w:rPr>
        <w:t xml:space="preserve"> </w:t>
      </w:r>
      <w:r>
        <w:rPr>
          <w:rFonts w:ascii="Times New Roman;serif" w:hAnsi="Times New Roman;serif"/>
          <w:b w:val="false"/>
          <w:color w:val="000000"/>
          <w:sz w:val="22"/>
        </w:rPr>
        <w:t>Date or any business reasonably related, complementary, synergistic or ancillary thereto or reasonable extensions thereof (or other lines of business which are permitted as Investments)</w:t>
      </w:r>
      <w:r>
        <w:rPr>
          <w:rFonts w:ascii="Times New Roman;serif" w:hAnsi="Times New Roman;serif"/>
          <w:b w:val="false"/>
          <w:color w:val="0000FF"/>
          <w:sz w:val="22"/>
          <w:u w:val="single"/>
        </w:rPr>
        <w:t>, in each case, in the reasonable good faith determination of the Company</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6.18    </w:t>
      </w:r>
      <w:r>
        <w:rPr>
          <w:rFonts w:ascii="Times New Roman;serif" w:hAnsi="Times New Roman;serif"/>
          <w:b w:val="false"/>
          <w:color w:val="000000"/>
          <w:sz w:val="22"/>
          <w:u w:val="single"/>
        </w:rPr>
        <w:t>Transactions with Affiliates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strike/>
          <w:color w:val="FF0000"/>
          <w:sz w:val="22"/>
        </w:rPr>
        <w:t>Enter</w:t>
      </w:r>
      <w:r>
        <w:rPr>
          <w:rFonts w:ascii="Times New Roman;serif" w:hAnsi="Times New Roman;serif"/>
          <w:b w:val="false"/>
          <w:color w:val="0000FF"/>
          <w:sz w:val="22"/>
          <w:u w:val="single"/>
        </w:rPr>
        <w:t>Not enter</w:t>
      </w:r>
      <w:r>
        <w:rPr>
          <w:color w:val="000000"/>
        </w:rPr>
        <w:t xml:space="preserve"> </w:t>
      </w:r>
      <w:r>
        <w:rPr>
          <w:rFonts w:ascii="Times New Roman;serif" w:hAnsi="Times New Roman;serif"/>
          <w:b w:val="false"/>
          <w:color w:val="000000"/>
          <w:sz w:val="22"/>
        </w:rPr>
        <w:t>into or conduct any transaction (including the purchase, sale, lease or exchange of any property or the rendering of any service) with any Affiliate of the Company (an “</w:t>
      </w:r>
      <w:r>
        <w:rPr>
          <w:rFonts w:ascii="Times New Roman;serif" w:hAnsi="Times New Roman;serif"/>
          <w:b/>
          <w:color w:val="000000"/>
          <w:sz w:val="22"/>
        </w:rPr>
        <w:t>Affiliate Transaction</w:t>
      </w:r>
      <w:r>
        <w:rPr>
          <w:color w:val="000000"/>
        </w:rPr>
        <w:t>”</w:t>
      </w:r>
      <w:r>
        <w:rPr>
          <w:rFonts w:ascii="Times New Roman;serif" w:hAnsi="Times New Roman;serif"/>
          <w:b w:val="false"/>
          <w:color w:val="000000"/>
          <w:sz w:val="22"/>
        </w:rPr>
        <w:t xml:space="preserve">) </w:t>
      </w:r>
      <w:r>
        <w:rPr>
          <w:rFonts w:ascii="Times New Roman;serif" w:hAnsi="Times New Roman;serif"/>
          <w:b w:val="false"/>
          <w:strike/>
          <w:color w:val="FF0000"/>
          <w:sz w:val="22"/>
        </w:rPr>
        <w:t xml:space="preserve">involving value in excess of the greater of (i) $25,000,000 and (ii) 5.0% of LTM EBITDA </w:t>
      </w:r>
      <w:r>
        <w:rPr>
          <w:rFonts w:ascii="Times New Roman;serif" w:hAnsi="Times New Roman;serif"/>
          <w:b w:val="false"/>
          <w:color w:val="000000"/>
          <w:sz w:val="22"/>
        </w:rPr>
        <w:t>unless: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    the terms of such Affiliate Transaction, taken as a whole, are not materially less favorable to the Company or such Restricted Subsidiary, as applicable, than those that could be obtained in a comparable transaction at the time of such transaction or the execution of the agreement providing for such transaction in arm’s length dealings with a Person who is not such an Affiliate; and</w:t>
      </w:r>
    </w:p>
    <w:p>
      <w:pPr>
        <w:pStyle w:val="TextBody"/>
        <w:bidi w:val="0"/>
        <w:spacing w:before="0" w:after="0"/>
        <w:jc w:val="left"/>
        <w:rPr/>
      </w:pPr>
      <w:r>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6480175" cy="175260"/>
                <wp:effectExtent l="0" t="0" r="0" b="0"/>
                <wp:wrapNone/>
                <wp:docPr id="274" name="Frame2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in the event such Affiliate Transaction involves an aggregate value in excess of the greater of </w:t>
      </w:r>
      <w:r>
        <w:rPr>
          <w:rFonts w:ascii="Times New Roman;serif" w:hAnsi="Times New Roman;serif"/>
          <w:b w:val="false"/>
          <w:strike/>
          <w:color w:val="FF0000"/>
          <w:sz w:val="22"/>
        </w:rPr>
        <w:t xml:space="preserve">(i) </w:t>
      </w:r>
      <w:r>
        <w:rPr>
          <w:rFonts w:ascii="Times New Roman;serif" w:hAnsi="Times New Roman;serif"/>
          <w:b w:val="false"/>
          <w:color w:val="000000"/>
          <w:sz w:val="22"/>
        </w:rPr>
        <w:t>$</w:t>
      </w:r>
      <w:r>
        <w:rPr>
          <w:rFonts w:ascii="Times New Roman;serif" w:hAnsi="Times New Roman;serif"/>
          <w:b w:val="false"/>
          <w:strike/>
          <w:color w:val="FF0000"/>
          <w:sz w:val="22"/>
        </w:rPr>
        <w:t>75,000,000 and (ii) 15.0% of LTM EBITDA</w:t>
      </w:r>
      <w:r>
        <w:rPr>
          <w:rFonts w:ascii="Times New Roman;serif" w:hAnsi="Times New Roman;serif"/>
          <w:b w:val="false"/>
          <w:color w:val="0000FF"/>
          <w:sz w:val="22"/>
          <w:u w:val="single"/>
        </w:rPr>
        <w:t>5,000,000</w:t>
      </w:r>
      <w:r>
        <w:rPr>
          <w:rFonts w:ascii="Times New Roman;serif" w:hAnsi="Times New Roman;serif"/>
          <w:b w:val="false"/>
          <w:color w:val="000000"/>
          <w:sz w:val="22"/>
        </w:rPr>
        <w:t>, the terms of such transaction have been approved by a majority of the members of the Board of Directors of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Any Affiliate Transaction shall be deemed to have satisfied the requirements set forth in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of this paragraph if such Affiliate Transaction is approved by a majority of the Disinterested Directors of the Company, if any.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provisions of the preceding paragraph will not apply to:</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    any Restricted Payment or other transaction permitted to be made or undertaken pursuant to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(including Permitted Payments) or any Permitted Investment;</w:t>
      </w:r>
    </w:p>
    <w:p>
      <w:pPr>
        <w:pStyle w:val="TextBody"/>
        <w:bidi w:val="0"/>
        <w:spacing w:lineRule="auto" w:line="288" w:before="0" w:after="240"/>
        <w:ind w:left="0" w:right="0" w:hanging="720"/>
        <w:jc w:val="left"/>
        <w:rPr/>
      </w:pPr>
      <w:r>
        <w:rPr>
          <w:rFonts w:ascii="Times New Roman;serif" w:hAnsi="Times New Roman;serif"/>
          <w:b w:val="false"/>
          <w:color w:val="000000"/>
          <w:sz w:val="22"/>
        </w:rPr>
        <w:t>(2)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any issuance, transfer or sale of (a) Capital Stock, options, other equity-related interests or other securities, or other payments, awards or grants in cash, securities or otherwise to any direct or indirect parent of the Company or future, current or former employee, director, officer, manager, contractor, consultant or advisor (or their respective Controlled Investment Affiliates or Immediate Family Members) of the Company or any of its Subsidiaries or any of its direct or indirect parents and (b) directors’ qualifying shares and shares issued to foreign nationals as required under applicable law;</w:t>
      </w:r>
    </w:p>
    <w:p>
      <w:pPr>
        <w:pStyle w:val="TextBody"/>
        <w:bidi w:val="0"/>
        <w:spacing w:lineRule="auto" w:line="288" w:before="0" w:after="240"/>
        <w:ind w:left="0" w:right="0" w:hanging="720"/>
        <w:jc w:val="left"/>
        <w:rPr/>
      </w:pPr>
      <w:r>
        <w:rPr>
          <w:rFonts w:ascii="Times New Roman;serif" w:hAnsi="Times New Roman;serif"/>
          <w:b w:val="false"/>
          <w:color w:val="000000"/>
          <w:sz w:val="22"/>
        </w:rPr>
        <w:t>(3)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any Management Advances and any waiver or transaction with respect thereto;</w:t>
      </w:r>
    </w:p>
    <w:p>
      <w:pPr>
        <w:pStyle w:val="TextBody"/>
        <w:bidi w:val="0"/>
        <w:spacing w:lineRule="auto" w:line="288" w:before="0" w:after="240"/>
        <w:ind w:left="0" w:right="0" w:hanging="720"/>
        <w:jc w:val="left"/>
        <w:rPr/>
      </w:pPr>
      <w:r>
        <w:rPr>
          <w:rFonts w:ascii="Times New Roman;serif" w:hAnsi="Times New Roman;serif"/>
          <w:b w:val="false"/>
          <w:color w:val="000000"/>
          <w:sz w:val="22"/>
        </w:rPr>
        <w:t>(4)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 xml:space="preserve">(a) any transaction between or among the Company and any </w:t>
      </w:r>
      <w:r>
        <w:rPr>
          <w:rFonts w:ascii="Times New Roman;serif" w:hAnsi="Times New Roman;serif"/>
          <w:b w:val="false"/>
          <w:color w:val="0000FF"/>
          <w:sz w:val="22"/>
          <w:u w:val="single"/>
        </w:rPr>
        <w:t xml:space="preserve">other </w:t>
      </w:r>
      <w:r>
        <w:rPr>
          <w:rFonts w:ascii="Times New Roman;serif" w:hAnsi="Times New Roman;serif"/>
          <w:b w:val="false"/>
          <w:color w:val="000000"/>
          <w:sz w:val="22"/>
        </w:rPr>
        <w:t>Restricted Subsidiary (or entity that becomes a Restricted Subsidiary as a result of such transaction), or between or among Restricted Subsidiaries and (b) any merger, amalgamation or consolidation with any direct or indirect parent of the Company, that such direct or indirect parent shall have no material liabilities and no material assets other than cash, Cash Equivalents and the Capital Stock of the Company and such merger, amalgamation or consolidation is otherwise not prohibited under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2"/>
        </w:rPr>
        <w:t>(5)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the payment of compensation, fees, costs, reimbursements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Company, any direct or indirect parent thereof or any Restricted Subsidiary (whether directly or indirectly and including through their Controlled Investment Affiliates or Immediate Family Members);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(6)    the entry into and performance of obligations of the Company or any of its Restricted Subsidiaries under the terms of any transaction arising out of, and any </w:t>
      </w:r>
    </w:p>
    <w:p>
      <w:pPr>
        <w:pStyle w:val="TextBody"/>
        <w:bidi w:val="0"/>
        <w:spacing w:before="0" w:after="0"/>
        <w:jc w:val="left"/>
        <w:rPr/>
      </w:pPr>
      <w:r>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480175" cy="175260"/>
                <wp:effectExtent l="0" t="0" r="0" b="0"/>
                <wp:wrapNone/>
                <wp:docPr id="275" name="Frame2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payments pursuant to or for purposes of funding, any agreement or instrument in effect as of or on the Closing Date, as these agreements and instruments may be amended, modified, supplemented, extended, renewed or refinanced from time to time in accordance with the other terms of this covenant or to the extent not disadvantageous in any material respect in the reasonable determination of the Company to the Lenders when taken as a whole as compared to the applicable agreement as in effect on the Closing Date;</w:t>
      </w:r>
    </w:p>
    <w:p>
      <w:pPr>
        <w:pStyle w:val="TextBody"/>
        <w:bidi w:val="0"/>
        <w:spacing w:lineRule="auto" w:line="288" w:before="0" w:after="240"/>
        <w:ind w:left="0" w:right="0" w:hanging="720"/>
        <w:jc w:val="left"/>
        <w:rPr/>
      </w:pPr>
      <w:r>
        <w:rPr>
          <w:rFonts w:ascii="Times New Roman;serif" w:hAnsi="Times New Roman;serif"/>
          <w:b w:val="false"/>
          <w:color w:val="000000"/>
          <w:sz w:val="22"/>
        </w:rPr>
        <w:t>(7)    any transaction effected as part of a Qualified Securitization Financing or Receivables Facility</w:t>
      </w:r>
      <w:r>
        <w:rPr>
          <w:color w:val="0000FF"/>
          <w:u w:val="single"/>
        </w:rPr>
        <w:t xml:space="preserve"> </w:t>
      </w:r>
      <w:r>
        <w:rPr>
          <w:rFonts w:ascii="Times New Roman;serif" w:hAnsi="Times New Roman;serif"/>
          <w:b w:val="false"/>
          <w:color w:val="0000FF"/>
          <w:sz w:val="22"/>
          <w:u w:val="single"/>
        </w:rPr>
        <w:t>permitted under this Agreement</w:t>
      </w:r>
      <w:r>
        <w:rPr>
          <w:rFonts w:ascii="Times New Roman;serif" w:hAnsi="Times New Roman;serif"/>
          <w:b w:val="false"/>
          <w:color w:val="000000"/>
          <w:sz w:val="22"/>
        </w:rPr>
        <w:t>, any disposition or acquisition of Securitization Assets, Receivables Assets or related assets in connection with any Qualified Securitization Financing or Receivables Facility</w:t>
      </w:r>
      <w:r>
        <w:rPr>
          <w:rFonts w:ascii="Times New Roman;serif" w:hAnsi="Times New Roman;serif"/>
          <w:b w:val="false"/>
          <w:color w:val="0000FF"/>
          <w:sz w:val="22"/>
          <w:u w:val="single"/>
        </w:rPr>
        <w:t>, in each case under this clause (7)</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(8)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transactions with customers, vendors, clients, joint venture partners, suppliers, contractors, distributors or purchasers or sellers of goods or services, in each case in the ordinary course of business or consistent with past practice, which are fair to the Company or its Restricted Subsidiaries, in the reasonable determination of the Company, or are on terms, taken as a whole, that are not materially less favorable as might reasonably have been obtained at such time from an unaffiliated party;</w:t>
      </w:r>
    </w:p>
    <w:p>
      <w:pPr>
        <w:pStyle w:val="TextBody"/>
        <w:bidi w:val="0"/>
        <w:spacing w:lineRule="auto" w:line="288" w:before="0" w:after="240"/>
        <w:ind w:left="0" w:right="0" w:hanging="720"/>
        <w:jc w:val="left"/>
        <w:rPr/>
      </w:pPr>
      <w:r>
        <w:rPr>
          <w:rFonts w:ascii="Times New Roman;serif" w:hAnsi="Times New Roman;serif"/>
          <w:b w:val="false"/>
          <w:color w:val="000000"/>
          <w:sz w:val="22"/>
        </w:rPr>
        <w:t>(9)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any transaction between or among the Company or any Restricted Subsidiary (or any entity that becomes a Restricted Subsidiary as a result of such transaction) or joint venture (regardless of the form of legal entity) in which the Company or any Subsidiary has invested (and which Subsidiary or joint venture would not be an Affiliate of the Company but for the Company’s or a Subsidiary’s ownership of Equity Interests in such joint venture or Subsidiary);</w:t>
      </w:r>
    </w:p>
    <w:p>
      <w:pPr>
        <w:pStyle w:val="TextBody"/>
        <w:bidi w:val="0"/>
        <w:spacing w:lineRule="auto" w:line="288" w:before="0" w:after="240"/>
        <w:ind w:left="0" w:right="0" w:hanging="720"/>
        <w:jc w:val="left"/>
        <w:rPr/>
      </w:pPr>
      <w:r>
        <w:rPr>
          <w:rFonts w:ascii="Times New Roman;serif" w:hAnsi="Times New Roman;serif"/>
          <w:b w:val="false"/>
          <w:color w:val="000000"/>
          <w:sz w:val="22"/>
        </w:rPr>
        <w:t>(10)    </w:t>
      </w:r>
      <w:r>
        <w:rPr>
          <w:rFonts w:ascii="Times New Roman;serif" w:hAnsi="Times New Roman;serif"/>
          <w:b w:val="false"/>
          <w:strike/>
          <w:color w:val="FF0000"/>
          <w:sz w:val="22"/>
        </w:rPr>
        <w:t>any</w:t>
      </w:r>
      <w:r>
        <w:rPr>
          <w:rFonts w:ascii="Times New Roman;serif" w:hAnsi="Times New Roman;serif"/>
          <w:b w:val="false"/>
          <w:color w:val="0000FF"/>
          <w:sz w:val="22"/>
          <w:u w:val="single"/>
        </w:rPr>
        <w:t>to the extent otherwise permitted under this Agreement, any</w:t>
      </w:r>
      <w:r>
        <w:rPr>
          <w:color w:val="000000"/>
        </w:rPr>
        <w:t xml:space="preserve"> </w:t>
      </w:r>
      <w:r>
        <w:rPr>
          <w:rFonts w:ascii="Times New Roman;serif" w:hAnsi="Times New Roman;serif"/>
          <w:b w:val="false"/>
          <w:color w:val="000000"/>
          <w:sz w:val="22"/>
        </w:rPr>
        <w:t>issuance, sale or transfer of Capital Stock (other than Disqualified Stock or Designated Preferred Stock) of the Company, any direct or indirect parent thereof or any of its Restricted Subsidiaries or options, warrants or other rights to acquire such Capital Stock and the granting of registration and other customary rights (and the performance of the related obligations) in connection therewith or any contribution to capital of the Company or any Restricted Subsidiary;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(11)    [reserved];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(12)    [reserved];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(13)    the Transactions and the payment of all fees, costs and expenses (including all legal, accounting and other professional fees, costs and expenses) related to the Transactions, including Transaction Costs;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(14)    transactions in which the Company or any Restricted Subsidiary, as applicable, delivers to the Administrative Agent a letter from an Independent Financial Advisor stating that such transaction is fair to the Company or such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6480175" cy="175260"/>
                <wp:effectExtent l="0" t="0" r="0" b="0"/>
                <wp:wrapNone/>
                <wp:docPr id="276" name="Frame2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Subsidiary from a financial point of view or meets the requirements of </w:t>
      </w:r>
      <w:r>
        <w:rPr>
          <w:rFonts w:ascii="Times New Roman;serif" w:hAnsi="Times New Roman;serif"/>
          <w:b w:val="false"/>
          <w:color w:val="000000"/>
          <w:sz w:val="22"/>
          <w:u w:val="single"/>
        </w:rPr>
        <w:t>Section 6.18(a)(1)</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(15)    the existence of, or the performance by the Company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direct or indirect parent of the Company) may enter into thereafter; that the existence of, or the performance by the Company or any Restricted Subsidiary (or any direct or indirect parent of the Company)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Company than those in effect on the Closing Date;</w:t>
      </w:r>
    </w:p>
    <w:p>
      <w:pPr>
        <w:pStyle w:val="TextBody"/>
        <w:bidi w:val="0"/>
        <w:spacing w:lineRule="auto" w:line="288" w:before="0" w:after="240"/>
        <w:ind w:left="0" w:right="0" w:hanging="720"/>
        <w:jc w:val="left"/>
        <w:rPr/>
      </w:pPr>
      <w:r>
        <w:rPr>
          <w:rFonts w:ascii="Times New Roman;serif" w:hAnsi="Times New Roman;serif"/>
          <w:b w:val="false"/>
          <w:color w:val="000000"/>
          <w:sz w:val="22"/>
        </w:rPr>
        <w:t>(16)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any purchases by Affiliates of the Company of Indebtedness or Disqualified Stock of the Company or any of the Restricted Subsidiaries the majority of which Indebtedness or Disqualified Stock is purchased by Persons who are not Affiliates of the Company; that such purchases by Affiliates of the Company are on the same terms as such purchases by such Persons who are not Affiliates of the Company;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(17)    (i) investments by Affiliates in securities or loans of the Company or any of its Restricted Subsidiaries (and payment of reasonable out-of-pocket expenses incurred by such Affiliates in connection therewith) so long as the investment is being offered by the Company or such Restricted Subsidiary generally to other non-affiliated third party investors on the same or more favorable terms and (ii) payments to Affiliates in respect of securities or loans of the Company or any of its Restricted Subsidiaries contemplated in the foregoing subclause (i) or that were acquired from Persons other than the Company and its Restricted Subsidiaries, in each case, in accordance with the terms of such securities or loans;</w:t>
      </w:r>
    </w:p>
    <w:p>
      <w:pPr>
        <w:pStyle w:val="TextBody"/>
        <w:bidi w:val="0"/>
        <w:spacing w:lineRule="auto" w:line="288" w:before="0" w:after="240"/>
        <w:ind w:left="0" w:right="0" w:hanging="720"/>
        <w:jc w:val="left"/>
        <w:rPr/>
      </w:pPr>
      <w:r>
        <w:rPr>
          <w:rFonts w:ascii="Times New Roman;serif" w:hAnsi="Times New Roman;serif"/>
          <w:b w:val="false"/>
          <w:color w:val="000000"/>
          <w:sz w:val="22"/>
        </w:rPr>
        <w:t>(18)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payments by any direct or indirect parent of the Company, the Company or its Subsidiaries pursuant to any tax sharing agreements or other agreements in respect of Permitted Tax Amounts among any such direct or indirect parent of the Company, the Company and/or its Subsidiaries on customary terms to the extent attributable to the ownership or operation of the Company and its Subsidiaries;</w:t>
      </w:r>
    </w:p>
    <w:p>
      <w:pPr>
        <w:pStyle w:val="TextBody"/>
        <w:bidi w:val="0"/>
        <w:spacing w:lineRule="auto" w:line="288" w:before="0" w:after="240"/>
        <w:ind w:left="0" w:right="0" w:hanging="720"/>
        <w:jc w:val="left"/>
        <w:rPr/>
      </w:pPr>
      <w:r>
        <w:rPr>
          <w:rFonts w:ascii="Times New Roman;serif" w:hAnsi="Times New Roman;serif"/>
          <w:b w:val="false"/>
          <w:color w:val="000000"/>
          <w:sz w:val="22"/>
        </w:rPr>
        <w:t>(19)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 xml:space="preserve">payments, Indebtedness and Disqualified Stock (and cancellation of any thereof) of the Company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Company, any of its Subsidiaries or any of its direct or indirect parents pursuant to any management </w:t>
      </w:r>
    </w:p>
    <w:p>
      <w:pPr>
        <w:pStyle w:val="TextBody"/>
        <w:bidi w:val="0"/>
        <w:spacing w:before="0" w:after="0"/>
        <w:jc w:val="left"/>
        <w:rPr/>
      </w:pPr>
      <w:r>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480175" cy="175260"/>
                <wp:effectExtent l="0" t="0" r="0" b="0"/>
                <wp:wrapNone/>
                <wp:docPr id="277" name="Frame2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Company in good faith;</w:t>
      </w:r>
    </w:p>
    <w:p>
      <w:pPr>
        <w:pStyle w:val="TextBody"/>
        <w:bidi w:val="0"/>
        <w:spacing w:lineRule="auto" w:line="288" w:before="0" w:after="240"/>
        <w:ind w:left="0" w:right="0" w:hanging="720"/>
        <w:jc w:val="left"/>
        <w:rPr/>
      </w:pPr>
      <w:r>
        <w:rPr>
          <w:rFonts w:ascii="Times New Roman;serif" w:hAnsi="Times New Roman;serif"/>
          <w:b w:val="false"/>
          <w:color w:val="000000"/>
          <w:sz w:val="22"/>
        </w:rPr>
        <w:t>(20)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Company or its Restricted Subsidiaries and any distributor, employee, director, officer, manager, contractor, consultant or advisor (or their respective Controlled Investment Affiliates or Immediate Family Members) approved by the reasonable determination of the Company</w:t>
      </w:r>
      <w:r>
        <w:rPr>
          <w:strike/>
          <w:color w:val="FF0000"/>
        </w:rPr>
        <w:t xml:space="preserve"> </w:t>
      </w:r>
      <w:r>
        <w:rPr>
          <w:rFonts w:ascii="Times New Roman;serif" w:hAnsi="Times New Roman;serif"/>
          <w:b w:val="false"/>
          <w:strike/>
          <w:color w:val="FF0000"/>
          <w:sz w:val="22"/>
        </w:rPr>
        <w:t>or entered into in connection with the Transactions</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(21)    any transition services arrangement, supply arrangement or similar arrangement entered into in connection with or in contemplation of the disposition of assets or Capital Stock in any Restricted Subsidiary permitted under Section 7.04 or entered into with any Business Successor, in each case, that the Company determines in good faith is either fair to the Company or otherwise on customary terms for such type of arrangements in connection with similar transactions;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(22)    transactions entered into by an Unrestricted Subsidiary with an Affiliate prior to the day such Unrestricted Subsidiary is redesignated as a Restricted Subsidiary as described under the definition of “Unrestricted Subsidiary” and pledges of Capital Stock of Unrestricted Subsidiaries;</w:t>
      </w:r>
    </w:p>
    <w:p>
      <w:pPr>
        <w:pStyle w:val="TextBody"/>
        <w:bidi w:val="0"/>
        <w:spacing w:lineRule="auto" w:line="288" w:before="0" w:after="240"/>
        <w:ind w:left="0" w:right="0" w:hanging="720"/>
        <w:jc w:val="left"/>
        <w:rPr/>
      </w:pPr>
      <w:r>
        <w:rPr>
          <w:rFonts w:ascii="Times New Roman;serif" w:hAnsi="Times New Roman;serif"/>
          <w:b w:val="false"/>
          <w:color w:val="000000"/>
          <w:sz w:val="22"/>
        </w:rPr>
        <w:t>(23)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(i) any lease entered into between the Company or any Restricted Subsidiary, as lessee, and any Affiliate of the Company, as lessor and (ii) any operational services or other arrangement entered into between the Company or any Restricted Subsidiary and any Affiliate of the Company, in each case, which is approved by the reasonable determination of the Company;</w:t>
      </w:r>
    </w:p>
    <w:p>
      <w:pPr>
        <w:pStyle w:val="TextBody"/>
        <w:bidi w:val="0"/>
        <w:spacing w:lineRule="auto" w:line="288" w:before="0" w:after="240"/>
        <w:ind w:left="0" w:right="0" w:hanging="720"/>
        <w:jc w:val="left"/>
        <w:rPr/>
      </w:pPr>
      <w:r>
        <w:rPr>
          <w:rFonts w:ascii="Times New Roman;serif" w:hAnsi="Times New Roman;serif"/>
          <w:b w:val="false"/>
          <w:color w:val="000000"/>
          <w:sz w:val="22"/>
        </w:rPr>
        <w:t>(24)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intellectual property licenses and research and development agreements in the ordinary course of business or consistent with past practice;</w:t>
      </w:r>
    </w:p>
    <w:p>
      <w:pPr>
        <w:pStyle w:val="TextBody"/>
        <w:bidi w:val="0"/>
        <w:spacing w:lineRule="auto" w:line="288" w:before="0" w:after="240"/>
        <w:ind w:left="0" w:right="0" w:hanging="720"/>
        <w:jc w:val="left"/>
        <w:rPr/>
      </w:pPr>
      <w:r>
        <w:rPr>
          <w:rFonts w:ascii="Times New Roman;serif" w:hAnsi="Times New Roman;serif"/>
          <w:b w:val="false"/>
          <w:color w:val="000000"/>
          <w:sz w:val="22"/>
        </w:rPr>
        <w:t>(25)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payments to or from, and transactions with, any Subsidiary or any joint venture in the ordinary course of business or consistent with past practice (including any cash management arrangements or activities related thereto);</w:t>
      </w:r>
      <w:r>
        <w:rPr>
          <w:color w:val="0000FF"/>
          <w:u w:val="single"/>
        </w:rPr>
        <w:t xml:space="preserve"> </w:t>
      </w:r>
      <w:r>
        <w:rPr>
          <w:rFonts w:ascii="Times New Roman;serif" w:hAnsi="Times New Roman;serif"/>
          <w:b w:val="false"/>
          <w:color w:val="0000FF"/>
          <w:sz w:val="22"/>
          <w:u w:val="single"/>
        </w:rPr>
        <w:t xml:space="preserve">provided that the aggregate </w:t>
      </w:r>
      <w:r>
        <w:rPr>
          <w:rFonts w:ascii="Times New Roman;serif" w:hAnsi="Times New Roman;serif"/>
          <w:b w:val="false"/>
          <w:color w:val="008000"/>
          <w:sz w:val="22"/>
          <w:u w:val="single"/>
        </w:rPr>
        <w:t xml:space="preserve">amount of payments </w:t>
      </w:r>
      <w:r>
        <w:rPr>
          <w:rFonts w:ascii="Times New Roman;serif" w:hAnsi="Times New Roman;serif"/>
          <w:b w:val="false"/>
          <w:color w:val="0000FF"/>
          <w:sz w:val="22"/>
          <w:u w:val="single"/>
        </w:rPr>
        <w:t>made to joint ventures shall not exceed $5,000,000 during the term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6480175" cy="175260"/>
                <wp:effectExtent l="0" t="0" r="0" b="0"/>
                <wp:wrapNone/>
                <wp:docPr id="278" name="Frame2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2"/>
        </w:rPr>
        <w:t>(26)    </w:t>
      </w:r>
      <w:r>
        <w:rPr>
          <w:rFonts w:ascii="Times New Roman;serif" w:hAnsi="Times New Roman;serif"/>
          <w:b w:val="false"/>
          <w:color w:val="0000FF"/>
          <w:sz w:val="22"/>
          <w:u w:val="single"/>
        </w:rPr>
        <w:t xml:space="preserve">to the extent otherwise permitted under this Agreement, </w:t>
      </w:r>
      <w:r>
        <w:rPr>
          <w:rFonts w:ascii="Times New Roman;serif" w:hAnsi="Times New Roman;serif"/>
          <w:b w:val="false"/>
          <w:color w:val="000000"/>
          <w:sz w:val="22"/>
        </w:rPr>
        <w:t>the payment of fees, costs and expenses related to registration rights and indemnities provided to equityholders pursuant to equityholders, investor rights, registration rights or similar agreements;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(27)    transactions undertaken in the ordinary course of business pursuant to membership in a purchasing consortium; and</w:t>
      </w:r>
    </w:p>
    <w:p>
      <w:pPr>
        <w:pStyle w:val="TextBody"/>
        <w:bidi w:val="0"/>
        <w:spacing w:lineRule="auto" w:line="288" w:before="0" w:after="240"/>
        <w:ind w:left="0" w:right="0" w:hanging="720"/>
        <w:jc w:val="left"/>
        <w:rPr/>
      </w:pPr>
      <w:r>
        <w:rPr>
          <w:rFonts w:ascii="Times New Roman;serif" w:hAnsi="Times New Roman;serif"/>
          <w:b w:val="false"/>
          <w:color w:val="000000"/>
          <w:sz w:val="22"/>
        </w:rPr>
        <w:t>(28)    </w:t>
      </w:r>
      <w:r>
        <w:rPr>
          <w:rFonts w:ascii="Times New Roman;serif" w:hAnsi="Times New Roman;serif"/>
          <w:b w:val="false"/>
          <w:strike/>
          <w:color w:val="008000"/>
          <w:sz w:val="22"/>
        </w:rPr>
        <w:t>Permitted Intercompany Activities</w:t>
      </w:r>
      <w:r>
        <w:rPr>
          <w:rFonts w:ascii="Times New Roman;serif" w:hAnsi="Times New Roman;serif"/>
          <w:b w:val="false"/>
          <w:strike/>
          <w:color w:val="FF0000"/>
          <w:sz w:val="22"/>
        </w:rPr>
        <w:t xml:space="preserve">, </w:t>
      </w:r>
      <w:r>
        <w:rPr>
          <w:rFonts w:ascii="Times New Roman;serif" w:hAnsi="Times New Roman;serif"/>
          <w:b w:val="false"/>
          <w:strike/>
          <w:color w:val="008000"/>
          <w:sz w:val="22"/>
        </w:rPr>
        <w:t>Permitted Tax Restructurings</w:t>
      </w:r>
      <w:r>
        <w:rPr>
          <w:rFonts w:ascii="Times New Roman;serif" w:hAnsi="Times New Roman;serif"/>
          <w:b w:val="false"/>
          <w:strike/>
          <w:color w:val="FF0000"/>
          <w:sz w:val="22"/>
        </w:rPr>
        <w:t>,</w:t>
      </w:r>
      <w:r>
        <w:rPr>
          <w:rFonts w:ascii="Times New Roman;serif" w:hAnsi="Times New Roman;serif"/>
          <w:b w:val="false"/>
          <w:color w:val="0000FF"/>
          <w:sz w:val="22"/>
          <w:u w:val="single"/>
        </w:rPr>
        <w:t>(a)</w:t>
      </w:r>
      <w:r>
        <w:rPr>
          <w:color w:val="000000"/>
        </w:rPr>
        <w:t xml:space="preserve"> </w:t>
      </w:r>
      <w:r>
        <w:rPr>
          <w:rFonts w:ascii="Times New Roman;serif" w:hAnsi="Times New Roman;serif"/>
          <w:b w:val="false"/>
          <w:color w:val="000000"/>
          <w:sz w:val="22"/>
        </w:rPr>
        <w:t>Intercompany License Agreements and related transactions</w:t>
      </w:r>
      <w:r>
        <w:rPr>
          <w:rFonts w:ascii="Times New Roman;serif" w:hAnsi="Times New Roman;serif"/>
          <w:b w:val="false"/>
          <w:color w:val="0000FF"/>
          <w:sz w:val="22"/>
          <w:u w:val="single"/>
        </w:rPr>
        <w:t xml:space="preserve">, in each case, in the ordinary course of business or consistent with past practices, (b) </w:t>
      </w:r>
      <w:r>
        <w:rPr>
          <w:rFonts w:ascii="Times New Roman;serif" w:hAnsi="Times New Roman;serif"/>
          <w:b w:val="false"/>
          <w:color w:val="008000"/>
          <w:sz w:val="22"/>
          <w:u w:val="single"/>
        </w:rPr>
        <w:t xml:space="preserve">Permitted Intercompany Activities </w:t>
      </w:r>
      <w:r>
        <w:rPr>
          <w:rFonts w:ascii="Times New Roman;serif" w:hAnsi="Times New Roman;serif"/>
          <w:b w:val="false"/>
          <w:color w:val="0000FF"/>
          <w:sz w:val="22"/>
          <w:u w:val="single"/>
        </w:rPr>
        <w:t xml:space="preserve">and (c) </w:t>
      </w:r>
      <w:r>
        <w:rPr>
          <w:rFonts w:ascii="Times New Roman;serif" w:hAnsi="Times New Roman;serif"/>
          <w:b w:val="false"/>
          <w:color w:val="008000"/>
          <w:sz w:val="22"/>
          <w:u w:val="single"/>
        </w:rPr>
        <w:t>Permitted Tax Restructurings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addition, if the Company or any of its Restricted Subsidiaries (i) purchases or otherwise acquires assets or properties from a Person which is not an Affiliate, the purchase or acquisition by an Affiliate of the Company of an interest in all or a portion of the assets or properties acquired shall not be deemed an Affiliate Transaction (or cause such purchase or acquisition by the Company or such Restricted Subsidiary to be deemed an Affiliate Transaction) or (ii) sells or otherwise disposes of assets or other properties to a Person who is not an Affiliate, the sale or other disposition by an Affiliate of the Company of an interest in all or a portion of the assets or properties sold shall not be deemed an Affiliate Transaction (or cause such sale or other disposition by the Company or such Restricted Subsidiary to be deemed an Affiliate Transaction).</w:t>
      </w:r>
    </w:p>
    <w:p>
      <w:pPr>
        <w:pStyle w:val="TextBody"/>
        <w:bidi w:val="0"/>
        <w:spacing w:lineRule="auto" w:line="288" w:before="0" w:after="240"/>
        <w:jc w:val="center"/>
        <w:rPr/>
      </w:pPr>
      <w:r>
        <w:rPr>
          <w:rFonts w:ascii="Times New Roman;serif" w:hAnsi="Times New Roman;serif"/>
          <w:b/>
          <w:color w:val="000000"/>
          <w:sz w:val="24"/>
        </w:rPr>
        <w:t>ARTICLE VII</w:t>
      </w:r>
      <w:r>
        <w:rPr>
          <w:rFonts w:ascii="Times New Roman;serif" w:hAnsi="Times New Roman;serif"/>
          <w:b/>
          <w:color w:val="000000"/>
          <w:sz w:val="22"/>
        </w:rPr>
        <w:br/>
        <w:br/>
        <w:t>NEGATIVE COVENANTS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So long as any Lender shall have any Commitment hereunder, any Loan or other Obligation (other than any Remaining Obligations) hereunder shall remain unpaid or unsatisfied, or any Letter of Credit shall remain outstanding (other than any Remaining Obligations), </w:t>
      </w:r>
      <w:r>
        <w:rPr>
          <w:rFonts w:ascii="Times New Roman;serif" w:hAnsi="Times New Roman;serif"/>
          <w:b w:val="false"/>
          <w:strike/>
          <w:color w:val="FF0000"/>
          <w:sz w:val="22"/>
        </w:rPr>
        <w:t xml:space="preserve">(A) except with respect to </w:t>
      </w:r>
      <w:r>
        <w:rPr>
          <w:rFonts w:ascii="Times New Roman;serif" w:hAnsi="Times New Roman;serif"/>
          <w:b w:val="false"/>
          <w:strike/>
          <w:color w:val="FF0000"/>
          <w:sz w:val="22"/>
          <w:u w:val="single"/>
        </w:rPr>
        <w:t>Section 7.03</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Section 7.06</w:t>
      </w:r>
      <w:r>
        <w:rPr>
          <w:rFonts w:ascii="Times New Roman;serif" w:hAnsi="Times New Roman;serif"/>
          <w:b w:val="false"/>
          <w:strike/>
          <w:color w:val="FF0000"/>
          <w:sz w:val="22"/>
        </w:rPr>
        <w:t xml:space="preserve">, </w:t>
      </w:r>
      <w:r>
        <w:rPr>
          <w:rFonts w:ascii="Times New Roman;serif" w:hAnsi="Times New Roman;serif"/>
          <w:b w:val="false"/>
          <w:color w:val="000000"/>
          <w:sz w:val="22"/>
        </w:rPr>
        <w:t>the Company shall not, nor shall it permit any Restricted Subsidiary to</w:t>
      </w:r>
      <w:r>
        <w:rPr>
          <w:strike/>
          <w:color w:val="008000"/>
        </w:rPr>
        <w:t xml:space="preserve"> </w:t>
      </w:r>
      <w:r>
        <w:rPr>
          <w:rFonts w:ascii="Times New Roman;serif" w:hAnsi="Times New Roman;serif"/>
          <w:b w:val="false"/>
          <w:strike/>
          <w:color w:val="008000"/>
          <w:sz w:val="22"/>
        </w:rPr>
        <w:t xml:space="preserve">and (B) </w:t>
      </w:r>
      <w:r>
        <w:rPr>
          <w:rFonts w:ascii="Times New Roman;serif" w:hAnsi="Times New Roman;serif"/>
          <w:b w:val="false"/>
          <w:strike/>
          <w:color w:val="FF0000"/>
          <w:sz w:val="22"/>
        </w:rPr>
        <w:t xml:space="preserve">with respect to </w:t>
      </w:r>
      <w:r>
        <w:rPr>
          <w:rFonts w:ascii="Times New Roman;serif" w:hAnsi="Times New Roman;serif"/>
          <w:b w:val="false"/>
          <w:strike/>
          <w:color w:val="FF0000"/>
          <w:sz w:val="22"/>
          <w:u w:val="single"/>
        </w:rPr>
        <w:t>Section 7.03</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Section 7.06</w:t>
      </w:r>
      <w:r>
        <w:rPr>
          <w:rFonts w:ascii="Times New Roman;serif" w:hAnsi="Times New Roman;serif"/>
          <w:b w:val="false"/>
          <w:strike/>
          <w:color w:val="FF0000"/>
          <w:sz w:val="22"/>
        </w:rPr>
        <w:t xml:space="preserve">, </w:t>
      </w:r>
      <w:r>
        <w:rPr>
          <w:rFonts w:ascii="Times New Roman;serif" w:hAnsi="Times New Roman;serif"/>
          <w:b w:val="false"/>
          <w:strike/>
          <w:color w:val="008000"/>
          <w:sz w:val="22"/>
        </w:rPr>
        <w:t xml:space="preserve">the Company shall not, </w:t>
      </w:r>
      <w:r>
        <w:rPr>
          <w:rFonts w:ascii="Times New Roman;serif" w:hAnsi="Times New Roman;serif"/>
          <w:b w:val="false"/>
          <w:strike/>
          <w:color w:val="FF0000"/>
          <w:sz w:val="22"/>
        </w:rPr>
        <w:t xml:space="preserve">nor shall it </w:t>
      </w:r>
      <w:r>
        <w:rPr>
          <w:rFonts w:ascii="Times New Roman;serif" w:hAnsi="Times New Roman;serif"/>
          <w:b w:val="false"/>
          <w:strike/>
          <w:color w:val="008000"/>
          <w:sz w:val="22"/>
        </w:rPr>
        <w:t xml:space="preserve">permit any </w:t>
      </w:r>
      <w:r>
        <w:rPr>
          <w:rFonts w:ascii="Times New Roman;serif" w:hAnsi="Times New Roman;serif"/>
          <w:b w:val="false"/>
          <w:strike/>
          <w:color w:val="FF0000"/>
          <w:sz w:val="22"/>
        </w:rPr>
        <w:t>Guarantor to</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7.01    </w:t>
      </w:r>
      <w:r>
        <w:rPr>
          <w:rFonts w:ascii="Times New Roman;serif" w:hAnsi="Times New Roman;serif"/>
          <w:b w:val="false"/>
          <w:color w:val="000000"/>
          <w:sz w:val="22"/>
          <w:u w:val="single"/>
        </w:rPr>
        <w:t>Indebtedness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Incur any Indebtedness (including Acquired Indebtedness)</w:t>
      </w:r>
      <w:r>
        <w:rPr>
          <w:rFonts w:ascii="Times New Roman;serif" w:hAnsi="Times New Roman;serif"/>
          <w:b w:val="false"/>
          <w:strike/>
          <w:color w:val="FF0000"/>
          <w:sz w:val="22"/>
        </w:rPr>
        <w:t xml:space="preserve">; that the Company and any Restricted Subsidiary may incur Indebtedness (including Acquired Indebtedness) in an amount not to exceed the Incremental Amount as of the date of Incurrence (subject to </w:t>
      </w:r>
      <w:r>
        <w:rPr>
          <w:rFonts w:ascii="Times New Roman;serif" w:hAnsi="Times New Roman;serif"/>
          <w:b w:val="false"/>
          <w:strike/>
          <w:color w:val="FF0000"/>
          <w:sz w:val="22"/>
          <w:u w:val="single"/>
        </w:rPr>
        <w:t>Section 1.02(i)</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provided, however</w:t>
      </w:r>
      <w:r>
        <w:rPr>
          <w:rFonts w:ascii="Times New Roman;serif" w:hAnsi="Times New Roman;serif"/>
          <w:b w:val="false"/>
          <w:strike/>
          <w:color w:val="FF0000"/>
          <w:sz w:val="22"/>
        </w:rPr>
        <w:t xml:space="preserve">, that such Indebtedness, other than (x) with respect to the initial maturity date for Extendable Bridge Loans/Interim Debt and (y) an aggregate principal amount not in excess of the maximum aggregate principal amount then-permitted to be incurred in reliance on the Inside Maturity Basket, has a Stated Maturity that is no earlier than </w:t>
      </w:r>
      <w:r>
        <w:rPr>
          <w:rFonts w:ascii="Times New Roman;serif" w:hAnsi="Times New Roman;serif"/>
          <w:b w:val="false"/>
          <w:strike/>
          <w:color w:val="008000"/>
          <w:sz w:val="22"/>
        </w:rPr>
        <w:t xml:space="preserve">the Maturity Date with respect to the </w:t>
      </w:r>
      <w:r>
        <w:rPr>
          <w:rFonts w:ascii="Times New Roman;serif" w:hAnsi="Times New Roman;serif"/>
          <w:b w:val="false"/>
          <w:strike/>
          <w:color w:val="FF0000"/>
          <w:sz w:val="22"/>
        </w:rPr>
        <w:t>then outstanding Initial Term Loans (such Indebtedness Incurred and Disqualified Stock and Preferred Stock issued, “</w:t>
      </w:r>
      <w:r>
        <w:rPr>
          <w:rFonts w:ascii="Times New Roman;serif" w:hAnsi="Times New Roman;serif"/>
          <w:b/>
          <w:strike/>
          <w:color w:val="FF0000"/>
          <w:sz w:val="22"/>
        </w:rPr>
        <w:t>Ratio Debt</w:t>
      </w:r>
      <w:r>
        <w:rPr>
          <w:strike/>
          <w:color w:val="FF0000"/>
        </w:rPr>
        <w:t>”</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provided</w:t>
      </w:r>
      <w:r>
        <w:rPr>
          <w:rFonts w:ascii="Times New Roman;serif" w:hAnsi="Times New Roman;serif"/>
          <w:b w:val="false"/>
          <w:i/>
          <w:strike/>
          <w:color w:val="008000"/>
          <w:sz w:val="22"/>
        </w:rPr>
        <w:t>, further</w:t>
      </w:r>
      <w:r>
        <w:rPr>
          <w:rFonts w:ascii="Times New Roman;serif" w:hAnsi="Times New Roman;serif"/>
          <w:b w:val="false"/>
          <w:strike/>
          <w:color w:val="008000"/>
          <w:sz w:val="22"/>
        </w:rPr>
        <w:t xml:space="preserve">, that the aggregate </w:t>
      </w:r>
      <w:r>
        <w:rPr>
          <w:rFonts w:ascii="Times New Roman;serif" w:hAnsi="Times New Roman;serif"/>
          <w:b w:val="false"/>
          <w:strike/>
          <w:color w:val="FF0000"/>
          <w:sz w:val="22"/>
        </w:rPr>
        <w:t xml:space="preserve">principal </w:t>
      </w:r>
      <w:r>
        <w:rPr>
          <w:rFonts w:ascii="Times New Roman;serif" w:hAnsi="Times New Roman;serif"/>
          <w:b w:val="false"/>
          <w:strike/>
          <w:color w:val="008000"/>
          <w:sz w:val="22"/>
        </w:rPr>
        <w:t xml:space="preserve">amount of </w:t>
      </w:r>
      <w:r>
        <w:rPr>
          <w:rFonts w:ascii="Times New Roman;serif" w:hAnsi="Times New Roman;serif"/>
          <w:b w:val="false"/>
          <w:strike/>
          <w:color w:val="FF0000"/>
          <w:sz w:val="22"/>
        </w:rPr>
        <w:t xml:space="preserve">Indebtedness (including Acquired Indebtedness) Incurred </w:t>
      </w:r>
      <w:r>
        <w:rPr>
          <w:rFonts w:ascii="Times New Roman;serif" w:hAnsi="Times New Roman;serif"/>
          <w:b w:val="false"/>
          <w:strike/>
          <w:color w:val="008000"/>
          <w:sz w:val="22"/>
        </w:rPr>
        <w:t xml:space="preserve">pursuant to the </w:t>
      </w:r>
      <w:r>
        <w:rPr>
          <w:rFonts w:ascii="Times New Roman;serif" w:hAnsi="Times New Roman;serif"/>
          <w:b w:val="false"/>
          <w:strike/>
          <w:color w:val="FF0000"/>
          <w:sz w:val="22"/>
        </w:rPr>
        <w:t xml:space="preserve">foregoing by Non-Loan Party Subsidiaries </w:t>
      </w:r>
      <w:r>
        <w:rPr>
          <w:rFonts w:ascii="Times New Roman;serif" w:hAnsi="Times New Roman;serif"/>
          <w:b w:val="false"/>
          <w:strike/>
          <w:color w:val="008000"/>
          <w:sz w:val="22"/>
        </w:rPr>
        <w:t xml:space="preserve">shall not exceed the Non-Loan Party Sublimit </w:t>
      </w:r>
      <w:r>
        <w:rPr>
          <w:rFonts w:ascii="Times New Roman;serif" w:hAnsi="Times New Roman;serif"/>
          <w:b w:val="false"/>
          <w:strike/>
          <w:color w:val="FF0000"/>
          <w:sz w:val="22"/>
        </w:rPr>
        <w:t xml:space="preserve">as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date of Incurrence (subject to </w:t>
      </w:r>
      <w:r>
        <w:rPr>
          <w:rFonts w:ascii="Times New Roman;serif" w:hAnsi="Times New Roman;serif"/>
          <w:b w:val="false"/>
          <w:strike/>
          <w:color w:val="FF0000"/>
          <w:sz w:val="22"/>
          <w:u w:val="single"/>
        </w:rPr>
        <w:t>Section 1.02(i)</w:t>
      </w:r>
      <w:r>
        <w:rPr>
          <w:rFonts w:ascii="Times New Roman;serif" w:hAnsi="Times New Roman;serif"/>
          <w:b w:val="false"/>
          <w:strike/>
          <w:color w:val="FF0000"/>
          <w:sz w:val="22"/>
        </w:rPr>
        <w:t>).</w:t>
      </w:r>
      <w:r>
        <w:rPr>
          <w:rFonts w:ascii="Times New Roman;serif" w:hAnsi="Times New Roman;serif"/>
          <w:b w:val="false"/>
          <w:color w:val="0000FF"/>
          <w:sz w:val="22"/>
          <w:u w:val="single"/>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6480175" cy="175260"/>
                <wp:effectExtent l="0" t="0" r="0" b="0"/>
                <wp:wrapNone/>
                <wp:docPr id="279" name="Frame2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The provisions of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will not prohibit the incurrence of the following Indebtedness (collectively, “</w:t>
      </w:r>
      <w:r>
        <w:rPr>
          <w:rFonts w:ascii="Times New Roman;serif" w:hAnsi="Times New Roman;serif"/>
          <w:b/>
          <w:color w:val="000000"/>
          <w:sz w:val="22"/>
        </w:rPr>
        <w:t>Permitted Debt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    (w) Indebtedness incurred under the Loan Documents, including any refinancing thereof in accordance with </w:t>
      </w:r>
      <w:r>
        <w:rPr>
          <w:rFonts w:ascii="Times New Roman;serif" w:hAnsi="Times New Roman;serif"/>
          <w:b w:val="false"/>
          <w:color w:val="000000"/>
          <w:sz w:val="22"/>
          <w:u w:val="single"/>
        </w:rPr>
        <w:t>Section 2.18</w:t>
      </w:r>
      <w:r>
        <w:rPr>
          <w:rFonts w:ascii="Times New Roman;serif" w:hAnsi="Times New Roman;serif"/>
          <w:b w:val="false"/>
          <w:color w:val="000000"/>
          <w:sz w:val="22"/>
        </w:rPr>
        <w:t xml:space="preserve">, (x) Credit Agreement Refinancing Debt and any Refinancing Indebtedness in respect thereof (or successive refinancings thereof that each constitute Refinancing Indebtedness), (y) </w:t>
      </w:r>
      <w:r>
        <w:rPr>
          <w:rFonts w:ascii="Times New Roman;serif" w:hAnsi="Times New Roman;serif"/>
          <w:b w:val="false"/>
          <w:strike/>
          <w:color w:val="008000"/>
          <w:sz w:val="22"/>
        </w:rPr>
        <w:t xml:space="preserve">Incremental Equivalent Debt </w:t>
      </w:r>
      <w:r>
        <w:rPr>
          <w:rFonts w:ascii="Times New Roman;serif" w:hAnsi="Times New Roman;serif"/>
          <w:b w:val="false"/>
          <w:strike/>
          <w:color w:val="FF0000"/>
          <w:sz w:val="22"/>
        </w:rPr>
        <w:t>and any Refinancing Indebtedness in respect thereof (or successive refinancings thereof that each constitute Refinancing Indebtedness)</w:t>
      </w:r>
      <w:r>
        <w:rPr>
          <w:rFonts w:ascii="Times New Roman;serif" w:hAnsi="Times New Roman;serif"/>
          <w:b w:val="false"/>
          <w:color w:val="0000FF"/>
          <w:sz w:val="22"/>
          <w:u w:val="single"/>
        </w:rPr>
        <w:t>[reserved]</w:t>
      </w:r>
      <w:r>
        <w:rPr>
          <w:color w:val="000000"/>
        </w:rPr>
        <w:t xml:space="preserve"> </w:t>
      </w:r>
      <w:r>
        <w:rPr>
          <w:rFonts w:ascii="Times New Roman;serif" w:hAnsi="Times New Roman;serif"/>
          <w:b w:val="false"/>
          <w:color w:val="000000"/>
          <w:sz w:val="22"/>
        </w:rPr>
        <w:t>and (z) Permitted Debt Exchange Notes;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    Guarantees by the Company or any Restricted Subsidiary of Indebtedness or other obligations of the Company or any Restricted Subsidiary so long as the incurrence of such Indebtedness or other obligations is not prohibited by the terms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(3)    Indebtedness of the Company to any Restricted Subsidiary or Indebtedness of a Restricted Subsidiary to the Company or any Restricted Subsidiary; </w:t>
      </w:r>
      <w:r>
        <w:rPr>
          <w:rFonts w:ascii="Times New Roman;serif" w:hAnsi="Times New Roman;serif"/>
          <w:b w:val="false"/>
          <w:i/>
          <w:color w:val="000000"/>
          <w:sz w:val="22"/>
        </w:rPr>
        <w:t>provided, however</w:t>
      </w:r>
      <w:r>
        <w:rPr>
          <w:rFonts w:ascii="Times New Roman;serif" w:hAnsi="Times New Roman;serif"/>
          <w:b w:val="false"/>
          <w:color w:val="000000"/>
          <w:sz w:val="22"/>
        </w:rPr>
        <w:t>, that:</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any subsequent issuance or transfer of Capital Stock or any other event which results in any such Indebtedness being held by a Person other than the Company or a Restricted Subsidiary, and</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color w:val="000000"/>
          <w:sz w:val="22"/>
        </w:rPr>
        <w:t>any sale or other transfer of any such Indebtedness to a Person other than the Company or a Restricted Subsidiary, shall be deemed, in each case, to constitute an incurrence of such Indebtedness by the Company or such Restricted Subsidiary, as applicable;</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(4)    Indebtedness represented by (a) the Senior Secured Notes (other than any Additional Notes (as defined in the Senior Secured Notes Documents)), including any Guarantee thereof, (b) any Indebtedness (other than Indebtedness incurred pursuant to </w:t>
      </w:r>
      <w:r>
        <w:rPr>
          <w:rFonts w:ascii="Times New Roman;serif" w:hAnsi="Times New Roman;serif"/>
          <w:b w:val="false"/>
          <w:color w:val="000000"/>
          <w:sz w:val="22"/>
          <w:u w:val="single"/>
        </w:rPr>
        <w:t>clauses (1)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7.01(b)</w:t>
      </w:r>
      <w:r>
        <w:rPr>
          <w:rFonts w:ascii="Times New Roman;serif" w:hAnsi="Times New Roman;serif"/>
          <w:b w:val="false"/>
          <w:color w:val="000000"/>
          <w:sz w:val="22"/>
        </w:rPr>
        <w:t xml:space="preserve">) outstanding on the Closing Date and any Guarantees thereof, (c) Refinancing Indebtedness (including with respect to the Senior Secured Notes and any Guarantee thereof) incurred in respect of any Indebtedness described in this </w:t>
      </w:r>
      <w:r>
        <w:rPr>
          <w:rFonts w:ascii="Times New Roman;serif" w:hAnsi="Times New Roman;serif"/>
          <w:b w:val="false"/>
          <w:color w:val="000000"/>
          <w:sz w:val="22"/>
          <w:u w:val="single"/>
        </w:rPr>
        <w:t>clause (4)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(5)</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7.01(b)</w:t>
      </w:r>
      <w:r>
        <w:rPr>
          <w:color w:val="000000"/>
        </w:rPr>
        <w:t xml:space="preserve"> </w:t>
      </w:r>
      <w:r>
        <w:rPr>
          <w:rFonts w:ascii="Times New Roman;serif" w:hAnsi="Times New Roman;serif"/>
          <w:b w:val="false"/>
          <w:color w:val="000000"/>
          <w:sz w:val="22"/>
        </w:rPr>
        <w:t xml:space="preserve">or incurred pursuant to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and (d) Management Advances;</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the aggregate amount of </w:t>
      </w:r>
      <w:r>
        <w:rPr>
          <w:rFonts w:ascii="Times New Roman;serif" w:hAnsi="Times New Roman;serif"/>
          <w:b w:val="false"/>
          <w:color w:val="008000"/>
          <w:sz w:val="22"/>
          <w:u w:val="single"/>
        </w:rPr>
        <w:t xml:space="preserve">Indebtedness incurred pursuant to </w:t>
      </w:r>
      <w:r>
        <w:rPr>
          <w:rFonts w:ascii="Times New Roman;serif" w:hAnsi="Times New Roman;serif"/>
          <w:b w:val="false"/>
          <w:color w:val="0000FF"/>
          <w:sz w:val="22"/>
          <w:u w:val="single"/>
        </w:rPr>
        <w:t>this clause (4)(d) shall not exceed $2,500,000 at any time outstanding;</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(5)    Indebtedness of (x) the Company or any Restricted Subsidiary incurred or issued to finance an acquisition or Investment or (y) Persons that are acquired by the Company or any Restricted Subsidiary or merged into, amalgamated or consolidated with the Company or a Restricted Subsidiary in accordance with the terms of this Agreement (including designating an Unrestricted Subsidiary as a Restricted Subsidiary); that such Indebtedness is in an aggregate amount not to exceed </w:t>
      </w:r>
      <w:r>
        <w:rPr>
          <w:rFonts w:ascii="Times New Roman;serif" w:hAnsi="Times New Roman;serif"/>
          <w:b w:val="false"/>
          <w:strike/>
          <w:color w:val="FF0000"/>
          <w:sz w:val="22"/>
        </w:rPr>
        <w:t xml:space="preserve">(i) the greater of (x) $125,000,000 and (y) 25.0% of LTM EBITDA at the time of incurrence, plus (ii) unlimited additional Indebtedness if after giving pro </w:t>
      </w:r>
    </w:p>
    <w:p>
      <w:pPr>
        <w:pStyle w:val="TextBody"/>
        <w:bidi w:val="0"/>
        <w:spacing w:before="0" w:after="0"/>
        <w:jc w:val="left"/>
        <w:rPr/>
      </w:pPr>
      <w:r>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6480175" cy="175260"/>
                <wp:effectExtent l="0" t="0" r="0" b="0"/>
                <wp:wrapNone/>
                <wp:docPr id="280" name="Frame2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forma effect to such acquisition, merger, amalgamation or consolidation, either:</w:t>
      </w:r>
      <w:r>
        <w:rPr>
          <w:rFonts w:ascii="Times New Roman;serif" w:hAnsi="Times New Roman;serif"/>
          <w:b w:val="false"/>
          <w:color w:val="0000FF"/>
          <w:sz w:val="22"/>
          <w:u w:val="single"/>
        </w:rPr>
        <w:t>$25,000,000 at any time outstanding;</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(a) </w:t>
      </w:r>
      <w:r>
        <w:rPr>
          <w:rFonts w:ascii="Times New Roman;serif" w:hAnsi="Times New Roman;serif"/>
          <w:b w:val="false"/>
          <w:strike/>
          <w:color w:val="FF0000"/>
          <w:sz w:val="22"/>
        </w:rPr>
        <w:t xml:space="preserve">The Company would </w:t>
      </w:r>
      <w:r>
        <w:rPr>
          <w:rFonts w:ascii="Times New Roman;serif" w:hAnsi="Times New Roman;serif"/>
          <w:b w:val="false"/>
          <w:strike/>
          <w:color w:val="008000"/>
          <w:sz w:val="22"/>
        </w:rPr>
        <w:t xml:space="preserve">be permitted to </w:t>
      </w:r>
      <w:r>
        <w:rPr>
          <w:rFonts w:ascii="Times New Roman;serif" w:hAnsi="Times New Roman;serif"/>
          <w:b w:val="false"/>
          <w:strike/>
          <w:color w:val="FF0000"/>
          <w:sz w:val="22"/>
        </w:rPr>
        <w:t xml:space="preserve">incur at least $1.00 of additional Indebtedness </w:t>
      </w:r>
      <w:r>
        <w:rPr>
          <w:rFonts w:ascii="Times New Roman;serif" w:hAnsi="Times New Roman;serif"/>
          <w:b w:val="false"/>
          <w:strike/>
          <w:color w:val="008000"/>
          <w:sz w:val="22"/>
        </w:rPr>
        <w:t xml:space="preserve">pursuant to </w:t>
      </w:r>
      <w:r>
        <w:rPr>
          <w:rFonts w:ascii="Times New Roman;serif" w:hAnsi="Times New Roman;serif"/>
          <w:b w:val="false"/>
          <w:strike/>
          <w:color w:val="FF0000"/>
          <w:sz w:val="22"/>
          <w:u w:val="single"/>
        </w:rPr>
        <w:t>Section 7.01(a)</w:t>
      </w:r>
      <w:r>
        <w:rPr>
          <w:rFonts w:ascii="Times New Roman;serif" w:hAnsi="Times New Roman;serif"/>
          <w:b w:val="false"/>
          <w:strike/>
          <w:color w:val="FF0000"/>
          <w:sz w:val="22"/>
        </w:rPr>
        <w: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(b) </w:t>
      </w:r>
      <w:r>
        <w:rPr>
          <w:rFonts w:ascii="Times New Roman;serif" w:hAnsi="Times New Roman;serif"/>
          <w:b w:val="false"/>
          <w:strike/>
          <w:color w:val="FF0000"/>
          <w:sz w:val="22"/>
        </w:rPr>
        <w:t xml:space="preserve">either </w:t>
      </w:r>
      <w:r>
        <w:rPr>
          <w:rFonts w:ascii="Times New Roman;serif" w:hAnsi="Times New Roman;serif"/>
          <w:b w:val="false"/>
          <w:strike/>
          <w:color w:val="008000"/>
          <w:sz w:val="22"/>
        </w:rPr>
        <w:t xml:space="preserve">the Consolidated Interest Coverage Ratio </w:t>
      </w:r>
      <w:r>
        <w:rPr>
          <w:rFonts w:ascii="Times New Roman;serif" w:hAnsi="Times New Roman;serif"/>
          <w:b w:val="false"/>
          <w:strike/>
          <w:color w:val="FF0000"/>
          <w:sz w:val="22"/>
        </w:rPr>
        <w:t>of the Restricted Group would not be lower or the Consolidated Total Net Leverage Ratio of the Restricted Group would not be higher, in each case, than it was immediately prior to such acquisition, merger, amalgamation or consolidation; or</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(c) </w:t>
      </w:r>
      <w:r>
        <w:rPr>
          <w:rFonts w:ascii="Times New Roman;serif" w:hAnsi="Times New Roman;serif"/>
          <w:b w:val="false"/>
          <w:strike/>
          <w:color w:val="FF0000"/>
          <w:sz w:val="22"/>
        </w:rPr>
        <w:t xml:space="preserve">such Indebtedness constitutes Acquired Indebtedness (other than Indebtedness incurred in contemplation of the transaction or series of related transactions pursuant to which such Person became a Restricted Subsidiary or was otherwise acquired by </w:t>
      </w:r>
      <w:r>
        <w:rPr>
          <w:rFonts w:ascii="Times New Roman;serif" w:hAnsi="Times New Roman;serif"/>
          <w:b w:val="false"/>
          <w:strike/>
          <w:color w:val="008000"/>
          <w:sz w:val="22"/>
        </w:rPr>
        <w:t xml:space="preserve">the Company </w:t>
      </w:r>
      <w:r>
        <w:rPr>
          <w:rFonts w:ascii="Times New Roman;serif" w:hAnsi="Times New Roman;serif"/>
          <w:b w:val="false"/>
          <w:strike/>
          <w:color w:val="FF0000"/>
          <w:sz w:val="22"/>
        </w:rPr>
        <w:t>or a Restricted Subsidiary</w:t>
      </w:r>
      <w:r>
        <w:rPr>
          <w:rFonts w:ascii="Times New Roman;serif" w:hAnsi="Times New Roman;serif"/>
          <w:b w:val="false"/>
          <w:strike/>
          <w:color w:val="008000"/>
          <w:sz w:val="22"/>
        </w:rPr>
        <w:t xml:space="preserve">); that, </w:t>
      </w:r>
      <w:r>
        <w:rPr>
          <w:rFonts w:ascii="Times New Roman;serif" w:hAnsi="Times New Roman;serif"/>
          <w:b w:val="false"/>
          <w:strike/>
          <w:color w:val="FF0000"/>
          <w:sz w:val="22"/>
        </w:rPr>
        <w:t xml:space="preserve">in the case of this </w:t>
      </w:r>
      <w:r>
        <w:rPr>
          <w:rFonts w:ascii="Times New Roman;serif" w:hAnsi="Times New Roman;serif"/>
          <w:b w:val="false"/>
          <w:strike/>
          <w:color w:val="FF0000"/>
          <w:sz w:val="22"/>
          <w:u w:val="single"/>
        </w:rPr>
        <w:t>clause (c)</w:t>
      </w:r>
      <w:r>
        <w:rPr>
          <w:rFonts w:ascii="Times New Roman;serif" w:hAnsi="Times New Roman;serif"/>
          <w:b w:val="false"/>
          <w:strike/>
          <w:color w:val="FF0000"/>
          <w:sz w:val="22"/>
        </w:rPr>
        <w:t>, the only obligors with respect to such Indebtedness shall be those Persons who were obligors of such Indebtedness prior to such acquisition, merger, amalgamation or consolidation;</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(6)    Swap Obligations (excluding Swap Obligations which are entered into for speculative purposes);</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(7)    Indebtedness (i) represented by Capitalized Lease Obligations or Purchase Money Obligations in an aggregate outstanding principal amount which, when taken together with the principal amount of all other Indebtedness incurred pursuant to this </w:t>
      </w:r>
      <w:r>
        <w:rPr>
          <w:rFonts w:ascii="Times New Roman;serif" w:hAnsi="Times New Roman;serif"/>
          <w:b w:val="false"/>
          <w:color w:val="000000"/>
          <w:sz w:val="22"/>
          <w:u w:val="single"/>
        </w:rPr>
        <w:t>clause (7)(i)</w:t>
      </w:r>
      <w:r>
        <w:rPr>
          <w:color w:val="000000"/>
        </w:rPr>
        <w:t xml:space="preserve"> </w:t>
      </w:r>
      <w:r>
        <w:rPr>
          <w:rFonts w:ascii="Times New Roman;serif" w:hAnsi="Times New Roman;serif"/>
          <w:b w:val="false"/>
          <w:color w:val="000000"/>
          <w:sz w:val="22"/>
        </w:rPr>
        <w:t xml:space="preserve">and then outstanding, does not exceed </w:t>
      </w:r>
      <w:r>
        <w:rPr>
          <w:rFonts w:ascii="Times New Roman;serif" w:hAnsi="Times New Roman;serif"/>
          <w:b w:val="false"/>
          <w:strike/>
          <w:color w:val="FF0000"/>
          <w:sz w:val="22"/>
        </w:rPr>
        <w:t xml:space="preserve">the greater of (a) </w:t>
      </w:r>
      <w:r>
        <w:rPr>
          <w:rFonts w:ascii="Times New Roman;serif" w:hAnsi="Times New Roman;serif"/>
          <w:b w:val="false"/>
          <w:color w:val="000000"/>
          <w:sz w:val="22"/>
        </w:rPr>
        <w:t>$</w:t>
      </w:r>
      <w:r>
        <w:rPr>
          <w:rFonts w:ascii="Times New Roman;serif" w:hAnsi="Times New Roman;serif"/>
          <w:b w:val="false"/>
          <w:strike/>
          <w:color w:val="FF0000"/>
          <w:sz w:val="22"/>
        </w:rPr>
        <w:t>150,000,000 and (b) 30.0% of LTM EBITDA at the time of incurrence</w:t>
      </w:r>
      <w:r>
        <w:rPr>
          <w:rFonts w:ascii="Times New Roman;serif" w:hAnsi="Times New Roman;serif"/>
          <w:b w:val="false"/>
          <w:color w:val="0000FF"/>
          <w:sz w:val="22"/>
          <w:u w:val="single"/>
        </w:rPr>
        <w:t>25,000,000</w:t>
      </w:r>
      <w:r>
        <w:rPr>
          <w:rFonts w:ascii="Times New Roman;serif" w:hAnsi="Times New Roman;serif"/>
          <w:b w:val="false"/>
          <w:color w:val="000000"/>
          <w:sz w:val="22"/>
        </w:rPr>
        <w:t>, and any Refinancing Indebtedness in respect thereof and (ii) arising out of Sale and Leaseback Transactions;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(8)    Indebtedness in respect of (a)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completion guarantees and warranties or relating to liabilities, obligations or guarantees incurred in the ordinary course of business or consistent with past practice; (b) the honoring by a bank or other financial institution of a check, draft or similar instrument drawn against insufficient funds in the ordinary course of business or consistent with past practice; (c) customer deposits and advance payments (including progress premiums) received from customers for goods or services purchased in the ordinary course of business or consistent with past practice; (d) letters of credit, bankers’ acceptances, discounted bills of exchange, discounting or factoring of receivables or payables for credit management purposes, warehouse receipts, guarantees or other similar instruments or obligations issued or entered into, or relating to liabilities or </w:t>
      </w:r>
    </w:p>
    <w:p>
      <w:pPr>
        <w:pStyle w:val="TextBody"/>
        <w:bidi w:val="0"/>
        <w:spacing w:before="0" w:after="0"/>
        <w:jc w:val="left"/>
        <w:rPr/>
      </w:pPr>
      <w:r>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6480175" cy="175260"/>
                <wp:effectExtent l="0" t="0" r="0" b="0"/>
                <wp:wrapNone/>
                <wp:docPr id="281" name="Frame2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obligations incurred in the ordinary course of business or consistent with past practice; (e) Cash Management Agreements; and (f) Settlement Indebtedness;</w:t>
      </w:r>
    </w:p>
    <w:p>
      <w:pPr>
        <w:pStyle w:val="TextBody"/>
        <w:bidi w:val="0"/>
        <w:spacing w:lineRule="auto" w:line="288" w:before="0" w:after="240"/>
        <w:ind w:left="0" w:right="0" w:hanging="720"/>
        <w:jc w:val="left"/>
        <w:rPr/>
      </w:pPr>
      <w:r>
        <w:rPr>
          <w:rFonts w:ascii="Times New Roman;serif" w:hAnsi="Times New Roman;serif"/>
          <w:b w:val="false"/>
          <w:color w:val="000000"/>
          <w:sz w:val="22"/>
        </w:rPr>
        <w:t>(9)    Indebtedness arising from agreements providing for guarantees, indemnification, obligations in respect of earn-outs, deferred purchase price or other adjustments of purchase price</w:t>
      </w:r>
      <w:r>
        <w:rPr>
          <w:rFonts w:ascii="Times New Roman;serif" w:hAnsi="Times New Roman;serif"/>
          <w:b w:val="false"/>
          <w:color w:val="0000FF"/>
          <w:sz w:val="22"/>
          <w:u w:val="single"/>
        </w:rPr>
        <w:t>, true-ups</w:t>
      </w:r>
      <w:r>
        <w:rPr>
          <w:color w:val="000000"/>
        </w:rPr>
        <w:t xml:space="preserve"> </w:t>
      </w:r>
      <w:r>
        <w:rPr>
          <w:rFonts w:ascii="Times New Roman;serif" w:hAnsi="Times New Roman;serif"/>
          <w:b w:val="false"/>
          <w:color w:val="000000"/>
          <w:sz w:val="22"/>
        </w:rPr>
        <w:t xml:space="preserve">or, in each case, similar obligations, in each case, incurred or assumed in connection with the </w:t>
      </w:r>
      <w:r>
        <w:rPr>
          <w:rFonts w:ascii="Times New Roman;serif" w:hAnsi="Times New Roman;serif"/>
          <w:b w:val="false"/>
          <w:strike/>
          <w:color w:val="FF0000"/>
          <w:sz w:val="22"/>
        </w:rPr>
        <w:t xml:space="preserve">acquisition or disposition </w:t>
      </w:r>
      <w:r>
        <w:rPr>
          <w:rFonts w:ascii="Times New Roman;serif" w:hAnsi="Times New Roman;serif"/>
          <w:b w:val="false"/>
          <w:strike/>
          <w:color w:val="008000"/>
          <w:sz w:val="22"/>
        </w:rPr>
        <w:t xml:space="preserve">of any </w:t>
      </w:r>
      <w:r>
        <w:rPr>
          <w:rFonts w:ascii="Times New Roman;serif" w:hAnsi="Times New Roman;serif"/>
          <w:b w:val="false"/>
          <w:strike/>
          <w:color w:val="FF0000"/>
          <w:sz w:val="22"/>
        </w:rPr>
        <w:t xml:space="preserve">business, assets, a Person </w:t>
      </w:r>
      <w:r>
        <w:rPr>
          <w:rFonts w:ascii="Times New Roman;serif" w:hAnsi="Times New Roman;serif"/>
          <w:b w:val="false"/>
          <w:strike/>
          <w:color w:val="008000"/>
          <w:sz w:val="22"/>
        </w:rPr>
        <w:t xml:space="preserve">(including any Capital Stock </w:t>
      </w:r>
      <w:r>
        <w:rPr>
          <w:rFonts w:ascii="Times New Roman;serif" w:hAnsi="Times New Roman;serif"/>
          <w:b w:val="false"/>
          <w:strike/>
          <w:color w:val="FF0000"/>
          <w:sz w:val="22"/>
        </w:rPr>
        <w:t>of a Subsidiary) or Investment</w:t>
      </w:r>
      <w:r>
        <w:rPr>
          <w:rFonts w:ascii="Times New Roman;serif" w:hAnsi="Times New Roman;serif"/>
          <w:b w:val="false"/>
          <w:color w:val="0000FF"/>
          <w:sz w:val="22"/>
          <w:u w:val="single"/>
        </w:rPr>
        <w:t>Owen Mumford Acquisition</w:t>
      </w:r>
      <w:r>
        <w:rPr>
          <w:color w:val="000000"/>
        </w:rPr>
        <w:t xml:space="preserve"> </w:t>
      </w:r>
      <w:r>
        <w:rPr>
          <w:rFonts w:ascii="Times New Roman;serif" w:hAnsi="Times New Roman;serif"/>
          <w:b w:val="false"/>
          <w:color w:val="000000"/>
          <w:sz w:val="22"/>
        </w:rPr>
        <w:t xml:space="preserve">(other than Guarantees of Indebtedness incurred by any Person acquiring or disposing of </w:t>
      </w:r>
      <w:r>
        <w:rPr>
          <w:rFonts w:ascii="Times New Roman;serif" w:hAnsi="Times New Roman;serif"/>
          <w:b w:val="false"/>
          <w:strike/>
          <w:color w:val="FF0000"/>
          <w:sz w:val="22"/>
        </w:rPr>
        <w:t>such</w:t>
      </w:r>
      <w:r>
        <w:rPr>
          <w:rFonts w:ascii="Times New Roman;serif" w:hAnsi="Times New Roman;serif"/>
          <w:b w:val="false"/>
          <w:color w:val="0000FF"/>
          <w:sz w:val="22"/>
          <w:u w:val="single"/>
        </w:rPr>
        <w:t>the</w:t>
      </w:r>
      <w:r>
        <w:rPr>
          <w:color w:val="000000"/>
        </w:rPr>
        <w:t xml:space="preserve"> </w:t>
      </w:r>
      <w:r>
        <w:rPr>
          <w:rFonts w:ascii="Times New Roman;serif" w:hAnsi="Times New Roman;serif"/>
          <w:b w:val="false"/>
          <w:color w:val="000000"/>
          <w:sz w:val="22"/>
        </w:rPr>
        <w:t xml:space="preserve">business, assets, Person or Investment </w:t>
      </w:r>
      <w:r>
        <w:rPr>
          <w:rFonts w:ascii="Times New Roman;serif" w:hAnsi="Times New Roman;serif"/>
          <w:b w:val="false"/>
          <w:color w:val="0000FF"/>
          <w:sz w:val="22"/>
          <w:u w:val="single"/>
        </w:rPr>
        <w:t xml:space="preserve">in connection therewith </w:t>
      </w:r>
      <w:r>
        <w:rPr>
          <w:rFonts w:ascii="Times New Roman;serif" w:hAnsi="Times New Roman;serif"/>
          <w:b w:val="false"/>
          <w:color w:val="000000"/>
          <w:sz w:val="22"/>
        </w:rPr>
        <w:t>for the purpose of financing such acquisition</w:t>
      </w:r>
      <w:r>
        <w:rPr>
          <w:strike/>
          <w:color w:val="FF0000"/>
        </w:rPr>
        <w:t xml:space="preserve"> </w:t>
      </w:r>
      <w:r>
        <w:rPr>
          <w:rFonts w:ascii="Times New Roman;serif" w:hAnsi="Times New Roman;serif"/>
          <w:b w:val="false"/>
          <w:strike/>
          <w:color w:val="FF0000"/>
          <w:sz w:val="22"/>
        </w:rPr>
        <w:t>or disposition);</w:t>
      </w:r>
      <w:r>
        <w:rPr>
          <w:rFonts w:ascii="Times New Roman;serif" w:hAnsi="Times New Roman;serif"/>
          <w:b w:val="false"/>
          <w:color w:val="0000FF"/>
          <w:sz w:val="22"/>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Indebtedness incurred pursuant to this clause (9) shall not exceed £60,000,000 at any time outstanding;</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    [reserved];</w:t>
      </w:r>
    </w:p>
    <w:p>
      <w:pPr>
        <w:pStyle w:val="TextBody"/>
        <w:bidi w:val="0"/>
        <w:spacing w:lineRule="auto" w:line="288" w:before="0" w:after="240"/>
        <w:ind w:left="0" w:right="0" w:hanging="720"/>
        <w:jc w:val="left"/>
        <w:rPr/>
      </w:pPr>
      <w:r>
        <w:rPr>
          <w:rFonts w:ascii="Times New Roman;serif" w:hAnsi="Times New Roman;serif"/>
          <w:b w:val="false"/>
          <w:color w:val="000000"/>
          <w:sz w:val="22"/>
        </w:rPr>
        <w:t>(11)    </w:t>
      </w:r>
      <w:r>
        <w:rPr>
          <w:rFonts w:ascii="Times New Roman;serif" w:hAnsi="Times New Roman;serif"/>
          <w:b w:val="false"/>
          <w:color w:val="0000FF"/>
          <w:sz w:val="22"/>
          <w:u w:val="single"/>
        </w:rPr>
        <w:t xml:space="preserve">so long as no Default or </w:t>
      </w:r>
      <w:r>
        <w:rPr>
          <w:rFonts w:ascii="Times New Roman;serif" w:hAnsi="Times New Roman;serif"/>
          <w:b w:val="false"/>
          <w:color w:val="008000"/>
          <w:sz w:val="22"/>
          <w:u w:val="single"/>
        </w:rPr>
        <w:t>Event of Default shall have occurred and be continuing (or would immediately thereafter result therefrom)</w:t>
      </w:r>
      <w:r>
        <w:rPr>
          <w:rFonts w:ascii="Times New Roman;serif" w:hAnsi="Times New Roman;serif"/>
          <w:b w:val="false"/>
          <w:color w:val="0000FF"/>
          <w:sz w:val="22"/>
          <w:u w:val="single"/>
        </w:rPr>
        <w:t xml:space="preserve">, </w:t>
      </w:r>
      <w:r>
        <w:rPr>
          <w:rFonts w:ascii="Times New Roman;serif" w:hAnsi="Times New Roman;serif"/>
          <w:b w:val="false"/>
          <w:color w:val="000000"/>
          <w:sz w:val="22"/>
        </w:rPr>
        <w:t xml:space="preserve">Indebtedness of non-Guarantors in an aggregate principal amount </w:t>
      </w:r>
      <w:r>
        <w:rPr>
          <w:rFonts w:ascii="Times New Roman;serif" w:hAnsi="Times New Roman;serif"/>
          <w:b w:val="false"/>
          <w:strike/>
          <w:color w:val="FF0000"/>
          <w:sz w:val="22"/>
        </w:rPr>
        <w:t xml:space="preserve">not to exceed </w:t>
      </w:r>
      <w:r>
        <w:rPr>
          <w:rFonts w:ascii="Times New Roman;serif" w:hAnsi="Times New Roman;serif"/>
          <w:b w:val="false"/>
          <w:color w:val="000000"/>
          <w:sz w:val="22"/>
        </w:rPr>
        <w:t xml:space="preserve">(together with the outstanding aggregate principal amount of Indebtedness incurred pursuant to </w:t>
      </w:r>
      <w:r>
        <w:rPr>
          <w:rFonts w:ascii="Times New Roman;serif" w:hAnsi="Times New Roman;serif"/>
          <w:b w:val="false"/>
          <w:color w:val="000000"/>
          <w:sz w:val="22"/>
          <w:u w:val="single"/>
        </w:rPr>
        <w:t>clause (23)</w:t>
      </w:r>
      <w:r>
        <w:rPr>
          <w:color w:val="000000"/>
        </w:rPr>
        <w:t xml:space="preserve"> </w:t>
      </w:r>
      <w:r>
        <w:rPr>
          <w:rFonts w:ascii="Times New Roman;serif" w:hAnsi="Times New Roman;serif"/>
          <w:b w:val="false"/>
          <w:color w:val="000000"/>
          <w:sz w:val="22"/>
        </w:rPr>
        <w:t xml:space="preserve">below) </w:t>
      </w:r>
      <w:r>
        <w:rPr>
          <w:rFonts w:ascii="Times New Roman;serif" w:hAnsi="Times New Roman;serif"/>
          <w:b w:val="false"/>
          <w:strike/>
          <w:color w:val="FF0000"/>
          <w:sz w:val="22"/>
        </w:rPr>
        <w:t>the greater of (i) $225,000,000 and (ii) 45.0% of LTM EBITDA at the time of incurrence</w:t>
      </w:r>
      <w:r>
        <w:rPr>
          <w:rFonts w:ascii="Times New Roman;serif" w:hAnsi="Times New Roman;serif"/>
          <w:b w:val="false"/>
          <w:color w:val="0000FF"/>
          <w:sz w:val="22"/>
          <w:u w:val="single"/>
        </w:rPr>
        <w:t>not to exceed $5,000,000 at any time outstanding</w:t>
      </w:r>
      <w:r>
        <w:rPr>
          <w:rFonts w:ascii="Times New Roman;serif" w:hAnsi="Times New Roman;serif"/>
          <w:b w:val="false"/>
          <w:color w:val="000000"/>
          <w:sz w:val="22"/>
        </w:rPr>
        <w:t>, and any Refinancing Indebtedness in respect thereof;</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(12)    (a) Indebtedness issued by the Company or any of its Subsidiaries to any future, present or former employee, director, officer, manager, contractor, consultant or advisor (or their respective Controlled Investment Affiliates or Immediate Family Members) of the Company or any of its Subsidiaries or any direct or indirect parent of the Company in each case to finance the purchase or redemption of Capital Stock of the Company or any direct or indirect parent thereof that is not prohibited by </w:t>
      </w:r>
      <w:r>
        <w:rPr>
          <w:rFonts w:ascii="Times New Roman;serif" w:hAnsi="Times New Roman;serif"/>
          <w:b w:val="false"/>
          <w:color w:val="000000"/>
          <w:sz w:val="22"/>
          <w:u w:val="single"/>
        </w:rPr>
        <w:t>Section 7.05</w:t>
      </w:r>
      <w:r>
        <w:rPr>
          <w:color w:val="000000"/>
        </w:rPr>
        <w:t xml:space="preserve"> </w:t>
      </w:r>
      <w:r>
        <w:rPr>
          <w:rFonts w:ascii="Times New Roman;serif" w:hAnsi="Times New Roman;serif"/>
          <w:b w:val="false"/>
          <w:color w:val="000000"/>
          <w:sz w:val="22"/>
        </w:rPr>
        <w:t>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r>
        <w:rPr>
          <w:color w:val="0000FF"/>
          <w:u w:val="single"/>
        </w:rPr>
        <w:t xml:space="preserve">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Indebtedness incurred pursuant to this clause (12) shall not exceed $5,000,000 at any time outstanding;</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(13)    Indebtedness of the Company or any of its Restricted Subsidiaries consisting of (i) the financing of insurance premiums or (ii) take-or-pay obligations contained in supply arrangements, in each case incurred in the ordinary course of business or consistent with past practice;</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(14)    Indebtedness in an aggregate outstanding principal amount which, when taken together with the principal amount of all other Indebtedness incurred pursuant to this clause and then outstanding, will not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250,000,000 and (ii) 50.0% of LTM EBITDA</w:t>
      </w:r>
      <w:r>
        <w:rPr>
          <w:rFonts w:ascii="Times New Roman;serif" w:hAnsi="Times New Roman;serif"/>
          <w:b w:val="false"/>
          <w:color w:val="0000FF"/>
          <w:sz w:val="22"/>
          <w:u w:val="single"/>
        </w:rPr>
        <w:t>30,000,000</w:t>
      </w:r>
      <w:r>
        <w:rPr>
          <w:color w:val="000000"/>
        </w:rPr>
        <w:t xml:space="preserve"> </w:t>
      </w:r>
      <w:r>
        <w:rPr>
          <w:rFonts w:ascii="Times New Roman;serif" w:hAnsi="Times New Roman;serif"/>
          <w:b w:val="false"/>
          <w:color w:val="000000"/>
          <w:sz w:val="22"/>
        </w:rPr>
        <w:t>and any Refinancing Indebtedness in respect thereof;</w:t>
      </w:r>
    </w:p>
    <w:p>
      <w:pPr>
        <w:pStyle w:val="TextBody"/>
        <w:bidi w:val="0"/>
        <w:spacing w:before="0" w:after="0"/>
        <w:jc w:val="left"/>
        <w:rPr/>
      </w:pPr>
      <w:r>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6480175" cy="175260"/>
                <wp:effectExtent l="0" t="0" r="0" b="0"/>
                <wp:wrapNone/>
                <wp:docPr id="282" name="Frame2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(15)    Indebtedness in respect of </w:t>
      </w:r>
      <w:r>
        <w:rPr>
          <w:rFonts w:ascii="Times New Roman;serif" w:hAnsi="Times New Roman;serif"/>
          <w:b w:val="false"/>
          <w:strike/>
          <w:color w:val="FF0000"/>
          <w:sz w:val="22"/>
        </w:rPr>
        <w:t>any</w:t>
      </w:r>
      <w:r>
        <w:rPr>
          <w:rFonts w:ascii="Times New Roman;serif" w:hAnsi="Times New Roman;serif"/>
          <w:b w:val="false"/>
          <w:color w:val="0000FF"/>
          <w:sz w:val="22"/>
          <w:u w:val="single"/>
        </w:rPr>
        <w:t>the Receivables Facilities existing on the First Amendment Effective Date or any</w:t>
      </w:r>
      <w:r>
        <w:rPr>
          <w:color w:val="000000"/>
        </w:rPr>
        <w:t xml:space="preserve"> </w:t>
      </w:r>
      <w:r>
        <w:rPr>
          <w:rFonts w:ascii="Times New Roman;serif" w:hAnsi="Times New Roman;serif"/>
          <w:b w:val="false"/>
          <w:color w:val="000000"/>
          <w:sz w:val="22"/>
        </w:rPr>
        <w:t>Qualified Securitization Financing</w:t>
      </w:r>
      <w:r>
        <w:rPr>
          <w:strike/>
          <w:color w:val="008000"/>
        </w:rPr>
        <w:t xml:space="preserve"> </w:t>
      </w:r>
      <w:r>
        <w:rPr>
          <w:rFonts w:ascii="Times New Roman;serif" w:hAnsi="Times New Roman;serif"/>
          <w:b w:val="false"/>
          <w:strike/>
          <w:color w:val="008000"/>
          <w:sz w:val="22"/>
        </w:rPr>
        <w:t xml:space="preserve">or any </w:t>
      </w:r>
      <w:r>
        <w:rPr>
          <w:rFonts w:ascii="Times New Roman;serif" w:hAnsi="Times New Roman;serif"/>
          <w:b w:val="false"/>
          <w:strike/>
          <w:color w:val="FF0000"/>
          <w:sz w:val="22"/>
        </w:rPr>
        <w:t>Receivables Facility;</w:t>
      </w:r>
      <w:r>
        <w:rPr>
          <w:rFonts w:ascii="Times New Roman;serif" w:hAnsi="Times New Roman;serif"/>
          <w:b w:val="false"/>
          <w:color w:val="0000FF"/>
          <w:sz w:val="22"/>
          <w:u w:val="single"/>
        </w:rPr>
        <w:t xml:space="preserve">, including any permitted refinancing or replacement thereof;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that the aggregate amount of Indebtedness (inclusive of any permitted refinancing or replacement thereof) pursuant to this clause (15) shall not exceed $75,000,000 at any time outstanding;</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(16)    any obligation, or guaranty of any obligation, of the Company or any Restricted Subsidiary to reimburse or indemnify a Person extending credit to customers of the Company or a Restricted Subsidiary incurred in the ordinary course of business or consistent with past practice for all or any portion of the amounts payable by such customers to the Person extending such credit;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(17)    Indebtedness to a customer to finance the acquisition of any equipment necessary to perform services for such customer; that the terms of such Indebtedness are consistent with those entered into with respect to similar Indebtedness prior to the Closing Date, including, if so consistent, that (i) the repayment of such Indebtedness is conditional upon such customer ordering a specific amount or volume, as applicable, of goods or services and (ii) such Indebtedness does not bear interest or provide for scheduled amortization or maturity;</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(18)    [reserved];</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(19)    [reserved];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(18) </w:t>
      </w:r>
      <w:r>
        <w:rPr>
          <w:rFonts w:ascii="Times New Roman;serif" w:hAnsi="Times New Roman;serif"/>
          <w:b w:val="false"/>
          <w:strike/>
          <w:color w:val="FF0000"/>
          <w:sz w:val="22"/>
        </w:rPr>
        <w:t xml:space="preserve">Indebtedness incurred by </w:t>
      </w:r>
      <w:r>
        <w:rPr>
          <w:rFonts w:ascii="Times New Roman;serif" w:hAnsi="Times New Roman;serif"/>
          <w:b w:val="false"/>
          <w:strike/>
          <w:color w:val="008000"/>
          <w:sz w:val="22"/>
        </w:rPr>
        <w:t xml:space="preserve">the Company or any of its Restricted Subsidiaries </w:t>
      </w:r>
      <w:r>
        <w:rPr>
          <w:rFonts w:ascii="Times New Roman;serif" w:hAnsi="Times New Roman;serif"/>
          <w:b w:val="false"/>
          <w:strike/>
          <w:color w:val="FF0000"/>
          <w:sz w:val="22"/>
        </w:rPr>
        <w:t xml:space="preserve">to the extent that the net proceeds thereof are promptly </w:t>
      </w:r>
      <w:r>
        <w:rPr>
          <w:rFonts w:ascii="Times New Roman;serif" w:hAnsi="Times New Roman;serif"/>
          <w:b w:val="false"/>
          <w:strike/>
          <w:color w:val="008000"/>
          <w:sz w:val="22"/>
        </w:rPr>
        <w:t xml:space="preserve">deposited with </w:t>
      </w:r>
      <w:r>
        <w:rPr>
          <w:rFonts w:ascii="Times New Roman;serif" w:hAnsi="Times New Roman;serif"/>
          <w:b w:val="false"/>
          <w:strike/>
          <w:color w:val="FF0000"/>
          <w:sz w:val="22"/>
        </w:rPr>
        <w:t xml:space="preserve">the Trustee (as defined in the 5.000% Senior Secured Notes Indenture or the 6.750% Senior Secured Notes Indenture, as applicable), another trustee or agent, as applicable, to satisfy or discharge the Senior Secured Notes, any Ratio Debt, debt incurred pursuant to this </w:t>
      </w:r>
      <w:r>
        <w:rPr>
          <w:rFonts w:ascii="Times New Roman;serif" w:hAnsi="Times New Roman;serif"/>
          <w:b w:val="false"/>
          <w:strike/>
          <w:color w:val="FF0000"/>
          <w:sz w:val="22"/>
          <w:u w:val="single"/>
        </w:rPr>
        <w:t>Section 7.01</w:t>
      </w:r>
      <w:r>
        <w:rPr>
          <w:rFonts w:ascii="Times New Roman;serif" w:hAnsi="Times New Roman;serif"/>
          <w:b w:val="false"/>
          <w:strike/>
          <w:color w:val="FF0000"/>
          <w:sz w:val="22"/>
        </w:rPr>
        <w:t>, Incremental Equivalent Debt and/or Credit Agreement Refinancing Debt or exercise the applicable borrower’s or issuer’s legal defeasance or covenant defeasance</w:t>
      </w:r>
      <w:r>
        <w:rPr>
          <w:rFonts w:ascii="Times New Roman;serif" w:hAnsi="Times New Roman;serif"/>
          <w:b w:val="false"/>
          <w:strike/>
          <w:color w:val="008000"/>
          <w:sz w:val="22"/>
        </w:rPr>
        <w:t xml:space="preserve">, in each case, in </w:t>
      </w:r>
      <w:r>
        <w:rPr>
          <w:rFonts w:ascii="Times New Roman;serif" w:hAnsi="Times New Roman;serif"/>
          <w:b w:val="false"/>
          <w:strike/>
          <w:color w:val="FF0000"/>
          <w:sz w:val="22"/>
        </w:rPr>
        <w:t>accordance with the relevant documents governing such Indebtedness;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(19) </w:t>
      </w:r>
      <w:r>
        <w:rPr>
          <w:rFonts w:ascii="Times New Roman;serif" w:hAnsi="Times New Roman;serif"/>
          <w:b w:val="false"/>
          <w:strike/>
          <w:color w:val="FF0000"/>
          <w:sz w:val="22"/>
        </w:rPr>
        <w:t>Indebtedness of the Company or any of its Restricted Subsidiaries arising pursuant to any Permitted Intercompany Activities, Permitted Tax Restructuring and related transactions;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(20)    [reserved];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(21)    [reserved];</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(22)    obligations in respect of Disqualified Stock in an amount not to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50,000,000 and (ii) 10.0% of LTM EBITDA</w:t>
      </w:r>
      <w:r>
        <w:rPr>
          <w:rFonts w:ascii="Times New Roman;serif" w:hAnsi="Times New Roman;serif"/>
          <w:b w:val="false"/>
          <w:color w:val="0000FF"/>
          <w:sz w:val="22"/>
          <w:u w:val="single"/>
        </w:rPr>
        <w:t>5,000,000 at any time</w:t>
      </w:r>
      <w:r>
        <w:rPr>
          <w:color w:val="000000"/>
        </w:rPr>
        <w:t xml:space="preserve"> </w:t>
      </w:r>
      <w:r>
        <w:rPr>
          <w:rFonts w:ascii="Times New Roman;serif" w:hAnsi="Times New Roman;serif"/>
          <w:b w:val="false"/>
          <w:color w:val="000000"/>
          <w:sz w:val="22"/>
        </w:rPr>
        <w:t>outstanding</w:t>
      </w:r>
      <w:r>
        <w:rPr>
          <w:strike/>
          <w:color w:val="FF0000"/>
        </w:rPr>
        <w:t xml:space="preserve"> </w:t>
      </w:r>
      <w:r>
        <w:rPr>
          <w:rFonts w:ascii="Times New Roman;serif" w:hAnsi="Times New Roman;serif"/>
          <w:b w:val="false"/>
          <w:strike/>
          <w:color w:val="FF0000"/>
          <w:sz w:val="22"/>
        </w:rPr>
        <w:t>at the time of incurrence</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(23)    Indebtedness incurred for the benefit of joint ventures in an aggregate principal amount </w:t>
      </w:r>
      <w:r>
        <w:rPr>
          <w:rFonts w:ascii="Times New Roman;serif" w:hAnsi="Times New Roman;serif"/>
          <w:b w:val="false"/>
          <w:strike/>
          <w:color w:val="FF0000"/>
          <w:sz w:val="22"/>
        </w:rPr>
        <w:t xml:space="preserve">not </w:t>
      </w:r>
      <w:r>
        <w:rPr>
          <w:rFonts w:ascii="Times New Roman;serif" w:hAnsi="Times New Roman;serif"/>
          <w:b w:val="false"/>
          <w:color w:val="000000"/>
          <w:sz w:val="22"/>
        </w:rPr>
        <w:t xml:space="preserve">to exceed (together with the outstanding aggregate principal amount of Indebtedness incurred pursuant to </w:t>
      </w:r>
      <w:r>
        <w:rPr>
          <w:rFonts w:ascii="Times New Roman;serif" w:hAnsi="Times New Roman;serif"/>
          <w:b w:val="false"/>
          <w:color w:val="000000"/>
          <w:sz w:val="22"/>
          <w:u w:val="single"/>
        </w:rPr>
        <w:t>clause (11)</w:t>
      </w:r>
      <w:r>
        <w:rPr>
          <w:color w:val="000000"/>
        </w:rPr>
        <w:t xml:space="preserve"> </w:t>
      </w:r>
      <w:r>
        <w:rPr>
          <w:rFonts w:ascii="Times New Roman;serif" w:hAnsi="Times New Roman;serif"/>
          <w:b w:val="false"/>
          <w:color w:val="000000"/>
          <w:sz w:val="22"/>
        </w:rPr>
        <w:t xml:space="preserve">above) </w:t>
      </w:r>
      <w:r>
        <w:rPr>
          <w:rFonts w:ascii="Times New Roman;serif" w:hAnsi="Times New Roman;serif"/>
          <w:b w:val="false"/>
          <w:strike/>
          <w:color w:val="FF0000"/>
          <w:sz w:val="22"/>
        </w:rPr>
        <w:t xml:space="preserve">the greater of (i) </w:t>
      </w:r>
    </w:p>
    <w:p>
      <w:pPr>
        <w:pStyle w:val="TextBody"/>
        <w:bidi w:val="0"/>
        <w:spacing w:before="0" w:after="0"/>
        <w:jc w:val="left"/>
        <w:rPr/>
      </w:pPr>
      <w:r>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6480175" cy="175260"/>
                <wp:effectExtent l="0" t="0" r="0" b="0"/>
                <wp:wrapNone/>
                <wp:docPr id="283" name="Frame2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$225,000,000 and (ii) 45.0% of LTM EBITDA</w:t>
      </w:r>
      <w:r>
        <w:rPr>
          <w:rFonts w:ascii="Times New Roman;serif" w:hAnsi="Times New Roman;serif"/>
          <w:b w:val="false"/>
          <w:color w:val="0000FF"/>
          <w:sz w:val="22"/>
          <w:u w:val="single"/>
        </w:rPr>
        <w:t>not to exceed $5,000,000 at any time</w:t>
      </w:r>
      <w:r>
        <w:rPr>
          <w:color w:val="000000"/>
        </w:rPr>
        <w:t xml:space="preserve"> </w:t>
      </w:r>
      <w:r>
        <w:rPr>
          <w:rFonts w:ascii="Times New Roman;serif" w:hAnsi="Times New Roman;serif"/>
          <w:b w:val="false"/>
          <w:color w:val="000000"/>
          <w:sz w:val="22"/>
        </w:rPr>
        <w:t xml:space="preserve">outstanding </w:t>
      </w:r>
      <w:r>
        <w:rPr>
          <w:rFonts w:ascii="Times New Roman;serif" w:hAnsi="Times New Roman;serif"/>
          <w:b w:val="false"/>
          <w:strike/>
          <w:color w:val="FF0000"/>
          <w:sz w:val="22"/>
        </w:rPr>
        <w:t xml:space="preserve">at the time of incurrence </w:t>
      </w:r>
      <w:r>
        <w:rPr>
          <w:rFonts w:ascii="Times New Roman;serif" w:hAnsi="Times New Roman;serif"/>
          <w:b w:val="false"/>
          <w:color w:val="000000"/>
          <w:sz w:val="22"/>
        </w:rPr>
        <w:t>and any Refinancing Indebtedness in respect thereof;</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(24)    [reserved]; and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(25)    to the extent constituting Indebtedness, Guarantees in the ordinary course of business of the obligations of suppliers, customers, franchisees and licensees of the Company and its Subsidiaries.</w:t>
      </w:r>
    </w:p>
    <w:p>
      <w:pPr>
        <w:pStyle w:val="TextBody"/>
        <w:bidi w:val="0"/>
        <w:spacing w:lineRule="auto" w:line="288" w:before="0" w:after="0"/>
        <w:ind w:left="0" w:right="0" w:firstLine="720"/>
        <w:jc w:val="left"/>
        <w:rPr/>
      </w:pPr>
      <w:r>
        <w:rPr>
          <w:rFonts w:ascii="Times New Roman;serif" w:hAnsi="Times New Roman;serif"/>
          <w:b w:val="false"/>
          <w:color w:val="0000FF"/>
          <w:sz w:val="22"/>
          <w:u w:val="single"/>
        </w:rPr>
        <w:t xml:space="preserve">Notwithstanding anything </w:t>
      </w:r>
      <w:r>
        <w:rPr>
          <w:rFonts w:ascii="Times New Roman;serif" w:hAnsi="Times New Roman;serif"/>
          <w:b w:val="false"/>
          <w:color w:val="008000"/>
          <w:sz w:val="22"/>
          <w:u w:val="single"/>
        </w:rPr>
        <w:t xml:space="preserve">to the </w:t>
      </w:r>
      <w:r>
        <w:rPr>
          <w:rFonts w:ascii="Times New Roman;serif" w:hAnsi="Times New Roman;serif"/>
          <w:b w:val="false"/>
          <w:color w:val="0000FF"/>
          <w:sz w:val="22"/>
          <w:u w:val="single"/>
        </w:rPr>
        <w:t xml:space="preserve">contrary set forth in this Agreement, including, without limitation, the term “Permitted Investments”, this Section 7.01 and Section 7.05, (i) any Indebtedness owed by any Loan Party to any Non-Loan Party Subsidiary shall be subordinated to the Obligations in a manner </w:t>
      </w:r>
      <w:r>
        <w:rPr>
          <w:rFonts w:ascii="Times New Roman;serif" w:hAnsi="Times New Roman;serif"/>
          <w:b w:val="false"/>
          <w:color w:val="008000"/>
          <w:sz w:val="22"/>
          <w:u w:val="single"/>
        </w:rPr>
        <w:t xml:space="preserve">reasonably satisfactory to the Administrative Agent </w:t>
      </w:r>
      <w:r>
        <w:rPr>
          <w:rFonts w:ascii="Times New Roman;serif" w:hAnsi="Times New Roman;serif"/>
          <w:b w:val="false"/>
          <w:color w:val="0000FF"/>
          <w:sz w:val="22"/>
          <w:u w:val="single"/>
        </w:rPr>
        <w:t>and (ii) the aggregate principal amount of all Indebtedness owed by the Non-Loan Party Subsidiaries to the Loan Parties</w:t>
      </w:r>
      <w:r>
        <w:rPr>
          <w:rFonts w:ascii="Times New Roman;serif" w:hAnsi="Times New Roman;serif"/>
          <w:b w:val="false"/>
          <w:color w:val="008000"/>
          <w:sz w:val="22"/>
          <w:u w:val="single"/>
        </w:rPr>
        <w:t xml:space="preserve">, when taken together with </w:t>
      </w:r>
      <w:r>
        <w:rPr>
          <w:rFonts w:ascii="Times New Roman;serif" w:hAnsi="Times New Roman;serif"/>
          <w:b w:val="false"/>
          <w:color w:val="0000FF"/>
          <w:sz w:val="22"/>
          <w:u w:val="single"/>
        </w:rPr>
        <w:t xml:space="preserve">(A) </w:t>
      </w:r>
      <w:r>
        <w:rPr>
          <w:rFonts w:ascii="Times New Roman;serif" w:hAnsi="Times New Roman;serif"/>
          <w:b w:val="false"/>
          <w:color w:val="008000"/>
          <w:sz w:val="22"/>
          <w:u w:val="single"/>
        </w:rPr>
        <w:t xml:space="preserve">the aggregate principal amount of all </w:t>
      </w:r>
      <w:r>
        <w:rPr>
          <w:rFonts w:ascii="Times New Roman;serif" w:hAnsi="Times New Roman;serif"/>
          <w:b w:val="false"/>
          <w:color w:val="0000FF"/>
          <w:sz w:val="22"/>
          <w:u w:val="single"/>
        </w:rPr>
        <w:t>Guarantees by the Loan Parties of Indebtedness or other obligations of the Non-Loan Party Subsidiaries and (B) the aggregate principal amount of all Investments by the Loan Parties in the Non-Loan Party Subsidiaries, shall not exceed the Non-Loan Party Sublimit at the time of incurrence.</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purposes of determining compliance with, and the outstanding principal amount of any particular Indebtedness incurred pursuant to and in compliance with,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 xml:space="preserve">in the event that all or any portion of any item of Indebtedness meets the criteria of more than one of the types of Indebtedness described in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 the Company, in its sole discretion, will classify</w:t>
      </w:r>
      <w:r>
        <w:rPr>
          <w:rFonts w:ascii="Times New Roman;serif" w:hAnsi="Times New Roman;serif"/>
          <w:b w:val="false"/>
          <w:strike/>
          <w:color w:val="FF0000"/>
          <w:sz w:val="22"/>
        </w:rPr>
        <w:t xml:space="preserve">, and may </w:t>
      </w:r>
      <w:r>
        <w:rPr>
          <w:rFonts w:ascii="Times New Roman;serif" w:hAnsi="Times New Roman;serif"/>
          <w:b w:val="false"/>
          <w:strike/>
          <w:color w:val="008000"/>
          <w:sz w:val="22"/>
        </w:rPr>
        <w:t xml:space="preserve">from time to time </w:t>
      </w:r>
      <w:r>
        <w:rPr>
          <w:rFonts w:ascii="Times New Roman;serif" w:hAnsi="Times New Roman;serif"/>
          <w:b w:val="false"/>
          <w:strike/>
          <w:color w:val="FF0000"/>
          <w:sz w:val="22"/>
        </w:rPr>
        <w:t xml:space="preserve">reclassify pursuant to </w:t>
      </w:r>
      <w:r>
        <w:rPr>
          <w:rFonts w:ascii="Times New Roman;serif" w:hAnsi="Times New Roman;serif"/>
          <w:b w:val="false"/>
          <w:strike/>
          <w:color w:val="FF0000"/>
          <w:sz w:val="22"/>
          <w:u w:val="single"/>
        </w:rPr>
        <w:t>clause (b)</w:t>
      </w:r>
      <w:r>
        <w:rPr>
          <w:strike/>
          <w:color w:val="FF0000"/>
        </w:rPr>
        <w:t xml:space="preserve"> </w:t>
      </w:r>
      <w:r>
        <w:rPr>
          <w:rFonts w:ascii="Times New Roman;serif" w:hAnsi="Times New Roman;serif"/>
          <w:b w:val="false"/>
          <w:strike/>
          <w:color w:val="FF0000"/>
          <w:sz w:val="22"/>
        </w:rPr>
        <w:t xml:space="preserve">below, such item of Indebtedness (or any portion thereof) and only be required to include the amount and type of such Indebtedness in </w:t>
      </w:r>
      <w:r>
        <w:rPr>
          <w:rFonts w:ascii="Times New Roman;serif" w:hAnsi="Times New Roman;serif"/>
          <w:b w:val="false"/>
          <w:strike/>
          <w:color w:val="FF0000"/>
          <w:sz w:val="22"/>
          <w:u w:val="single"/>
        </w:rPr>
        <w:t>Section 7.01(a)</w:t>
      </w:r>
      <w:r>
        <w:rPr>
          <w:strike/>
          <w:color w:val="FF0000"/>
        </w:rPr>
        <w:t xml:space="preserve"> </w:t>
      </w:r>
      <w:r>
        <w:rPr>
          <w:rFonts w:ascii="Times New Roman;serif" w:hAnsi="Times New Roman;serif"/>
          <w:b w:val="false"/>
          <w:strike/>
          <w:color w:val="FF0000"/>
          <w:sz w:val="22"/>
        </w:rPr>
        <w:t xml:space="preserve">or one </w:t>
      </w:r>
      <w:r>
        <w:rPr>
          <w:rFonts w:ascii="Times New Roman;serif" w:hAnsi="Times New Roman;serif"/>
          <w:b w:val="false"/>
          <w:strike/>
          <w:color w:val="008000"/>
          <w:sz w:val="22"/>
        </w:rPr>
        <w:t xml:space="preserve">of the </w:t>
      </w:r>
      <w:r>
        <w:rPr>
          <w:rFonts w:ascii="Times New Roman;serif" w:hAnsi="Times New Roman;serif"/>
          <w:b w:val="false"/>
          <w:color w:val="008000"/>
          <w:sz w:val="22"/>
          <w:u w:val="single"/>
        </w:rPr>
        <w:t xml:space="preserve">all or any portion of </w:t>
      </w:r>
      <w:r>
        <w:rPr>
          <w:rFonts w:ascii="Times New Roman;serif" w:hAnsi="Times New Roman;serif"/>
          <w:b w:val="false"/>
          <w:color w:val="0000FF"/>
          <w:sz w:val="22"/>
          <w:u w:val="single"/>
        </w:rPr>
        <w:t xml:space="preserve">such permitted Indebtedness in any manner that complies with this Agreement and such permitted Indebtedness shall be treated </w:t>
      </w:r>
      <w:r>
        <w:rPr>
          <w:rFonts w:ascii="Times New Roman;serif" w:hAnsi="Times New Roman;serif"/>
          <w:b w:val="false"/>
          <w:color w:val="008000"/>
          <w:sz w:val="22"/>
          <w:u w:val="single"/>
        </w:rPr>
        <w:t xml:space="preserve">as having been incurred pursuant </w:t>
      </w:r>
      <w:r>
        <w:rPr>
          <w:rFonts w:ascii="Times New Roman;serif" w:hAnsi="Times New Roman;serif"/>
          <w:b w:val="false"/>
          <w:color w:val="0000FF"/>
          <w:sz w:val="22"/>
          <w:u w:val="single"/>
        </w:rPr>
        <w:t xml:space="preserve">only to the clause or </w:t>
      </w:r>
      <w:r>
        <w:rPr>
          <w:rFonts w:ascii="Times New Roman;serif" w:hAnsi="Times New Roman;serif"/>
          <w:b w:val="false"/>
          <w:color w:val="000000"/>
          <w:sz w:val="22"/>
        </w:rPr>
        <w:t xml:space="preserve">clauses of </w:t>
      </w:r>
      <w:r>
        <w:rPr>
          <w:rFonts w:ascii="Times New Roman;serif" w:hAnsi="Times New Roman;serif"/>
          <w:b w:val="false"/>
          <w:color w:val="000000"/>
          <w:sz w:val="22"/>
          <w:u w:val="single"/>
        </w:rPr>
        <w:t>Section 7.01(b)</w:t>
      </w:r>
      <w:r>
        <w:rPr>
          <w:color w:val="0000FF"/>
          <w:u w:val="single"/>
        </w:rPr>
        <w:t xml:space="preserve"> </w:t>
      </w:r>
      <w:r>
        <w:rPr>
          <w:rFonts w:ascii="Times New Roman;serif" w:hAnsi="Times New Roman;serif"/>
          <w:b w:val="false"/>
          <w:color w:val="0000FF"/>
          <w:sz w:val="22"/>
          <w:u w:val="single"/>
        </w:rPr>
        <w:t>to which such permitted Indebtedness has been classified</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(b) </w:t>
      </w:r>
      <w:r>
        <w:rPr>
          <w:rFonts w:ascii="Times New Roman;serif" w:hAnsi="Times New Roman;serif"/>
          <w:b w:val="false"/>
          <w:strike/>
          <w:color w:val="FF0000"/>
          <w:sz w:val="22"/>
        </w:rPr>
        <w:t xml:space="preserve">additionally, </w:t>
      </w:r>
      <w:r>
        <w:rPr>
          <w:rFonts w:ascii="Times New Roman;serif" w:hAnsi="Times New Roman;serif"/>
          <w:b w:val="false"/>
          <w:strike/>
          <w:color w:val="008000"/>
          <w:sz w:val="22"/>
        </w:rPr>
        <w:t xml:space="preserve">all or any portion of </w:t>
      </w:r>
      <w:r>
        <w:rPr>
          <w:rFonts w:ascii="Times New Roman;serif" w:hAnsi="Times New Roman;serif"/>
          <w:b w:val="false"/>
          <w:strike/>
          <w:color w:val="FF0000"/>
          <w:sz w:val="22"/>
        </w:rPr>
        <w:t xml:space="preserve">any item of Indebtedness may later be reclassified </w:t>
      </w:r>
      <w:r>
        <w:rPr>
          <w:rFonts w:ascii="Times New Roman;serif" w:hAnsi="Times New Roman;serif"/>
          <w:b w:val="false"/>
          <w:strike/>
          <w:color w:val="008000"/>
          <w:sz w:val="22"/>
        </w:rPr>
        <w:t xml:space="preserve">as having been incurred pursuant </w:t>
      </w:r>
      <w:r>
        <w:rPr>
          <w:rFonts w:ascii="Times New Roman;serif" w:hAnsi="Times New Roman;serif"/>
          <w:b w:val="false"/>
          <w:strike/>
          <w:color w:val="FF0000"/>
          <w:sz w:val="22"/>
        </w:rPr>
        <w:t xml:space="preserve">to any type of Indebtedness described in this </w:t>
      </w:r>
      <w:r>
        <w:rPr>
          <w:rFonts w:ascii="Times New Roman;serif" w:hAnsi="Times New Roman;serif"/>
          <w:b w:val="false"/>
          <w:strike/>
          <w:color w:val="FF0000"/>
          <w:sz w:val="22"/>
          <w:u w:val="single"/>
        </w:rPr>
        <w:t>Section 7.01</w:t>
      </w:r>
      <w:r>
        <w:rPr>
          <w:strike/>
          <w:color w:val="FF0000"/>
        </w:rPr>
        <w:t xml:space="preserve"> </w:t>
      </w:r>
      <w:r>
        <w:rPr>
          <w:rFonts w:ascii="Times New Roman;serif" w:hAnsi="Times New Roman;serif"/>
          <w:b w:val="false"/>
          <w:strike/>
          <w:color w:val="FF0000"/>
          <w:sz w:val="22"/>
        </w:rPr>
        <w:t xml:space="preserve">so long as such Indebtedness is permitted to be incurred pursuant to such provision and any related Liens are permitted to be incurred at the time of reclassification; that any Indebtedness incurred pursuant to one of the clauses of </w:t>
      </w:r>
      <w:r>
        <w:rPr>
          <w:rFonts w:ascii="Times New Roman;serif" w:hAnsi="Times New Roman;serif"/>
          <w:b w:val="false"/>
          <w:strike/>
          <w:color w:val="FF0000"/>
          <w:sz w:val="22"/>
          <w:u w:val="single"/>
        </w:rPr>
        <w:t>Section 7.01(b)</w:t>
      </w:r>
      <w:r>
        <w:rPr>
          <w:strike/>
          <w:color w:val="FF0000"/>
        </w:rPr>
        <w:t xml:space="preserve"> </w:t>
      </w:r>
      <w:r>
        <w:rPr>
          <w:rFonts w:ascii="Times New Roman;serif" w:hAnsi="Times New Roman;serif"/>
          <w:b w:val="false"/>
          <w:strike/>
          <w:color w:val="FF0000"/>
          <w:sz w:val="22"/>
        </w:rPr>
        <w:t xml:space="preserve">shall automatically cease to be deemed incurred or outstanding for purposes of such clause of </w:t>
      </w:r>
      <w:r>
        <w:rPr>
          <w:rFonts w:ascii="Times New Roman;serif" w:hAnsi="Times New Roman;serif"/>
          <w:b w:val="false"/>
          <w:strike/>
          <w:color w:val="FF0000"/>
          <w:sz w:val="22"/>
          <w:u w:val="single"/>
        </w:rPr>
        <w:t>Section 7.01(b)</w:t>
      </w:r>
      <w:r>
        <w:rPr>
          <w:strike/>
          <w:color w:val="FF0000"/>
        </w:rPr>
        <w:t xml:space="preserve"> </w:t>
      </w:r>
      <w:r>
        <w:rPr>
          <w:rFonts w:ascii="Times New Roman;serif" w:hAnsi="Times New Roman;serif"/>
          <w:b w:val="false"/>
          <w:strike/>
          <w:color w:val="FF0000"/>
          <w:sz w:val="22"/>
        </w:rPr>
        <w:t xml:space="preserve">and shall automatically be deemed incurred for the purposes of </w:t>
      </w:r>
      <w:r>
        <w:rPr>
          <w:rFonts w:ascii="Times New Roman;serif" w:hAnsi="Times New Roman;serif"/>
          <w:b w:val="false"/>
          <w:strike/>
          <w:color w:val="FF0000"/>
          <w:sz w:val="22"/>
          <w:u w:val="single"/>
        </w:rPr>
        <w:t>Section 7.01(a)</w:t>
      </w:r>
      <w:r>
        <w:rPr>
          <w:strike/>
          <w:color w:val="FF0000"/>
        </w:rPr>
        <w:t xml:space="preserve"> </w:t>
      </w:r>
      <w:r>
        <w:rPr>
          <w:rFonts w:ascii="Times New Roman;serif" w:hAnsi="Times New Roman;serif"/>
          <w:b w:val="false"/>
          <w:strike/>
          <w:color w:val="FF0000"/>
          <w:sz w:val="22"/>
        </w:rPr>
        <w:t xml:space="preserve">from and after the first date on which the Company or its Restricted Subsidiaries could have incurred such Indebtedness under </w:t>
      </w:r>
      <w:r>
        <w:rPr>
          <w:rFonts w:ascii="Times New Roman;serif" w:hAnsi="Times New Roman;serif"/>
          <w:b w:val="false"/>
          <w:strike/>
          <w:color w:val="FF0000"/>
          <w:sz w:val="22"/>
          <w:u w:val="single"/>
        </w:rPr>
        <w:t>Section 7.01(a)</w:t>
      </w:r>
      <w:r>
        <w:rPr>
          <w:strike/>
          <w:color w:val="FF0000"/>
        </w:rPr>
        <w:t xml:space="preserve"> </w:t>
      </w:r>
      <w:r>
        <w:rPr>
          <w:rFonts w:ascii="Times New Roman;serif" w:hAnsi="Times New Roman;serif"/>
          <w:b w:val="false"/>
          <w:strike/>
          <w:color w:val="FF0000"/>
          <w:sz w:val="22"/>
        </w:rPr>
        <w:t xml:space="preserve">without reliance on such clause of </w:t>
      </w:r>
      <w:r>
        <w:rPr>
          <w:rFonts w:ascii="Times New Roman;serif" w:hAnsi="Times New Roman;serif"/>
          <w:b w:val="false"/>
          <w:strike/>
          <w:color w:val="FF0000"/>
          <w:sz w:val="22"/>
          <w:u w:val="single"/>
        </w:rPr>
        <w:t>Section 7.01(b)</w:t>
      </w:r>
      <w:r>
        <w:rPr>
          <w:rFonts w:ascii="Times New Roman;serif" w:hAnsi="Times New Roman;serif"/>
          <w:b w:val="false"/>
          <w:strike/>
          <w:color w:val="FF0000"/>
          <w:sz w:val="22"/>
        </w:rPr>
        <w:t>;</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(b)    </w:t>
      </w:r>
      <w:r>
        <w:rPr>
          <w:rFonts w:ascii="Times New Roman;serif" w:hAnsi="Times New Roman;serif"/>
          <w:b w:val="false"/>
          <w:color w:val="0000FF"/>
          <w:sz w:val="22"/>
          <w:u w:val="single"/>
        </w:rPr>
        <w:t>[reserved];</w:t>
      </w:r>
    </w:p>
    <w:p>
      <w:pPr>
        <w:pStyle w:val="TextBody"/>
        <w:bidi w:val="0"/>
        <w:spacing w:before="0" w:after="0"/>
        <w:jc w:val="left"/>
        <w:rPr/>
      </w:pPr>
      <w:r>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6480175" cy="175260"/>
                <wp:effectExtent l="0" t="0" r="0" b="0"/>
                <wp:wrapNone/>
                <wp:docPr id="284" name="Frame2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 xml:space="preserve">all Indebtedness outstanding on the Closing Date under this Agreement shall be deemed incurred on the Closing Date under </w:t>
      </w:r>
      <w:r>
        <w:rPr>
          <w:rFonts w:ascii="Times New Roman;serif" w:hAnsi="Times New Roman;serif"/>
          <w:b w:val="false"/>
          <w:color w:val="000000"/>
          <w:sz w:val="22"/>
          <w:u w:val="single"/>
        </w:rPr>
        <w:t>clause (1)</w:t>
      </w:r>
      <w:r>
        <w:rPr>
          <w:color w:val="000000"/>
        </w:rPr>
        <w:t xml:space="preserve"> </w:t>
      </w:r>
      <w:r>
        <w:rPr>
          <w:rFonts w:ascii="Times New Roman;serif" w:hAnsi="Times New Roman;serif"/>
          <w:b w:val="false"/>
          <w:color w:val="000000"/>
          <w:sz w:val="22"/>
        </w:rPr>
        <w:t xml:space="preserve">of </w:t>
      </w:r>
      <w:r>
        <w:rPr>
          <w:rFonts w:ascii="Times New Roman;serif" w:hAnsi="Times New Roman;serif"/>
          <w:b w:val="false"/>
          <w:color w:val="000000"/>
          <w:sz w:val="22"/>
          <w:u w:val="single"/>
        </w:rPr>
        <w:t>Section 7.01(b)</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(d)    </w:t>
      </w:r>
      <w:r>
        <w:rPr>
          <w:rFonts w:ascii="Times New Roman;serif" w:hAnsi="Times New Roman;serif"/>
          <w:b w:val="false"/>
          <w:color w:val="000000"/>
          <w:sz w:val="22"/>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refinancing; discount, upfront fees or similar fees) in connection with such refinancing;</w:t>
      </w:r>
    </w:p>
    <w:p>
      <w:pPr>
        <w:pStyle w:val="TextBody"/>
        <w:bidi w:val="0"/>
        <w:spacing w:lineRule="auto" w:line="288" w:before="0" w:after="240"/>
        <w:ind w:left="0" w:right="0" w:hanging="720"/>
        <w:jc w:val="left"/>
        <w:rPr/>
      </w:pPr>
      <w:r>
        <w:rPr>
          <w:rFonts w:ascii="Times New Roman;serif" w:hAnsi="Times New Roman;serif"/>
          <w:b w:val="false"/>
          <w:color w:val="000000"/>
          <w:sz w:val="24"/>
        </w:rPr>
        <w:t>(e)    </w:t>
      </w:r>
      <w:r>
        <w:rPr>
          <w:rFonts w:ascii="Times New Roman;serif" w:hAnsi="Times New Roman;serif"/>
          <w:b w:val="false"/>
          <w:color w:val="000000"/>
          <w:sz w:val="22"/>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pStyle w:val="TextBody"/>
        <w:bidi w:val="0"/>
        <w:spacing w:lineRule="auto" w:line="288" w:before="0" w:after="240"/>
        <w:ind w:left="0" w:right="0" w:hanging="720"/>
        <w:jc w:val="left"/>
        <w:rPr/>
      </w:pPr>
      <w:r>
        <w:rPr>
          <w:rFonts w:ascii="Times New Roman;serif" w:hAnsi="Times New Roman;serif"/>
          <w:b w:val="false"/>
          <w:color w:val="000000"/>
          <w:sz w:val="24"/>
        </w:rPr>
        <w:t>(f)    </w:t>
      </w:r>
      <w:r>
        <w:rPr>
          <w:rFonts w:ascii="Times New Roman;serif" w:hAnsi="Times New Roman;serif"/>
          <w:b w:val="false"/>
          <w:color w:val="000000"/>
          <w:sz w:val="22"/>
        </w:rPr>
        <w:t xml:space="preserve">if obligations in respect of letters of credit, bankers’ acceptances or other similar instruments are being treated as incurred pursuant to any clause of </w:t>
      </w:r>
      <w:r>
        <w:rPr>
          <w:rFonts w:ascii="Times New Roman;serif" w:hAnsi="Times New Roman;serif"/>
          <w:b w:val="false"/>
          <w:color w:val="000000"/>
          <w:sz w:val="22"/>
          <w:u w:val="single"/>
        </w:rPr>
        <w:t>Section 7.01(b)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7.01(a)</w:t>
      </w:r>
      <w:r>
        <w:rPr>
          <w:color w:val="000000"/>
        </w:rPr>
        <w:t xml:space="preserve"> </w:t>
      </w:r>
      <w:r>
        <w:rPr>
          <w:rFonts w:ascii="Times New Roman;serif" w:hAnsi="Times New Roman;serif"/>
          <w:b w:val="false"/>
          <w:color w:val="000000"/>
          <w:sz w:val="22"/>
        </w:rPr>
        <w:t>and the letters of credit, bankers’ acceptances or other similar instruments relate to other Indebtedness, then such other Indebtedness shall not be included;</w:t>
      </w:r>
    </w:p>
    <w:p>
      <w:pPr>
        <w:pStyle w:val="TextBody"/>
        <w:bidi w:val="0"/>
        <w:spacing w:lineRule="auto" w:line="288" w:before="0" w:after="240"/>
        <w:ind w:left="0" w:right="0" w:hanging="720"/>
        <w:jc w:val="left"/>
        <w:rPr/>
      </w:pPr>
      <w:r>
        <w:rPr>
          <w:rFonts w:ascii="Times New Roman;serif" w:hAnsi="Times New Roman;serif"/>
          <w:b w:val="false"/>
          <w:color w:val="000000"/>
          <w:sz w:val="24"/>
        </w:rPr>
        <w:t>(g)    </w:t>
      </w:r>
      <w:r>
        <w:rPr>
          <w:rFonts w:ascii="Times New Roman;serif" w:hAnsi="Times New Roman;serif"/>
          <w:b w:val="false"/>
          <w:color w:val="000000"/>
          <w:sz w:val="22"/>
        </w:rPr>
        <w:t>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pStyle w:val="TextBody"/>
        <w:bidi w:val="0"/>
        <w:spacing w:lineRule="auto" w:line="288" w:before="0" w:after="240"/>
        <w:ind w:left="0" w:right="0" w:hanging="720"/>
        <w:jc w:val="left"/>
        <w:rPr/>
      </w:pPr>
      <w:r>
        <w:rPr>
          <w:rFonts w:ascii="Times New Roman;serif" w:hAnsi="Times New Roman;serif"/>
          <w:b w:val="false"/>
          <w:color w:val="000000"/>
          <w:sz w:val="24"/>
        </w:rPr>
        <w:t>(h)    </w:t>
      </w:r>
      <w:r>
        <w:rPr>
          <w:rFonts w:ascii="Times New Roman;serif" w:hAnsi="Times New Roman;serif"/>
          <w:b w:val="false"/>
          <w:color w:val="000000"/>
          <w:sz w:val="22"/>
        </w:rPr>
        <w:t>Indebtedness permitted by this covenant need not be permitted solely by reference to one provision permitting such Indebtedness but may be permitted in part by one such provision and in part by one or more other provisions of this covenant permitting such Indebtedness;</w:t>
      </w:r>
    </w:p>
    <w:p>
      <w:pPr>
        <w:pStyle w:val="TextBody"/>
        <w:bidi w:val="0"/>
        <w:spacing w:lineRule="auto" w:line="288" w:before="0" w:after="240"/>
        <w:ind w:left="0" w:right="0" w:hanging="720"/>
        <w:jc w:val="left"/>
        <w:rPr/>
      </w:pPr>
      <w:r>
        <w:rPr>
          <w:rFonts w:ascii="Times New Roman;serif" w:hAnsi="Times New Roman;serif"/>
          <w:b w:val="false"/>
          <w:color w:val="000000"/>
          <w:sz w:val="24"/>
        </w:rPr>
        <w:t>(i)    </w:t>
      </w:r>
      <w:r>
        <w:rPr>
          <w:rFonts w:ascii="Times New Roman;serif" w:hAnsi="Times New Roman;serif"/>
          <w:b w:val="false"/>
          <w:color w:val="000000"/>
          <w:sz w:val="22"/>
        </w:rPr>
        <w:t xml:space="preserve">notwithstanding anything in this covenant to the contrary, in the case of any Indebtedness incurred to refinance Indebtedness initially incurred in reliance on a clause of </w:t>
      </w:r>
      <w:r>
        <w:rPr>
          <w:rFonts w:ascii="Times New Roman;serif" w:hAnsi="Times New Roman;serif"/>
          <w:b w:val="false"/>
          <w:color w:val="000000"/>
          <w:sz w:val="22"/>
          <w:u w:val="single"/>
        </w:rPr>
        <w:t>Section 7.01(b)</w:t>
      </w:r>
      <w:r>
        <w:rPr>
          <w:color w:val="000000"/>
        </w:rPr>
        <w:t xml:space="preserve"> </w:t>
      </w:r>
      <w:r>
        <w:rPr>
          <w:rFonts w:ascii="Times New Roman;serif" w:hAnsi="Times New Roman;serif"/>
          <w:b w:val="false"/>
          <w:color w:val="000000"/>
          <w:sz w:val="22"/>
        </w:rPr>
        <w:t xml:space="preserve">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accrued and unpaid interest, dividends, premiums (including tender premiums), defeasance costs, underwriting discounts, fees, costs and expenses (including original issue discount, upfront fees or similar fees) in connection with such refinancing; and</w:t>
      </w:r>
    </w:p>
    <w:p>
      <w:pPr>
        <w:pStyle w:val="TextBody"/>
        <w:bidi w:val="0"/>
        <w:spacing w:lineRule="auto" w:line="288" w:before="0" w:after="240"/>
        <w:ind w:left="0" w:right="0" w:hanging="720"/>
        <w:jc w:val="left"/>
        <w:rPr/>
      </w:pPr>
      <w:r>
        <w:rPr>
          <w:rFonts w:ascii="Times New Roman;serif" w:hAnsi="Times New Roman;serif"/>
          <w:b w:val="false"/>
          <w:color w:val="000000"/>
          <w:sz w:val="24"/>
        </w:rPr>
        <w:t>(j)    </w:t>
      </w:r>
      <w:r>
        <w:rPr>
          <w:rFonts w:ascii="Times New Roman;serif" w:hAnsi="Times New Roman;serif"/>
          <w:b w:val="false"/>
          <w:color w:val="000000"/>
          <w:sz w:val="22"/>
        </w:rPr>
        <w:t>the amount of Indebtedness issued at a price that is less than the principal amount thereof will be equal to the amount of the liability in respect thereof determined in accordance with GAAP.</w:t>
      </w:r>
    </w:p>
    <w:p>
      <w:pPr>
        <w:pStyle w:val="TextBody"/>
        <w:bidi w:val="0"/>
        <w:spacing w:before="0" w:after="0"/>
        <w:jc w:val="left"/>
        <w:rPr/>
      </w:pPr>
      <w:r>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6480175" cy="175260"/>
                <wp:effectExtent l="0" t="0" r="0" b="0"/>
                <wp:wrapNone/>
                <wp:docPr id="285" name="Frame2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Times New Roman;serif" w:hAnsi="Times New Roman;serif"/>
          <w:b w:val="false"/>
          <w:color w:val="000000"/>
          <w:sz w:val="22"/>
          <w:u w:val="single"/>
        </w:rPr>
        <w:t>Section 7.01</w:t>
      </w:r>
      <w:r>
        <w:rPr>
          <w:rFonts w:ascii="Times New Roman;serif" w:hAnsi="Times New Roman;serif"/>
          <w:b w:val="false"/>
          <w:color w:val="000000"/>
          <w:sz w:val="22"/>
        </w:rPr>
        <w:t>, the Company shall be in default of this covenant).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(b) the aggregate amount of accrued and unpaid interest, dividends, premiums (including tender premiums), defeasance costs, underwriting discounts, fees, costs and expenses (including original issue discount, upfront fees or similar fees) in connection with such refinancing.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any other provision of this covenant, the maximum amount of Indebtedness that the Company or a Restricted Subsidiary may incur pursuant to this covenant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With respect to any Indebtedness that was permitted to be incurred hereunder on the date of such incurrence, any Increased Amount of such Indebtedness shall also be permitted hereunder after the date of such incurrence.</w:t>
      </w:r>
    </w:p>
    <w:p>
      <w:pPr>
        <w:pStyle w:val="TextBody"/>
        <w:bidi w:val="0"/>
        <w:spacing w:lineRule="auto" w:line="288" w:before="0" w:after="240"/>
        <w:ind w:left="0" w:right="0" w:firstLine="720"/>
        <w:jc w:val="left"/>
        <w:rPr/>
      </w:pPr>
      <w:r>
        <w:rPr>
          <w:rFonts w:ascii="Times New Roman;serif" w:hAnsi="Times New Roman;serif"/>
          <w:b w:val="false"/>
          <w:strike/>
          <w:color w:val="FF0000"/>
          <w:sz w:val="22"/>
        </w:rPr>
        <w:t xml:space="preserve">This </w:t>
      </w:r>
      <w:r>
        <w:rPr>
          <w:rFonts w:ascii="Times New Roman;serif" w:hAnsi="Times New Roman;serif"/>
          <w:b w:val="false"/>
          <w:color w:val="0000FF"/>
          <w:sz w:val="22"/>
          <w:u w:val="single"/>
        </w:rPr>
        <w:t xml:space="preserve">Except as set forth in </w:t>
      </w:r>
      <w:r>
        <w:rPr>
          <w:rFonts w:ascii="Times New Roman;serif" w:hAnsi="Times New Roman;serif"/>
          <w:b w:val="false"/>
          <w:color w:val="008000"/>
          <w:sz w:val="22"/>
          <w:u w:val="single"/>
        </w:rPr>
        <w:t>the definition of “</w:t>
      </w:r>
      <w:r>
        <w:rPr>
          <w:rFonts w:ascii="Times New Roman;serif" w:hAnsi="Times New Roman;serif"/>
          <w:b w:val="false"/>
          <w:color w:val="0000FF"/>
          <w:sz w:val="22"/>
          <w:u w:val="single"/>
        </w:rPr>
        <w:t xml:space="preserve">Junior Indebtedness”, this </w:t>
      </w:r>
      <w:r>
        <w:rPr>
          <w:rFonts w:ascii="Times New Roman;serif" w:hAnsi="Times New Roman;serif"/>
          <w:b w:val="false"/>
          <w:color w:val="000000"/>
          <w:sz w:val="22"/>
        </w:rPr>
        <w:t>Agreement will not treat (1) unsecured Indebtedness as subordinated or junior to secured Indebtedness merely because it is unsecured or (2) senior Indebtedness as subordinated or junior to any other senior Indebtedness merely because it has a junior priority with respect to the same collateral or is secured by different collateral or because it is guaranteed by different obligors.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7.02    </w:t>
      </w:r>
      <w:r>
        <w:rPr>
          <w:rFonts w:ascii="Times New Roman;serif" w:hAnsi="Times New Roman;serif"/>
          <w:b w:val="false"/>
          <w:color w:val="000000"/>
          <w:sz w:val="22"/>
          <w:u w:val="single"/>
        </w:rPr>
        <w:t>Limitations on Liens</w:t>
      </w:r>
      <w:r>
        <w:rPr>
          <w:rFonts w:ascii="Times New Roman;serif" w:hAnsi="Times New Roman;serif"/>
          <w:b w:val="false"/>
          <w:color w:val="000000"/>
          <w:sz w:val="22"/>
        </w:rPr>
        <w:t>. Create, incur or permit to exist any Lien securing Indebtedness (each, a “</w:t>
      </w:r>
      <w:r>
        <w:rPr>
          <w:rFonts w:ascii="Times New Roman;serif" w:hAnsi="Times New Roman;serif"/>
          <w:b/>
          <w:color w:val="000000"/>
          <w:sz w:val="22"/>
        </w:rPr>
        <w:t>Subject Lien</w:t>
      </w:r>
      <w:r>
        <w:rPr>
          <w:color w:val="000000"/>
        </w:rPr>
        <w:t>”</w:t>
      </w:r>
      <w:r>
        <w:rPr>
          <w:rFonts w:ascii="Times New Roman;serif" w:hAnsi="Times New Roman;serif"/>
          <w:b w:val="false"/>
          <w:color w:val="000000"/>
          <w:sz w:val="22"/>
        </w:rPr>
        <w:t xml:space="preserve">), except (x) if such Subject Lien is a Permitted Lien, (y) </w:t>
      </w:r>
      <w:r>
        <w:rPr>
          <w:rFonts w:ascii="Times New Roman;serif" w:hAnsi="Times New Roman;serif"/>
          <w:b w:val="false"/>
          <w:strike/>
          <w:color w:val="FF0000"/>
          <w:sz w:val="22"/>
        </w:rPr>
        <w:t xml:space="preserve">any Subject Lien if the obligations </w:t>
      </w:r>
      <w:r>
        <w:rPr>
          <w:rFonts w:ascii="Times New Roman;serif" w:hAnsi="Times New Roman;serif"/>
          <w:b w:val="false"/>
          <w:strike/>
          <w:color w:val="008000"/>
          <w:sz w:val="22"/>
        </w:rPr>
        <w:t xml:space="preserve">secured by </w:t>
      </w:r>
      <w:r>
        <w:rPr>
          <w:rFonts w:ascii="Times New Roman;serif" w:hAnsi="Times New Roman;serif"/>
          <w:b w:val="false"/>
          <w:strike/>
          <w:color w:val="FF0000"/>
          <w:sz w:val="22"/>
        </w:rPr>
        <w:t xml:space="preserve">such Subject Lien </w:t>
      </w:r>
      <w:r>
        <w:rPr>
          <w:rFonts w:ascii="Times New Roman;serif" w:hAnsi="Times New Roman;serif"/>
          <w:b w:val="false"/>
          <w:strike/>
          <w:color w:val="008000"/>
          <w:sz w:val="22"/>
        </w:rPr>
        <w:t>are junior to the Obligations and (</w:t>
      </w:r>
      <w:r>
        <w:rPr>
          <w:rFonts w:ascii="Times New Roman;serif" w:hAnsi="Times New Roman;serif"/>
          <w:b w:val="false"/>
          <w:strike/>
          <w:color w:val="FF0000"/>
          <w:sz w:val="22"/>
        </w:rPr>
        <w:t xml:space="preserve">z) in the case of any Subject Lien on assets or property not constituting Collateral, any Subject Lien if the Obligations are equally and ratably secured with, or on a senior basis </w:t>
      </w:r>
      <w:r>
        <w:rPr>
          <w:rFonts w:ascii="Times New Roman;serif" w:hAnsi="Times New Roman;serif"/>
          <w:b w:val="false"/>
          <w:strike/>
          <w:color w:val="008000"/>
          <w:sz w:val="22"/>
        </w:rPr>
        <w:t xml:space="preserve">to, the </w:t>
      </w:r>
      <w:r>
        <w:rPr>
          <w:rFonts w:ascii="Times New Roman;serif" w:hAnsi="Times New Roman;serif"/>
          <w:b w:val="false"/>
          <w:strike/>
          <w:color w:val="FF0000"/>
          <w:sz w:val="22"/>
        </w:rPr>
        <w:t>obligations secured by such Subject Lien</w:t>
      </w:r>
      <w:r>
        <w:rPr>
          <w:rFonts w:ascii="Times New Roman;serif" w:hAnsi="Times New Roman;serif"/>
          <w:b w:val="false"/>
          <w:color w:val="0000FF"/>
          <w:sz w:val="22"/>
          <w:u w:val="single"/>
        </w:rPr>
        <w:t>[reserved] and (z) [reserved]</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6480175" cy="175260"/>
                <wp:effectExtent l="0" t="0" r="0" b="0"/>
                <wp:wrapNone/>
                <wp:docPr id="286" name="Frame2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Any Lien created for the benefit of the Secured Parties pursuant to the preceding paragraph shall provide by its terms that such Lien shall be automatically and unconditionally released and discharged upon the release and discharge of the Subject Lien that gave rise to the obligation to so secure the Obligations. With respect to any Lien that was permitted to secure such Indebtedness at the time of the incurrence of such Indebtedness, such Lien shall also be permitted to secure any Increased Amount of such Indebtedness.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7.03    </w:t>
      </w:r>
      <w:r>
        <w:rPr>
          <w:rFonts w:ascii="Times New Roman;serif" w:hAnsi="Times New Roman;serif"/>
          <w:b w:val="false"/>
          <w:color w:val="000000"/>
          <w:sz w:val="22"/>
          <w:u w:val="single"/>
        </w:rPr>
        <w:t>Fundamental Changes</w:t>
      </w:r>
      <w:r>
        <w:rPr>
          <w:rFonts w:ascii="Times New Roman;serif" w:hAnsi="Times New Roman;serif"/>
          <w:b w:val="false"/>
          <w:color w:val="000000"/>
          <w:sz w:val="22"/>
        </w:rPr>
        <w:t xml:space="preserve">. Merge, dissolve, liquidate, amalgamate, consolidate with or into another Person, or dispose of (whether in one transaction or in a series of transactions) all or substantially all of its assets (whether now owned or hereafter acquired) to or in favor of any Person, except that, (other than in the case of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below) so long as no Event of Default would result therefrom:</w:t>
      </w:r>
    </w:p>
    <w:p>
      <w:pPr>
        <w:pStyle w:val="TextBody"/>
        <w:bidi w:val="0"/>
        <w:spacing w:lineRule="auto" w:line="288" w:before="0" w:after="240"/>
        <w:ind w:left="0" w:right="0" w:firstLine="720"/>
        <w:jc w:val="left"/>
        <w:rPr/>
      </w:pPr>
      <w:r>
        <w:rPr>
          <w:rFonts w:ascii="Times New Roman;serif" w:hAnsi="Times New Roman;serif"/>
          <w:b w:val="false"/>
          <w:color w:val="000000"/>
          <w:sz w:val="22"/>
        </w:rPr>
        <w:t>(a)    the Company or any Guarantor may merge, amalgamate or consolidate with or into, or directly or indirectly dispose of all or substantially all of its assets to (upon voluntary liquidation or otherwise) the Company or any Borrower, as applicable (including a merger, the purpose of which is to reorganize the Company or a Borrower into a new jurisdiction) or any other Person; that (A) the surviving person (if other than the Company or a Borrower or, in the case of a merger or sale of assets of a Guarantor, a Guarantor) shall be a person organized under the laws of an Applicable Jurisdiction and shall expressly assume the obligations of such Borrower or such Guarantor under the Loan Documents, as applicable, pursuant to documents reasonably acceptable to the Administrative Agent and (B) the surviving person (if other than the Company or a Borrower or, in the case of a merger or sale of assets of a Guarantor, a Guarantor) shall provide any 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PATRIOT Act</w:t>
      </w:r>
      <w:r>
        <w:rPr>
          <w:color w:val="0000FF"/>
          <w:u w:val="single"/>
        </w:rPr>
        <w:t xml:space="preserve"> </w:t>
      </w:r>
      <w:r>
        <w:rPr>
          <w:rFonts w:ascii="Times New Roman;serif" w:hAnsi="Times New Roman;serif"/>
          <w:b w:val="false"/>
          <w:color w:val="0000FF"/>
          <w:sz w:val="22"/>
          <w:u w:val="single"/>
        </w:rPr>
        <w:t xml:space="preserve">and shall deliver to the Administrative Agent such legal opinions, documents and certificates of the type referred to in Section 4.01 </w:t>
      </w:r>
      <w:r>
        <w:rPr>
          <w:rFonts w:ascii="Times New Roman;serif" w:hAnsi="Times New Roman;serif"/>
          <w:b w:val="false"/>
          <w:color w:val="008000"/>
          <w:sz w:val="22"/>
          <w:u w:val="single"/>
        </w:rPr>
        <w:t xml:space="preserve">as may be </w:t>
      </w:r>
      <w:r>
        <w:rPr>
          <w:rFonts w:ascii="Times New Roman;serif" w:hAnsi="Times New Roman;serif"/>
          <w:b w:val="false"/>
          <w:color w:val="0000FF"/>
          <w:sz w:val="22"/>
          <w:u w:val="single"/>
        </w:rPr>
        <w:t>reasonably requested by the Administrative Agent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any Guarantor or Co-Borrower may merge, amalgamate or consolidate with or into, or directly or indirectly dispose of all or substantially all of its assets to (upon voluntary liquidation or otherwise) a Borrower or any Restricted Subsidiary; that if the transferor in such a transaction is a Loan Party, then either (i) the transferee must either be a Borrower or a Guarantor (or </w:t>
      </w:r>
      <w:r>
        <w:rPr>
          <w:rFonts w:ascii="Times New Roman;serif" w:hAnsi="Times New Roman;serif"/>
          <w:b w:val="false"/>
          <w:strike/>
          <w:color w:val="FF0000"/>
          <w:sz w:val="22"/>
        </w:rPr>
        <w:t>becomes</w:t>
      </w:r>
      <w:r>
        <w:rPr>
          <w:rFonts w:ascii="Times New Roman;serif" w:hAnsi="Times New Roman;serif"/>
          <w:b w:val="false"/>
          <w:color w:val="0000FF"/>
          <w:sz w:val="22"/>
          <w:u w:val="single"/>
        </w:rPr>
        <w:t>become</w:t>
      </w:r>
      <w:r>
        <w:rPr>
          <w:color w:val="000000"/>
        </w:rPr>
        <w:t xml:space="preserve"> </w:t>
      </w:r>
      <w:r>
        <w:rPr>
          <w:rFonts w:ascii="Times New Roman;serif" w:hAnsi="Times New Roman;serif"/>
          <w:b w:val="false"/>
          <w:color w:val="000000"/>
          <w:sz w:val="22"/>
        </w:rPr>
        <w:t xml:space="preserve">a Guarantor concurrently with the transaction) or (ii) if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does not apply, to the extent such Disposition of assets shall be deemed to constitute either an Investment or Disposition, such Investment is a Permitted Investment or Indebtedness of a Non-Loan Party Subsidiary </w:t>
      </w:r>
      <w:r>
        <w:rPr>
          <w:rFonts w:ascii="Times New Roman;serif" w:hAnsi="Times New Roman;serif"/>
          <w:b w:val="false"/>
          <w:color w:val="0000FF"/>
          <w:sz w:val="22"/>
          <w:u w:val="single"/>
        </w:rPr>
        <w:t xml:space="preserve">permitted </w:t>
      </w:r>
      <w:r>
        <w:rPr>
          <w:rFonts w:ascii="Times New Roman;serif" w:hAnsi="Times New Roman;serif"/>
          <w:b w:val="false"/>
          <w:color w:val="000000"/>
          <w:sz w:val="22"/>
        </w:rPr>
        <w:t xml:space="preserve">in accordance with </w:t>
      </w:r>
      <w:r>
        <w:rPr>
          <w:rFonts w:ascii="Times New Roman;serif" w:hAnsi="Times New Roman;serif"/>
          <w:b w:val="false"/>
          <w:color w:val="000000"/>
          <w:sz w:val="22"/>
          <w:u w:val="single"/>
        </w:rPr>
        <w:t>Section 7.01</w:t>
      </w:r>
      <w:r>
        <w:rPr>
          <w:rFonts w:ascii="Times New Roman;serif" w:hAnsi="Times New Roman;serif"/>
          <w:b w:val="false"/>
          <w:color w:val="000000"/>
          <w:sz w:val="22"/>
        </w:rPr>
        <w:t>, respectively, or such Disposition is a Disposition permitted hereunder;</w:t>
      </w:r>
      <w:r>
        <w:rPr>
          <w:strike/>
          <w:color w:val="008000"/>
        </w:rPr>
        <w:t xml:space="preserve"> </w:t>
      </w:r>
      <w:r>
        <w:rPr>
          <w:rFonts w:ascii="Times New Roman;serif" w:hAnsi="Times New Roman;serif"/>
          <w:b w:val="false"/>
          <w:i/>
          <w:strike/>
          <w:color w:val="008000"/>
          <w:sz w:val="22"/>
        </w:rPr>
        <w:t>provided, further</w:t>
      </w:r>
      <w:r>
        <w:rPr>
          <w:rFonts w:ascii="Times New Roman;serif" w:hAnsi="Times New Roman;serif"/>
          <w:b w:val="false"/>
          <w:strike/>
          <w:color w:val="008000"/>
          <w:sz w:val="22"/>
        </w:rPr>
        <w:t xml:space="preserve">, that, </w:t>
      </w:r>
      <w:r>
        <w:rPr>
          <w:rFonts w:ascii="Times New Roman;serif" w:hAnsi="Times New Roman;serif"/>
          <w:b w:val="false"/>
          <w:strike/>
          <w:color w:val="FF0000"/>
          <w:sz w:val="22"/>
        </w:rPr>
        <w:t xml:space="preserve">if a Co-Borrower merges, amalgamates or consolidates with or into, or disposes of all or substantially all of its assets to, any Person, it shall cease to be a Co-Borrower in accordance with </w:t>
      </w:r>
      <w:r>
        <w:rPr>
          <w:rFonts w:ascii="Times New Roman;serif" w:hAnsi="Times New Roman;serif"/>
          <w:b w:val="false"/>
          <w:strike/>
          <w:color w:val="FF0000"/>
          <w:sz w:val="22"/>
          <w:u w:val="single"/>
        </w:rPr>
        <w:t>Section 11.03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any Guarantor or Co-Borrower may merge, amalgamate or consolidate with or into, or directly or indirectly dispose of all or substantially all of its assets to (upon voluntary liquidation or otherwise) any other Person in order to effect (i) a Permitted Investment or Indebtedness of a Non-Loan Party Subsidiary in accordance with </w:t>
      </w:r>
      <w:r>
        <w:rPr>
          <w:rFonts w:ascii="Times New Roman;serif" w:hAnsi="Times New Roman;serif"/>
          <w:b w:val="false"/>
          <w:color w:val="000000"/>
          <w:sz w:val="22"/>
          <w:u w:val="single"/>
        </w:rPr>
        <w:t xml:space="preserve">Section </w:t>
      </w:r>
      <w:r>
        <w:rPr>
          <w:rFonts w:ascii="Times New Roman;serif" w:hAnsi="Times New Roman;serif"/>
          <w:b w:val="false"/>
          <w:color w:val="0000FF"/>
          <w:sz w:val="22"/>
          <w:u w:val="single"/>
        </w:rPr>
        <w:t xml:space="preserve">7.05 or Section </w:t>
      </w:r>
      <w:r>
        <w:rPr>
          <w:rFonts w:ascii="Times New Roman;serif" w:hAnsi="Times New Roman;serif"/>
          <w:b w:val="false"/>
          <w:color w:val="000000"/>
          <w:sz w:val="22"/>
          <w:u w:val="single"/>
        </w:rPr>
        <w:t>7.01</w:t>
      </w:r>
      <w:r>
        <w:rPr>
          <w:rFonts w:ascii="Times New Roman;serif" w:hAnsi="Times New Roman;serif"/>
          <w:b w:val="false"/>
          <w:color w:val="000000"/>
          <w:sz w:val="22"/>
        </w:rPr>
        <w:t xml:space="preserve">, respectively, and/or (ii) a Disposition permitted hereunder; that, </w:t>
      </w:r>
      <w:r>
        <w:rPr>
          <w:rFonts w:ascii="Times New Roman;serif" w:hAnsi="Times New Roman;serif"/>
          <w:b w:val="false"/>
          <w:strike/>
          <w:color w:val="FF0000"/>
          <w:sz w:val="22"/>
        </w:rPr>
        <w:t xml:space="preserve">if </w:t>
      </w:r>
      <w:r>
        <w:rPr>
          <w:rFonts w:ascii="Times New Roman;serif" w:hAnsi="Times New Roman;serif"/>
          <w:b w:val="false"/>
          <w:strike/>
          <w:color w:val="008000"/>
          <w:sz w:val="22"/>
        </w:rPr>
        <w:t xml:space="preserve">a Co-Borrower </w:t>
      </w:r>
      <w:r>
        <w:rPr>
          <w:rFonts w:ascii="Times New Roman;serif" w:hAnsi="Times New Roman;serif"/>
          <w:b w:val="false"/>
          <w:strike/>
          <w:color w:val="FF0000"/>
          <w:sz w:val="22"/>
        </w:rPr>
        <w:t xml:space="preserve">merges, amalgamates or consolidates with or into, or </w:t>
      </w:r>
    </w:p>
    <w:p>
      <w:pPr>
        <w:pStyle w:val="TextBody"/>
        <w:bidi w:val="0"/>
        <w:spacing w:before="0" w:after="0"/>
        <w:jc w:val="left"/>
        <w:rPr/>
      </w:pPr>
      <w:r>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6480175" cy="175260"/>
                <wp:effectExtent l="0" t="0" r="0" b="0"/>
                <wp:wrapNone/>
                <wp:docPr id="287" name="Frame2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disposes of all or substantially all of its assets to any Person, it shall cease to be a Co-Borrower </w:t>
      </w:r>
      <w:r>
        <w:rPr>
          <w:rFonts w:ascii="Times New Roman;serif" w:hAnsi="Times New Roman;serif"/>
          <w:b w:val="false"/>
          <w:strike/>
          <w:color w:val="008000"/>
          <w:sz w:val="22"/>
        </w:rPr>
        <w:t xml:space="preserve">in accordance with </w:t>
      </w:r>
      <w:r>
        <w:rPr>
          <w:rFonts w:ascii="Times New Roman;serif" w:hAnsi="Times New Roman;serif"/>
          <w:b w:val="false"/>
          <w:strike/>
          <w:color w:val="008000"/>
          <w:sz w:val="22"/>
          <w:u w:val="single"/>
        </w:rPr>
        <w:t xml:space="preserve">Section </w:t>
      </w:r>
      <w:r>
        <w:rPr>
          <w:rFonts w:ascii="Times New Roman;serif" w:hAnsi="Times New Roman;serif"/>
          <w:b w:val="false"/>
          <w:strike/>
          <w:color w:val="FF0000"/>
          <w:sz w:val="22"/>
          <w:u w:val="single"/>
        </w:rPr>
        <w:t>11.03</w:t>
      </w:r>
      <w:r>
        <w:rPr>
          <w:rFonts w:ascii="Times New Roman;serif" w:hAnsi="Times New Roman;serif"/>
          <w:b w:val="false"/>
          <w:strike/>
          <w:color w:val="FF0000"/>
          <w:sz w:val="22"/>
        </w:rPr>
        <w:t>;</w:t>
      </w:r>
      <w:r>
        <w:rPr>
          <w:rFonts w:ascii="Times New Roman;serif" w:hAnsi="Times New Roman;serif"/>
          <w:b w:val="false"/>
          <w:color w:val="0000FF"/>
          <w:sz w:val="22"/>
          <w:u w:val="single"/>
        </w:rPr>
        <w:t xml:space="preserve">in connection therewith, the surviving entity must be either a Guarantor </w:t>
      </w:r>
      <w:r>
        <w:rPr>
          <w:rFonts w:ascii="Times New Roman;serif" w:hAnsi="Times New Roman;serif"/>
          <w:b w:val="false"/>
          <w:color w:val="008000"/>
          <w:sz w:val="22"/>
          <w:u w:val="single"/>
        </w:rPr>
        <w:t xml:space="preserve">or a </w:t>
      </w:r>
      <w:r>
        <w:rPr>
          <w:rFonts w:ascii="Times New Roman;serif" w:hAnsi="Times New Roman;serif"/>
          <w:b w:val="false"/>
          <w:color w:val="0000FF"/>
          <w:sz w:val="22"/>
          <w:u w:val="single"/>
        </w:rPr>
        <w:t>Co-Borrower</w:t>
      </w:r>
      <w:r>
        <w:rPr>
          <w:rFonts w:ascii="Times New Roman;serif" w:hAnsi="Times New Roman;serif"/>
          <w:b w:val="false"/>
          <w:color w:val="008000"/>
          <w:sz w:val="22"/>
          <w:u w:val="single"/>
        </w:rPr>
        <w:t>, as applicable;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the Restricted Group may consummate the Transactions;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the Restricted Group may engage in any Permitted </w:t>
      </w:r>
      <w:r>
        <w:rPr>
          <w:rFonts w:ascii="Times New Roman;serif" w:hAnsi="Times New Roman;serif"/>
          <w:b w:val="false"/>
          <w:strike/>
          <w:color w:val="FF0000"/>
          <w:sz w:val="22"/>
        </w:rPr>
        <w:t>Tax Restructuring</w:t>
      </w:r>
      <w:r>
        <w:rPr>
          <w:rFonts w:ascii="Times New Roman;serif" w:hAnsi="Times New Roman;serif"/>
          <w:b w:val="false"/>
          <w:color w:val="008000"/>
          <w:sz w:val="22"/>
          <w:u w:val="single"/>
        </w:rPr>
        <w:t xml:space="preserve">Intercompany Activities </w:t>
      </w:r>
      <w:r>
        <w:rPr>
          <w:rFonts w:ascii="Times New Roman;serif" w:hAnsi="Times New Roman;serif"/>
          <w:b w:val="false"/>
          <w:color w:val="0000FF"/>
          <w:sz w:val="22"/>
          <w:u w:val="single"/>
        </w:rPr>
        <w:t>or any Permitted Tax Restructurings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any Guarantor or Co-Borrower may merge, amalgamate or consolidate with or into, or directly or indirectly dispose of all or substantially all of its assets to (upon voluntary liquidation or otherwise) any Person, so long as (i) such transaction is undertaken in good faith to improve the tax efficiency of any direct or indirect parent of the Company, and/or any of its Subsidiaries, and (ii) after giving effect to such transaction, each of the security interest of the Collateral Agent in the Collateral, taken as a whole, and the value of the Guarantees, taken as a whole, is not materially impaired (as determined in good faith by the Borrower); that, </w:t>
      </w:r>
      <w:r>
        <w:rPr>
          <w:rFonts w:ascii="Times New Roman;serif" w:hAnsi="Times New Roman;serif"/>
          <w:b w:val="false"/>
          <w:strike/>
          <w:color w:val="FF0000"/>
          <w:sz w:val="22"/>
        </w:rPr>
        <w:t xml:space="preserve">if a Co-Borrower merges, amalgamates or consolidates with or into, or disposes of all or substantially all of its assets to any Person, it shall cease to be a Co-Borrower in accordance with </w:t>
      </w:r>
      <w:r>
        <w:rPr>
          <w:rFonts w:ascii="Times New Roman;serif" w:hAnsi="Times New Roman;serif"/>
          <w:b w:val="false"/>
          <w:strike/>
          <w:color w:val="FF0000"/>
          <w:sz w:val="22"/>
          <w:u w:val="single"/>
        </w:rPr>
        <w:t>Section 11.03</w:t>
      </w:r>
      <w:r>
        <w:rPr>
          <w:rFonts w:ascii="Times New Roman;serif" w:hAnsi="Times New Roman;serif"/>
          <w:b w:val="false"/>
          <w:strike/>
          <w:color w:val="FF0000"/>
          <w:sz w:val="22"/>
        </w:rPr>
        <w:t>;</w:t>
      </w:r>
      <w:r>
        <w:rPr>
          <w:rFonts w:ascii="Times New Roman;serif" w:hAnsi="Times New Roman;serif"/>
          <w:b w:val="false"/>
          <w:color w:val="0000FF"/>
          <w:sz w:val="22"/>
          <w:u w:val="single"/>
        </w:rPr>
        <w:t xml:space="preserve">in connection therewith, the surviving entity must be either a Guarantor or </w:t>
      </w:r>
      <w:r>
        <w:rPr>
          <w:rFonts w:ascii="Times New Roman;serif" w:hAnsi="Times New Roman;serif"/>
          <w:b w:val="false"/>
          <w:color w:val="008000"/>
          <w:sz w:val="22"/>
          <w:u w:val="single"/>
        </w:rPr>
        <w:t>a Co-Borrower</w:t>
      </w:r>
      <w:r>
        <w:rPr>
          <w:rFonts w:ascii="Times New Roman;serif" w:hAnsi="Times New Roman;serif"/>
          <w:b w:val="false"/>
          <w:color w:val="0000FF"/>
          <w:sz w:val="22"/>
          <w:u w:val="single"/>
        </w:rPr>
        <w:t>, as applicable;</w:t>
      </w:r>
    </w:p>
    <w:p>
      <w:pPr>
        <w:pStyle w:val="TextBody"/>
        <w:bidi w:val="0"/>
        <w:spacing w:lineRule="auto" w:line="288" w:before="0" w:after="240"/>
        <w:ind w:left="0" w:right="0" w:firstLine="720"/>
        <w:jc w:val="left"/>
        <w:rPr/>
      </w:pPr>
      <w:r>
        <w:rPr>
          <w:rFonts w:ascii="Times New Roman;serif" w:hAnsi="Times New Roman;serif"/>
          <w:b w:val="false"/>
          <w:color w:val="000000"/>
          <w:sz w:val="22"/>
        </w:rPr>
        <w:t>(h)    the Company and any Co-Borrower may contribute Capital Stock of any or all of their subsidiaries to any Guarantor</w:t>
      </w:r>
      <w:r>
        <w:rPr>
          <w:strike/>
          <w:color w:val="008000"/>
        </w:rPr>
        <w:t xml:space="preserve"> </w:t>
      </w:r>
      <w:r>
        <w:rPr>
          <w:rFonts w:ascii="Times New Roman;serif" w:hAnsi="Times New Roman;serif"/>
          <w:b w:val="false"/>
          <w:strike/>
          <w:color w:val="008000"/>
          <w:sz w:val="22"/>
        </w:rPr>
        <w:t xml:space="preserve">or any </w:t>
      </w:r>
      <w:r>
        <w:rPr>
          <w:rFonts w:ascii="Times New Roman;serif" w:hAnsi="Times New Roman;serif"/>
          <w:b w:val="false"/>
          <w:strike/>
          <w:color w:val="FF0000"/>
          <w:sz w:val="22"/>
        </w:rPr>
        <w:t>Restricted Subsidiary</w:t>
      </w:r>
      <w:r>
        <w:rPr>
          <w:rFonts w:ascii="Times New Roman;serif" w:hAnsi="Times New Roman;serif"/>
          <w:b w:val="false"/>
          <w:color w:val="000000"/>
          <w:sz w:val="22"/>
        </w:rPr>
        <w: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any Permitted Investment and/or Disposition permitted hereunder may be structured as a merger, consolidation or amalgamation.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notwithstanding anything else contained herein, any LLC Conversion shall be permitted under this Agreement and each other Loan Document.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7.04    </w:t>
      </w:r>
      <w:r>
        <w:rPr>
          <w:rFonts w:ascii="Times New Roman;serif" w:hAnsi="Times New Roman;serif"/>
          <w:b w:val="false"/>
          <w:color w:val="000000"/>
          <w:sz w:val="22"/>
          <w:u w:val="single"/>
        </w:rPr>
        <w:t>Asset Dispositions</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Cause or make any Asset Disposition, unless: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    The Company or such Restricted Subsidiary, as applicable,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in any such Asset Disposition, or series of related Asset Dispositions (except to the extent the Asset Disposition is a Permitted Asset Swap), with a purchase price in excess of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100,000,000 and (ii) 20.0% of LTM EBITDA</w:t>
      </w:r>
      <w:r>
        <w:rPr>
          <w:rFonts w:ascii="Times New Roman;serif" w:hAnsi="Times New Roman;serif"/>
          <w:b w:val="false"/>
          <w:color w:val="0000FF"/>
          <w:sz w:val="22"/>
          <w:u w:val="single"/>
        </w:rPr>
        <w:t>30,000,000</w:t>
      </w:r>
      <w:r>
        <w:rPr>
          <w:rFonts w:ascii="Times New Roman;serif" w:hAnsi="Times New Roman;serif"/>
          <w:b w:val="false"/>
          <w:color w:val="000000"/>
          <w:sz w:val="22"/>
        </w:rPr>
        <w:t xml:space="preserve">, at least 75% of the consideration from such Asset Disposition, together with all other Asset Dispositions since the Closing Date as to which this </w:t>
      </w:r>
      <w:r>
        <w:rPr>
          <w:rFonts w:ascii="Times New Roman;serif" w:hAnsi="Times New Roman;serif"/>
          <w:b w:val="false"/>
          <w:color w:val="000000"/>
          <w:sz w:val="22"/>
          <w:u w:val="single"/>
        </w:rPr>
        <w:t>clause (2)</w:t>
      </w:r>
      <w:r>
        <w:rPr>
          <w:color w:val="000000"/>
        </w:rPr>
        <w:t xml:space="preserve"> </w:t>
      </w:r>
      <w:r>
        <w:rPr>
          <w:rFonts w:ascii="Times New Roman;serif" w:hAnsi="Times New Roman;serif"/>
          <w:b w:val="false"/>
          <w:color w:val="000000"/>
          <w:sz w:val="22"/>
        </w:rPr>
        <w:t xml:space="preserve">applies (on a cumulative basis), received by the Company or such Restricted Subsidiary, as applicable, is in the form of cash or Cash Equivalents; </w:t>
      </w:r>
      <w:r>
        <w:rPr>
          <w:rFonts w:ascii="Times New Roman;serif" w:hAnsi="Times New Roman;serif"/>
          <w:b w:val="false"/>
          <w:strike/>
          <w:color w:val="FF0000"/>
          <w:sz w:val="22"/>
        </w:rPr>
        <w:t>that</w:t>
      </w:r>
      <w:r>
        <w:rPr>
          <w:rFonts w:ascii="Times New Roman;serif" w:hAnsi="Times New Roman;serif"/>
          <w:b w:val="false"/>
          <w:strike/>
          <w:color w:val="008000"/>
          <w:sz w:val="22"/>
        </w:rPr>
        <w:t xml:space="preserve">, for purposes of this </w:t>
      </w:r>
      <w:r>
        <w:rPr>
          <w:rFonts w:ascii="Times New Roman;serif" w:hAnsi="Times New Roman;serif"/>
          <w:b w:val="false"/>
          <w:strike/>
          <w:color w:val="008000"/>
          <w:sz w:val="22"/>
          <w:u w:val="single"/>
        </w:rPr>
        <w:t>clause (</w:t>
      </w:r>
      <w:r>
        <w:rPr>
          <w:rFonts w:ascii="Times New Roman;serif" w:hAnsi="Times New Roman;serif"/>
          <w:b w:val="false"/>
          <w:strike/>
          <w:color w:val="FF0000"/>
          <w:sz w:val="22"/>
          <w:u w:val="single"/>
        </w:rPr>
        <w:t>2)</w:t>
      </w:r>
      <w:r>
        <w:rPr>
          <w:rFonts w:ascii="Times New Roman;serif" w:hAnsi="Times New Roman;serif"/>
          <w:b w:val="false"/>
          <w:strike/>
          <w:color w:val="FF0000"/>
          <w:sz w:val="22"/>
        </w:rPr>
        <w:t>, the following will be deemed to be cash:</w:t>
      </w:r>
    </w:p>
    <w:p>
      <w:pPr>
        <w:pStyle w:val="TextBody"/>
        <w:bidi w:val="0"/>
        <w:spacing w:before="0" w:after="0"/>
        <w:jc w:val="left"/>
        <w:rPr/>
      </w:pPr>
      <w:r>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6480175" cy="175260"/>
                <wp:effectExtent l="0" t="0" r="0" b="0"/>
                <wp:wrapNone/>
                <wp:docPr id="288" name="Frame2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 </w:t>
      </w:r>
      <w:r>
        <w:rPr>
          <w:rFonts w:ascii="Times New Roman;serif" w:hAnsi="Times New Roman;serif"/>
          <w:b w:val="false"/>
          <w:strike/>
          <w:color w:val="FF0000"/>
          <w:sz w:val="22"/>
        </w:rPr>
        <w:t>the assumption by the transferee of Indebtedness or other liabilities (including by way of relief from, or by any other Person assuming responsibility for, any such Indebtedness or other liabilities, contingent or otherwise) of the Company or a Restricted Subsidiary (other than Subordinated Indebtedness of a Borrower or a Guarantor) or the release of the Company or such Restricted Subsidiary from all liability on such Indebtedness or other liability in connection with such Asset Disposition;</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(ii) </w:t>
      </w:r>
      <w:r>
        <w:rPr>
          <w:rFonts w:ascii="Times New Roman;serif" w:hAnsi="Times New Roman;serif"/>
          <w:b w:val="false"/>
          <w:strike/>
          <w:color w:val="FF0000"/>
          <w:sz w:val="22"/>
        </w:rPr>
        <w:t>securities, notes or other obligations or other property received by the Company or any Restricted Subsidiary from the transferee that are converted by the Company or such Restricted Subsidiary into cash or Cash Equivalents, or by their terms are required to be satisfied for cash and Cash Equivalents (to the extent of the cash or Cash Equivalents received), in each case, within 365 days following the closing of such Asset Disposition;</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(iii) </w:t>
      </w:r>
      <w:r>
        <w:rPr>
          <w:rFonts w:ascii="Times New Roman;serif" w:hAnsi="Times New Roman;serif"/>
          <w:b w:val="false"/>
          <w:strike/>
          <w:color w:val="FF0000"/>
          <w:sz w:val="22"/>
        </w:rPr>
        <w:t>Indebtedness of any Restricted Subsidiary that is no longer a Restricted Subsidiary as a result of such Asset Disposition, to the extent that, immediately following such Asset Disposition, neither the Company nor any other Restricted Subsidiary Guarantees the payment of such Indebtedness;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(iv) </w:t>
      </w:r>
      <w:r>
        <w:rPr>
          <w:rFonts w:ascii="Times New Roman;serif" w:hAnsi="Times New Roman;serif"/>
          <w:b w:val="false"/>
          <w:strike/>
          <w:color w:val="FF0000"/>
          <w:sz w:val="22"/>
        </w:rPr>
        <w:t xml:space="preserve">consideration consisting </w:t>
      </w:r>
      <w:r>
        <w:rPr>
          <w:rFonts w:ascii="Times New Roman;serif" w:hAnsi="Times New Roman;serif"/>
          <w:b w:val="false"/>
          <w:strike/>
          <w:color w:val="008000"/>
          <w:sz w:val="22"/>
        </w:rPr>
        <w:t xml:space="preserve">of Indebtedness of the </w:t>
      </w:r>
      <w:r>
        <w:rPr>
          <w:rFonts w:ascii="Times New Roman;serif" w:hAnsi="Times New Roman;serif"/>
          <w:b w:val="false"/>
          <w:strike/>
          <w:color w:val="FF0000"/>
          <w:sz w:val="22"/>
        </w:rPr>
        <w:t>Company (other than Subordinated Indebtedness) received after the Closing Date from Persons who are not the Company or any Restricted Subsidiary; and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(v) </w:t>
      </w:r>
      <w:r>
        <w:rPr>
          <w:rFonts w:ascii="Times New Roman;serif" w:hAnsi="Times New Roman;serif"/>
          <w:b w:val="false"/>
          <w:strike/>
          <w:color w:val="FF0000"/>
          <w:sz w:val="22"/>
        </w:rPr>
        <w:t xml:space="preserve">any Designated Non-Cash Consideration received </w:t>
      </w:r>
      <w:r>
        <w:rPr>
          <w:rFonts w:ascii="Times New Roman;serif" w:hAnsi="Times New Roman;serif"/>
          <w:b w:val="false"/>
          <w:strike/>
          <w:color w:val="008000"/>
          <w:sz w:val="22"/>
        </w:rPr>
        <w:t xml:space="preserve">by the Company or any </w:t>
      </w:r>
      <w:r>
        <w:rPr>
          <w:rFonts w:ascii="Times New Roman;serif" w:hAnsi="Times New Roman;serif"/>
          <w:b w:val="false"/>
          <w:strike/>
          <w:color w:val="FF0000"/>
          <w:sz w:val="22"/>
        </w:rPr>
        <w:t xml:space="preserve">Restricted Subsidiary in such Asset Dispositions having an aggregate fair market value, taken together with all other Designated Non-Cash Consideration received </w:t>
      </w:r>
      <w:r>
        <w:rPr>
          <w:rFonts w:ascii="Times New Roman;serif" w:hAnsi="Times New Roman;serif"/>
          <w:b w:val="false"/>
          <w:strike/>
          <w:color w:val="008000"/>
          <w:sz w:val="22"/>
        </w:rPr>
        <w:t xml:space="preserve">pursuant to this </w:t>
      </w:r>
      <w:r>
        <w:rPr>
          <w:rFonts w:ascii="Times New Roman;serif" w:hAnsi="Times New Roman;serif"/>
          <w:b w:val="false"/>
          <w:strike/>
          <w:color w:val="FF0000"/>
          <w:sz w:val="22"/>
        </w:rPr>
        <w:t xml:space="preserve">covenant that is at that </w:t>
      </w:r>
      <w:r>
        <w:rPr>
          <w:rFonts w:ascii="Times New Roman;serif" w:hAnsi="Times New Roman;serif"/>
          <w:b w:val="false"/>
          <w:strike/>
          <w:color w:val="008000"/>
          <w:sz w:val="22"/>
        </w:rPr>
        <w:t>time outstanding</w:t>
      </w:r>
      <w:r>
        <w:rPr>
          <w:rFonts w:ascii="Times New Roman;serif" w:hAnsi="Times New Roman;serif"/>
          <w:b w:val="false"/>
          <w:strike/>
          <w:color w:val="FF0000"/>
          <w:sz w:val="22"/>
        </w:rPr>
        <w:t>, not to exceed the greater of (i) $150,000,000 and (ii) 30.0% of LTM EBITDA, with the fair market value of each item of Designated Non-Cash Consideration being measured at the time received and without giving effect to subsequent changes in value; and</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(3)    within </w:t>
      </w:r>
      <w:r>
        <w:rPr>
          <w:rFonts w:ascii="Times New Roman;serif" w:hAnsi="Times New Roman;serif"/>
          <w:b w:val="false"/>
          <w:strike/>
          <w:color w:val="FF0000"/>
          <w:sz w:val="22"/>
        </w:rPr>
        <w:t>540</w:t>
      </w:r>
      <w:r>
        <w:rPr>
          <w:rFonts w:ascii="Times New Roman;serif" w:hAnsi="Times New Roman;serif"/>
          <w:b w:val="false"/>
          <w:color w:val="0000FF"/>
          <w:sz w:val="22"/>
          <w:u w:val="single"/>
        </w:rPr>
        <w:t>90</w:t>
      </w:r>
      <w:r>
        <w:rPr>
          <w:color w:val="000000"/>
        </w:rPr>
        <w:t xml:space="preserve"> </w:t>
      </w:r>
      <w:r>
        <w:rPr>
          <w:rFonts w:ascii="Times New Roman;serif" w:hAnsi="Times New Roman;serif"/>
          <w:b w:val="false"/>
          <w:color w:val="000000"/>
          <w:sz w:val="22"/>
        </w:rPr>
        <w:t>days from the later of (A) the date of such Asset Disposition and (B) the receipt of the Net Cash Proceeds from such Asset Disposition</w:t>
      </w:r>
      <w:r>
        <w:rPr>
          <w:strike/>
          <w:color w:val="FF0000"/>
        </w:rPr>
        <w:t xml:space="preserve"> </w:t>
      </w:r>
      <w:r>
        <w:rPr>
          <w:rFonts w:ascii="Times New Roman;serif" w:hAnsi="Times New Roman;serif"/>
          <w:b w:val="false"/>
          <w:strike/>
          <w:color w:val="FF0000"/>
          <w:sz w:val="22"/>
        </w:rPr>
        <w:t>(</w:t>
      </w:r>
      <w:r>
        <w:rPr>
          <w:rFonts w:ascii="Times New Roman;serif" w:hAnsi="Times New Roman;serif"/>
          <w:b w:val="false"/>
          <w:strike/>
          <w:color w:val="008000"/>
          <w:sz w:val="22"/>
        </w:rPr>
        <w:t xml:space="preserve">as may be </w:t>
      </w:r>
      <w:r>
        <w:rPr>
          <w:rFonts w:ascii="Times New Roman;serif" w:hAnsi="Times New Roman;serif"/>
          <w:b w:val="false"/>
          <w:strike/>
          <w:color w:val="FF0000"/>
          <w:sz w:val="22"/>
        </w:rPr>
        <w:t>extended by an Acceptable Commitment as set forth below)</w:t>
      </w:r>
      <w:r>
        <w:rPr>
          <w:rFonts w:ascii="Times New Roman;serif" w:hAnsi="Times New Roman;serif"/>
          <w:b w:val="false"/>
          <w:color w:val="000000"/>
          <w:sz w:val="22"/>
        </w:rPr>
        <w:t>, an amount equal to the Net Cash Proceeds from such Asset Disposition is applied, to the extent the Company or any Restricted Subsidiary, as applicable, elects:</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 xml:space="preserve">to prepay Loans and other Permitted Debt in accordance with </w:t>
      </w:r>
      <w:r>
        <w:rPr>
          <w:rFonts w:ascii="Times New Roman;serif" w:hAnsi="Times New Roman;serif"/>
          <w:b w:val="false"/>
          <w:color w:val="000000"/>
          <w:sz w:val="22"/>
          <w:u w:val="single"/>
        </w:rPr>
        <w:t>Section 2.05(b)(ii)</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color w:val="000000"/>
          <w:sz w:val="22"/>
        </w:rPr>
        <w:t xml:space="preserve">(i) to invest (including capital expenditures) in or commit to invest in Additional Assets (including by means of an investment in Additional Assets by a Restricted Subsidiary); </w:t>
      </w:r>
      <w:r>
        <w:rPr>
          <w:rFonts w:ascii="Times New Roman;serif" w:hAnsi="Times New Roman;serif"/>
          <w:b w:val="false"/>
          <w:color w:val="0000FF"/>
          <w:sz w:val="22"/>
          <w:u w:val="single"/>
        </w:rPr>
        <w:t xml:space="preserve">provided that if such Asset Disposition is by a Loan Party, then such investment in Additional Assets shall be in the assets of a Loan Party; </w:t>
      </w:r>
      <w:r>
        <w:rPr>
          <w:rFonts w:ascii="Times New Roman;serif" w:hAnsi="Times New Roman;serif"/>
          <w:b w:val="false"/>
          <w:color w:val="000000"/>
          <w:sz w:val="22"/>
        </w:rPr>
        <w:t>or</w:t>
      </w:r>
    </w:p>
    <w:p>
      <w:pPr>
        <w:pStyle w:val="TextBody"/>
        <w:bidi w:val="0"/>
        <w:spacing w:lineRule="auto" w:line="288" w:before="0" w:after="24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(ii) [reserved];</w:t>
      </w:r>
    </w:p>
    <w:p>
      <w:pPr>
        <w:pStyle w:val="TextBody"/>
        <w:bidi w:val="0"/>
        <w:spacing w:lineRule="auto" w:line="288" w:before="0" w:after="240"/>
        <w:jc w:val="left"/>
        <w:rPr>
          <w:rFonts w:ascii="Times New Roman;serif" w:hAnsi="Times New Roman;serif"/>
          <w:b w:val="false"/>
          <w:strike/>
          <w:color w:val="FF0000"/>
          <w:sz w:val="22"/>
        </w:rPr>
      </w:pPr>
      <w:r>
        <w:rPr>
          <w:rFonts w:ascii="Times New Roman;serif" w:hAnsi="Times New Roman;serif"/>
          <w:b w:val="false"/>
          <w:strike/>
          <w:color w:val="FF0000"/>
          <w:sz w:val="22"/>
        </w:rPr>
        <w:t xml:space="preserve">(ii) to invest (including capital expenditures) in any one or more businesses, properties or assets that replace the businesses, properties and/or assets that are </w:t>
      </w:r>
    </w:p>
    <w:p>
      <w:pPr>
        <w:pStyle w:val="TextBody"/>
        <w:bidi w:val="0"/>
        <w:spacing w:before="0" w:after="0"/>
        <w:jc w:val="left"/>
        <w:rPr/>
      </w:pPr>
      <w:r>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6480175" cy="175260"/>
                <wp:effectExtent l="0" t="0" r="0" b="0"/>
                <wp:wrapNone/>
                <wp:docPr id="289" name="Frame2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the subject of such Asset Disposition, with any such investment made by way of a capital or other lease valued at the present value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minimum </w:t>
      </w:r>
      <w:r>
        <w:rPr>
          <w:rFonts w:ascii="Times New Roman;serif" w:hAnsi="Times New Roman;serif"/>
          <w:b w:val="false"/>
          <w:strike/>
          <w:color w:val="008000"/>
          <w:sz w:val="22"/>
        </w:rPr>
        <w:t xml:space="preserve">amount of payments </w:t>
      </w:r>
      <w:r>
        <w:rPr>
          <w:rFonts w:ascii="Times New Roman;serif" w:hAnsi="Times New Roman;serif"/>
          <w:b w:val="false"/>
          <w:strike/>
          <w:color w:val="FF0000"/>
          <w:sz w:val="22"/>
        </w:rPr>
        <w:t xml:space="preserve">under such lease (as reasonably determined </w:t>
      </w:r>
      <w:r>
        <w:rPr>
          <w:rFonts w:ascii="Times New Roman;serif" w:hAnsi="Times New Roman;serif"/>
          <w:b w:val="false"/>
          <w:strike/>
          <w:color w:val="008000"/>
          <w:sz w:val="22"/>
        </w:rPr>
        <w:t xml:space="preserve">by the </w:t>
      </w:r>
      <w:r>
        <w:rPr>
          <w:rFonts w:ascii="Times New Roman;serif" w:hAnsi="Times New Roman;serif"/>
          <w:b w:val="false"/>
          <w:strike/>
          <w:color w:val="FF0000"/>
          <w:sz w:val="22"/>
        </w:rPr>
        <w:t>Company);</w:t>
      </w:r>
    </w:p>
    <w:p>
      <w:pPr>
        <w:pStyle w:val="TextBody"/>
        <w:bidi w:val="0"/>
        <w:spacing w:lineRule="auto" w:line="288" w:before="0" w:after="240"/>
        <w:jc w:val="left"/>
        <w:rPr/>
      </w:pPr>
      <w:r>
        <w:rPr>
          <w:rFonts w:ascii="Times New Roman;serif" w:hAnsi="Times New Roman;serif"/>
          <w:b w:val="false"/>
          <w:i/>
          <w:strike/>
          <w:color w:val="008000"/>
          <w:sz w:val="22"/>
        </w:rPr>
        <w:t>provided, however</w:t>
      </w:r>
      <w:r>
        <w:rPr>
          <w:rFonts w:ascii="Times New Roman;serif" w:hAnsi="Times New Roman;serif"/>
          <w:b w:val="false"/>
          <w:strike/>
          <w:color w:val="008000"/>
          <w:sz w:val="22"/>
        </w:rPr>
        <w:t xml:space="preserve">, </w:t>
      </w:r>
      <w:r>
        <w:rPr>
          <w:rFonts w:ascii="Times New Roman;serif" w:hAnsi="Times New Roman;serif"/>
          <w:b w:val="false"/>
          <w:strike/>
          <w:color w:val="FF0000"/>
          <w:sz w:val="22"/>
        </w:rPr>
        <w:t xml:space="preserve">that a binding agreement shall be treated as a permitted application of Net Cash Proceeds from the date of such commitment with the good faith expectation that </w:t>
      </w:r>
      <w:r>
        <w:rPr>
          <w:rFonts w:ascii="Times New Roman;serif" w:hAnsi="Times New Roman;serif"/>
          <w:b w:val="false"/>
          <w:strike/>
          <w:color w:val="008000"/>
          <w:sz w:val="22"/>
        </w:rPr>
        <w:t xml:space="preserve">an amount equal to </w:t>
      </w:r>
      <w:r>
        <w:rPr>
          <w:rFonts w:ascii="Times New Roman;serif" w:hAnsi="Times New Roman;serif"/>
          <w:b w:val="false"/>
          <w:strike/>
          <w:color w:val="FF0000"/>
          <w:sz w:val="22"/>
        </w:rPr>
        <w:t>Net Cash Proceeds will be applied to satisfy such commitment within 180 days after the end of such 540-day period (an “</w:t>
      </w:r>
      <w:r>
        <w:rPr>
          <w:rFonts w:ascii="Times New Roman;serif" w:hAnsi="Times New Roman;serif"/>
          <w:b/>
          <w:strike/>
          <w:color w:val="FF0000"/>
          <w:sz w:val="22"/>
        </w:rPr>
        <w:t>Acceptable Commitment</w:t>
      </w:r>
      <w:r>
        <w:rPr>
          <w:strike/>
          <w:color w:val="FF0000"/>
        </w:rPr>
        <w:t>”</w:t>
      </w:r>
      <w:r>
        <w:rPr>
          <w:rFonts w:ascii="Times New Roman;serif" w:hAnsi="Times New Roman;serif"/>
          <w:b w:val="false"/>
          <w:strike/>
          <w:color w:val="FF0000"/>
          <w:sz w:val="22"/>
        </w:rPr>
        <w:t>) that such investment is completed;</w: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to make any other Permitted Investment; or</w:t>
      </w:r>
    </w:p>
    <w:p>
      <w:pPr>
        <w:pStyle w:val="TextBody"/>
        <w:bidi w:val="0"/>
        <w:spacing w:lineRule="auto" w:line="288" w:before="0" w:after="240"/>
        <w:ind w:left="0" w:right="0" w:hanging="720"/>
        <w:jc w:val="left"/>
        <w:rPr/>
      </w:pPr>
      <w:r>
        <w:rPr>
          <w:rFonts w:ascii="Times New Roman;serif" w:hAnsi="Times New Roman;serif"/>
          <w:b w:val="false"/>
          <w:color w:val="000000"/>
          <w:sz w:val="24"/>
        </w:rPr>
        <w:t>(d)    </w:t>
      </w:r>
      <w:r>
        <w:rPr>
          <w:rFonts w:ascii="Times New Roman;serif" w:hAnsi="Times New Roman;serif"/>
          <w:b w:val="false"/>
          <w:color w:val="000000"/>
          <w:sz w:val="22"/>
        </w:rPr>
        <w:t>any combination of the foregoing</w:t>
      </w:r>
      <w:r>
        <w:rPr>
          <w:rFonts w:ascii="Times New Roman;serif" w:hAnsi="Times New Roman;serif"/>
          <w:b w:val="false"/>
          <w:strike/>
          <w:color w:val="FF0000"/>
          <w:sz w:val="22"/>
        </w:rPr>
        <w:t>.</w:t>
      </w:r>
      <w:r>
        <w:rPr>
          <w:rFonts w:ascii="Times New Roman;serif" w:hAnsi="Times New Roman;serif"/>
          <w:b w:val="false"/>
          <w:color w:val="0000FF"/>
          <w:sz w:val="22"/>
          <w:u w:val="single"/>
        </w:rPr>
        <w:t>;</w:t>
      </w:r>
    </w:p>
    <w:p>
      <w:pPr>
        <w:pStyle w:val="TextBody"/>
        <w:bidi w:val="0"/>
        <w:spacing w:lineRule="auto" w:line="288" w:before="0" w:after="240"/>
        <w:jc w:val="left"/>
        <w:rPr/>
      </w:pPr>
      <w:r>
        <w:rPr>
          <w:rFonts w:ascii="Times New Roman;serif" w:hAnsi="Times New Roman;serif"/>
          <w:b w:val="false"/>
          <w:color w:val="000000"/>
          <w:sz w:val="22"/>
        </w:rPr>
        <w:t xml:space="preserve">that (1) pending the final application of the amount of any such Net Cash Proceeds pursuant to </w:t>
      </w:r>
      <w:r>
        <w:rPr>
          <w:rFonts w:ascii="Times New Roman;serif" w:hAnsi="Times New Roman;serif"/>
          <w:b w:val="false"/>
          <w:color w:val="000000"/>
          <w:sz w:val="22"/>
          <w:u w:val="single"/>
        </w:rPr>
        <w:t>Section 2.05(b)(ii)</w:t>
      </w:r>
      <w:r>
        <w:rPr>
          <w:color w:val="000000"/>
        </w:rPr>
        <w:t xml:space="preserve"> </w:t>
      </w:r>
      <w:r>
        <w:rPr>
          <w:rFonts w:ascii="Times New Roman;serif" w:hAnsi="Times New Roman;serif"/>
          <w:b w:val="false"/>
          <w:color w:val="000000"/>
          <w:sz w:val="22"/>
        </w:rPr>
        <w:t xml:space="preserve">and this </w:t>
      </w:r>
      <w:r>
        <w:rPr>
          <w:rFonts w:ascii="Times New Roman;serif" w:hAnsi="Times New Roman;serif"/>
          <w:b w:val="false"/>
          <w:color w:val="000000"/>
          <w:sz w:val="22"/>
          <w:u w:val="single"/>
        </w:rPr>
        <w:t>Section 7.04</w:t>
      </w:r>
      <w:r>
        <w:rPr>
          <w:rFonts w:ascii="Times New Roman;serif" w:hAnsi="Times New Roman;serif"/>
          <w:b w:val="false"/>
          <w:color w:val="000000"/>
          <w:sz w:val="22"/>
        </w:rPr>
        <w:t>, the Company or the applicable Restricted Subsidiaries may apply such Net Cash Proceeds temporarily to reduce Indebtedness under the Revolving Credit Facility or otherwise apply such Net Cash Proceeds in any manner not prohibited by this Agreement, and (2) the Company (or any Restricted Subsidiary, as applicable) may elect to invest in Additional Assets prior to receiving the Net Cash Proceeds attributable to any given Asset Disposition ( that such investment shall be made no earlier than the earliest of notice to the Administrative Agent of the relevant Asset Disposition, execution of a definitive agreement for the relevant Asset Disposition, and consummation of the relevant Asset Disposition) and deem the amount so invested to be applied pursuant to and in accordance with clause (b) above with respect to such Asset Disposition.</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Notwithstanding anything to the contrary contained in this Agreement, including, without limitation, the defined term “Asset Disposition” and Section 7.04, (i) the aggregate fair market value of all sales, conveyances, transfers or other dispositions by the Loan Parties to the Non-Loan Parties shall not exceed $5,000,000 during the term of this Agreement, (ii) in connection with any sale, conveyance, transfer or other disposition by a Loan Party to a Non-Loan Party Subsidiary, such Non-Loan Party Subsidiary shall not pay less than an amount equal to the fair market value </w:t>
      </w:r>
      <w:r>
        <w:rPr>
          <w:rFonts w:ascii="Times New Roman;serif" w:hAnsi="Times New Roman;serif"/>
          <w:b w:val="false"/>
          <w:color w:val="008000"/>
          <w:sz w:val="22"/>
          <w:u w:val="single"/>
        </w:rPr>
        <w:t xml:space="preserve">(as determined in good faith </w:t>
      </w:r>
      <w:r>
        <w:rPr>
          <w:rFonts w:ascii="Times New Roman;serif" w:hAnsi="Times New Roman;serif"/>
          <w:b w:val="false"/>
          <w:color w:val="0000FF"/>
          <w:sz w:val="22"/>
          <w:u w:val="single"/>
        </w:rPr>
        <w:t xml:space="preserve">by </w:t>
      </w:r>
      <w:r>
        <w:rPr>
          <w:rFonts w:ascii="Times New Roman;serif" w:hAnsi="Times New Roman;serif"/>
          <w:b w:val="false"/>
          <w:color w:val="008000"/>
          <w:sz w:val="22"/>
          <w:u w:val="single"/>
        </w:rPr>
        <w:t>the Company</w:t>
      </w:r>
      <w:r>
        <w:rPr>
          <w:rFonts w:ascii="Times New Roman;serif" w:hAnsi="Times New Roman;serif"/>
          <w:b w:val="false"/>
          <w:color w:val="0000FF"/>
          <w:sz w:val="22"/>
          <w:u w:val="single"/>
        </w:rPr>
        <w:t xml:space="preserve">) at the time of such sale, conveyance, transfer or other disposition and (iii) in connection with any such sale, conveyance, transfer or other disposition by a Non-Loan Party </w:t>
      </w:r>
      <w:r>
        <w:rPr>
          <w:rFonts w:ascii="Times New Roman;serif" w:hAnsi="Times New Roman;serif"/>
          <w:b w:val="false"/>
          <w:color w:val="008000"/>
          <w:sz w:val="22"/>
          <w:u w:val="single"/>
        </w:rPr>
        <w:t xml:space="preserve">Subsidiary to </w:t>
      </w:r>
      <w:r>
        <w:rPr>
          <w:rFonts w:ascii="Times New Roman;serif" w:hAnsi="Times New Roman;serif"/>
          <w:b w:val="false"/>
          <w:color w:val="0000FF"/>
          <w:sz w:val="22"/>
          <w:u w:val="single"/>
        </w:rPr>
        <w:t xml:space="preserve">a Loan Party, such Loan Party shall not pay more than an amount equal to </w:t>
      </w:r>
      <w:r>
        <w:rPr>
          <w:rFonts w:ascii="Times New Roman;serif" w:hAnsi="Times New Roman;serif"/>
          <w:b w:val="false"/>
          <w:color w:val="008000"/>
          <w:sz w:val="22"/>
          <w:u w:val="single"/>
        </w:rPr>
        <w:t xml:space="preserve">the fair market value </w:t>
      </w:r>
      <w:r>
        <w:rPr>
          <w:rFonts w:ascii="Times New Roman;serif" w:hAnsi="Times New Roman;serif"/>
          <w:b w:val="false"/>
          <w:color w:val="0000FF"/>
          <w:sz w:val="22"/>
          <w:u w:val="single"/>
        </w:rPr>
        <w:t>(</w:t>
      </w:r>
      <w:r>
        <w:rPr>
          <w:rFonts w:ascii="Times New Roman;serif" w:hAnsi="Times New Roman;serif"/>
          <w:b w:val="false"/>
          <w:color w:val="008000"/>
          <w:sz w:val="22"/>
          <w:u w:val="single"/>
        </w:rPr>
        <w:t>as determined in good faith by the Company</w:t>
      </w:r>
      <w:r>
        <w:rPr>
          <w:rFonts w:ascii="Times New Roman;serif" w:hAnsi="Times New Roman;serif"/>
          <w:b w:val="false"/>
          <w:color w:val="0000FF"/>
          <w:sz w:val="22"/>
          <w:u w:val="single"/>
        </w:rPr>
        <w:t xml:space="preserve">) </w:t>
      </w:r>
      <w:r>
        <w:rPr>
          <w:rFonts w:ascii="Times New Roman;serif" w:hAnsi="Times New Roman;serif"/>
          <w:b w:val="false"/>
          <w:color w:val="008000"/>
          <w:sz w:val="22"/>
          <w:u w:val="single"/>
        </w:rPr>
        <w:t xml:space="preserve">at the time of such </w:t>
      </w:r>
      <w:r>
        <w:rPr>
          <w:rFonts w:ascii="Times New Roman;serif" w:hAnsi="Times New Roman;serif"/>
          <w:b w:val="false"/>
          <w:color w:val="0000FF"/>
          <w:sz w:val="22"/>
          <w:u w:val="single"/>
        </w:rPr>
        <w:t xml:space="preserve">sale, conveyance, transfer or other disposition. </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7.05    </w:t>
      </w:r>
      <w:r>
        <w:rPr>
          <w:rFonts w:ascii="Times New Roman;serif" w:hAnsi="Times New Roman;serif"/>
          <w:b w:val="false"/>
          <w:color w:val="000000"/>
          <w:sz w:val="22"/>
          <w:u w:val="single"/>
        </w:rPr>
        <w:t>Restricted Payments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(a)    </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(1)    </w:t>
      </w:r>
      <w:r>
        <w:rPr>
          <w:rFonts w:ascii="Times New Roman;serif" w:hAnsi="Times New Roman;serif"/>
          <w:b w:val="false"/>
          <w:strike/>
          <w:color w:val="FF0000"/>
          <w:sz w:val="24"/>
        </w:rPr>
        <w:t xml:space="preserve">(a) </w:t>
      </w:r>
      <w:r>
        <w:rPr>
          <w:rFonts w:ascii="Times New Roman;serif" w:hAnsi="Times New Roman;serif"/>
          <w:b w:val="false"/>
          <w:color w:val="000000"/>
          <w:sz w:val="22"/>
        </w:rPr>
        <w:t xml:space="preserve">Declare or pay any dividend or make any distribution on or in respect of the Company’s or any Restricted Subsidiary’s Capital Stock (including any such payment in connection with any merger or consolidation involving the Company or any of the Restricted Subsidiaries) </w:t>
      </w:r>
      <w:r>
        <w:rPr>
          <w:rFonts w:ascii="Times New Roman;serif" w:hAnsi="Times New Roman;serif"/>
          <w:b w:val="false"/>
          <w:strike/>
          <w:color w:val="FF0000"/>
          <w:sz w:val="22"/>
        </w:rPr>
        <w:t>except:</w:t>
      </w:r>
    </w:p>
    <w:p>
      <w:pPr>
        <w:pStyle w:val="TextBody"/>
        <w:bidi w:val="0"/>
        <w:spacing w:lineRule="auto" w:line="288" w:before="0" w:after="240"/>
        <w:ind w:left="0" w:right="0" w:hanging="1440"/>
        <w:jc w:val="left"/>
        <w:rPr/>
      </w:pPr>
      <w:r>
        <w:rPr>
          <w:rFonts w:ascii="Times New Roman;serif" w:hAnsi="Times New Roman;serif"/>
          <w:b w:val="false"/>
          <w:strike/>
          <w:color w:val="FF0000"/>
          <w:sz w:val="24"/>
        </w:rPr>
        <w:t xml:space="preserve">(1) </w:t>
      </w:r>
      <w:r>
        <w:rPr>
          <w:rFonts w:ascii="Times New Roman;serif" w:hAnsi="Times New Roman;serif"/>
          <w:b w:val="false"/>
          <w:color w:val="0000FF"/>
          <w:sz w:val="22"/>
          <w:u w:val="single"/>
        </w:rPr>
        <w:t xml:space="preserve">(other than </w:t>
      </w:r>
      <w:r>
        <w:rPr>
          <w:rFonts w:ascii="Times New Roman;serif" w:hAnsi="Times New Roman;serif"/>
          <w:b w:val="false"/>
          <w:strike/>
          <w:color w:val="FF0000"/>
          <w:sz w:val="22"/>
        </w:rPr>
        <w:t>(a)</w:t>
      </w:r>
      <w:r>
        <w:rPr>
          <w:color w:val="000000"/>
        </w:rPr>
        <w:t>    </w:t>
      </w:r>
      <w:r>
        <w:rPr>
          <w:rFonts w:ascii="Times New Roman;serif" w:hAnsi="Times New Roman;serif"/>
          <w:b w:val="false"/>
          <w:strike/>
          <w:color w:val="FF0000"/>
          <w:sz w:val="22"/>
        </w:rPr>
        <w:t xml:space="preserve">dividends, payments or distributions payable in </w:t>
      </w:r>
      <w:r>
        <w:rPr>
          <w:rFonts w:ascii="Times New Roman;serif" w:hAnsi="Times New Roman;serif"/>
          <w:b w:val="false"/>
          <w:strike/>
          <w:color w:val="008000"/>
          <w:sz w:val="22"/>
        </w:rPr>
        <w:t xml:space="preserve">Capital Stock of the Company </w:t>
      </w:r>
      <w:r>
        <w:rPr>
          <w:rFonts w:ascii="Times New Roman;serif" w:hAnsi="Times New Roman;serif"/>
          <w:b w:val="false"/>
          <w:strike/>
          <w:color w:val="FF0000"/>
          <w:sz w:val="22"/>
        </w:rPr>
        <w:t xml:space="preserve">(other than Disqualified Stock) or in options, warrants or other rights to purchase such Capital Stock </w:t>
      </w:r>
      <w:r>
        <w:rPr>
          <w:rFonts w:ascii="Times New Roman;serif" w:hAnsi="Times New Roman;serif"/>
          <w:b w:val="false"/>
          <w:strike/>
          <w:color w:val="008000"/>
          <w:sz w:val="22"/>
        </w:rPr>
        <w:t>of the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6480175" cy="175260"/>
                <wp:effectExtent l="0" t="0" r="0" b="0"/>
                <wp:wrapNone/>
                <wp:docPr id="290" name="Frame2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(b) </w:t>
      </w:r>
      <w:r>
        <w:rPr>
          <w:rFonts w:ascii="Times New Roman;serif" w:hAnsi="Times New Roman;serif"/>
          <w:b w:val="false"/>
          <w:color w:val="000000"/>
          <w:sz w:val="22"/>
        </w:rPr>
        <w:t>dividends, payments or distributions payable to the Company or a Restricted Subsidiary (and, in the case of any such Restricted Subsidiary making such dividend or distribution, to holders of its Capital Stock other than the Company or a Restricted Subsidiary on no more than a pro rata basis)</w:t>
      </w:r>
      <w:r>
        <w:rPr>
          <w:rFonts w:ascii="Times New Roman;serif" w:hAnsi="Times New Roman;serif"/>
          <w:b w:val="false"/>
          <w:color w:val="0000FF"/>
          <w:sz w:val="22"/>
          <w:u w:val="single"/>
        </w:rPr>
        <w:t>)</w:t>
      </w:r>
      <w:r>
        <w:rPr>
          <w:rFonts w:ascii="Times New Roman;serif" w:hAnsi="Times New Roman;serif"/>
          <w:b w:val="false"/>
          <w:color w:val="000000"/>
          <w:sz w:val="22"/>
        </w:rPr>
        <w:t xml:space="preserve">; </w:t>
      </w:r>
      <w:r>
        <w:rPr>
          <w:rFonts w:ascii="Times New Roman;serif" w:hAnsi="Times New Roman;serif"/>
          <w:b w:val="false"/>
          <w:strike/>
          <w:color w:val="FF0000"/>
          <w:sz w:val="22"/>
        </w:rPr>
        <w:t>and</w:t>
      </w:r>
      <w:r>
        <w:rPr>
          <w:color w:val="000000"/>
        </w:rPr>
        <w:t xml:space="preserve"> </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(c) </w:t>
      </w:r>
      <w:r>
        <w:rPr>
          <w:rFonts w:ascii="Times New Roman;serif" w:hAnsi="Times New Roman;serif"/>
          <w:b w:val="false"/>
          <w:strike/>
          <w:color w:val="FF0000"/>
          <w:sz w:val="22"/>
        </w:rPr>
        <w:t>dividends or distributions payable to any direct or indirect parent of the Company to fund interest payments in respect of Indebtedness of such direct or indirect parent which is guaranteed by the Company or any Restricted Subsidiary;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    purchase, repurchase, redeem, retire or otherwise acquire or retire for value any Capital Stock of the Company or any direct or indirect parent thereof held by Persons other than the Company or a Restricted Subsidiary;</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purchase, repurchase, redeem, defease or otherwise acquire or retire for value, prior to scheduled maturity, scheduled repayment or scheduled sinking fund payment, any </w:t>
      </w:r>
      <w:r>
        <w:rPr>
          <w:rFonts w:ascii="Times New Roman;serif" w:hAnsi="Times New Roman;serif"/>
          <w:b w:val="false"/>
          <w:strike/>
          <w:color w:val="FF0000"/>
          <w:sz w:val="22"/>
        </w:rPr>
        <w:t>Subordinated</w:t>
      </w:r>
      <w:r>
        <w:rPr>
          <w:rFonts w:ascii="Times New Roman;serif" w:hAnsi="Times New Roman;serif"/>
          <w:b w:val="false"/>
          <w:color w:val="0000FF"/>
          <w:sz w:val="22"/>
          <w:u w:val="single"/>
        </w:rPr>
        <w:t>Junior</w:t>
      </w:r>
      <w:r>
        <w:rPr>
          <w:color w:val="000000"/>
        </w:rPr>
        <w:t xml:space="preserve"> </w:t>
      </w:r>
      <w:r>
        <w:rPr>
          <w:rFonts w:ascii="Times New Roman;serif" w:hAnsi="Times New Roman;serif"/>
          <w:b w:val="false"/>
          <w:color w:val="000000"/>
          <w:sz w:val="22"/>
        </w:rPr>
        <w:t>Indebtedness (other than (a</w:t>
      </w:r>
      <w:r>
        <w:rPr>
          <w:rFonts w:ascii="Times New Roman;serif" w:hAnsi="Times New Roman;serif"/>
          <w:b w:val="false"/>
          <w:color w:val="008000"/>
          <w:sz w:val="22"/>
          <w:u w:val="single"/>
        </w:rPr>
        <w:t xml:space="preserve">) any Indebtedness incurred pursuant to clause (3) of Section 7.01(b) </w:t>
      </w:r>
      <w:r>
        <w:rPr>
          <w:rFonts w:ascii="Times New Roman;serif" w:hAnsi="Times New Roman;serif"/>
          <w:b w:val="false"/>
          <w:color w:val="0000FF"/>
          <w:sz w:val="22"/>
          <w:u w:val="single"/>
        </w:rPr>
        <w:t>and (b</w:t>
      </w:r>
      <w:r>
        <w:rPr>
          <w:rFonts w:ascii="Times New Roman;serif" w:hAnsi="Times New Roman;serif"/>
          <w:b w:val="false"/>
          <w:color w:val="000000"/>
          <w:sz w:val="22"/>
        </w:rPr>
        <w:t xml:space="preserve">) any such purchase, repurchase, redemption, defeasance or other acquisition or retirement in anticipation of satisfying a sinking fund obligation, principal installment or final maturity, in each case, due within </w:t>
      </w:r>
      <w:r>
        <w:rPr>
          <w:rFonts w:ascii="Times New Roman;serif" w:hAnsi="Times New Roman;serif"/>
          <w:b w:val="false"/>
          <w:strike/>
          <w:color w:val="FF0000"/>
          <w:sz w:val="22"/>
        </w:rPr>
        <w:t>one year</w:t>
      </w:r>
      <w:r>
        <w:rPr>
          <w:rFonts w:ascii="Times New Roman;serif" w:hAnsi="Times New Roman;serif"/>
          <w:b w:val="false"/>
          <w:color w:val="0000FF"/>
          <w:sz w:val="22"/>
          <w:u w:val="single"/>
        </w:rPr>
        <w:t>seven (7) Business Days</w:t>
      </w:r>
      <w:r>
        <w:rPr>
          <w:color w:val="000000"/>
        </w:rPr>
        <w:t xml:space="preserve"> </w:t>
      </w:r>
      <w:r>
        <w:rPr>
          <w:rFonts w:ascii="Times New Roman;serif" w:hAnsi="Times New Roman;serif"/>
          <w:b w:val="false"/>
          <w:color w:val="000000"/>
          <w:sz w:val="22"/>
        </w:rPr>
        <w:t>of the date of purchase, repurchase, redemption, defeasance or other acquisition or retirement</w:t>
      </w:r>
      <w:r>
        <w:rPr>
          <w:strike/>
          <w:color w:val="FF0000"/>
        </w:rPr>
        <w:t xml:space="preserve"> </w:t>
      </w:r>
      <w:r>
        <w:rPr>
          <w:rFonts w:ascii="Times New Roman;serif" w:hAnsi="Times New Roman;serif"/>
          <w:b w:val="false"/>
          <w:strike/>
          <w:color w:val="FF0000"/>
          <w:sz w:val="22"/>
        </w:rPr>
        <w:t>and (b</w:t>
      </w:r>
      <w:r>
        <w:rPr>
          <w:rFonts w:ascii="Times New Roman;serif" w:hAnsi="Times New Roman;serif"/>
          <w:b w:val="false"/>
          <w:strike/>
          <w:color w:val="008000"/>
          <w:sz w:val="22"/>
        </w:rPr>
        <w:t xml:space="preserve">) any Indebtedness incurred pursuant to </w:t>
      </w:r>
      <w:r>
        <w:rPr>
          <w:rFonts w:ascii="Times New Roman;serif" w:hAnsi="Times New Roman;serif"/>
          <w:b w:val="false"/>
          <w:strike/>
          <w:color w:val="008000"/>
          <w:sz w:val="22"/>
          <w:u w:val="single"/>
        </w:rPr>
        <w:t>clause (3)</w:t>
      </w:r>
      <w:r>
        <w:rPr>
          <w:strike/>
          <w:color w:val="008000"/>
        </w:rPr>
        <w:t xml:space="preserve"> </w:t>
      </w:r>
      <w:r>
        <w:rPr>
          <w:rFonts w:ascii="Times New Roman;serif" w:hAnsi="Times New Roman;serif"/>
          <w:b w:val="false"/>
          <w:strike/>
          <w:color w:val="008000"/>
          <w:sz w:val="22"/>
        </w:rPr>
        <w:t xml:space="preserve">of </w:t>
      </w:r>
      <w:r>
        <w:rPr>
          <w:rFonts w:ascii="Times New Roman;serif" w:hAnsi="Times New Roman;serif"/>
          <w:b w:val="false"/>
          <w:strike/>
          <w:color w:val="008000"/>
          <w:sz w:val="22"/>
          <w:u w:val="single"/>
        </w:rPr>
        <w:t>Section 7.01(b)</w:t>
      </w:r>
      <w:r>
        <w:rPr>
          <w:rFonts w:ascii="Times New Roman;serif" w:hAnsi="Times New Roman;serif"/>
          <w:b w:val="false"/>
          <w:color w:val="000000"/>
          <w:sz w:val="22"/>
        </w:rPr>
        <w:t xml:space="preserve">); or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(3)    make any Restricted Investment;</w:t>
      </w:r>
    </w:p>
    <w:p>
      <w:pPr>
        <w:pStyle w:val="TextBody"/>
        <w:bidi w:val="0"/>
        <w:spacing w:lineRule="auto" w:line="288" w:before="0" w:after="240"/>
        <w:jc w:val="left"/>
        <w:rPr/>
      </w:pPr>
      <w:r>
        <w:rPr>
          <w:rFonts w:ascii="Times New Roman;serif" w:hAnsi="Times New Roman;serif"/>
          <w:b w:val="false"/>
          <w:color w:val="000000"/>
          <w:sz w:val="22"/>
        </w:rPr>
        <w:t xml:space="preserve">(any such dividend, distribution, payment, purchase, redemption, repurchase, defeasance, other acquisition, retirement or Restricted Investment referred to in </w:t>
      </w:r>
      <w:r>
        <w:rPr>
          <w:rFonts w:ascii="Times New Roman;serif" w:hAnsi="Times New Roman;serif"/>
          <w:b w:val="false"/>
          <w:color w:val="000000"/>
          <w:sz w:val="22"/>
          <w:u w:val="single"/>
        </w:rPr>
        <w:t>clauses (</w:t>
      </w:r>
      <w:r>
        <w:rPr>
          <w:rFonts w:ascii="Times New Roman;serif" w:hAnsi="Times New Roman;serif"/>
          <w:b w:val="false"/>
          <w:color w:val="0000FF"/>
          <w:sz w:val="22"/>
          <w:u w:val="single"/>
        </w:rPr>
        <w:t>a)(</w:t>
      </w:r>
      <w:r>
        <w:rPr>
          <w:rFonts w:ascii="Times New Roman;serif" w:hAnsi="Times New Roman;serif"/>
          <w:b w:val="false"/>
          <w:color w:val="000000"/>
          <w:sz w:val="22"/>
          <w:u w:val="single"/>
        </w:rPr>
        <w:t>1)</w:t>
      </w:r>
      <w:r>
        <w:rPr>
          <w:color w:val="000000"/>
        </w:rPr>
        <w:t xml:space="preserve"> </w:t>
      </w:r>
      <w:r>
        <w:rPr>
          <w:rFonts w:ascii="Times New Roman;serif" w:hAnsi="Times New Roman;serif"/>
          <w:b w:val="false"/>
          <w:color w:val="000000"/>
          <w:sz w:val="22"/>
        </w:rPr>
        <w:t xml:space="preserve">through </w:t>
      </w:r>
      <w:r>
        <w:rPr>
          <w:rFonts w:ascii="Times New Roman;serif" w:hAnsi="Times New Roman;serif"/>
          <w:b w:val="false"/>
          <w:color w:val="000000"/>
          <w:sz w:val="22"/>
          <w:u w:val="single"/>
        </w:rPr>
        <w:t>(</w:t>
      </w:r>
      <w:r>
        <w:rPr>
          <w:rFonts w:ascii="Times New Roman;serif" w:hAnsi="Times New Roman;serif"/>
          <w:b w:val="false"/>
          <w:color w:val="0000FF"/>
          <w:sz w:val="22"/>
          <w:u w:val="single"/>
        </w:rPr>
        <w:t>a)(</w:t>
      </w:r>
      <w:r>
        <w:rPr>
          <w:rFonts w:ascii="Times New Roman;serif" w:hAnsi="Times New Roman;serif"/>
          <w:b w:val="false"/>
          <w:color w:val="000000"/>
          <w:sz w:val="22"/>
          <w:u w:val="single"/>
        </w:rPr>
        <w:t>4)</w:t>
      </w:r>
      <w:r>
        <w:rPr>
          <w:color w:val="000000"/>
        </w:rPr>
        <w:t xml:space="preserve"> </w:t>
      </w:r>
      <w:r>
        <w:rPr>
          <w:rFonts w:ascii="Times New Roman;serif" w:hAnsi="Times New Roman;serif"/>
          <w:b w:val="false"/>
          <w:color w:val="000000"/>
          <w:sz w:val="22"/>
        </w:rPr>
        <w:t>above</w:t>
      </w:r>
      <w:r>
        <w:rPr>
          <w:rFonts w:ascii="Times New Roman;serif" w:hAnsi="Times New Roman;serif"/>
          <w:b w:val="false"/>
          <w:color w:val="0000FF"/>
          <w:sz w:val="22"/>
          <w:u w:val="single"/>
        </w:rPr>
        <w:t>,</w:t>
      </w:r>
      <w:r>
        <w:rPr>
          <w:color w:val="000000"/>
        </w:rPr>
        <w:t xml:space="preserve"> </w:t>
      </w:r>
      <w:r>
        <w:rPr>
          <w:rFonts w:ascii="Times New Roman;serif" w:hAnsi="Times New Roman;serif"/>
          <w:b w:val="false"/>
          <w:color w:val="000000"/>
          <w:sz w:val="22"/>
        </w:rPr>
        <w:t>are referred to herein as a “</w:t>
      </w:r>
      <w:r>
        <w:rPr>
          <w:rFonts w:ascii="Times New Roman;serif" w:hAnsi="Times New Roman;serif"/>
          <w:b/>
          <w:color w:val="000000"/>
          <w:sz w:val="22"/>
        </w:rPr>
        <w:t>Restricted Payment</w:t>
      </w:r>
      <w:r>
        <w:rPr>
          <w:color w:val="000000"/>
        </w:rPr>
        <w:t>”</w:t>
      </w:r>
      <w:r>
        <w:rPr>
          <w:rFonts w:ascii="Times New Roman;serif" w:hAnsi="Times New Roman;serif"/>
          <w:b w:val="false"/>
          <w:color w:val="000000"/>
          <w:sz w:val="22"/>
        </w:rPr>
        <w:t>)</w:t>
      </w:r>
      <w:r>
        <w:rPr>
          <w:rFonts w:ascii="Times New Roman;serif" w:hAnsi="Times New Roman;serif"/>
          <w:b w:val="false"/>
          <w:strike/>
          <w:color w:val="FF0000"/>
          <w:sz w:val="22"/>
        </w:rPr>
        <w:t>, if at the time the Company or such Restricted Subsidiary makes such Restricted Payment:</w:t>
      </w:r>
      <w:r>
        <w:rPr>
          <w:rFonts w:ascii="Times New Roman;serif" w:hAnsi="Times New Roman;serif"/>
          <w:b w:val="false"/>
          <w:color w:val="0000FF"/>
          <w:sz w:val="22"/>
          <w:u w:val="single"/>
        </w:rPr>
        <w: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(a) </w:t>
      </w:r>
      <w:r>
        <w:rPr>
          <w:rFonts w:ascii="Times New Roman;serif" w:hAnsi="Times New Roman;serif"/>
          <w:b w:val="false"/>
          <w:strike/>
          <w:color w:val="FF0000"/>
          <w:sz w:val="22"/>
        </w:rPr>
        <w:t xml:space="preserve">(i) other than in the case of (A) a Restricted Payment under </w:t>
      </w:r>
      <w:r>
        <w:rPr>
          <w:rFonts w:ascii="Times New Roman;serif" w:hAnsi="Times New Roman;serif"/>
          <w:b w:val="false"/>
          <w:strike/>
          <w:color w:val="FF0000"/>
          <w:sz w:val="22"/>
          <w:u w:val="single"/>
        </w:rPr>
        <w:t>clauses (3)</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(4)</w:t>
      </w:r>
      <w:r>
        <w:rPr>
          <w:strike/>
          <w:color w:val="FF0000"/>
        </w:rPr>
        <w:t xml:space="preserve"> </w:t>
      </w:r>
      <w:r>
        <w:rPr>
          <w:rFonts w:ascii="Times New Roman;serif" w:hAnsi="Times New Roman;serif"/>
          <w:b w:val="false"/>
          <w:strike/>
          <w:color w:val="FF0000"/>
          <w:sz w:val="22"/>
        </w:rPr>
        <w:t xml:space="preserve">above, or (B) amounts attributable to </w:t>
      </w:r>
      <w:r>
        <w:rPr>
          <w:rFonts w:ascii="Times New Roman;serif" w:hAnsi="Times New Roman;serif"/>
          <w:b w:val="false"/>
          <w:strike/>
          <w:color w:val="FF0000"/>
          <w:sz w:val="22"/>
          <w:u w:val="single"/>
        </w:rPr>
        <w:t>subclauses (i)</w:t>
      </w:r>
      <w:r>
        <w:rPr>
          <w:strike/>
          <w:color w:val="FF0000"/>
        </w:rPr>
        <w:t xml:space="preserve"> </w:t>
      </w:r>
      <w:r>
        <w:rPr>
          <w:rFonts w:ascii="Times New Roman;serif" w:hAnsi="Times New Roman;serif"/>
          <w:b w:val="false"/>
          <w:strike/>
          <w:color w:val="FF0000"/>
          <w:sz w:val="22"/>
        </w:rPr>
        <w:t xml:space="preserve">through </w:t>
      </w:r>
      <w:r>
        <w:rPr>
          <w:rFonts w:ascii="Times New Roman;serif" w:hAnsi="Times New Roman;serif"/>
          <w:b w:val="false"/>
          <w:strike/>
          <w:color w:val="FF0000"/>
          <w:sz w:val="22"/>
          <w:u w:val="single"/>
        </w:rPr>
        <w:t>(v)</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clause (b)</w:t>
      </w:r>
      <w:r>
        <w:rPr>
          <w:strike/>
          <w:color w:val="FF0000"/>
        </w:rPr>
        <w:t xml:space="preserve"> </w:t>
      </w:r>
      <w:r>
        <w:rPr>
          <w:rFonts w:ascii="Times New Roman;serif" w:hAnsi="Times New Roman;serif"/>
          <w:b w:val="false"/>
          <w:strike/>
          <w:color w:val="FF0000"/>
          <w:sz w:val="22"/>
        </w:rPr>
        <w:t xml:space="preserve">below, an </w:t>
      </w:r>
      <w:r>
        <w:rPr>
          <w:rFonts w:ascii="Times New Roman;serif" w:hAnsi="Times New Roman;serif"/>
          <w:b w:val="false"/>
          <w:strike/>
          <w:color w:val="008000"/>
          <w:sz w:val="22"/>
        </w:rPr>
        <w:t xml:space="preserve">Event of Default shall have occurred and be continuing (or would immediately thereafter result therefrom) </w:t>
      </w:r>
      <w:r>
        <w:rPr>
          <w:rFonts w:ascii="Times New Roman;serif" w:hAnsi="Times New Roman;serif"/>
          <w:b w:val="false"/>
          <w:strike/>
          <w:color w:val="FF0000"/>
          <w:sz w:val="22"/>
        </w:rPr>
        <w:t xml:space="preserve">and (ii) in the case of a Restricted Payment under </w:t>
      </w:r>
      <w:r>
        <w:rPr>
          <w:rFonts w:ascii="Times New Roman;serif" w:hAnsi="Times New Roman;serif"/>
          <w:b w:val="false"/>
          <w:strike/>
          <w:color w:val="FF0000"/>
          <w:sz w:val="22"/>
          <w:u w:val="single"/>
        </w:rPr>
        <w:t>clauses (3)</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(4)</w:t>
      </w:r>
      <w:r>
        <w:rPr>
          <w:strike/>
          <w:color w:val="FF0000"/>
        </w:rPr>
        <w:t xml:space="preserve"> </w:t>
      </w:r>
      <w:r>
        <w:rPr>
          <w:rFonts w:ascii="Times New Roman;serif" w:hAnsi="Times New Roman;serif"/>
          <w:b w:val="false"/>
          <w:strike/>
          <w:color w:val="FF0000"/>
          <w:sz w:val="22"/>
        </w:rPr>
        <w:t xml:space="preserve">above, an Event of Default pursuant to </w:t>
      </w:r>
      <w:r>
        <w:rPr>
          <w:rFonts w:ascii="Times New Roman;serif" w:hAnsi="Times New Roman;serif"/>
          <w:b w:val="false"/>
          <w:strike/>
          <w:color w:val="FF0000"/>
          <w:sz w:val="22"/>
          <w:u w:val="single"/>
        </w:rPr>
        <w:t>Section 8.01(a)</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(f)</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(g)</w:t>
      </w:r>
      <w:r>
        <w:rPr>
          <w:strike/>
          <w:color w:val="FF0000"/>
        </w:rPr>
        <w:t xml:space="preserve"> </w:t>
      </w:r>
      <w:r>
        <w:rPr>
          <w:rFonts w:ascii="Times New Roman;serif" w:hAnsi="Times New Roman;serif"/>
          <w:b w:val="false"/>
          <w:strike/>
          <w:color w:val="FF0000"/>
          <w:sz w:val="22"/>
        </w:rPr>
        <w:t>shall have occurred and be continuing (or would immediately thereafter result therefrom);</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(b) </w:t>
      </w:r>
      <w:r>
        <w:rPr>
          <w:rFonts w:ascii="Times New Roman;serif" w:hAnsi="Times New Roman;serif"/>
          <w:b w:val="false"/>
          <w:strike/>
          <w:color w:val="FF0000"/>
          <w:sz w:val="22"/>
        </w:rPr>
        <w:t xml:space="preserve">the aggregate amount of such Restricted Payment and all other Restricted Payments made subsequent to the Closing Date (and not returned or rescinded) (including Permitted Payments made pursuant to </w:t>
      </w:r>
      <w:r>
        <w:rPr>
          <w:rFonts w:ascii="Times New Roman;serif" w:hAnsi="Times New Roman;serif"/>
          <w:b w:val="false"/>
          <w:strike/>
          <w:color w:val="FF0000"/>
          <w:sz w:val="22"/>
          <w:u w:val="single"/>
        </w:rPr>
        <w:t>clause (1)</w:t>
      </w:r>
      <w:r>
        <w:rPr>
          <w:strike/>
          <w:color w:val="FF0000"/>
        </w:rPr>
        <w:t xml:space="preserve"> </w:t>
      </w:r>
      <w:r>
        <w:rPr>
          <w:rFonts w:ascii="Times New Roman;serif" w:hAnsi="Times New Roman;serif"/>
          <w:b w:val="false"/>
          <w:strike/>
          <w:color w:val="FF0000"/>
          <w:sz w:val="22"/>
        </w:rPr>
        <w:t xml:space="preserve">(without duplication) and </w:t>
      </w:r>
      <w:r>
        <w:rPr>
          <w:rFonts w:ascii="Times New Roman;serif" w:hAnsi="Times New Roman;serif"/>
          <w:b w:val="false"/>
          <w:strike/>
          <w:color w:val="FF0000"/>
          <w:sz w:val="22"/>
          <w:u w:val="single"/>
        </w:rPr>
        <w:t>clause (7)</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 xml:space="preserve">, but excluding all other Restricted Payments permitted by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 would exceed the sum of (without duplication):</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 </w:t>
      </w:r>
      <w:r>
        <w:rPr>
          <w:rFonts w:ascii="Times New Roman;serif" w:hAnsi="Times New Roman;serif"/>
          <w:b w:val="false"/>
          <w:strike/>
          <w:color w:val="FF0000"/>
          <w:sz w:val="22"/>
        </w:rPr>
        <w:t xml:space="preserve">50% of Consolidated Net Income for the period (treated as one accounting period) from the first day of the fiscal quarter in which the Closing Date occurs to </w:t>
      </w:r>
      <w:r>
        <w:rPr>
          <w:rFonts w:ascii="Times New Roman;serif" w:hAnsi="Times New Roman;serif"/>
          <w:b w:val="false"/>
          <w:strike/>
          <w:color w:val="008000"/>
          <w:sz w:val="22"/>
        </w:rPr>
        <w:t xml:space="preserve">the end of the </w:t>
      </w:r>
      <w:r>
        <w:rPr>
          <w:rFonts w:ascii="Times New Roman;serif" w:hAnsi="Times New Roman;serif"/>
          <w:b w:val="false"/>
          <w:strike/>
          <w:color w:val="FF0000"/>
          <w:sz w:val="22"/>
        </w:rPr>
        <w:t xml:space="preserve">most recent </w:t>
      </w:r>
      <w:r>
        <w:rPr>
          <w:rFonts w:ascii="Times New Roman;serif" w:hAnsi="Times New Roman;serif"/>
          <w:b w:val="false"/>
          <w:strike/>
          <w:color w:val="008000"/>
          <w:sz w:val="22"/>
        </w:rPr>
        <w:t xml:space="preserve">fiscal quarter ending </w:t>
      </w:r>
      <w:r>
        <w:rPr>
          <w:rFonts w:ascii="Times New Roman;serif" w:hAnsi="Times New Roman;serif"/>
          <w:b w:val="false"/>
          <w:strike/>
          <w:color w:val="FF0000"/>
          <w:sz w:val="22"/>
        </w:rPr>
        <w:t xml:space="preserve">prior to the date </w:t>
      </w:r>
      <w:r>
        <w:rPr>
          <w:rFonts w:ascii="Times New Roman;serif" w:hAnsi="Times New Roman;serif"/>
          <w:b w:val="false"/>
          <w:strike/>
          <w:color w:val="008000"/>
          <w:sz w:val="22"/>
        </w:rPr>
        <w:t xml:space="preserve">of such </w:t>
      </w:r>
      <w:r>
        <w:rPr>
          <w:rFonts w:ascii="Times New Roman;serif" w:hAnsi="Times New Roman;serif"/>
          <w:b w:val="false"/>
          <w:strike/>
          <w:color w:val="FF0000"/>
          <w:sz w:val="22"/>
        </w:rPr>
        <w:t xml:space="preserve">Restricted Payment for which consolidated financial statements are available (which may, at the Company’s election, be internal </w:t>
      </w:r>
    </w:p>
    <w:p>
      <w:pPr>
        <w:pStyle w:val="TextBody"/>
        <w:bidi w:val="0"/>
        <w:spacing w:before="0" w:after="0"/>
        <w:jc w:val="left"/>
        <w:rPr/>
      </w:pPr>
      <w:r>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6480175" cy="175260"/>
                <wp:effectExtent l="0" t="0" r="0" b="0"/>
                <wp:wrapNone/>
                <wp:docPr id="291" name="Frame2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financial statements) (or, in the case such Consolidated Net Income is a deficit, </w:t>
      </w:r>
      <w:r>
        <w:rPr>
          <w:rFonts w:ascii="Times New Roman;serif" w:hAnsi="Times New Roman;serif"/>
          <w:b w:val="false"/>
          <w:strike/>
          <w:color w:val="FF0000"/>
          <w:sz w:val="22"/>
          <w:u w:val="single"/>
        </w:rPr>
        <w:t>minus</w:t>
      </w:r>
      <w:r>
        <w:rPr>
          <w:strike/>
          <w:color w:val="FF0000"/>
        </w:rPr>
        <w:t xml:space="preserve"> </w:t>
      </w:r>
      <w:r>
        <w:rPr>
          <w:rFonts w:ascii="Times New Roman;serif" w:hAnsi="Times New Roman;serif"/>
          <w:b w:val="false"/>
          <w:strike/>
          <w:color w:val="FF0000"/>
          <w:sz w:val="22"/>
        </w:rPr>
        <w:t>100% of such deficit);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(ii) </w:t>
      </w:r>
      <w:r>
        <w:rPr>
          <w:rFonts w:ascii="Times New Roman;serif" w:hAnsi="Times New Roman;serif"/>
          <w:b w:val="false"/>
          <w:strike/>
          <w:color w:val="FF0000"/>
          <w:sz w:val="22"/>
        </w:rPr>
        <w:t xml:space="preserve">100% of the aggregate amount of cash, and the fair market value of property or assets or marketable securities, received by the Company from the issue or sale of its Capital Stock or as the result of a merger or consolidation with another Person subsequent to the Closing Date or otherwise contributed to the equity </w:t>
      </w:r>
      <w:r>
        <w:rPr>
          <w:rFonts w:ascii="Times New Roman;serif" w:hAnsi="Times New Roman;serif"/>
          <w:b w:val="false"/>
          <w:strike/>
          <w:color w:val="008000"/>
          <w:sz w:val="22"/>
        </w:rPr>
        <w:t xml:space="preserve">(in each case other than </w:t>
      </w:r>
      <w:r>
        <w:rPr>
          <w:rFonts w:ascii="Times New Roman;serif" w:hAnsi="Times New Roman;serif"/>
          <w:b w:val="false"/>
          <w:strike/>
          <w:color w:val="FF0000"/>
          <w:sz w:val="22"/>
        </w:rPr>
        <w:t xml:space="preserve">through the issuance of Disqualified Stock or Designated Preferred Stock) of the Company or a Restricted Subsidiary (including the aggregate principal amount of any Indebtedness of the Company or a Restricted Subsidiary contributed to the Company or a Restricted Subsidiary for cancellation) or that becomes part of the capital of the Company or a Restricted Subsidiary through consolidation or merger subsequent to the Closing Date (other than (x) Net Cash Proceeds or property or assets or marketable securities received from an issuance or sale of such Capital Stock to a Restricted Subsidiary or an employee stock ownership plan or trust established by the Company or any of its Subsidiaries for the benefit of their employees to the extent funded by the Company or any Restricted Subsidiary, (y) cash or property or assets or marketable securities to the extent that any Restricted Payment has been made from such proceeds in reliance on </w:t>
      </w:r>
      <w:r>
        <w:rPr>
          <w:rFonts w:ascii="Times New Roman;serif" w:hAnsi="Times New Roman;serif"/>
          <w:b w:val="false"/>
          <w:strike/>
          <w:color w:val="FF0000"/>
          <w:sz w:val="22"/>
          <w:u w:val="single"/>
        </w:rPr>
        <w:t>clause (6)</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strike/>
          <w:color w:val="FF0000"/>
        </w:rPr>
        <w:t xml:space="preserve"> </w:t>
      </w:r>
      <w:r>
        <w:rPr>
          <w:rFonts w:ascii="Times New Roman;serif" w:hAnsi="Times New Roman;serif"/>
          <w:b w:val="false"/>
          <w:strike/>
          <w:color w:val="FF0000"/>
          <w:sz w:val="22"/>
        </w:rPr>
        <w:t>and (z) Excluded Contributions);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(iii) </w:t>
      </w:r>
      <w:r>
        <w:rPr>
          <w:rFonts w:ascii="Times New Roman;serif" w:hAnsi="Times New Roman;serif"/>
          <w:b w:val="false"/>
          <w:strike/>
          <w:color w:val="FF0000"/>
          <w:sz w:val="22"/>
        </w:rPr>
        <w:t xml:space="preserve">100% of the aggregate amount of cash, and the fair market value of property or assets or marketable securities, received by the Company or any Restricted Subsidiary from the issuance or sale (other than to the Company or a Restricted Subsidiary or an employee stock ownership plan or trust established by the Company or any of its Subsidiaries for the benefit of their employees to the extent funded by the Company or any Restricted Subsidiary) by the Company or any Restricted Subsidiary subsequent to the Closing Date of any Indebtedness, Disqualified Stock or Designated Preferred Stock that has been converted into or exchanged for Capital Stock of the Company (other than Disqualified Stock or Designated Preferred Stock) </w:t>
      </w:r>
      <w:r>
        <w:rPr>
          <w:rFonts w:ascii="Times New Roman;serif" w:hAnsi="Times New Roman;serif"/>
          <w:b w:val="false"/>
          <w:i/>
          <w:strike/>
          <w:color w:val="FF0000"/>
          <w:sz w:val="22"/>
        </w:rPr>
        <w:t>plus</w:t>
      </w:r>
      <w:r>
        <w:rPr>
          <w:rFonts w:ascii="Times New Roman;serif" w:hAnsi="Times New Roman;serif"/>
          <w:b w:val="false"/>
          <w:strike/>
          <w:color w:val="FF0000"/>
          <w:sz w:val="22"/>
        </w:rPr>
        <w:t>, without duplication, the amount of any cash, and the fair market value of property or assets or marketable securities, received by the Company or any Restricted Subsidiary upon such conversion or exchange;</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(iv) </w:t>
      </w:r>
      <w:r>
        <w:rPr>
          <w:rFonts w:ascii="Times New Roman;serif" w:hAnsi="Times New Roman;serif"/>
          <w:b w:val="false"/>
          <w:strike/>
          <w:color w:val="FF0000"/>
          <w:sz w:val="22"/>
        </w:rPr>
        <w:t xml:space="preserve">100% of </w:t>
      </w:r>
      <w:r>
        <w:rPr>
          <w:rFonts w:ascii="Times New Roman;serif" w:hAnsi="Times New Roman;serif"/>
          <w:b w:val="false"/>
          <w:strike/>
          <w:color w:val="008000"/>
          <w:sz w:val="22"/>
        </w:rPr>
        <w:t xml:space="preserve">the aggregate </w:t>
      </w:r>
      <w:r>
        <w:rPr>
          <w:rFonts w:ascii="Times New Roman;serif" w:hAnsi="Times New Roman;serif"/>
          <w:b w:val="false"/>
          <w:strike/>
          <w:color w:val="FF0000"/>
          <w:sz w:val="22"/>
        </w:rPr>
        <w:t xml:space="preserve">amount received in cash and </w:t>
      </w:r>
      <w:r>
        <w:rPr>
          <w:rFonts w:ascii="Times New Roman;serif" w:hAnsi="Times New Roman;serif"/>
          <w:b w:val="false"/>
          <w:strike/>
          <w:color w:val="008000"/>
          <w:sz w:val="22"/>
        </w:rPr>
        <w:t>the fair market value</w:t>
      </w:r>
      <w:r>
        <w:rPr>
          <w:rFonts w:ascii="Times New Roman;serif" w:hAnsi="Times New Roman;serif"/>
          <w:b w:val="false"/>
          <w:strike/>
          <w:color w:val="FF0000"/>
          <w:sz w:val="22"/>
        </w:rPr>
        <w:t xml:space="preserve">, </w:t>
      </w:r>
      <w:r>
        <w:rPr>
          <w:rFonts w:ascii="Times New Roman;serif" w:hAnsi="Times New Roman;serif"/>
          <w:b w:val="false"/>
          <w:strike/>
          <w:color w:val="008000"/>
          <w:sz w:val="22"/>
        </w:rPr>
        <w:t>as determined in good faith by the Company</w:t>
      </w:r>
      <w:r>
        <w:rPr>
          <w:rFonts w:ascii="Times New Roman;serif" w:hAnsi="Times New Roman;serif"/>
          <w:b w:val="false"/>
          <w:strike/>
          <w:color w:val="FF0000"/>
          <w:sz w:val="22"/>
        </w:rPr>
        <w:t>, of marketable securities or other property received by means of</w:t>
      </w:r>
      <w:r>
        <w:rPr>
          <w:rFonts w:ascii="Times New Roman;serif" w:hAnsi="Times New Roman;serif"/>
          <w:b w:val="false"/>
          <w:strike/>
          <w:color w:val="008000"/>
          <w:sz w:val="22"/>
        </w:rPr>
        <w:t xml:space="preserve">: (i) the </w:t>
      </w:r>
      <w:r>
        <w:rPr>
          <w:rFonts w:ascii="Times New Roman;serif" w:hAnsi="Times New Roman;serif"/>
          <w:b w:val="false"/>
          <w:strike/>
          <w:color w:val="FF0000"/>
          <w:sz w:val="22"/>
        </w:rPr>
        <w:t xml:space="preserve">sale </w:t>
      </w:r>
      <w:r>
        <w:rPr>
          <w:rFonts w:ascii="Times New Roman;serif" w:hAnsi="Times New Roman;serif"/>
          <w:b w:val="false"/>
          <w:strike/>
          <w:color w:val="008000"/>
          <w:sz w:val="22"/>
        </w:rPr>
        <w:t xml:space="preserve">or other disposition </w:t>
      </w:r>
      <w:r>
        <w:rPr>
          <w:rFonts w:ascii="Times New Roman;serif" w:hAnsi="Times New Roman;serif"/>
          <w:b w:val="false"/>
          <w:strike/>
          <w:color w:val="FF0000"/>
          <w:sz w:val="22"/>
        </w:rPr>
        <w:t xml:space="preserve">(other than </w:t>
      </w:r>
      <w:r>
        <w:rPr>
          <w:rFonts w:ascii="Times New Roman;serif" w:hAnsi="Times New Roman;serif"/>
          <w:b w:val="false"/>
          <w:strike/>
          <w:color w:val="008000"/>
          <w:sz w:val="22"/>
        </w:rPr>
        <w:t xml:space="preserve">to the Company or </w:t>
      </w:r>
      <w:r>
        <w:rPr>
          <w:rFonts w:ascii="Times New Roman;serif" w:hAnsi="Times New Roman;serif"/>
          <w:b w:val="false"/>
          <w:strike/>
          <w:color w:val="FF0000"/>
          <w:sz w:val="22"/>
        </w:rPr>
        <w:t xml:space="preserve">a Restricted Subsidiary) of, </w:t>
      </w:r>
      <w:r>
        <w:rPr>
          <w:rFonts w:ascii="Times New Roman;serif" w:hAnsi="Times New Roman;serif"/>
          <w:b w:val="false"/>
          <w:strike/>
          <w:color w:val="008000"/>
          <w:sz w:val="22"/>
        </w:rPr>
        <w:t xml:space="preserve">or other </w:t>
      </w:r>
      <w:r>
        <w:rPr>
          <w:rFonts w:ascii="Times New Roman;serif" w:hAnsi="Times New Roman;serif"/>
          <w:b w:val="false"/>
          <w:strike/>
          <w:color w:val="FF0000"/>
          <w:sz w:val="22"/>
        </w:rPr>
        <w:t xml:space="preserve">returns on Investment from, Restricted Investments made </w:t>
      </w:r>
      <w:r>
        <w:rPr>
          <w:rFonts w:ascii="Times New Roman;serif" w:hAnsi="Times New Roman;serif"/>
          <w:b w:val="false"/>
          <w:strike/>
          <w:color w:val="008000"/>
          <w:sz w:val="22"/>
        </w:rPr>
        <w:t xml:space="preserve">by the Company </w:t>
      </w:r>
      <w:r>
        <w:rPr>
          <w:rFonts w:ascii="Times New Roman;serif" w:hAnsi="Times New Roman;serif"/>
          <w:b w:val="false"/>
          <w:strike/>
          <w:color w:val="FF0000"/>
          <w:sz w:val="22"/>
        </w:rPr>
        <w:t xml:space="preserve">or its Restricted Subsidiaries and repurchases and redemptions of, or cash distributions or cash interest received in respect of, such Investments from the Company or its Restricted Subsidiaries and repayments of loans or advances, and releases of guarantees, which constitute Restricted Investments by the Company or its Restricted </w:t>
      </w:r>
    </w:p>
    <w:p>
      <w:pPr>
        <w:pStyle w:val="TextBody"/>
        <w:bidi w:val="0"/>
        <w:spacing w:before="0" w:after="0"/>
        <w:jc w:val="left"/>
        <w:rPr/>
      </w:pPr>
      <w:r>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6480175" cy="175260"/>
                <wp:effectExtent l="0" t="0" r="0" b="0"/>
                <wp:wrapNone/>
                <wp:docPr id="292" name="Frame2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Subsidiaries, in each case after the Closing Date; or (ii) the sale </w:t>
      </w:r>
      <w:r>
        <w:rPr>
          <w:rFonts w:ascii="Times New Roman;serif" w:hAnsi="Times New Roman;serif"/>
          <w:b w:val="false"/>
          <w:strike/>
          <w:color w:val="008000"/>
          <w:sz w:val="22"/>
        </w:rPr>
        <w:t xml:space="preserve">or other disposition </w:t>
      </w:r>
      <w:r>
        <w:rPr>
          <w:rFonts w:ascii="Times New Roman;serif" w:hAnsi="Times New Roman;serif"/>
          <w:b w:val="false"/>
          <w:strike/>
          <w:color w:val="FF0000"/>
          <w:sz w:val="22"/>
        </w:rPr>
        <w:t xml:space="preserve">(other than to the Company or a Restricted Subsidiary) of the Capital Stock of an Unrestricted Subsidiary or a dividend, payment or distribution from an Unrestricted Subsidiary (other than to the extent of the amount of the Investment that constituted a Permitted Investment or was made under </w:t>
      </w:r>
      <w:r>
        <w:rPr>
          <w:rFonts w:ascii="Times New Roman;serif" w:hAnsi="Times New Roman;serif"/>
          <w:b w:val="false"/>
          <w:strike/>
          <w:color w:val="FF0000"/>
          <w:sz w:val="22"/>
          <w:u w:val="single"/>
        </w:rPr>
        <w:t>clause (17)</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strike/>
          <w:color w:val="FF0000"/>
        </w:rPr>
        <w:t xml:space="preserve"> </w:t>
      </w:r>
      <w:r>
        <w:rPr>
          <w:rFonts w:ascii="Times New Roman;serif" w:hAnsi="Times New Roman;serif"/>
          <w:b w:val="false"/>
          <w:strike/>
          <w:color w:val="FF0000"/>
          <w:sz w:val="22"/>
        </w:rPr>
        <w:t xml:space="preserve">and will increase the amount available under the applicable clause of the definition of “Permitted Investment” or </w:t>
      </w:r>
      <w:r>
        <w:rPr>
          <w:rFonts w:ascii="Times New Roman;serif" w:hAnsi="Times New Roman;serif"/>
          <w:b w:val="false"/>
          <w:strike/>
          <w:color w:val="FF0000"/>
          <w:sz w:val="22"/>
          <w:u w:val="single"/>
        </w:rPr>
        <w:t>clause (17)</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 as applicable) or a dividend from a Person that is not a Restricted Subsidiary after the Closing Date;</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(v) </w:t>
      </w:r>
      <w:r>
        <w:rPr>
          <w:rFonts w:ascii="Times New Roman;serif" w:hAnsi="Times New Roman;serif"/>
          <w:b w:val="false"/>
          <w:strike/>
          <w:color w:val="FF0000"/>
          <w:sz w:val="22"/>
        </w:rPr>
        <w:t xml:space="preserve">in the case of the redesignation of an Unrestricted Subsidiary as a Restricted Subsidiary or the merger, amalgamation or consolidation of an Unrestricted Subsidiary into </w:t>
      </w:r>
      <w:r>
        <w:rPr>
          <w:rFonts w:ascii="Times New Roman;serif" w:hAnsi="Times New Roman;serif"/>
          <w:b w:val="false"/>
          <w:strike/>
          <w:color w:val="008000"/>
          <w:sz w:val="22"/>
        </w:rPr>
        <w:t xml:space="preserve">the Company </w:t>
      </w:r>
      <w:r>
        <w:rPr>
          <w:rFonts w:ascii="Times New Roman;serif" w:hAnsi="Times New Roman;serif"/>
          <w:b w:val="false"/>
          <w:strike/>
          <w:color w:val="FF0000"/>
          <w:sz w:val="22"/>
        </w:rPr>
        <w:t xml:space="preserve">or a Restricted Subsidiary or the transfer of all or substantially all of the assets of an Unrestricted </w:t>
      </w:r>
      <w:r>
        <w:rPr>
          <w:rFonts w:ascii="Times New Roman;serif" w:hAnsi="Times New Roman;serif"/>
          <w:b w:val="false"/>
          <w:strike/>
          <w:color w:val="008000"/>
          <w:sz w:val="22"/>
        </w:rPr>
        <w:t xml:space="preserve">Subsidiary to </w:t>
      </w:r>
      <w:r>
        <w:rPr>
          <w:rFonts w:ascii="Times New Roman;serif" w:hAnsi="Times New Roman;serif"/>
          <w:b w:val="false"/>
          <w:strike/>
          <w:color w:val="FF0000"/>
          <w:sz w:val="22"/>
        </w:rPr>
        <w:t xml:space="preserve">the Company or a Restricted Subsidiary after the Closing Date, </w:t>
      </w:r>
      <w:r>
        <w:rPr>
          <w:rFonts w:ascii="Times New Roman;serif" w:hAnsi="Times New Roman;serif"/>
          <w:b w:val="false"/>
          <w:strike/>
          <w:color w:val="008000"/>
          <w:sz w:val="22"/>
        </w:rPr>
        <w:t xml:space="preserve">the fair market value </w:t>
      </w:r>
      <w:r>
        <w:rPr>
          <w:rFonts w:ascii="Times New Roman;serif" w:hAnsi="Times New Roman;serif"/>
          <w:b w:val="false"/>
          <w:strike/>
          <w:color w:val="FF0000"/>
          <w:sz w:val="22"/>
        </w:rPr>
        <w:t xml:space="preserve">of the Investment in such Unrestricted Subsidiary (or the assets transferred), </w:t>
      </w:r>
      <w:r>
        <w:rPr>
          <w:rFonts w:ascii="Times New Roman;serif" w:hAnsi="Times New Roman;serif"/>
          <w:b w:val="false"/>
          <w:strike/>
          <w:color w:val="008000"/>
          <w:sz w:val="22"/>
        </w:rPr>
        <w:t xml:space="preserve">as determined in good faith by the Company </w:t>
      </w:r>
      <w:r>
        <w:rPr>
          <w:rFonts w:ascii="Times New Roman;serif" w:hAnsi="Times New Roman;serif"/>
          <w:b w:val="false"/>
          <w:strike/>
          <w:color w:val="FF0000"/>
          <w:sz w:val="22"/>
        </w:rPr>
        <w:t xml:space="preserve">at the time of the redesignation of such Unrestricted Subsidiary as a Restricted Subsidiary or </w:t>
      </w:r>
      <w:r>
        <w:rPr>
          <w:rFonts w:ascii="Times New Roman;serif" w:hAnsi="Times New Roman;serif"/>
          <w:b w:val="false"/>
          <w:strike/>
          <w:color w:val="008000"/>
          <w:sz w:val="22"/>
        </w:rPr>
        <w:t xml:space="preserve">at the time of such </w:t>
      </w:r>
      <w:r>
        <w:rPr>
          <w:rFonts w:ascii="Times New Roman;serif" w:hAnsi="Times New Roman;serif"/>
          <w:b w:val="false"/>
          <w:strike/>
          <w:color w:val="FF0000"/>
          <w:sz w:val="22"/>
        </w:rPr>
        <w:t xml:space="preserve">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serif" w:hAnsi="Times New Roman;serif"/>
          <w:b w:val="false"/>
          <w:strike/>
          <w:color w:val="FF0000"/>
          <w:sz w:val="22"/>
          <w:u w:val="single"/>
        </w:rPr>
        <w:t>clause (17)</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strike/>
          <w:color w:val="FF0000"/>
        </w:rPr>
        <w:t xml:space="preserve"> </w:t>
      </w:r>
      <w:r>
        <w:rPr>
          <w:rFonts w:ascii="Times New Roman;serif" w:hAnsi="Times New Roman;serif"/>
          <w:b w:val="false"/>
          <w:strike/>
          <w:color w:val="FF0000"/>
          <w:sz w:val="22"/>
        </w:rPr>
        <w:t xml:space="preserve">and will increase the amount available under the applicable clause of the definition of “Permitted Investment” or </w:t>
      </w:r>
      <w:r>
        <w:rPr>
          <w:rFonts w:ascii="Times New Roman;serif" w:hAnsi="Times New Roman;serif"/>
          <w:b w:val="false"/>
          <w:strike/>
          <w:color w:val="FF0000"/>
          <w:sz w:val="22"/>
          <w:u w:val="single"/>
        </w:rPr>
        <w:t>clause (17)</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 as applicable; and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(vi) </w:t>
      </w:r>
      <w:r>
        <w:rPr>
          <w:rFonts w:ascii="Times New Roman;serif" w:hAnsi="Times New Roman;serif"/>
          <w:b w:val="false"/>
          <w:strike/>
          <w:color w:val="FF0000"/>
          <w:sz w:val="22"/>
        </w:rPr>
        <w:t>the greater of (i) $175,000,000 and (ii) 35.0% of LTM EBITDA (the foregoing clause (b), the “Available Amount Builder Basket”).</w:t>
      </w:r>
    </w:p>
    <w:p>
      <w:pPr>
        <w:pStyle w:val="TextBody"/>
        <w:bidi w:val="0"/>
        <w:spacing w:lineRule="auto" w:line="288" w:before="0" w:after="240"/>
        <w:ind w:left="0" w:right="0" w:firstLine="720"/>
        <w:jc w:val="left"/>
        <w:rPr/>
      </w:pPr>
      <w:r>
        <w:rPr>
          <w:rFonts w:ascii="Times New Roman;serif" w:hAnsi="Times New Roman;serif"/>
          <w:b w:val="false"/>
          <w:strike/>
          <w:color w:val="FF0000"/>
          <w:sz w:val="22"/>
        </w:rPr>
        <w:t xml:space="preserve">For </w:t>
      </w:r>
      <w:r>
        <w:rPr>
          <w:rFonts w:ascii="Times New Roman;serif" w:hAnsi="Times New Roman;serif"/>
          <w:b w:val="false"/>
          <w:strike/>
          <w:color w:val="008000"/>
          <w:sz w:val="22"/>
        </w:rPr>
        <w:t xml:space="preserve">the avoidance of doubt, </w:t>
      </w:r>
      <w:r>
        <w:rPr>
          <w:rFonts w:ascii="Times New Roman;serif" w:hAnsi="Times New Roman;serif"/>
          <w:b w:val="false"/>
          <w:strike/>
          <w:color w:val="FF0000"/>
          <w:sz w:val="22"/>
        </w:rPr>
        <w:t xml:space="preserve">in the event that the Spin-Off Date occurs subsequent to the Closing Date, the acquisition by and/or transfer to </w:t>
      </w:r>
      <w:r>
        <w:rPr>
          <w:rFonts w:ascii="Times New Roman;serif" w:hAnsi="Times New Roman;serif"/>
          <w:b w:val="false"/>
          <w:strike/>
          <w:color w:val="008000"/>
          <w:sz w:val="22"/>
        </w:rPr>
        <w:t xml:space="preserve">the Company </w:t>
      </w:r>
      <w:r>
        <w:rPr>
          <w:rFonts w:ascii="Times New Roman;serif" w:hAnsi="Times New Roman;serif"/>
          <w:b w:val="false"/>
          <w:strike/>
          <w:color w:val="FF0000"/>
          <w:sz w:val="22"/>
        </w:rPr>
        <w:t>and/or any of its Subsidiaries of the Spinco Business and the related transactions in connection with the Spin-Off shall be deemed not to increase the Available Amount Builder Basket.</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Section 7.05(a)</w:t>
      </w:r>
      <w:r>
        <w:rPr>
          <w:color w:val="000000"/>
        </w:rPr>
        <w:t xml:space="preserve"> </w:t>
      </w:r>
      <w:r>
        <w:rPr>
          <w:rFonts w:ascii="Times New Roman;serif" w:hAnsi="Times New Roman;serif"/>
          <w:b w:val="false"/>
          <w:color w:val="000000"/>
          <w:sz w:val="22"/>
        </w:rPr>
        <w:t>will not prohibit any of the following (collectively, “</w:t>
      </w:r>
      <w:r>
        <w:rPr>
          <w:rFonts w:ascii="Times New Roman;serif" w:hAnsi="Times New Roman;serif"/>
          <w:b/>
          <w:color w:val="000000"/>
          <w:sz w:val="22"/>
        </w:rPr>
        <w:t>Permitted Payments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(4)    [reserved];</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(5)    [reserved];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 </w:t>
      </w:r>
      <w:r>
        <w:rPr>
          <w:rFonts w:ascii="Times New Roman;serif" w:hAnsi="Times New Roman;serif"/>
          <w:b w:val="false"/>
          <w:strike/>
          <w:color w:val="FF0000"/>
          <w:sz w:val="22"/>
        </w:rPr>
        <w:t xml:space="preserve">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t>
      </w:r>
    </w:p>
    <w:p>
      <w:pPr>
        <w:pStyle w:val="TextBody"/>
        <w:bidi w:val="0"/>
        <w:spacing w:before="0" w:after="0"/>
        <w:jc w:val="left"/>
        <w:rPr/>
      </w:pPr>
      <w:r>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6480175" cy="175260"/>
                <wp:effectExtent l="0" t="0" r="0" b="0"/>
                <wp:wrapNone/>
                <wp:docPr id="293" name="Frame2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strike/>
          <w:color w:val="FF0000"/>
          <w:sz w:val="22"/>
        </w:rPr>
      </w:pPr>
      <w:r>
        <w:rPr>
          <w:rFonts w:ascii="Times New Roman;serif" w:hAnsi="Times New Roman;serif"/>
          <w:b w:val="false"/>
          <w:strike/>
          <w:color w:val="FF0000"/>
          <w:sz w:val="22"/>
        </w:rPr>
        <w:t>would have complied with the provisions of this Agreement as if it were and is deemed at such time to be a Restricted Payment at the time of such notice;</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(2) </w:t>
      </w:r>
      <w:r>
        <w:rPr>
          <w:rFonts w:ascii="Times New Roman;serif" w:hAnsi="Times New Roman;serif"/>
          <w:b w:val="false"/>
          <w:strike/>
          <w:color w:val="FF0000"/>
          <w:sz w:val="22"/>
        </w:rPr>
        <w:t>(a) any prepayment, purchase, repurchase, redemption, defeasance, discharge, retirement or other acquisition of Capital Stock, including any accrued and unpaid dividends thereon (“</w:t>
      </w:r>
      <w:r>
        <w:rPr>
          <w:rFonts w:ascii="Times New Roman;serif" w:hAnsi="Times New Roman;serif"/>
          <w:b/>
          <w:strike/>
          <w:color w:val="FF0000"/>
          <w:sz w:val="22"/>
        </w:rPr>
        <w:t>Treasury Capital Stock</w:t>
      </w:r>
      <w:r>
        <w:rPr>
          <w:strike/>
          <w:color w:val="FF0000"/>
        </w:rPr>
        <w:t>”</w:t>
      </w:r>
      <w:r>
        <w:rPr>
          <w:rFonts w:ascii="Times New Roman;serif" w:hAnsi="Times New Roman;serif"/>
          <w:b w:val="false"/>
          <w:strike/>
          <w:color w:val="FF0000"/>
          <w:sz w:val="22"/>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or any direct or indirect parent thereof to the extent contributed to the Company (in each case, other than Disqualified Stock or Designated Preferred Stock) (“</w:t>
      </w:r>
      <w:r>
        <w:rPr>
          <w:rFonts w:ascii="Times New Roman;serif" w:hAnsi="Times New Roman;serif"/>
          <w:b/>
          <w:strike/>
          <w:color w:val="FF0000"/>
          <w:sz w:val="22"/>
        </w:rPr>
        <w:t>Refunding Capital Stock</w:t>
      </w:r>
      <w:r>
        <w:rPr>
          <w:strike/>
          <w:color w:val="FF0000"/>
        </w:rPr>
        <w:t>”</w:t>
      </w:r>
      <w:r>
        <w:rPr>
          <w:rFonts w:ascii="Times New Roman;serif" w:hAnsi="Times New Roman;serif"/>
          <w:b w:val="false"/>
          <w:strike/>
          <w:color w:val="FF0000"/>
          <w:sz w:val="22"/>
        </w:rPr>
        <w:t xml:space="preserve">), (b) the declaration and payment of dividends on Treasury Capital Stock out of the proceeds of the substantially concurrent sale or issuance (other than to a Subsidiary of the Company or to an employee stock ownership plan or any trust established by the Company or any of its Subsidiaries) of Refunding Capital Stock and (c) if immediately prior to the retirement of Treasury Capital Stock, the declaration and payment of dividends thereon was permitted under </w:t>
      </w:r>
      <w:r>
        <w:rPr>
          <w:rFonts w:ascii="Times New Roman;serif" w:hAnsi="Times New Roman;serif"/>
          <w:b w:val="false"/>
          <w:strike/>
          <w:color w:val="FF0000"/>
          <w:sz w:val="22"/>
          <w:u w:val="single"/>
        </w:rPr>
        <w:t>clause (13)</w:t>
      </w:r>
      <w:r>
        <w:rPr>
          <w:strike/>
          <w:color w:val="FF0000"/>
        </w:rPr>
        <w:t xml:space="preserve"> </w:t>
      </w:r>
      <w:r>
        <w:rPr>
          <w:rFonts w:ascii="Times New Roman;serif" w:hAnsi="Times New Roman;serif"/>
          <w:b w:val="false"/>
          <w:strike/>
          <w:color w:val="FF0000"/>
          <w:sz w:val="22"/>
        </w:rPr>
        <w:t xml:space="preserve">of this </w:t>
      </w:r>
      <w:r>
        <w:rPr>
          <w:rFonts w:ascii="Times New Roman;serif" w:hAnsi="Times New Roman;serif"/>
          <w:b w:val="false"/>
          <w:strike/>
          <w:color w:val="FF0000"/>
          <w:sz w:val="22"/>
          <w:u w:val="single"/>
        </w:rPr>
        <w:t>Section 7.05(b)</w:t>
      </w:r>
      <w:r>
        <w:rPr>
          <w:rFonts w:ascii="Times New Roman;serif" w:hAnsi="Times New Roman;serif"/>
          <w:b w:val="false"/>
          <w:strike/>
          <w:color w:val="FF0000"/>
          <w:sz w:val="22"/>
        </w:rPr>
        <w:t>, the declaration and payment of dividends on the Refunding Capital Stock (other than Refunding Capital Stock the proceeds of which were used to redeem, repurchase, retire or otherwise acquire any Capital Stock of a direct or indirect parent of the Company) in an aggregate amount per year no greater than the aggregate amount of dividends per annum that were declarable and payable on such Treasury Capital Stock immediately prior to such retirement;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    any prepayment, purchase, repurchase, exchange, redemption, defeasance, discharge, retirement or other acquisition of </w:t>
      </w:r>
      <w:r>
        <w:rPr>
          <w:rFonts w:ascii="Times New Roman;serif" w:hAnsi="Times New Roman;serif"/>
          <w:b w:val="false"/>
          <w:strike/>
          <w:color w:val="FF0000"/>
          <w:sz w:val="22"/>
        </w:rPr>
        <w:t>Subordinated</w:t>
      </w:r>
      <w:r>
        <w:rPr>
          <w:rFonts w:ascii="Times New Roman;serif" w:hAnsi="Times New Roman;serif"/>
          <w:b w:val="false"/>
          <w:color w:val="0000FF"/>
          <w:sz w:val="22"/>
          <w:u w:val="single"/>
        </w:rPr>
        <w:t>Junior</w:t>
      </w:r>
      <w:r>
        <w:rPr>
          <w:color w:val="000000"/>
        </w:rPr>
        <w:t xml:space="preserve"> </w:t>
      </w:r>
      <w:r>
        <w:rPr>
          <w:rFonts w:ascii="Times New Roman;serif" w:hAnsi="Times New Roman;serif"/>
          <w:b w:val="false"/>
          <w:color w:val="000000"/>
          <w:sz w:val="22"/>
        </w:rPr>
        <w:t xml:space="preserve">Indebtedness made by exchange for, or out of the proceeds of the substantially concurrent sale of, Refinancing Indebtedness permitted to be incurred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    any prepayment, purchase, repurchase, exchange, redemption, defeasance, discharge, retirement or other acquisition of Preferred Stock of the Company or a Restricted Subsidiary made by exchange for, or out of the proceeds of the substantially concurrent sale of, Preferred Stock of the Company or a Restricted Subsidiary, as applicable, that, in each case, is permitted to be incurred pursuant to </w:t>
      </w:r>
      <w:r>
        <w:rPr>
          <w:rFonts w:ascii="Times New Roman;serif" w:hAnsi="Times New Roman;serif"/>
          <w:b w:val="false"/>
          <w:color w:val="000000"/>
          <w:sz w:val="22"/>
          <w:u w:val="single"/>
        </w:rPr>
        <w:t>Section 7.01</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(3)    any prepayment, purchase, repurchase, exchange, redemption, defeasance, discharge, retirement or other acquisition of </w:t>
      </w:r>
      <w:r>
        <w:rPr>
          <w:rFonts w:ascii="Times New Roman;serif" w:hAnsi="Times New Roman;serif"/>
          <w:b w:val="false"/>
          <w:strike/>
          <w:color w:val="FF0000"/>
          <w:sz w:val="22"/>
        </w:rPr>
        <w:t>Subordinated</w:t>
      </w:r>
      <w:r>
        <w:rPr>
          <w:rFonts w:ascii="Times New Roman;serif" w:hAnsi="Times New Roman;serif"/>
          <w:b w:val="false"/>
          <w:color w:val="0000FF"/>
          <w:sz w:val="22"/>
          <w:u w:val="single"/>
        </w:rPr>
        <w:t>Junior</w:t>
      </w:r>
      <w:r>
        <w:rPr>
          <w:color w:val="000000"/>
        </w:rPr>
        <w:t xml:space="preserve"> </w:t>
      </w:r>
      <w:r>
        <w:rPr>
          <w:rFonts w:ascii="Times New Roman;serif" w:hAnsi="Times New Roman;serif"/>
          <w:b w:val="false"/>
          <w:color w:val="000000"/>
          <w:sz w:val="22"/>
        </w:rPr>
        <w:t>Indebtedness of the Company or a Restricted Subsidiary or Disqualified Stock or Preferred Stock of a Restricted Subsidiary:</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(a) </w:t>
      </w:r>
      <w:r>
        <w:rPr>
          <w:rFonts w:ascii="Times New Roman;serif" w:hAnsi="Times New Roman;serif"/>
          <w:b w:val="false"/>
          <w:strike/>
          <w:color w:val="FF0000"/>
          <w:sz w:val="22"/>
        </w:rPr>
        <w:t xml:space="preserve">from Net Cash Proceeds </w:t>
      </w:r>
      <w:r>
        <w:rPr>
          <w:rFonts w:ascii="Times New Roman;serif" w:hAnsi="Times New Roman;serif"/>
          <w:b w:val="false"/>
          <w:strike/>
          <w:color w:val="008000"/>
          <w:sz w:val="22"/>
        </w:rPr>
        <w:t xml:space="preserve">to the extent permitted under </w:t>
      </w:r>
      <w:r>
        <w:rPr>
          <w:rFonts w:ascii="Times New Roman;serif" w:hAnsi="Times New Roman;serif"/>
          <w:b w:val="false"/>
          <w:strike/>
          <w:color w:val="008000"/>
          <w:sz w:val="22"/>
          <w:u w:val="single"/>
        </w:rPr>
        <w:t xml:space="preserve">Section </w:t>
      </w:r>
      <w:r>
        <w:rPr>
          <w:rFonts w:ascii="Times New Roman;serif" w:hAnsi="Times New Roman;serif"/>
          <w:b w:val="false"/>
          <w:strike/>
          <w:color w:val="FF0000"/>
          <w:sz w:val="22"/>
          <w:u w:val="single"/>
        </w:rPr>
        <w:t>7.04</w:t>
      </w:r>
      <w:r>
        <w:rPr>
          <w:rFonts w:ascii="Times New Roman;serif" w:hAnsi="Times New Roman;serif"/>
          <w:b w:val="false"/>
          <w:strike/>
          <w:color w:val="FF0000"/>
          <w:sz w:val="22"/>
        </w:rPr>
        <w:t xml:space="preserve">, but only if the Company shall have first complied with the terms described under </w:t>
      </w:r>
      <w:r>
        <w:rPr>
          <w:rFonts w:ascii="Times New Roman;serif" w:hAnsi="Times New Roman;serif"/>
          <w:b w:val="false"/>
          <w:strike/>
          <w:color w:val="FF0000"/>
          <w:sz w:val="22"/>
          <w:u w:val="single"/>
        </w:rPr>
        <w:t>Section 2.05(b)(ii)</w:t>
      </w:r>
      <w:r>
        <w:rPr>
          <w:rFonts w:ascii="Times New Roman;serif" w:hAnsi="Times New Roman;serif"/>
          <w:b w:val="false"/>
          <w:strike/>
          <w:color w:val="FF0000"/>
          <w:sz w:val="22"/>
        </w:rPr>
        <w:t>; or</w:t>
      </w:r>
    </w:p>
    <w:p>
      <w:pPr>
        <w:pStyle w:val="TextBody"/>
        <w:bidi w:val="0"/>
        <w:spacing w:lineRule="auto" w:line="288" w:before="0" w:after="240"/>
        <w:ind w:left="0" w:right="0" w:hanging="720"/>
        <w:jc w:val="left"/>
        <w:rPr/>
      </w:pPr>
      <w:r>
        <w:rPr>
          <w:rFonts w:ascii="Times New Roman;serif" w:hAnsi="Times New Roman;serif"/>
          <w:b w:val="false"/>
          <w:color w:val="0000FF"/>
          <w:sz w:val="24"/>
          <w:u w:val="single"/>
        </w:rPr>
        <w:t>(a)    </w:t>
      </w:r>
      <w:r>
        <w:rPr>
          <w:rFonts w:ascii="Times New Roman;serif" w:hAnsi="Times New Roman;serif"/>
          <w:b w:val="false"/>
          <w:color w:val="0000FF"/>
          <w:sz w:val="22"/>
          <w:u w:val="single"/>
        </w:rPr>
        <w:t>[reserved]; or</w:t>
      </w:r>
    </w:p>
    <w:p>
      <w:pPr>
        <w:pStyle w:val="TextBody"/>
        <w:bidi w:val="0"/>
        <w:spacing w:before="0" w:after="0"/>
        <w:jc w:val="left"/>
        <w:rPr/>
      </w:pPr>
      <w:r>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6480175" cy="175260"/>
                <wp:effectExtent l="0" t="0" r="0" b="0"/>
                <wp:wrapNone/>
                <wp:docPr id="294" name="Frame2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color w:val="000000"/>
          <w:sz w:val="22"/>
        </w:rPr>
        <w:t xml:space="preserve">to the extent required by the agreement governing such </w:t>
      </w:r>
      <w:r>
        <w:rPr>
          <w:rFonts w:ascii="Times New Roman;serif" w:hAnsi="Times New Roman;serif"/>
          <w:b w:val="false"/>
          <w:strike/>
          <w:color w:val="FF0000"/>
          <w:sz w:val="22"/>
        </w:rPr>
        <w:t>Subordinated</w:t>
      </w:r>
      <w:r>
        <w:rPr>
          <w:rFonts w:ascii="Times New Roman;serif" w:hAnsi="Times New Roman;serif"/>
          <w:b w:val="false"/>
          <w:color w:val="0000FF"/>
          <w:sz w:val="22"/>
          <w:u w:val="single"/>
        </w:rPr>
        <w:t>Junior</w:t>
      </w:r>
      <w:r>
        <w:rPr>
          <w:color w:val="000000"/>
        </w:rPr>
        <w:t xml:space="preserve"> </w:t>
      </w:r>
      <w:r>
        <w:rPr>
          <w:rFonts w:ascii="Times New Roman;serif" w:hAnsi="Times New Roman;serif"/>
          <w:b w:val="false"/>
          <w:color w:val="000000"/>
          <w:sz w:val="22"/>
        </w:rPr>
        <w:t xml:space="preserve">Indebtedness, Disqualified Stock or Preferred Stock, following the occurrence of (i) a Change of Control (or other similar event described therein as a “change of control”) or (ii) an Asset Disposition (or other similar event described therein as an “asset disposition” or “asset sale”), but only if the Company shall have first complied with the terms described under “Change of Control” or </w:t>
      </w:r>
      <w:r>
        <w:rPr>
          <w:rFonts w:ascii="Times New Roman;serif" w:hAnsi="Times New Roman;serif"/>
          <w:b w:val="false"/>
          <w:color w:val="000000"/>
          <w:sz w:val="22"/>
          <w:u w:val="single"/>
        </w:rPr>
        <w:t>Section 7.04</w:t>
      </w:r>
      <w:r>
        <w:rPr>
          <w:rFonts w:ascii="Times New Roman;serif" w:hAnsi="Times New Roman;serif"/>
          <w:b w:val="false"/>
          <w:color w:val="000000"/>
          <w:sz w:val="22"/>
        </w:rPr>
        <w:t xml:space="preserve">, as applicable, and purchased all Loans tendered pursuant to the offer to repurchase all the Loans required thereby, prior to purchasing, repurchasing, redeeming, defeasing or otherwise acquiring or retiring such </w:t>
      </w:r>
      <w:r>
        <w:rPr>
          <w:rFonts w:ascii="Times New Roman;serif" w:hAnsi="Times New Roman;serif"/>
          <w:b w:val="false"/>
          <w:strike/>
          <w:color w:val="FF0000"/>
          <w:sz w:val="22"/>
        </w:rPr>
        <w:t>Subordinated</w:t>
      </w:r>
      <w:r>
        <w:rPr>
          <w:rFonts w:ascii="Times New Roman;serif" w:hAnsi="Times New Roman;serif"/>
          <w:b w:val="false"/>
          <w:color w:val="0000FF"/>
          <w:sz w:val="22"/>
          <w:u w:val="single"/>
        </w:rPr>
        <w:t>Junior</w:t>
      </w:r>
      <w:r>
        <w:rPr>
          <w:color w:val="000000"/>
        </w:rPr>
        <w:t xml:space="preserve"> </w:t>
      </w:r>
      <w:r>
        <w:rPr>
          <w:rFonts w:ascii="Times New Roman;serif" w:hAnsi="Times New Roman;serif"/>
          <w:b w:val="false"/>
          <w:color w:val="000000"/>
          <w:sz w:val="22"/>
        </w:rPr>
        <w:t>Indebtedness, Disqualified Stock or Preferred Stock; or</w: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consisting of Acquired Indebtedness (other than Indebtedness incurred in connection with or contemplation of such acquisition)</w:t>
      </w:r>
      <w:r>
        <w:rPr>
          <w:color w:val="0000FF"/>
          <w:u w:val="single"/>
        </w:rPr>
        <w:t xml:space="preserve"> </w:t>
      </w:r>
      <w:r>
        <w:rPr>
          <w:rFonts w:ascii="Times New Roman;serif" w:hAnsi="Times New Roman;serif"/>
          <w:b w:val="false"/>
          <w:color w:val="0000FF"/>
          <w:sz w:val="22"/>
          <w:u w:val="single"/>
        </w:rPr>
        <w:t>permitted under this Agreement</w:t>
      </w:r>
      <w:r>
        <w:rPr>
          <w:rFonts w:ascii="Times New Roman;serif" w:hAnsi="Times New Roman;serif"/>
          <w:b w:val="false"/>
          <w:color w:val="000000"/>
          <w:sz w:val="22"/>
        </w:rPr>
        <w: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(4)    a Restricted Payment to pay for the prepayment, purchase, repurchase, redemption, defeasance, discharge, retirement or other acquisition of Capital Stock of the Company or any direct or indirect parent thereof held by any future, present or former employee, director, officer, manager, contractor, consultant or advisor (or their respective Controlled Investment Affiliates or Immediate Family Members) of the Company or any of its Subsidiaries or any direct or indirect parent of the Company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Company or any direct or indirect parent thereof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the Company or any of its Subsidiaries or any direct or indirect parent of the Company in connection with any transaction;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aggregate Restricted Payments made under this clause </w:t>
      </w:r>
      <w:r>
        <w:rPr>
          <w:rFonts w:ascii="Times New Roman;serif" w:hAnsi="Times New Roman;serif"/>
          <w:b w:val="false"/>
          <w:color w:val="0000FF"/>
          <w:sz w:val="22"/>
          <w:u w:val="single"/>
        </w:rPr>
        <w:t xml:space="preserve">(6) </w:t>
      </w:r>
      <w:r>
        <w:rPr>
          <w:rFonts w:ascii="Times New Roman;serif" w:hAnsi="Times New Roman;serif"/>
          <w:b w:val="false"/>
          <w:color w:val="000000"/>
          <w:sz w:val="22"/>
        </w:rPr>
        <w:t xml:space="preserve">do not exceed </w:t>
      </w:r>
      <w:r>
        <w:rPr>
          <w:rFonts w:ascii="Times New Roman;serif" w:hAnsi="Times New Roman;serif"/>
          <w:b w:val="false"/>
          <w:strike/>
          <w:color w:val="FF0000"/>
          <w:sz w:val="22"/>
        </w:rPr>
        <w:t xml:space="preserve">the greater of (i) </w:t>
      </w:r>
      <w:r>
        <w:rPr>
          <w:rFonts w:ascii="Times New Roman;serif" w:hAnsi="Times New Roman;serif"/>
          <w:b w:val="false"/>
          <w:color w:val="000000"/>
          <w:sz w:val="22"/>
        </w:rPr>
        <w:t>$</w:t>
      </w:r>
      <w:r>
        <w:rPr>
          <w:rFonts w:ascii="Times New Roman;serif" w:hAnsi="Times New Roman;serif"/>
          <w:b w:val="false"/>
          <w:strike/>
          <w:color w:val="FF0000"/>
          <w:sz w:val="22"/>
        </w:rPr>
        <w:t>25,000,000 and (ii) 5.0% of LTM EBITDA</w:t>
      </w:r>
      <w:r>
        <w:rPr>
          <w:rFonts w:ascii="Times New Roman;serif" w:hAnsi="Times New Roman;serif"/>
          <w:b w:val="false"/>
          <w:color w:val="0000FF"/>
          <w:sz w:val="22"/>
          <w:u w:val="single"/>
        </w:rPr>
        <w:t>5,000,000</w:t>
      </w:r>
      <w:r>
        <w:rPr>
          <w:color w:val="000000"/>
        </w:rPr>
        <w:t xml:space="preserve"> </w:t>
      </w:r>
      <w:r>
        <w:rPr>
          <w:rFonts w:ascii="Times New Roman;serif" w:hAnsi="Times New Roman;serif"/>
          <w:b w:val="false"/>
          <w:color w:val="000000"/>
          <w:sz w:val="22"/>
        </w:rPr>
        <w:t>in any calendar year</w:t>
      </w:r>
      <w:r>
        <w:rPr>
          <w:strike/>
          <w:color w:val="FF0000"/>
        </w:rPr>
        <w:t xml:space="preserve"> </w:t>
      </w:r>
      <w:r>
        <w:rPr>
          <w:rFonts w:ascii="Times New Roman;serif" w:hAnsi="Times New Roman;serif"/>
          <w:b w:val="false"/>
          <w:strike/>
          <w:color w:val="FF0000"/>
          <w:sz w:val="22"/>
        </w:rPr>
        <w:t>(with unused amounts in any calendar year being carried over to the immediately succeeding calendar year)</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w:t>
      </w:r>
      <w:r>
        <w:rPr>
          <w:rFonts w:ascii="Times New Roman;serif" w:hAnsi="Times New Roman;serif"/>
          <w:b w:val="false"/>
          <w:strike/>
          <w:color w:val="FF0000"/>
          <w:sz w:val="22"/>
        </w:rPr>
        <w:t>such amount in any calendar year may be increased by an amount not to exceed: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(a) </w:t>
      </w:r>
      <w:r>
        <w:rPr>
          <w:rFonts w:ascii="Times New Roman;serif" w:hAnsi="Times New Roman;serif"/>
          <w:b w:val="false"/>
          <w:color w:val="0000FF"/>
          <w:sz w:val="22"/>
          <w:u w:val="single"/>
        </w:rPr>
        <w:t>(</w:t>
      </w:r>
      <w:r>
        <w:rPr>
          <w:rFonts w:ascii="Times New Roman;serif" w:hAnsi="Times New Roman;serif"/>
          <w:b w:val="false"/>
          <w:strike/>
          <w:color w:val="FF0000"/>
          <w:sz w:val="22"/>
        </w:rPr>
        <w:t xml:space="preserve">the cash proceeds from the sale of Capital Stock (other than Disqualified Stock) of the Company and, to the extent contributed to the capital of the Company, the cash proceeds from the sale of Capital Stock of any direct or indirect parent of the Company, in each case, to any future, present or former employee, director, officer, manager, contractor, consultant or advisor (or their respective Controlled Investment Affiliates or Immediate Family Members) of the Company or any of its Subsidiaries or any direct or indirect parent of the Company that occurred </w:t>
      </w:r>
    </w:p>
    <w:p>
      <w:pPr>
        <w:pStyle w:val="TextBody"/>
        <w:bidi w:val="0"/>
        <w:spacing w:before="0" w:after="0"/>
        <w:jc w:val="left"/>
        <w:rPr/>
      </w:pPr>
      <w:r>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6480175" cy="175260"/>
                <wp:effectExtent l="0" t="0" r="0" b="0"/>
                <wp:wrapNone/>
                <wp:docPr id="295" name="Frame2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after the Closing Date, to the extent the cash proceeds from the sale of such Capital Stock have not otherwise been applied to the payment of Restricted Payments by virtue of clause (b) of </w:t>
      </w:r>
      <w:r>
        <w:rPr>
          <w:rFonts w:ascii="Times New Roman;serif" w:hAnsi="Times New Roman;serif"/>
          <w:b w:val="false"/>
          <w:strike/>
          <w:color w:val="FF0000"/>
          <w:sz w:val="22"/>
          <w:u w:val="single"/>
        </w:rPr>
        <w:t>Section 7.05(a)</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plus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(b) </w:t>
      </w:r>
      <w:r>
        <w:rPr>
          <w:rFonts w:ascii="Times New Roman;serif" w:hAnsi="Times New Roman;serif"/>
          <w:b w:val="false"/>
          <w:strike/>
          <w:color w:val="FF0000"/>
          <w:sz w:val="22"/>
        </w:rPr>
        <w:t xml:space="preserve">the cash proceeds of key man life insurance policies received by the Company or its Restricted Subsidiaries (or any direct or indirect parent of the Company to the extent contributed to the Company) after the Closing Date; </w:t>
      </w:r>
      <w:r>
        <w:rPr>
          <w:rFonts w:ascii="Times New Roman;serif" w:hAnsi="Times New Roman;serif"/>
          <w:b w:val="false"/>
          <w:i/>
          <w:strike/>
          <w:color w:val="FF0000"/>
          <w:sz w:val="22"/>
        </w:rPr>
        <w:t>less</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(c) </w:t>
      </w:r>
      <w:r>
        <w:rPr>
          <w:rFonts w:ascii="Times New Roman;serif" w:hAnsi="Times New Roman;serif"/>
          <w:b w:val="false"/>
          <w:strike/>
          <w:color w:val="FF0000"/>
          <w:sz w:val="22"/>
        </w:rPr>
        <w:t xml:space="preserve">the amount of any Restricted Payments made in previous calendar years </w:t>
      </w:r>
      <w:r>
        <w:rPr>
          <w:rFonts w:ascii="Times New Roman;serif" w:hAnsi="Times New Roman;serif"/>
          <w:b w:val="false"/>
          <w:strike/>
          <w:color w:val="008000"/>
          <w:sz w:val="22"/>
        </w:rPr>
        <w:t xml:space="preserve">pursuant to </w:t>
      </w:r>
      <w:r>
        <w:rPr>
          <w:rFonts w:ascii="Times New Roman;serif" w:hAnsi="Times New Roman;serif"/>
          <w:b w:val="false"/>
          <w:strike/>
          <w:color w:val="008000"/>
          <w:sz w:val="22"/>
          <w:u w:val="single"/>
        </w:rPr>
        <w:t>clauses (</w:t>
      </w:r>
      <w:r>
        <w:rPr>
          <w:rFonts w:ascii="Times New Roman;serif" w:hAnsi="Times New Roman;serif"/>
          <w:b w:val="false"/>
          <w:strike/>
          <w:color w:val="FF0000"/>
          <w:sz w:val="22"/>
          <w:u w:val="single"/>
        </w:rPr>
        <w:t>a</w:t>
      </w:r>
      <w:r>
        <w:rPr>
          <w:rFonts w:ascii="Times New Roman;serif" w:hAnsi="Times New Roman;serif"/>
          <w:b w:val="false"/>
          <w:strike/>
          <w:color w:val="008000"/>
          <w:sz w:val="22"/>
          <w:u w:val="single"/>
        </w:rPr>
        <w:t>)</w:t>
      </w:r>
      <w:r>
        <w:rPr>
          <w:strike/>
          <w:color w:val="008000"/>
        </w:rPr>
        <w:t xml:space="preserve"> </w:t>
      </w:r>
      <w:r>
        <w:rPr>
          <w:rFonts w:ascii="Times New Roman;serif" w:hAnsi="Times New Roman;serif"/>
          <w:b w:val="false"/>
          <w:strike/>
          <w:color w:val="008000"/>
          <w:sz w:val="22"/>
        </w:rPr>
        <w:t xml:space="preserve">and </w:t>
      </w:r>
      <w:r>
        <w:rPr>
          <w:rFonts w:ascii="Times New Roman;serif" w:hAnsi="Times New Roman;serif"/>
          <w:b w:val="false"/>
          <w:strike/>
          <w:color w:val="008000"/>
          <w:sz w:val="22"/>
          <w:u w:val="single"/>
        </w:rPr>
        <w:t>(b)</w:t>
      </w:r>
      <w:r>
        <w:rPr>
          <w:strike/>
          <w:color w:val="008000"/>
        </w:rPr>
        <w:t xml:space="preserve"> </w:t>
      </w:r>
      <w:r>
        <w:rPr>
          <w:rFonts w:ascii="Times New Roman;serif" w:hAnsi="Times New Roman;serif"/>
          <w:b w:val="false"/>
          <w:strike/>
          <w:color w:val="008000"/>
          <w:sz w:val="22"/>
        </w:rPr>
        <w:t xml:space="preserve">of this </w:t>
      </w:r>
      <w:r>
        <w:rPr>
          <w:rFonts w:ascii="Times New Roman;serif" w:hAnsi="Times New Roman;serif"/>
          <w:b w:val="false"/>
          <w:strike/>
          <w:color w:val="FF0000"/>
          <w:sz w:val="22"/>
        </w:rPr>
        <w:t>clause;</w:t>
      </w:r>
    </w:p>
    <w:p>
      <w:pPr>
        <w:pStyle w:val="TextBody"/>
        <w:bidi w:val="0"/>
        <w:spacing w:lineRule="auto" w:line="288" w:before="0" w:after="240"/>
        <w:ind w:left="0" w:right="0" w:hanging="720"/>
        <w:jc w:val="left"/>
        <w:rPr/>
      </w:pPr>
      <w:r>
        <w:rPr>
          <w:rFonts w:ascii="Times New Roman;serif" w:hAnsi="Times New Roman;serif"/>
          <w:b w:val="false"/>
          <w:strike/>
          <w:color w:val="008000"/>
          <w:sz w:val="22"/>
        </w:rPr>
        <w:t xml:space="preserve">that the Company may </w:t>
      </w:r>
      <w:r>
        <w:rPr>
          <w:rFonts w:ascii="Times New Roman;serif" w:hAnsi="Times New Roman;serif"/>
          <w:b w:val="false"/>
          <w:strike/>
          <w:color w:val="FF0000"/>
          <w:sz w:val="22"/>
        </w:rPr>
        <w:t xml:space="preserve">elect to apply all or any portion of </w:t>
      </w:r>
      <w:r>
        <w:rPr>
          <w:rFonts w:ascii="Times New Roman;serif" w:hAnsi="Times New Roman;serif"/>
          <w:b w:val="false"/>
          <w:strike/>
          <w:color w:val="008000"/>
          <w:sz w:val="22"/>
        </w:rPr>
        <w:t xml:space="preserve">the aggregate </w:t>
      </w:r>
      <w:r>
        <w:rPr>
          <w:rFonts w:ascii="Times New Roman;serif" w:hAnsi="Times New Roman;serif"/>
          <w:b w:val="false"/>
          <w:strike/>
          <w:color w:val="FF0000"/>
          <w:sz w:val="22"/>
        </w:rPr>
        <w:t xml:space="preserve">increase contemplated by </w:t>
      </w:r>
      <w:r>
        <w:rPr>
          <w:rFonts w:ascii="Times New Roman;serif" w:hAnsi="Times New Roman;serif"/>
          <w:b w:val="false"/>
          <w:strike/>
          <w:color w:val="FF0000"/>
          <w:sz w:val="22"/>
          <w:u w:val="single"/>
        </w:rPr>
        <w:t>subclauses (a)</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(b)</w:t>
      </w:r>
      <w:r>
        <w:rPr>
          <w:strike/>
          <w:color w:val="FF0000"/>
        </w:rPr>
        <w:t xml:space="preserve"> </w:t>
      </w:r>
      <w:r>
        <w:rPr>
          <w:rFonts w:ascii="Times New Roman;serif" w:hAnsi="Times New Roman;serif"/>
          <w:b w:val="false"/>
          <w:strike/>
          <w:color w:val="FF0000"/>
          <w:sz w:val="22"/>
        </w:rPr>
        <w:t xml:space="preserve">of this </w:t>
      </w:r>
      <w:r>
        <w:rPr>
          <w:rFonts w:ascii="Times New Roman;serif" w:hAnsi="Times New Roman;serif"/>
          <w:b w:val="false"/>
          <w:strike/>
          <w:color w:val="FF0000"/>
          <w:sz w:val="22"/>
          <w:u w:val="single"/>
        </w:rPr>
        <w:t>clause (6)</w:t>
      </w:r>
      <w:r>
        <w:rPr>
          <w:strike/>
          <w:color w:val="FF0000"/>
        </w:rPr>
        <w:t xml:space="preserve"> </w:t>
      </w:r>
      <w:r>
        <w:rPr>
          <w:rFonts w:ascii="Times New Roman;serif" w:hAnsi="Times New Roman;serif"/>
          <w:b w:val="false"/>
          <w:strike/>
          <w:color w:val="008000"/>
          <w:sz w:val="22"/>
        </w:rPr>
        <w:t xml:space="preserve">in any fiscal year; </w:t>
      </w:r>
      <w:r>
        <w:rPr>
          <w:rFonts w:ascii="Times New Roman;serif" w:hAnsi="Times New Roman;serif"/>
          <w:b w:val="false"/>
          <w:i/>
          <w:strike/>
          <w:color w:val="FF0000"/>
          <w:sz w:val="22"/>
        </w:rPr>
        <w:t>provided, further</w:t>
      </w:r>
      <w:r>
        <w:rPr>
          <w:rFonts w:ascii="Times New Roman;serif" w:hAnsi="Times New Roman;serif"/>
          <w:b w:val="false"/>
          <w:strike/>
          <w:color w:val="FF0000"/>
          <w:sz w:val="22"/>
        </w:rPr>
        <w:t>, that (i)</w:t>
      </w:r>
      <w:r>
        <w:rPr>
          <w:rFonts w:ascii="Times New Roman;serif" w:hAnsi="Times New Roman;serif"/>
          <w:b w:val="false"/>
          <w:color w:val="0000FF"/>
          <w:sz w:val="22"/>
          <w:u w:val="single"/>
        </w:rPr>
        <w:t>i)</w:t>
      </w:r>
      <w:r>
        <w:rPr>
          <w:color w:val="000000"/>
        </w:rPr>
        <w:t xml:space="preserve"> </w:t>
      </w:r>
      <w:r>
        <w:rPr>
          <w:rFonts w:ascii="Times New Roman;serif" w:hAnsi="Times New Roman;serif"/>
          <w:b w:val="false"/>
          <w:color w:val="000000"/>
          <w:sz w:val="22"/>
        </w:rPr>
        <w:t xml:space="preserve">cancellation of Indebtedness owing to the Company or any Restricted Subsidiary from any future, present or former employee, director, officer, manager, contractor, consultant or advisor (or their respective Controlled Investment Affiliates or Immediate Family Members) of the Company or its Restricted Subsidiaries or any direct or indirect parent of the Company in connection with a repurchase of Capital Stock of the Company or any direct or indirect parent thereof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w:t>
      </w:r>
      <w:r>
        <w:rPr>
          <w:rFonts w:ascii="Times New Roman;serif" w:hAnsi="Times New Roman;serif"/>
          <w:b w:val="false"/>
          <w:color w:val="000000"/>
          <w:sz w:val="22"/>
          <w:u w:val="single"/>
        </w:rPr>
        <w:t>clauses (i)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w:t>
      </w:r>
      <w:r>
        <w:rPr>
          <w:rFonts w:ascii="Times New Roman;serif" w:hAnsi="Times New Roman;serif"/>
          <w:b w:val="false"/>
          <w:color w:val="000000"/>
          <w:sz w:val="22"/>
        </w:rPr>
        <w:t>, will not be deemed to constitute a Restricted Payment for purposes of this covenant or any other provision of this Agreement;</w:t>
      </w:r>
    </w:p>
    <w:p>
      <w:pPr>
        <w:pStyle w:val="TextBody"/>
        <w:bidi w:val="0"/>
        <w:spacing w:lineRule="auto" w:line="288" w:before="0" w:after="240"/>
        <w:ind w:left="0" w:right="0" w:hanging="720"/>
        <w:jc w:val="left"/>
        <w:rPr/>
      </w:pPr>
      <w:r>
        <w:rPr>
          <w:rFonts w:ascii="Times New Roman;serif" w:hAnsi="Times New Roman;serif"/>
          <w:b w:val="false"/>
          <w:color w:val="000000"/>
          <w:sz w:val="22"/>
        </w:rPr>
        <w:t>(5)    </w:t>
      </w:r>
      <w:r>
        <w:rPr>
          <w:rFonts w:ascii="Times New Roman;serif" w:hAnsi="Times New Roman;serif"/>
          <w:b w:val="false"/>
          <w:strike/>
          <w:color w:val="FF0000"/>
          <w:sz w:val="22"/>
        </w:rPr>
        <w:t xml:space="preserve">the declaration and payment of dividends on Disqualified Stock of the Company or any of its Restricted Subsidiaries or Preferred Stock of a Restricted Subsidiary, issued in accordance with </w:t>
      </w:r>
      <w:r>
        <w:rPr>
          <w:rFonts w:ascii="Times New Roman;serif" w:hAnsi="Times New Roman;serif"/>
          <w:b w:val="false"/>
          <w:strike/>
          <w:color w:val="FF0000"/>
          <w:sz w:val="22"/>
          <w:u w:val="single"/>
        </w:rPr>
        <w:t>Section 7.01</w:t>
      </w:r>
      <w:r>
        <w:rPr>
          <w:rFonts w:ascii="Times New Roman;serif" w:hAnsi="Times New Roman;serif"/>
          <w:b w:val="false"/>
          <w:color w:val="0000FF"/>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(6)    payments made or expected to be made by the Company or any Restricted Subsidiary (including, for purposes of clarity, payments by the Company or any Restricted Subsidiary to an any direct or indirect parent of the Company so that such parent may make payments)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Company or any Restricted Subsidiary or any direct or indirect parent of the Company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pStyle w:val="TextBody"/>
        <w:bidi w:val="0"/>
        <w:spacing w:before="0" w:after="0"/>
        <w:jc w:val="left"/>
        <w:rPr/>
      </w:pPr>
      <w:r>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6480175" cy="175260"/>
                <wp:effectExtent l="0" t="0" r="0" b="0"/>
                <wp:wrapNone/>
                <wp:docPr id="296" name="Frame2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(7)    dividends, loans, advances or distributions to any direct or indirect parent of the Company or other payments by the Company or any Restricted Subsidiary in amounts equal to (without duplication):</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 xml:space="preserve">the amounts required for any direct or indirect parent of the Company to pay any </w:t>
      </w:r>
      <w:r>
        <w:rPr>
          <w:rFonts w:ascii="Times New Roman;serif" w:hAnsi="Times New Roman;serif"/>
          <w:b w:val="false"/>
          <w:strike/>
          <w:color w:val="FF0000"/>
          <w:sz w:val="22"/>
        </w:rPr>
        <w:t xml:space="preserve">Parent Entity Expenses or any </w:t>
      </w:r>
      <w:r>
        <w:rPr>
          <w:rFonts w:ascii="Times New Roman;serif" w:hAnsi="Times New Roman;serif"/>
          <w:b w:val="false"/>
          <w:color w:val="000000"/>
          <w:sz w:val="22"/>
        </w:rPr>
        <w:t>Permitted Tax Amounts;</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strike/>
          <w:color w:val="FF0000"/>
          <w:sz w:val="22"/>
        </w:rPr>
        <w:t xml:space="preserve">amounts constituting or to be used for purposes of making payments to the extent specified in </w:t>
      </w:r>
      <w:r>
        <w:rPr>
          <w:rFonts w:ascii="Times New Roman;serif" w:hAnsi="Times New Roman;serif"/>
          <w:b w:val="false"/>
          <w:strike/>
          <w:color w:val="FF0000"/>
          <w:sz w:val="22"/>
          <w:u w:val="single"/>
        </w:rPr>
        <w:t>clauses (2)</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(3)</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(5)</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(11)</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(12)</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(13)</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(15)</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(19)</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6.18(b)</w:t>
      </w:r>
      <w:r>
        <w:rPr>
          <w:strike/>
          <w:color w:val="FF0000"/>
        </w:rPr>
        <w:t xml:space="preserve"> </w:t>
      </w:r>
      <w:r>
        <w:rPr>
          <w:rFonts w:ascii="Times New Roman;serif" w:hAnsi="Times New Roman;serif"/>
          <w:b w:val="false"/>
          <w:strike/>
          <w:color w:val="FF0000"/>
          <w:sz w:val="22"/>
        </w:rPr>
        <w:t>and</w:t>
      </w:r>
      <w:r>
        <w:rPr>
          <w:rFonts w:ascii="Times New Roman;serif" w:hAnsi="Times New Roman;serif"/>
          <w:b w:val="false"/>
          <w:color w:val="0000FF"/>
          <w:sz w:val="22"/>
          <w:u w:val="single"/>
        </w:rPr>
        <w:t>[reserved]; and</w: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[reserved];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(10) </w:t>
      </w:r>
      <w:r>
        <w:rPr>
          <w:rFonts w:ascii="Times New Roman;serif" w:hAnsi="Times New Roman;serif"/>
          <w:b w:val="false"/>
          <w:strike/>
          <w:color w:val="FF0000"/>
          <w:sz w:val="22"/>
        </w:rPr>
        <w:t xml:space="preserve">(a) the declaration and payment of dividends on the common stock or common equity interests of the Company or any direct or indirect parent thereof (and any equivalent declaration and payment of a distribution of any security exchangeable for such common stock or common equity interests to the extent required by the terms of any such exchangeable securities and any Restricted Payment to any such direct or indirect parent to fund the payment by such direct or indirect parent of dividends on such entity’s Capital Stock), in an amount in any fiscal year not to exceed $50,000,000 (which permitted amount shall increase by 5.0% each year beginning with the first fiscal year after the fiscal year in which the Spin-Off Date occurs); or (b) in lieu of all or a portion of the dividends permitted by </w:t>
      </w:r>
      <w:r>
        <w:rPr>
          <w:rFonts w:ascii="Times New Roman;serif" w:hAnsi="Times New Roman;serif"/>
          <w:b w:val="false"/>
          <w:strike/>
          <w:color w:val="FF0000"/>
          <w:sz w:val="22"/>
          <w:u w:val="single"/>
        </w:rPr>
        <w:t>clause (a)</w:t>
      </w:r>
      <w:r>
        <w:rPr>
          <w:rFonts w:ascii="Times New Roman;serif" w:hAnsi="Times New Roman;serif"/>
          <w:b w:val="false"/>
          <w:strike/>
          <w:color w:val="FF0000"/>
          <w:sz w:val="22"/>
        </w:rPr>
        <w:t xml:space="preserve">, any prepayment, purchase, repurchase, redemption, defeasance, discharge, retirement or other acquisition of the Company’s Capital Stock (and any equivalent declaration and payment of a distribution of any security exchangeable for such common stock or common equity interests to the extent required by the terms of any such exchangeable securities and any Restricted Payment to any such direct or indirect parent to fund the payment by such direct or indirect parent of dividends on such entity’s Capital Stock) for aggregate consideration that, when taken together with dividends permitted by </w:t>
      </w:r>
      <w:r>
        <w:rPr>
          <w:rFonts w:ascii="Times New Roman;serif" w:hAnsi="Times New Roman;serif"/>
          <w:b w:val="false"/>
          <w:strike/>
          <w:color w:val="FF0000"/>
          <w:sz w:val="22"/>
          <w:u w:val="single"/>
        </w:rPr>
        <w:t>clause (a)</w:t>
      </w:r>
      <w:r>
        <w:rPr>
          <w:rFonts w:ascii="Times New Roman;serif" w:hAnsi="Times New Roman;serif"/>
          <w:b w:val="false"/>
          <w:strike/>
          <w:color w:val="FF0000"/>
          <w:sz w:val="22"/>
        </w:rPr>
        <w:t xml:space="preserve">, does not exceed the amount contemplated by </w:t>
      </w:r>
      <w:r>
        <w:rPr>
          <w:rFonts w:ascii="Times New Roman;serif" w:hAnsi="Times New Roman;serif"/>
          <w:b w:val="false"/>
          <w:strike/>
          <w:color w:val="FF0000"/>
          <w:sz w:val="22"/>
          <w:u w:val="single"/>
        </w:rPr>
        <w:t>clause (a)</w:t>
      </w:r>
      <w:r>
        <w:rPr>
          <w:rFonts w:ascii="Times New Roman;serif" w:hAnsi="Times New Roman;serif"/>
          <w:b w:val="false"/>
          <w:strike/>
          <w:color w:val="FF0000"/>
          <w:sz w:val="22"/>
        </w:rPr>
        <w:t>;</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(8)    [reserved];</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(9)    payments by the Company, or loans, advances, dividends or distributions to any direct or indirect parent thereof to make payments, to holders of Capital Stock of the Company or any direct or indirect parent thereof in lieu of the issuance of fractional shares of such Capital Stock; </w:t>
      </w:r>
      <w:r>
        <w:rPr>
          <w:rFonts w:ascii="Times New Roman;serif" w:hAnsi="Times New Roman;serif"/>
          <w:b w:val="false"/>
          <w:i/>
          <w:color w:val="000000"/>
          <w:sz w:val="22"/>
        </w:rPr>
        <w:t>provided, however</w:t>
      </w:r>
      <w:r>
        <w:rPr>
          <w:rFonts w:ascii="Times New Roman;serif" w:hAnsi="Times New Roman;serif"/>
          <w:b w:val="false"/>
          <w:color w:val="000000"/>
          <w:sz w:val="22"/>
        </w:rPr>
        <w:t>, that any such payment, loan, advance, dividend or distribution shall not be for the purpose of evading any limitation of this covenant or otherwise to facilitate any dividend or other return of capital to the holders of such Capital Stock (as determined in good faith by the Company);</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(10)    [reserved];</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(11)    [reserved];</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(12)    [reserved];</w:t>
      </w:r>
    </w:p>
    <w:p>
      <w:pPr>
        <w:pStyle w:val="TextBody"/>
        <w:bidi w:val="0"/>
        <w:spacing w:before="0" w:after="0"/>
        <w:jc w:val="left"/>
        <w:rPr/>
      </w:pPr>
      <w:r>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6480175" cy="175260"/>
                <wp:effectExtent l="0" t="0" r="0" b="0"/>
                <wp:wrapNone/>
                <wp:docPr id="297" name="Frame2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(12) </w:t>
      </w:r>
      <w:r>
        <w:rPr>
          <w:rFonts w:ascii="Times New Roman;serif" w:hAnsi="Times New Roman;serif"/>
          <w:b w:val="false"/>
          <w:strike/>
          <w:color w:val="FF0000"/>
          <w:sz w:val="22"/>
        </w:rPr>
        <w:t xml:space="preserve">Restricted Payments that are made (a) in an amount </w:t>
      </w:r>
      <w:r>
        <w:rPr>
          <w:rFonts w:ascii="Times New Roman;serif" w:hAnsi="Times New Roman;serif"/>
          <w:b w:val="false"/>
          <w:strike/>
          <w:color w:val="008000"/>
          <w:sz w:val="22"/>
        </w:rPr>
        <w:t xml:space="preserve">not to exceed </w:t>
      </w:r>
      <w:r>
        <w:rPr>
          <w:rFonts w:ascii="Times New Roman;serif" w:hAnsi="Times New Roman;serif"/>
          <w:b w:val="false"/>
          <w:strike/>
          <w:color w:val="FF0000"/>
          <w:sz w:val="22"/>
        </w:rPr>
        <w:t xml:space="preserve">the amount of Excluded Contributions or (b) </w:t>
      </w:r>
      <w:r>
        <w:rPr>
          <w:rFonts w:ascii="Times New Roman;serif" w:hAnsi="Times New Roman;serif"/>
          <w:b w:val="false"/>
          <w:strike/>
          <w:color w:val="008000"/>
          <w:sz w:val="22"/>
        </w:rPr>
        <w:t xml:space="preserve">in an amount equal to the amount of </w:t>
      </w:r>
      <w:r>
        <w:rPr>
          <w:rFonts w:ascii="Times New Roman;serif" w:hAnsi="Times New Roman;serif"/>
          <w:b w:val="false"/>
          <w:strike/>
          <w:color w:val="FF0000"/>
          <w:sz w:val="22"/>
        </w:rPr>
        <w:t xml:space="preserve">Net Cash Proceeds from an asset sale or Disposition </w:t>
      </w:r>
      <w:r>
        <w:rPr>
          <w:rFonts w:ascii="Times New Roman;serif" w:hAnsi="Times New Roman;serif"/>
          <w:b w:val="false"/>
          <w:strike/>
          <w:color w:val="008000"/>
          <w:sz w:val="22"/>
        </w:rPr>
        <w:t xml:space="preserve">in respect of </w:t>
      </w:r>
      <w:r>
        <w:rPr>
          <w:rFonts w:ascii="Times New Roman;serif" w:hAnsi="Times New Roman;serif"/>
          <w:b w:val="false"/>
          <w:strike/>
          <w:color w:val="FF0000"/>
          <w:sz w:val="22"/>
        </w:rPr>
        <w:t>property or assets acquired, if the acquisition of such property or assets was financed with Excluded Contributions;</w:t>
      </w:r>
    </w:p>
    <w:p>
      <w:pPr>
        <w:pStyle w:val="TextBody"/>
        <w:bidi w:val="0"/>
        <w:spacing w:lineRule="auto" w:line="288" w:before="0" w:after="240"/>
        <w:ind w:left="0" w:right="0" w:hanging="1440"/>
        <w:jc w:val="left"/>
        <w:rPr/>
      </w:pPr>
      <w:r>
        <w:rPr>
          <w:rFonts w:ascii="Times New Roman;serif" w:hAnsi="Times New Roman;serif"/>
          <w:b w:val="false"/>
          <w:strike/>
          <w:color w:val="FF0000"/>
          <w:sz w:val="24"/>
        </w:rPr>
        <w:t xml:space="preserve">(13) </w:t>
      </w:r>
      <w:r>
        <w:rPr>
          <w:rFonts w:ascii="Times New Roman;serif" w:hAnsi="Times New Roman;serif"/>
          <w:b w:val="false"/>
          <w:strike/>
          <w:color w:val="FF0000"/>
          <w:sz w:val="22"/>
        </w:rPr>
        <w:t>(i)</w:t>
      </w:r>
      <w:r>
        <w:rPr>
          <w:color w:val="000000"/>
        </w:rPr>
        <w:t>    </w:t>
      </w:r>
      <w:r>
        <w:rPr>
          <w:rFonts w:ascii="Times New Roman;serif" w:hAnsi="Times New Roman;serif"/>
          <w:b w:val="false"/>
          <w:strike/>
          <w:color w:val="FF0000"/>
          <w:sz w:val="22"/>
        </w:rPr>
        <w:t>the declaration and payment of dividends on Designated Preferred Stock of the Company or any of its Restricted Subsidiaries issued after the Closing Date;</w:t>
      </w:r>
    </w:p>
    <w:p>
      <w:pPr>
        <w:pStyle w:val="TextBody"/>
        <w:bidi w:val="0"/>
        <w:spacing w:lineRule="auto" w:line="288" w:before="0" w:after="240"/>
        <w:ind w:left="0" w:right="0" w:hanging="720"/>
        <w:jc w:val="left"/>
        <w:rPr/>
      </w:pPr>
      <w:r>
        <w:rPr>
          <w:rFonts w:ascii="Times New Roman;serif" w:hAnsi="Times New Roman;serif"/>
          <w:b w:val="false"/>
          <w:strike/>
          <w:color w:val="FF0000"/>
          <w:sz w:val="22"/>
        </w:rPr>
        <w:t>(ii)</w:t>
      </w:r>
      <w:r>
        <w:rPr>
          <w:color w:val="000000"/>
        </w:rPr>
        <w:t>    </w:t>
      </w:r>
      <w:r>
        <w:rPr>
          <w:rFonts w:ascii="Times New Roman;serif" w:hAnsi="Times New Roman;serif"/>
          <w:b w:val="false"/>
          <w:strike/>
          <w:color w:val="FF0000"/>
          <w:sz w:val="22"/>
        </w:rPr>
        <w:t xml:space="preserve">the declaration and payment of dividends to a direct or indirect parent </w:t>
      </w:r>
      <w:r>
        <w:rPr>
          <w:rFonts w:ascii="Times New Roman;serif" w:hAnsi="Times New Roman;serif"/>
          <w:b w:val="false"/>
          <w:strike/>
          <w:color w:val="008000"/>
          <w:sz w:val="22"/>
        </w:rPr>
        <w:t xml:space="preserve">of the </w:t>
      </w:r>
      <w:r>
        <w:rPr>
          <w:rFonts w:ascii="Times New Roman;serif" w:hAnsi="Times New Roman;serif"/>
          <w:b w:val="false"/>
          <w:strike/>
          <w:color w:val="FF0000"/>
          <w:sz w:val="22"/>
        </w:rPr>
        <w:t xml:space="preserve">Company in an amount sufficient to allow such direct or indirect parent to pay dividends to holders of its Designated Preferred Stock issued </w:t>
      </w:r>
      <w:r>
        <w:rPr>
          <w:rFonts w:ascii="Times New Roman;serif" w:hAnsi="Times New Roman;serif"/>
          <w:b w:val="false"/>
          <w:strike/>
          <w:color w:val="008000"/>
          <w:sz w:val="22"/>
        </w:rPr>
        <w:t>after the Closing Date</w:t>
      </w:r>
      <w:r>
        <w:rPr>
          <w:rFonts w:ascii="Times New Roman;serif" w:hAnsi="Times New Roman;serif"/>
          <w:b w:val="false"/>
          <w:strike/>
          <w:color w:val="FF0000"/>
          <w:sz w:val="22"/>
        </w:rPr>
        <w:t>; and</w:t>
      </w:r>
    </w:p>
    <w:p>
      <w:pPr>
        <w:pStyle w:val="TextBody"/>
        <w:bidi w:val="0"/>
        <w:spacing w:lineRule="auto" w:line="288" w:before="0" w:after="240"/>
        <w:ind w:left="0" w:right="0" w:hanging="720"/>
        <w:jc w:val="left"/>
        <w:rPr/>
      </w:pPr>
      <w:r>
        <w:rPr>
          <w:rFonts w:ascii="Times New Roman;serif" w:hAnsi="Times New Roman;serif"/>
          <w:b w:val="false"/>
          <w:strike/>
          <w:color w:val="FF0000"/>
          <w:sz w:val="22"/>
        </w:rPr>
        <w:t>(iii)</w:t>
      </w:r>
      <w:r>
        <w:rPr>
          <w:color w:val="000000"/>
        </w:rPr>
        <w:t>    </w:t>
      </w:r>
      <w:r>
        <w:rPr>
          <w:rFonts w:ascii="Times New Roman;serif" w:hAnsi="Times New Roman;serif"/>
          <w:b w:val="false"/>
          <w:strike/>
          <w:color w:val="FF0000"/>
          <w:sz w:val="22"/>
        </w:rPr>
        <w:t>the declaration and payment of dividends on Refunding Capital Stock that is Preferred Stock;</w:t>
      </w:r>
    </w:p>
    <w:p>
      <w:pPr>
        <w:pStyle w:val="TextBody"/>
        <w:bidi w:val="0"/>
        <w:spacing w:lineRule="auto" w:line="288" w:before="0" w:after="240"/>
        <w:jc w:val="left"/>
        <w:rPr/>
      </w:pPr>
      <w:r>
        <w:rPr>
          <w:rFonts w:ascii="Times New Roman;serif" w:hAnsi="Times New Roman;serif"/>
          <w:b w:val="false"/>
          <w:i/>
          <w:strike/>
          <w:color w:val="FF0000"/>
          <w:sz w:val="22"/>
        </w:rPr>
        <w:t>provided, however</w:t>
      </w:r>
      <w:r>
        <w:rPr>
          <w:rFonts w:ascii="Times New Roman;serif" w:hAnsi="Times New Roman;serif"/>
          <w:b w:val="false"/>
          <w:strike/>
          <w:color w:val="FF0000"/>
          <w:sz w:val="22"/>
        </w:rPr>
        <w:t xml:space="preserve">, that, in the case of </w:t>
      </w:r>
      <w:r>
        <w:rPr>
          <w:rFonts w:ascii="Times New Roman;serif" w:hAnsi="Times New Roman;serif"/>
          <w:b w:val="false"/>
          <w:strike/>
          <w:color w:val="FF0000"/>
          <w:sz w:val="22"/>
          <w:u w:val="single"/>
        </w:rPr>
        <w:t>clause (ii)</w:t>
      </w:r>
      <w:r>
        <w:rPr>
          <w:rFonts w:ascii="Times New Roman;serif" w:hAnsi="Times New Roman;serif"/>
          <w:b w:val="false"/>
          <w:strike/>
          <w:color w:val="FF0000"/>
          <w:sz w:val="22"/>
        </w:rPr>
        <w:t xml:space="preserve">, the amount of dividends paid to a Person pursuant to such clause shall not exceed the cash proceeds received by the Company or the aggregate amount contributed in cash to the equity of the Company (other than through the issuance of Disqualified Stock or an Excluded Contribution of the Company), from the issuance or sale of such Designated Preferred Stock; , that in the case of </w:t>
      </w:r>
      <w:r>
        <w:rPr>
          <w:rFonts w:ascii="Times New Roman;serif" w:hAnsi="Times New Roman;serif"/>
          <w:b w:val="false"/>
          <w:strike/>
          <w:color w:val="FF0000"/>
          <w:sz w:val="22"/>
          <w:u w:val="single"/>
        </w:rPr>
        <w:t>clauses (i)</w:t>
      </w:r>
      <w:r>
        <w:rPr>
          <w:strike/>
          <w:color w:val="FF0000"/>
        </w:rPr>
        <w:t xml:space="preserve"> </w:t>
      </w:r>
      <w:r>
        <w:rPr>
          <w:rFonts w:ascii="Times New Roman;serif" w:hAnsi="Times New Roman;serif"/>
          <w:b w:val="false"/>
          <w:strike/>
          <w:color w:val="FF0000"/>
          <w:sz w:val="22"/>
        </w:rPr>
        <w:t xml:space="preserve">and </w:t>
      </w:r>
      <w:r>
        <w:rPr>
          <w:rFonts w:ascii="Times New Roman;serif" w:hAnsi="Times New Roman;serif"/>
          <w:b w:val="false"/>
          <w:strike/>
          <w:color w:val="FF0000"/>
          <w:sz w:val="22"/>
          <w:u w:val="single"/>
        </w:rPr>
        <w:t>(iii)</w:t>
      </w:r>
      <w:r>
        <w:rPr>
          <w:rFonts w:ascii="Times New Roman;serif" w:hAnsi="Times New Roman;serif"/>
          <w:b w:val="false"/>
          <w:strike/>
          <w:color w:val="FF0000"/>
          <w:sz w:val="22"/>
        </w:rPr>
        <w:t xml:space="preserve">, for the most recently ended four fiscal quarters for which consolidated financial statements are available (which may, at the Company’s election, be internal financial statements) immediately preceding the date of issuance of such Designated Preferred Stock or declaration of such dividends on such Refunding Capital Stock, after giving effect to such payment on a pro forma basis, the Company would be permitted to incur at least $1.00 of additional Indebtedness pursuant to the test set forth in </w:t>
      </w:r>
      <w:r>
        <w:rPr>
          <w:rFonts w:ascii="Times New Roman;serif" w:hAnsi="Times New Roman;serif"/>
          <w:b w:val="false"/>
          <w:strike/>
          <w:color w:val="FF0000"/>
          <w:sz w:val="22"/>
          <w:u w:val="single"/>
        </w:rPr>
        <w:t>Section 7.01(a)</w:t>
      </w:r>
      <w:r>
        <w:rPr>
          <w:rFonts w:ascii="Times New Roman;serif" w:hAnsi="Times New Roman;serif"/>
          <w:b w:val="false"/>
          <w:strike/>
          <w:color w:val="FF0000"/>
          <w:sz w:val="22"/>
        </w:rPr>
        <w: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(14) </w:t>
      </w:r>
      <w:r>
        <w:rPr>
          <w:rFonts w:ascii="Times New Roman;serif" w:hAnsi="Times New Roman;serif"/>
          <w:b w:val="false"/>
          <w:strike/>
          <w:color w:val="FF0000"/>
          <w:sz w:val="22"/>
        </w:rPr>
        <w:t>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the Company or a Restricted Subsidiary by an Unrestricted Subsidiary (or a Restricted Subsidiary that owns one or more Unrestricted Subsidiaries and no other material assets), in each case, other than Unrestricted Subsidiaries, substantially all the assets of which are cash and Cash Equivalents or proceeds thereof;</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(13)    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w:t>
      </w:r>
      <w:r>
        <w:rPr>
          <w:rFonts w:ascii="Times New Roman;serif" w:hAnsi="Times New Roman;serif"/>
          <w:b w:val="false"/>
          <w:strike/>
          <w:color w:val="FF0000"/>
          <w:sz w:val="22"/>
        </w:rPr>
        <w:t>Facility</w:t>
      </w:r>
      <w:r>
        <w:rPr>
          <w:rFonts w:ascii="Times New Roman;serif" w:hAnsi="Times New Roman;serif"/>
          <w:b w:val="false"/>
          <w:color w:val="0000FF"/>
          <w:sz w:val="22"/>
          <w:u w:val="single"/>
        </w:rPr>
        <w:t>Facilities</w:t>
      </w:r>
      <w:r>
        <w:rPr>
          <w:rFonts w:ascii="Times New Roman;serif" w:hAnsi="Times New Roman;serif"/>
          <w:b w:val="false"/>
          <w:color w:val="000000"/>
          <w:sz w:val="22"/>
        </w:rPr>
        <w:t xml:space="preserve">; </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(14)    any Restricted Payment made in connection with the Transactions (including, for the avoidance of doubt, the Special Payment) and any fees, costs and expenses </w:t>
      </w:r>
    </w:p>
    <w:p>
      <w:pPr>
        <w:pStyle w:val="TextBody"/>
        <w:bidi w:val="0"/>
        <w:spacing w:before="0" w:after="0"/>
        <w:jc w:val="left"/>
        <w:rPr/>
      </w:pPr>
      <w:r>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6480175" cy="175260"/>
                <wp:effectExtent l="0" t="0" r="0" b="0"/>
                <wp:wrapNone/>
                <wp:docPr id="298" name="Frame2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(including all legal, accounting and other professional fees, costs and expenses) related thereto, including Transaction Costs, or used to fund amounts owed to Affiliates in connection with the Transactions (including dividends to any direct or indirect parent of the Company to permit payment by such direct or indirect parent of such amounts);</w:t>
      </w:r>
    </w:p>
    <w:p>
      <w:pPr>
        <w:pStyle w:val="TextBody"/>
        <w:bidi w:val="0"/>
        <w:spacing w:lineRule="auto" w:line="288" w:before="0" w:after="240"/>
        <w:ind w:left="0" w:right="0" w:hanging="720"/>
        <w:jc w:val="left"/>
        <w:rPr/>
      </w:pPr>
      <w:r>
        <w:rPr>
          <w:rFonts w:ascii="Times New Roman;serif" w:hAnsi="Times New Roman;serif"/>
          <w:b w:val="false"/>
          <w:color w:val="0000FF"/>
          <w:sz w:val="22"/>
          <w:u w:val="single"/>
        </w:rPr>
        <w:t>(15)    </w:t>
      </w:r>
      <w:r>
        <w:rPr>
          <w:rFonts w:ascii="Times New Roman;serif" w:hAnsi="Times New Roman;serif"/>
          <w:b w:val="false"/>
          <w:color w:val="008000"/>
          <w:sz w:val="22"/>
          <w:u w:val="single"/>
        </w:rPr>
        <w:t xml:space="preserve">Restricted Payments in </w:t>
      </w:r>
      <w:r>
        <w:rPr>
          <w:rFonts w:ascii="Times New Roman;serif" w:hAnsi="Times New Roman;serif"/>
          <w:b w:val="false"/>
          <w:color w:val="0000FF"/>
          <w:sz w:val="22"/>
          <w:u w:val="single"/>
        </w:rPr>
        <w:t xml:space="preserve">respect of earn-outs, deferred purchase price or other adjustments of purchase price or similar obligations, in each case, incurred or assumed </w:t>
      </w:r>
      <w:r>
        <w:rPr>
          <w:rFonts w:ascii="Times New Roman;serif" w:hAnsi="Times New Roman;serif"/>
          <w:b w:val="false"/>
          <w:color w:val="008000"/>
          <w:sz w:val="22"/>
          <w:u w:val="single"/>
        </w:rPr>
        <w:t xml:space="preserve">in connection with the </w:t>
      </w:r>
      <w:r>
        <w:rPr>
          <w:rFonts w:ascii="Times New Roman;serif" w:hAnsi="Times New Roman;serif"/>
          <w:b w:val="false"/>
          <w:color w:val="0000FF"/>
          <w:sz w:val="22"/>
          <w:u w:val="single"/>
        </w:rPr>
        <w:t xml:space="preserve">Owen Mumford Acquisition in </w:t>
      </w:r>
      <w:r>
        <w:rPr>
          <w:rFonts w:ascii="Times New Roman;serif" w:hAnsi="Times New Roman;serif"/>
          <w:b w:val="false"/>
          <w:color w:val="008000"/>
          <w:sz w:val="22"/>
          <w:u w:val="single"/>
        </w:rPr>
        <w:t xml:space="preserve">an aggregate amount not to exceed </w:t>
      </w:r>
      <w:r>
        <w:rPr>
          <w:rFonts w:ascii="Times New Roman;serif" w:hAnsi="Times New Roman;serif"/>
          <w:b w:val="false"/>
          <w:color w:val="0000FF"/>
          <w:sz w:val="22"/>
          <w:u w:val="single"/>
        </w:rPr>
        <w:t>£60,000,000;</w:t>
      </w:r>
    </w:p>
    <w:p>
      <w:pPr>
        <w:pStyle w:val="TextBody"/>
        <w:bidi w:val="0"/>
        <w:spacing w:lineRule="auto" w:line="288" w:before="0" w:after="240"/>
        <w:ind w:left="0" w:right="0" w:hanging="720"/>
        <w:jc w:val="left"/>
        <w:rPr/>
      </w:pPr>
      <w:r>
        <w:rPr>
          <w:rFonts w:ascii="Times New Roman;serif" w:hAnsi="Times New Roman;serif"/>
          <w:b w:val="false"/>
          <w:color w:val="0000FF"/>
          <w:sz w:val="22"/>
          <w:u w:val="single"/>
        </w:rPr>
        <w:t xml:space="preserve">(16)    so long as no Default or Event of Default has occurred and is continuing or would result therefrom, the Company may declare and pay quarterly dividends </w:t>
      </w:r>
      <w:r>
        <w:rPr>
          <w:rFonts w:ascii="Times New Roman;serif" w:hAnsi="Times New Roman;serif"/>
          <w:b w:val="false"/>
          <w:color w:val="008000"/>
          <w:sz w:val="22"/>
          <w:u w:val="single"/>
        </w:rPr>
        <w:t xml:space="preserve">in respect of </w:t>
      </w:r>
      <w:r>
        <w:rPr>
          <w:rFonts w:ascii="Times New Roman;serif" w:hAnsi="Times New Roman;serif"/>
          <w:b w:val="false"/>
          <w:color w:val="0000FF"/>
          <w:sz w:val="22"/>
          <w:u w:val="single"/>
        </w:rPr>
        <w:t xml:space="preserve">its </w:t>
      </w:r>
      <w:r>
        <w:rPr>
          <w:rFonts w:ascii="Times New Roman;serif" w:hAnsi="Times New Roman;serif"/>
          <w:b w:val="false"/>
          <w:color w:val="008000"/>
          <w:sz w:val="22"/>
          <w:u w:val="single"/>
        </w:rPr>
        <w:t xml:space="preserve">Capital Stock </w:t>
      </w:r>
      <w:r>
        <w:rPr>
          <w:rFonts w:ascii="Times New Roman;serif" w:hAnsi="Times New Roman;serif"/>
          <w:b w:val="false"/>
          <w:color w:val="0000FF"/>
          <w:sz w:val="22"/>
          <w:u w:val="single"/>
        </w:rPr>
        <w:t xml:space="preserve">in a manner consistent with the past practice </w:t>
      </w:r>
      <w:r>
        <w:rPr>
          <w:rFonts w:ascii="Times New Roman;serif" w:hAnsi="Times New Roman;serif"/>
          <w:b w:val="false"/>
          <w:color w:val="008000"/>
          <w:sz w:val="22"/>
          <w:u w:val="single"/>
        </w:rPr>
        <w:t xml:space="preserve">of the Company </w:t>
      </w:r>
      <w:r>
        <w:rPr>
          <w:rFonts w:ascii="Times New Roman;serif" w:hAnsi="Times New Roman;serif"/>
          <w:b w:val="false"/>
          <w:color w:val="0000FF"/>
          <w:sz w:val="22"/>
          <w:u w:val="single"/>
        </w:rPr>
        <w:t xml:space="preserve">in amounts reasonably determined by the board of directors </w:t>
      </w:r>
      <w:r>
        <w:rPr>
          <w:rFonts w:ascii="Times New Roman;serif" w:hAnsi="Times New Roman;serif"/>
          <w:b w:val="false"/>
          <w:color w:val="008000"/>
          <w:sz w:val="22"/>
          <w:u w:val="single"/>
        </w:rPr>
        <w:t xml:space="preserve">of the Company; provided that the Company may </w:t>
      </w:r>
      <w:r>
        <w:rPr>
          <w:rFonts w:ascii="Times New Roman;serif" w:hAnsi="Times New Roman;serif"/>
          <w:b w:val="false"/>
          <w:color w:val="0000FF"/>
          <w:sz w:val="22"/>
          <w:u w:val="single"/>
        </w:rPr>
        <w:t xml:space="preserve">declare and pay such quarterly dividends so long as (i) the amount per share of such dividends is not greater than the most recently publicly announced amount of dividends per share and (ii) </w:t>
      </w:r>
      <w:r>
        <w:rPr>
          <w:rFonts w:ascii="Times New Roman;serif" w:hAnsi="Times New Roman;serif"/>
          <w:b w:val="false"/>
          <w:color w:val="008000"/>
          <w:sz w:val="22"/>
          <w:u w:val="single"/>
        </w:rPr>
        <w:t xml:space="preserve">the aggregate </w:t>
      </w:r>
      <w:r>
        <w:rPr>
          <w:rFonts w:ascii="Times New Roman;serif" w:hAnsi="Times New Roman;serif"/>
          <w:b w:val="false"/>
          <w:color w:val="0000FF"/>
          <w:sz w:val="22"/>
          <w:u w:val="single"/>
        </w:rPr>
        <w:t xml:space="preserve">amount of such dividends shall not exceed $3,000,000 </w:t>
      </w:r>
      <w:r>
        <w:rPr>
          <w:rFonts w:ascii="Times New Roman;serif" w:hAnsi="Times New Roman;serif"/>
          <w:b w:val="false"/>
          <w:color w:val="008000"/>
          <w:sz w:val="22"/>
          <w:u w:val="single"/>
        </w:rPr>
        <w:t>in any fiscal year;</w:t>
      </w:r>
    </w:p>
    <w:p>
      <w:pPr>
        <w:pStyle w:val="TextBody"/>
        <w:bidi w:val="0"/>
        <w:spacing w:lineRule="auto" w:line="288" w:before="0" w:after="240"/>
        <w:ind w:left="0" w:right="0" w:hanging="720"/>
        <w:jc w:val="left"/>
        <w:rPr/>
      </w:pPr>
      <w:r>
        <w:rPr>
          <w:rFonts w:ascii="Times New Roman;serif" w:hAnsi="Times New Roman;serif"/>
          <w:b w:val="false"/>
          <w:color w:val="0000FF"/>
          <w:sz w:val="22"/>
          <w:u w:val="single"/>
        </w:rPr>
        <w:t xml:space="preserve">(17)    solely during the fiscal quarter ending September 30, 2026, the Company may repurchase shares of its </w:t>
      </w:r>
      <w:r>
        <w:rPr>
          <w:rFonts w:ascii="Times New Roman;serif" w:hAnsi="Times New Roman;serif"/>
          <w:b w:val="false"/>
          <w:color w:val="008000"/>
          <w:sz w:val="22"/>
          <w:u w:val="single"/>
        </w:rPr>
        <w:t>Capital Stock</w:t>
      </w:r>
      <w:r>
        <w:rPr>
          <w:rFonts w:ascii="Times New Roman;serif" w:hAnsi="Times New Roman;serif"/>
          <w:b w:val="false"/>
          <w:color w:val="0000FF"/>
          <w:sz w:val="22"/>
          <w:u w:val="single"/>
        </w:rPr>
        <w:t xml:space="preserve">, </w:t>
      </w:r>
      <w:r>
        <w:rPr>
          <w:rFonts w:ascii="Times New Roman;serif" w:hAnsi="Times New Roman;serif"/>
          <w:b w:val="false"/>
          <w:color w:val="008000"/>
          <w:sz w:val="22"/>
          <w:u w:val="single"/>
        </w:rPr>
        <w:t>so long as</w:t>
      </w:r>
      <w:r>
        <w:rPr>
          <w:rFonts w:ascii="Times New Roman;serif" w:hAnsi="Times New Roman;serif"/>
          <w:b w:val="false"/>
          <w:color w:val="0000FF"/>
          <w:sz w:val="22"/>
          <w:u w:val="single"/>
        </w:rPr>
        <w:t>: (i</w:t>
      </w:r>
      <w:r>
        <w:rPr>
          <w:rFonts w:ascii="Times New Roman;serif" w:hAnsi="Times New Roman;serif"/>
          <w:b w:val="false"/>
          <w:color w:val="008000"/>
          <w:sz w:val="22"/>
          <w:u w:val="single"/>
        </w:rPr>
        <w:t xml:space="preserve">) no Default or Event of Default </w:t>
      </w:r>
      <w:r>
        <w:rPr>
          <w:rFonts w:ascii="Times New Roman;serif" w:hAnsi="Times New Roman;serif"/>
          <w:b w:val="false"/>
          <w:color w:val="0000FF"/>
          <w:sz w:val="22"/>
          <w:u w:val="single"/>
        </w:rPr>
        <w:t xml:space="preserve">has occurred and is continuing or would result therefrom and (ii) the aggregate amount of such share repurchases </w:t>
      </w:r>
      <w:r>
        <w:rPr>
          <w:rFonts w:ascii="Times New Roman;serif" w:hAnsi="Times New Roman;serif"/>
          <w:b w:val="false"/>
          <w:color w:val="008000"/>
          <w:sz w:val="22"/>
          <w:u w:val="single"/>
        </w:rPr>
        <w:t xml:space="preserve">pursuant to </w:t>
      </w:r>
      <w:r>
        <w:rPr>
          <w:rFonts w:ascii="Times New Roman;serif" w:hAnsi="Times New Roman;serif"/>
          <w:b w:val="false"/>
          <w:color w:val="0000FF"/>
          <w:sz w:val="22"/>
          <w:u w:val="single"/>
        </w:rPr>
        <w:t>this clause (19) shall not exceed $8,000,000 during the term of this Agreement;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(17) </w:t>
      </w:r>
      <w:r>
        <w:rPr>
          <w:rFonts w:ascii="Times New Roman;serif" w:hAnsi="Times New Roman;serif"/>
          <w:b w:val="false"/>
          <w:strike/>
          <w:color w:val="FF0000"/>
          <w:sz w:val="22"/>
        </w:rPr>
        <w:t xml:space="preserve">(i) Restricted Payments (including loans or advances) in an </w:t>
      </w:r>
      <w:r>
        <w:rPr>
          <w:rFonts w:ascii="Times New Roman;serif" w:hAnsi="Times New Roman;serif"/>
          <w:b w:val="false"/>
          <w:strike/>
          <w:color w:val="008000"/>
          <w:sz w:val="22"/>
        </w:rPr>
        <w:t xml:space="preserve">aggregate amount </w:t>
      </w:r>
      <w:r>
        <w:rPr>
          <w:rFonts w:ascii="Times New Roman;serif" w:hAnsi="Times New Roman;serif"/>
          <w:b w:val="false"/>
          <w:strike/>
          <w:color w:val="FF0000"/>
          <w:sz w:val="22"/>
        </w:rPr>
        <w:t xml:space="preserve">outstanding at the time made not to </w:t>
      </w:r>
      <w:r>
        <w:rPr>
          <w:rFonts w:ascii="Times New Roman;serif" w:hAnsi="Times New Roman;serif"/>
          <w:b w:val="false"/>
          <w:strike/>
          <w:color w:val="008000"/>
          <w:sz w:val="22"/>
        </w:rPr>
        <w:t>exceed the greater of (</w:t>
      </w:r>
      <w:r>
        <w:rPr>
          <w:rFonts w:ascii="Times New Roman;serif" w:hAnsi="Times New Roman;serif"/>
          <w:b w:val="false"/>
          <w:strike/>
          <w:color w:val="FF0000"/>
          <w:sz w:val="22"/>
        </w:rPr>
        <w:t xml:space="preserve">a) $175,000,000 and (b) 35.0% of LTM EBITDA at such time, and (ii) any Restricted Payments, so long as, (x) immediately after giving pro forma effect to the payment of any such Restricted Payment and the incurrence of any Indebtedness the net proceeds of which are used to make such Restricted Payment, the Consolidated Total Net Leverage Ratio shall be no greater than 2.10 to 1.00 </w:t>
      </w:r>
      <w:r>
        <w:rPr>
          <w:rFonts w:ascii="Times New Roman;serif" w:hAnsi="Times New Roman;serif"/>
          <w:b w:val="false"/>
          <w:strike/>
          <w:color w:val="008000"/>
          <w:sz w:val="22"/>
        </w:rPr>
        <w:t xml:space="preserve">and (y) </w:t>
      </w:r>
      <w:r>
        <w:rPr>
          <w:rFonts w:ascii="Times New Roman;serif" w:hAnsi="Times New Roman;serif"/>
          <w:b w:val="false"/>
          <w:strike/>
          <w:color w:val="FF0000"/>
          <w:sz w:val="22"/>
        </w:rPr>
        <w:t xml:space="preserve">no Event of Default pursuant </w:t>
      </w:r>
      <w:r>
        <w:rPr>
          <w:rFonts w:ascii="Times New Roman;serif" w:hAnsi="Times New Roman;serif"/>
          <w:b w:val="false"/>
          <w:strike/>
          <w:color w:val="FF0000"/>
          <w:sz w:val="22"/>
          <w:u w:val="single"/>
        </w:rPr>
        <w:t>to Section 8.01(a)</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(f)</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(g)</w:t>
      </w:r>
      <w:r>
        <w:rPr>
          <w:strike/>
          <w:color w:val="FF0000"/>
        </w:rPr>
        <w:t xml:space="preserve"> </w:t>
      </w:r>
      <w:r>
        <w:rPr>
          <w:rFonts w:ascii="Times New Roman;serif" w:hAnsi="Times New Roman;serif"/>
          <w:b w:val="false"/>
          <w:strike/>
          <w:color w:val="FF0000"/>
          <w:sz w:val="22"/>
        </w:rPr>
        <w:t>shall have occurred or be continuing;</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(18) </w:t>
      </w:r>
      <w:r>
        <w:rPr>
          <w:rFonts w:ascii="Times New Roman;serif" w:hAnsi="Times New Roman;serif"/>
          <w:b w:val="false"/>
          <w:strike/>
          <w:color w:val="FF0000"/>
          <w:sz w:val="22"/>
        </w:rPr>
        <w:t xml:space="preserve">mandatory redemptions of Disqualified Stock issued as a </w:t>
      </w:r>
      <w:r>
        <w:rPr>
          <w:rFonts w:ascii="Times New Roman;serif" w:hAnsi="Times New Roman;serif"/>
          <w:b w:val="false"/>
          <w:strike/>
          <w:color w:val="008000"/>
          <w:sz w:val="22"/>
        </w:rPr>
        <w:t xml:space="preserve">Restricted Payment or </w:t>
      </w:r>
      <w:r>
        <w:rPr>
          <w:rFonts w:ascii="Times New Roman;serif" w:hAnsi="Times New Roman;serif"/>
          <w:b w:val="false"/>
          <w:strike/>
          <w:color w:val="FF0000"/>
          <w:sz w:val="22"/>
        </w:rPr>
        <w:t>as consideration for a Permitted Investment;</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(19) </w:t>
      </w:r>
      <w:r>
        <w:rPr>
          <w:rFonts w:ascii="Times New Roman;serif" w:hAnsi="Times New Roman;serif"/>
          <w:b w:val="false"/>
          <w:strike/>
          <w:color w:val="FF0000"/>
          <w:sz w:val="22"/>
        </w:rPr>
        <w:t xml:space="preserve">(i) the redemption, defeasance, repurchase, exchange or other acquisition or retirement of Subordinated Indebtedness of the Company or any Guarantor or the making of any Restricted Investment in an aggregate amount outstanding at the time made, taken together with all other redemptions, defeasances, repurchases, exchanges or other acquisitions or retirements of Subordinated Indebtedness or Restricted Investments made pursuant to this clause, not to exceed the greater of (a) $200,000,000 and (b) 40.0% of LTM EBITDA at such time, and (ii) the redemption, defeasance, repurchase, exchange or other acquisition or retirement of Subordinated Indebtedness or Restricted Investments of the Company or any Guarantor, so long as, (x) immediately after giving pro forma effect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6480175" cy="175260"/>
                <wp:effectExtent l="0" t="0" r="0" b="0"/>
                <wp:wrapNone/>
                <wp:docPr id="299" name="Frame2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strike/>
          <w:color w:val="FF0000"/>
          <w:sz w:val="22"/>
        </w:rPr>
        <w:t xml:space="preserve">payment of any such Restricted Payment and the incurrence of any Indebtedness the net proceeds of which are used to make such Restricted Payment, the Consolidated Total Net Leverage Ratio shall be no greater than 2.60 to 1.00 and (y) no Event of Default pursuant to </w:t>
      </w:r>
      <w:r>
        <w:rPr>
          <w:rFonts w:ascii="Times New Roman;serif" w:hAnsi="Times New Roman;serif"/>
          <w:b w:val="false"/>
          <w:strike/>
          <w:color w:val="FF0000"/>
          <w:sz w:val="22"/>
          <w:u w:val="single"/>
        </w:rPr>
        <w:t>Section 8.01(a)</w:t>
      </w:r>
      <w:r>
        <w:rPr>
          <w:rFonts w:ascii="Times New Roman;serif" w:hAnsi="Times New Roman;serif"/>
          <w:b w:val="false"/>
          <w:strike/>
          <w:color w:val="FF0000"/>
          <w:sz w:val="22"/>
        </w:rPr>
        <w:t xml:space="preserve">, </w:t>
      </w:r>
      <w:r>
        <w:rPr>
          <w:rFonts w:ascii="Times New Roman;serif" w:hAnsi="Times New Roman;serif"/>
          <w:b w:val="false"/>
          <w:strike/>
          <w:color w:val="FF0000"/>
          <w:sz w:val="22"/>
          <w:u w:val="single"/>
        </w:rPr>
        <w:t>(f)</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(g)</w:t>
      </w:r>
      <w:r>
        <w:rPr>
          <w:strike/>
          <w:color w:val="FF0000"/>
        </w:rPr>
        <w:t xml:space="preserve"> </w:t>
      </w:r>
      <w:r>
        <w:rPr>
          <w:rFonts w:ascii="Times New Roman;serif" w:hAnsi="Times New Roman;serif"/>
          <w:b w:val="false"/>
          <w:strike/>
          <w:color w:val="FF0000"/>
          <w:sz w:val="22"/>
        </w:rPr>
        <w:t>shall have occurred or be continuing;</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(18)    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(19)    [reserved];</w:t>
      </w:r>
    </w:p>
    <w:p>
      <w:pPr>
        <w:pStyle w:val="TextBody"/>
        <w:bidi w:val="0"/>
        <w:spacing w:lineRule="auto" w:line="288" w:before="0" w:after="240"/>
        <w:ind w:left="0" w:right="0" w:hanging="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(20)    [reserved];</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(21) </w:t>
      </w:r>
      <w:r>
        <w:rPr>
          <w:rFonts w:ascii="Times New Roman;serif" w:hAnsi="Times New Roman;serif"/>
          <w:b w:val="false"/>
          <w:strike/>
          <w:color w:val="FF0000"/>
          <w:sz w:val="22"/>
        </w:rPr>
        <w:t xml:space="preserve">Restricted Payments to a direct or indirect parent of the Company to finance Investments that would otherwise be </w:t>
      </w:r>
      <w:r>
        <w:rPr>
          <w:rFonts w:ascii="Times New Roman;serif" w:hAnsi="Times New Roman;serif"/>
          <w:b w:val="false"/>
          <w:strike/>
          <w:color w:val="008000"/>
          <w:sz w:val="22"/>
        </w:rPr>
        <w:t xml:space="preserve">permitted to be </w:t>
      </w:r>
      <w:r>
        <w:rPr>
          <w:rFonts w:ascii="Times New Roman;serif" w:hAnsi="Times New Roman;serif"/>
          <w:b w:val="false"/>
          <w:strike/>
          <w:color w:val="FF0000"/>
          <w:sz w:val="22"/>
        </w:rPr>
        <w:t xml:space="preserve">made pursuant to this covenant if made </w:t>
      </w:r>
      <w:r>
        <w:rPr>
          <w:rFonts w:ascii="Times New Roman;serif" w:hAnsi="Times New Roman;serif"/>
          <w:b w:val="false"/>
          <w:strike/>
          <w:color w:val="008000"/>
          <w:sz w:val="22"/>
        </w:rPr>
        <w:t>by the Company</w:t>
      </w:r>
      <w:r>
        <w:rPr>
          <w:rFonts w:ascii="Times New Roman;serif" w:hAnsi="Times New Roman;serif"/>
          <w:b w:val="false"/>
          <w:strike/>
          <w:color w:val="FF0000"/>
          <w:sz w:val="22"/>
        </w:rPr>
        <w:t xml:space="preserve">; that (a) such Restricted Payment shall be made substantially concurrently with the closing of such Investment (or anytime following the closing of such Investment with respect to earn-out or similar payments), (b) such direct or indirect parent shall, promptly following the closing thereof, cause (1) all property acquired (whether assets or Capital Stock) to be contributed to the capital of the Company or one </w:t>
      </w:r>
      <w:r>
        <w:rPr>
          <w:rFonts w:ascii="Times New Roman;serif" w:hAnsi="Times New Roman;serif"/>
          <w:b w:val="false"/>
          <w:strike/>
          <w:color w:val="008000"/>
          <w:sz w:val="22"/>
        </w:rPr>
        <w:t xml:space="preserve">of its Restricted Subsidiaries </w:t>
      </w:r>
      <w:r>
        <w:rPr>
          <w:rFonts w:ascii="Times New Roman;serif" w:hAnsi="Times New Roman;serif"/>
          <w:b w:val="false"/>
          <w:strike/>
          <w:color w:val="FF0000"/>
          <w:sz w:val="22"/>
        </w:rPr>
        <w:t xml:space="preserve">or (2) the merger or amalgamation of the Person formed or acquired by or merged or consolidated with </w:t>
      </w:r>
      <w:r>
        <w:rPr>
          <w:rFonts w:ascii="Times New Roman;serif" w:hAnsi="Times New Roman;serif"/>
          <w:b w:val="false"/>
          <w:strike/>
          <w:color w:val="008000"/>
          <w:sz w:val="22"/>
        </w:rPr>
        <w:t xml:space="preserve">the Company or </w:t>
      </w:r>
      <w:r>
        <w:rPr>
          <w:rFonts w:ascii="Times New Roman;serif" w:hAnsi="Times New Roman;serif"/>
          <w:b w:val="false"/>
          <w:strike/>
          <w:color w:val="FF0000"/>
          <w:sz w:val="22"/>
        </w:rPr>
        <w:t xml:space="preserve">one </w:t>
      </w:r>
      <w:r>
        <w:rPr>
          <w:rFonts w:ascii="Times New Roman;serif" w:hAnsi="Times New Roman;serif"/>
          <w:b w:val="false"/>
          <w:strike/>
          <w:color w:val="008000"/>
          <w:sz w:val="22"/>
        </w:rPr>
        <w:t xml:space="preserve">of its Restricted Subsidiaries (to the extent </w:t>
      </w:r>
      <w:r>
        <w:rPr>
          <w:rFonts w:ascii="Times New Roman;serif" w:hAnsi="Times New Roman;serif"/>
          <w:b w:val="false"/>
          <w:strike/>
          <w:color w:val="FF0000"/>
          <w:sz w:val="22"/>
        </w:rPr>
        <w:t xml:space="preserve">not prohibited by </w:t>
      </w:r>
      <w:r>
        <w:rPr>
          <w:rFonts w:ascii="Times New Roman;serif" w:hAnsi="Times New Roman;serif"/>
          <w:b w:val="false"/>
          <w:strike/>
          <w:color w:val="FF0000"/>
          <w:sz w:val="22"/>
          <w:u w:val="single"/>
        </w:rPr>
        <w:t>Section 7.03)</w:t>
      </w:r>
      <w:r>
        <w:rPr>
          <w:strike/>
          <w:color w:val="FF0000"/>
        </w:rPr>
        <w:t xml:space="preserve"> </w:t>
      </w:r>
      <w:r>
        <w:rPr>
          <w:rFonts w:ascii="Times New Roman;serif" w:hAnsi="Times New Roman;serif"/>
          <w:b w:val="false"/>
          <w:strike/>
          <w:color w:val="FF0000"/>
          <w:sz w:val="22"/>
        </w:rPr>
        <w:t xml:space="preserve">to consummate such Investment, (c) such direct or indirect parent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Agreement, (d) any property received by the Company shall not increase amounts available for Restricted Payments pursuant to </w:t>
      </w:r>
      <w:r>
        <w:rPr>
          <w:rFonts w:ascii="Times New Roman;serif" w:hAnsi="Times New Roman;serif"/>
          <w:b w:val="false"/>
          <w:strike/>
          <w:color w:val="FF0000"/>
          <w:sz w:val="22"/>
          <w:u w:val="single"/>
        </w:rPr>
        <w:t>clause (b)</w:t>
      </w:r>
      <w:r>
        <w:rPr>
          <w:strike/>
          <w:color w:val="FF0000"/>
        </w:rPr>
        <w:t xml:space="preserve"> </w:t>
      </w:r>
      <w:r>
        <w:rPr>
          <w:rFonts w:ascii="Times New Roman;serif" w:hAnsi="Times New Roman;serif"/>
          <w:b w:val="false"/>
          <w:strike/>
          <w:color w:val="FF0000"/>
          <w:sz w:val="22"/>
        </w:rPr>
        <w:t xml:space="preserve">of </w:t>
      </w:r>
      <w:r>
        <w:rPr>
          <w:rFonts w:ascii="Times New Roman;serif" w:hAnsi="Times New Roman;serif"/>
          <w:b w:val="false"/>
          <w:strike/>
          <w:color w:val="FF0000"/>
          <w:sz w:val="22"/>
          <w:u w:val="single"/>
        </w:rPr>
        <w:t>Section 7.05(a)</w:t>
      </w:r>
      <w:r>
        <w:rPr>
          <w:rFonts w:ascii="Times New Roman;serif" w:hAnsi="Times New Roman;serif"/>
          <w:b w:val="false"/>
          <w:strike/>
          <w:color w:val="008000"/>
          <w:sz w:val="22"/>
        </w:rPr>
        <w:t xml:space="preserve">, except to the extent </w:t>
      </w:r>
      <w:r>
        <w:rPr>
          <w:rFonts w:ascii="Times New Roman;serif" w:hAnsi="Times New Roman;serif"/>
          <w:b w:val="false"/>
          <w:strike/>
          <w:color w:val="FF0000"/>
          <w:sz w:val="22"/>
        </w:rPr>
        <w:t xml:space="preserve">the fair market value at the time of such receipt of such property exceeds the Restricted Payment made pursuant to this clause and (e) such Investment shall be deemed to be made by the Company or such Restricted Subsidiary pursuant to another provision of this covenant (other than pursuant to </w:t>
      </w:r>
      <w:r>
        <w:rPr>
          <w:rFonts w:ascii="Times New Roman;serif" w:hAnsi="Times New Roman;serif"/>
          <w:b w:val="false"/>
          <w:strike/>
          <w:color w:val="FF0000"/>
          <w:sz w:val="22"/>
          <w:u w:val="single"/>
        </w:rPr>
        <w:t>clause (12)</w:t>
      </w:r>
      <w:r>
        <w:rPr>
          <w:strike/>
          <w:color w:val="FF0000"/>
        </w:rPr>
        <w:t xml:space="preserve"> </w:t>
      </w:r>
      <w:r>
        <w:rPr>
          <w:rFonts w:ascii="Times New Roman;serif" w:hAnsi="Times New Roman;serif"/>
          <w:b w:val="false"/>
          <w:strike/>
          <w:color w:val="FF0000"/>
          <w:sz w:val="22"/>
        </w:rPr>
        <w:t xml:space="preserve">hereof) or pursuant to the definition of “Permitted Investment” (other than pursuant to </w:t>
      </w:r>
      <w:r>
        <w:rPr>
          <w:rFonts w:ascii="Times New Roman;serif" w:hAnsi="Times New Roman;serif"/>
          <w:b w:val="false"/>
          <w:strike/>
          <w:color w:val="FF0000"/>
          <w:sz w:val="22"/>
          <w:u w:val="single"/>
        </w:rPr>
        <w:t>clause (12)</w:t>
      </w:r>
      <w:r>
        <w:rPr>
          <w:strike/>
          <w:color w:val="FF0000"/>
        </w:rPr>
        <w:t xml:space="preserve"> </w:t>
      </w:r>
      <w:r>
        <w:rPr>
          <w:rFonts w:ascii="Times New Roman;serif" w:hAnsi="Times New Roman;serif"/>
          <w:b w:val="false"/>
          <w:strike/>
          <w:color w:val="FF0000"/>
          <w:sz w:val="22"/>
        </w:rPr>
        <w:t>thereof);</w:t>
      </w:r>
    </w:p>
    <w:p>
      <w:pPr>
        <w:pStyle w:val="TextBody"/>
        <w:bidi w:val="0"/>
        <w:spacing w:lineRule="auto" w:line="288" w:before="0" w:after="240"/>
        <w:ind w:left="0" w:right="0" w:hanging="720"/>
        <w:jc w:val="left"/>
        <w:rPr/>
      </w:pPr>
      <w:r>
        <w:rPr>
          <w:rFonts w:ascii="Times New Roman;serif" w:hAnsi="Times New Roman;serif"/>
          <w:b w:val="false"/>
          <w:strike/>
          <w:color w:val="FF0000"/>
          <w:sz w:val="24"/>
        </w:rPr>
        <w:t xml:space="preserve">(22) </w:t>
      </w:r>
      <w:r>
        <w:rPr>
          <w:rFonts w:ascii="Times New Roman;serif" w:hAnsi="Times New Roman;serif"/>
          <w:b w:val="false"/>
          <w:strike/>
          <w:color w:val="FF0000"/>
          <w:sz w:val="22"/>
        </w:rPr>
        <w:t xml:space="preserve">investments or other </w:t>
      </w:r>
      <w:r>
        <w:rPr>
          <w:rFonts w:ascii="Times New Roman;serif" w:hAnsi="Times New Roman;serif"/>
          <w:b w:val="false"/>
          <w:strike/>
          <w:color w:val="008000"/>
          <w:sz w:val="22"/>
        </w:rPr>
        <w:t xml:space="preserve">Restricted Payments in an aggregate amount not to exceed </w:t>
      </w:r>
      <w:r>
        <w:rPr>
          <w:rFonts w:ascii="Times New Roman;serif" w:hAnsi="Times New Roman;serif"/>
          <w:b w:val="false"/>
          <w:strike/>
          <w:color w:val="FF0000"/>
          <w:sz w:val="22"/>
        </w:rPr>
        <w:t>an amount equal to the Retained Declined Proceeds;</w:t>
      </w:r>
    </w:p>
    <w:p>
      <w:pPr>
        <w:pStyle w:val="TextBody"/>
        <w:bidi w:val="0"/>
        <w:spacing w:lineRule="auto" w:line="288" w:before="0" w:after="240"/>
        <w:ind w:left="0" w:right="0" w:hanging="720"/>
        <w:jc w:val="left"/>
        <w:rPr/>
      </w:pPr>
      <w:r>
        <w:rPr>
          <w:rFonts w:ascii="Times New Roman;serif" w:hAnsi="Times New Roman;serif"/>
          <w:b w:val="false"/>
          <w:color w:val="000000"/>
          <w:sz w:val="22"/>
        </w:rPr>
        <w:t>(21)    any Restricted Payment made in connection with a Permitted Intercompany Activity</w:t>
      </w:r>
      <w:r>
        <w:rPr>
          <w:rFonts w:ascii="Times New Roman;serif" w:hAnsi="Times New Roman;serif"/>
          <w:b w:val="false"/>
          <w:strike/>
          <w:color w:val="FF0000"/>
          <w:sz w:val="22"/>
        </w:rPr>
        <w:t>,</w:t>
      </w:r>
      <w:r>
        <w:rPr>
          <w:color w:val="000000"/>
        </w:rPr>
        <w:t xml:space="preserve"> </w:t>
      </w:r>
      <w:r>
        <w:rPr>
          <w:rFonts w:ascii="Times New Roman;serif" w:hAnsi="Times New Roman;serif"/>
          <w:b w:val="false"/>
          <w:color w:val="0000FF"/>
          <w:sz w:val="22"/>
          <w:u w:val="single"/>
        </w:rPr>
        <w:t>or a</w:t>
      </w:r>
      <w:r>
        <w:rPr>
          <w:color w:val="000000"/>
        </w:rPr>
        <w:t xml:space="preserve"> </w:t>
      </w:r>
      <w:r>
        <w:rPr>
          <w:rFonts w:ascii="Times New Roman;serif" w:hAnsi="Times New Roman;serif"/>
          <w:b w:val="false"/>
          <w:color w:val="000000"/>
          <w:sz w:val="22"/>
        </w:rPr>
        <w:t>Permitted Tax Restructuring</w:t>
      </w:r>
      <w:r>
        <w:rPr>
          <w:strike/>
          <w:color w:val="FF0000"/>
        </w:rPr>
        <w:t xml:space="preserve"> </w:t>
      </w:r>
      <w:r>
        <w:rPr>
          <w:rFonts w:ascii="Times New Roman;serif" w:hAnsi="Times New Roman;serif"/>
          <w:b w:val="false"/>
          <w:strike/>
          <w:color w:val="FF0000"/>
          <w:sz w:val="22"/>
        </w:rPr>
        <w:t>or related transactions</w:t>
      </w:r>
      <w:r>
        <w:rPr>
          <w:rFonts w:ascii="Times New Roman;serif" w:hAnsi="Times New Roman;serif"/>
          <w:b w:val="false"/>
          <w:color w:val="000000"/>
          <w:sz w:val="22"/>
        </w:rPr>
        <w:t>; and</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(22)    any Restricted Payment </w:t>
      </w:r>
      <w:r>
        <w:rPr>
          <w:rFonts w:ascii="Times New Roman;serif" w:hAnsi="Times New Roman;serif"/>
          <w:b w:val="false"/>
          <w:color w:val="008000"/>
          <w:sz w:val="22"/>
          <w:u w:val="single"/>
        </w:rPr>
        <w:t xml:space="preserve">to the Company or </w:t>
      </w:r>
      <w:r>
        <w:rPr>
          <w:rFonts w:ascii="Times New Roman;serif" w:hAnsi="Times New Roman;serif"/>
          <w:b w:val="false"/>
          <w:color w:val="0000FF"/>
          <w:sz w:val="22"/>
          <w:u w:val="single"/>
        </w:rPr>
        <w:t xml:space="preserve">another Loan Party </w:t>
      </w:r>
      <w:r>
        <w:rPr>
          <w:rFonts w:ascii="Times New Roman;serif" w:hAnsi="Times New Roman;serif"/>
          <w:b w:val="false"/>
          <w:color w:val="000000"/>
          <w:sz w:val="22"/>
        </w:rPr>
        <w:t>payable solely in the Capital Stock of any Parent Holding Company.</w:t>
      </w:r>
    </w:p>
    <w:p>
      <w:pPr>
        <w:pStyle w:val="TextBody"/>
        <w:bidi w:val="0"/>
        <w:spacing w:before="0" w:after="0"/>
        <w:jc w:val="left"/>
        <w:rPr/>
      </w:pPr>
      <w:r>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6480175" cy="175260"/>
                <wp:effectExtent l="0" t="0" r="0" b="0"/>
                <wp:wrapNone/>
                <wp:docPr id="300" name="Frame2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For purposes of determining compliance with this covenant, in the event that a Restricted Payment or Investment (or portion thereof) meets the criteria of more than one of the categories of Permitted Payments described in the clauses above, or is permitted pursuant to </w:t>
      </w:r>
      <w:r>
        <w:rPr>
          <w:rFonts w:ascii="Times New Roman;serif" w:hAnsi="Times New Roman;serif"/>
          <w:b w:val="false"/>
          <w:color w:val="000000"/>
          <w:sz w:val="22"/>
          <w:u w:val="single"/>
        </w:rPr>
        <w:t>Section 7.05(a)</w:t>
      </w:r>
      <w:r>
        <w:rPr>
          <w:color w:val="000000"/>
        </w:rPr>
        <w:t xml:space="preserve"> </w:t>
      </w:r>
      <w:r>
        <w:rPr>
          <w:rFonts w:ascii="Times New Roman;serif" w:hAnsi="Times New Roman;serif"/>
          <w:b w:val="false"/>
          <w:color w:val="000000"/>
          <w:sz w:val="22"/>
        </w:rPr>
        <w:t xml:space="preserve">and/or one or more of the clauses contained in the definition of “Permitted Investment,” the Company will be entitled </w:t>
      </w:r>
      <w:r>
        <w:rPr>
          <w:rFonts w:ascii="Times New Roman;serif" w:hAnsi="Times New Roman;serif"/>
          <w:b w:val="false"/>
          <w:strike/>
          <w:color w:val="008000"/>
          <w:sz w:val="22"/>
        </w:rPr>
        <w:t xml:space="preserve">to divide or classify </w:t>
      </w:r>
      <w:r>
        <w:rPr>
          <w:rFonts w:ascii="Times New Roman;serif" w:hAnsi="Times New Roman;serif"/>
          <w:b w:val="false"/>
          <w:strike/>
          <w:color w:val="FF0000"/>
          <w:sz w:val="22"/>
        </w:rPr>
        <w:t>(or later divide, classify or reclassify in whole or in part in its sole discretion)</w:t>
      </w:r>
      <w:r>
        <w:rPr>
          <w:rFonts w:ascii="Times New Roman;serif" w:hAnsi="Times New Roman;serif"/>
          <w:b w:val="false"/>
          <w:color w:val="0000FF"/>
          <w:sz w:val="22"/>
          <w:u w:val="single"/>
        </w:rPr>
        <w:t>at the time of</w:t>
      </w:r>
      <w:r>
        <w:rPr>
          <w:color w:val="000000"/>
        </w:rPr>
        <w:t xml:space="preserve"> </w:t>
      </w:r>
      <w:r>
        <w:rPr>
          <w:rFonts w:ascii="Times New Roman;serif" w:hAnsi="Times New Roman;serif"/>
          <w:b w:val="false"/>
          <w:color w:val="000000"/>
          <w:sz w:val="22"/>
        </w:rPr>
        <w:t xml:space="preserve">such Restricted Payment or Investment </w:t>
      </w:r>
      <w:r>
        <w:rPr>
          <w:rFonts w:ascii="Times New Roman;serif" w:hAnsi="Times New Roman;serif"/>
          <w:b w:val="false"/>
          <w:color w:val="0000FF"/>
          <w:sz w:val="22"/>
          <w:u w:val="single"/>
        </w:rPr>
        <w:t xml:space="preserve">is made </w:t>
      </w:r>
      <w:r>
        <w:rPr>
          <w:rFonts w:ascii="Times New Roman;serif" w:hAnsi="Times New Roman;serif"/>
          <w:b w:val="false"/>
          <w:color w:val="008000"/>
          <w:sz w:val="22"/>
          <w:u w:val="single"/>
        </w:rPr>
        <w:t xml:space="preserve">to divide or classify </w:t>
      </w:r>
      <w:r>
        <w:rPr>
          <w:rFonts w:ascii="Times New Roman;serif" w:hAnsi="Times New Roman;serif"/>
          <w:b w:val="false"/>
          <w:color w:val="0000FF"/>
          <w:sz w:val="22"/>
          <w:u w:val="single"/>
        </w:rPr>
        <w:t xml:space="preserve">such </w:t>
      </w:r>
      <w:r>
        <w:rPr>
          <w:rFonts w:ascii="Times New Roman;serif" w:hAnsi="Times New Roman;serif"/>
          <w:b w:val="false"/>
          <w:color w:val="008000"/>
          <w:sz w:val="22"/>
          <w:u w:val="single"/>
        </w:rPr>
        <w:t xml:space="preserve">Restricted Payment or </w:t>
      </w:r>
      <w:r>
        <w:rPr>
          <w:rFonts w:ascii="Times New Roman;serif" w:hAnsi="Times New Roman;serif"/>
          <w:b w:val="false"/>
          <w:color w:val="0000FF"/>
          <w:sz w:val="22"/>
          <w:u w:val="single"/>
        </w:rPr>
        <w:t xml:space="preserve">Investment </w:t>
      </w:r>
      <w:r>
        <w:rPr>
          <w:rFonts w:ascii="Times New Roman;serif" w:hAnsi="Times New Roman;serif"/>
          <w:b w:val="false"/>
          <w:color w:val="000000"/>
          <w:sz w:val="22"/>
        </w:rPr>
        <w:t>(or portion thereof) in any manner that complies with this covenant, including as an Investment pursuant to one or more of the clauses contained in the definition of “Permitted Investment”</w:t>
      </w:r>
      <w:r>
        <w:rPr>
          <w:rFonts w:ascii="Times New Roman;serif" w:hAnsi="Times New Roman;serif"/>
          <w:b w:val="false"/>
          <w:strike/>
          <w:color w:val="FF0000"/>
          <w:sz w:val="22"/>
        </w:rPr>
        <w:t xml:space="preserve">; that any Restricted Payment permitted pursuant to one of the clauses of </w:t>
      </w:r>
      <w:r>
        <w:rPr>
          <w:rFonts w:ascii="Times New Roman;serif" w:hAnsi="Times New Roman;serif"/>
          <w:b w:val="false"/>
          <w:strike/>
          <w:color w:val="FF0000"/>
          <w:sz w:val="22"/>
          <w:u w:val="single"/>
        </w:rPr>
        <w:t>Section 7.05(b)</w:t>
      </w:r>
      <w:r>
        <w:rPr>
          <w:strike/>
          <w:color w:val="FF0000"/>
        </w:rPr>
        <w:t xml:space="preserve"> </w:t>
      </w:r>
      <w:r>
        <w:rPr>
          <w:rFonts w:ascii="Times New Roman;serif" w:hAnsi="Times New Roman;serif"/>
          <w:b w:val="false"/>
          <w:strike/>
          <w:color w:val="FF0000"/>
          <w:sz w:val="22"/>
        </w:rPr>
        <w:t xml:space="preserve">(other than </w:t>
      </w:r>
      <w:r>
        <w:rPr>
          <w:rFonts w:ascii="Times New Roman;serif" w:hAnsi="Times New Roman;serif"/>
          <w:b w:val="false"/>
          <w:strike/>
          <w:color w:val="FF0000"/>
          <w:sz w:val="22"/>
          <w:u w:val="single"/>
        </w:rPr>
        <w:t>Section 7.05(b)(17)(ii)</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Section 7.05(b)(19)(ii)</w:t>
      </w:r>
      <w:r>
        <w:rPr>
          <w:rFonts w:ascii="Times New Roman;serif" w:hAnsi="Times New Roman;serif"/>
          <w:b w:val="false"/>
          <w:strike/>
          <w:color w:val="FF0000"/>
          <w:sz w:val="22"/>
        </w:rPr>
        <w:t xml:space="preserve">, as applicable) shall automatically cease to be deemed permitted or outstanding for purposes of such clause of Section 7.05(b), and shall automatically be deemed permitted for the purposes of </w:t>
      </w:r>
      <w:r>
        <w:rPr>
          <w:rFonts w:ascii="Times New Roman;serif" w:hAnsi="Times New Roman;serif"/>
          <w:b w:val="false"/>
          <w:strike/>
          <w:color w:val="FF0000"/>
          <w:sz w:val="22"/>
          <w:u w:val="single"/>
        </w:rPr>
        <w:t>Section 7.05(b)(17)(ii)</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Section 7.05(b)(19)(ii)</w:t>
      </w:r>
      <w:r>
        <w:rPr>
          <w:rFonts w:ascii="Times New Roman;serif" w:hAnsi="Times New Roman;serif"/>
          <w:b w:val="false"/>
          <w:strike/>
          <w:color w:val="FF0000"/>
          <w:sz w:val="22"/>
        </w:rPr>
        <w:t>, as applicable</w:t>
      </w:r>
      <w:r>
        <w:rPr>
          <w:rFonts w:ascii="Times New Roman;serif" w:hAnsi="Times New Roman;serif"/>
          <w:b w:val="false"/>
          <w:strike/>
          <w:color w:val="008000"/>
          <w:sz w:val="22"/>
        </w:rPr>
        <w:t xml:space="preserve">, from and after the </w:t>
      </w:r>
      <w:r>
        <w:rPr>
          <w:rFonts w:ascii="Times New Roman;serif" w:hAnsi="Times New Roman;serif"/>
          <w:b w:val="false"/>
          <w:strike/>
          <w:color w:val="FF0000"/>
          <w:sz w:val="22"/>
        </w:rPr>
        <w:t xml:space="preserve">first date on which </w:t>
      </w:r>
      <w:r>
        <w:rPr>
          <w:rFonts w:ascii="Times New Roman;serif" w:hAnsi="Times New Roman;serif"/>
          <w:b w:val="false"/>
          <w:strike/>
          <w:color w:val="008000"/>
          <w:sz w:val="22"/>
        </w:rPr>
        <w:t xml:space="preserve">the Company </w:t>
      </w:r>
      <w:r>
        <w:rPr>
          <w:rFonts w:ascii="Times New Roman;serif" w:hAnsi="Times New Roman;serif"/>
          <w:b w:val="false"/>
          <w:strike/>
          <w:color w:val="FF0000"/>
          <w:sz w:val="22"/>
        </w:rPr>
        <w:t xml:space="preserve">or its Restricted Subsidiaries could have incurred such Restricted Payment under </w:t>
      </w:r>
      <w:r>
        <w:rPr>
          <w:rFonts w:ascii="Times New Roman;serif" w:hAnsi="Times New Roman;serif"/>
          <w:b w:val="false"/>
          <w:strike/>
          <w:color w:val="FF0000"/>
          <w:sz w:val="22"/>
          <w:u w:val="single"/>
        </w:rPr>
        <w:t>Section 7.05(b)(17)(ii)</w:t>
      </w:r>
      <w:r>
        <w:rPr>
          <w:strike/>
          <w:color w:val="FF0000"/>
        </w:rPr>
        <w:t xml:space="preserve"> </w:t>
      </w:r>
      <w:r>
        <w:rPr>
          <w:rFonts w:ascii="Times New Roman;serif" w:hAnsi="Times New Roman;serif"/>
          <w:b w:val="false"/>
          <w:strike/>
          <w:color w:val="FF0000"/>
          <w:sz w:val="22"/>
        </w:rPr>
        <w:t xml:space="preserve">or </w:t>
      </w:r>
      <w:r>
        <w:rPr>
          <w:rFonts w:ascii="Times New Roman;serif" w:hAnsi="Times New Roman;serif"/>
          <w:b w:val="false"/>
          <w:strike/>
          <w:color w:val="FF0000"/>
          <w:sz w:val="22"/>
          <w:u w:val="single"/>
        </w:rPr>
        <w:t>Section 7.05(b)(19)(ii)</w:t>
      </w:r>
      <w:r>
        <w:rPr>
          <w:rFonts w:ascii="Times New Roman;serif" w:hAnsi="Times New Roman;serif"/>
          <w:b w:val="false"/>
          <w:strike/>
          <w:color w:val="FF0000"/>
          <w:sz w:val="22"/>
        </w:rPr>
        <w:t xml:space="preserve">, as applicable, without reliance on such other clause of </w:t>
      </w:r>
      <w:r>
        <w:rPr>
          <w:rFonts w:ascii="Times New Roman;serif" w:hAnsi="Times New Roman;serif"/>
          <w:b w:val="false"/>
          <w:strike/>
          <w:color w:val="FF0000"/>
          <w:sz w:val="22"/>
          <w:u w:val="single"/>
        </w:rPr>
        <w:t>Section 7.01(b)</w:t>
      </w:r>
      <w:r>
        <w:rPr>
          <w:rFonts w:ascii="Times New Roman;serif" w:hAnsi="Times New Roman;serif"/>
          <w:b w:val="false"/>
          <w:strike/>
          <w:color w:val="FF0000"/>
          <w:sz w:val="22"/>
        </w:rPr>
        <w:t xml:space="preserve">; </w:t>
      </w:r>
      <w:r>
        <w:rPr>
          <w:rFonts w:ascii="Times New Roman;serif" w:hAnsi="Times New Roman;serif"/>
          <w:b w:val="false"/>
          <w:i/>
          <w:strike/>
          <w:color w:val="FF0000"/>
          <w:sz w:val="22"/>
        </w:rPr>
        <w:t>provided, further</w:t>
      </w:r>
      <w:r>
        <w:rPr>
          <w:rFonts w:ascii="Times New Roman;serif" w:hAnsi="Times New Roman;serif"/>
          <w:b w:val="false"/>
          <w:strike/>
          <w:color w:val="FF0000"/>
          <w:sz w:val="22"/>
        </w:rPr>
        <w:t xml:space="preserve">, that any Investment permitted pursuant to one of the clauses of the definition of “Permitted Investment” (other than </w:t>
      </w:r>
      <w:r>
        <w:rPr>
          <w:rFonts w:ascii="Times New Roman;serif" w:hAnsi="Times New Roman;serif"/>
          <w:b w:val="false"/>
          <w:strike/>
          <w:color w:val="FF0000"/>
          <w:sz w:val="22"/>
          <w:u w:val="single"/>
        </w:rPr>
        <w:t>clause (34)(ii)</w:t>
      </w:r>
      <w:r>
        <w:rPr>
          <w:strike/>
          <w:color w:val="FF0000"/>
        </w:rPr>
        <w:t xml:space="preserve"> </w:t>
      </w:r>
      <w:r>
        <w:rPr>
          <w:rFonts w:ascii="Times New Roman;serif" w:hAnsi="Times New Roman;serif"/>
          <w:b w:val="false"/>
          <w:strike/>
          <w:color w:val="FF0000"/>
          <w:sz w:val="22"/>
        </w:rPr>
        <w:t xml:space="preserve">thereof) shall automatically cease to be deemed permitted or outstanding for purposes of such clause of the definition of “Permitted Investment” and shall automatically be deemed permitted for the purposes of </w:t>
      </w:r>
      <w:r>
        <w:rPr>
          <w:rFonts w:ascii="Times New Roman;serif" w:hAnsi="Times New Roman;serif"/>
          <w:b w:val="false"/>
          <w:strike/>
          <w:color w:val="FF0000"/>
          <w:sz w:val="22"/>
          <w:u w:val="single"/>
        </w:rPr>
        <w:t>clause (34)(ii)</w:t>
      </w:r>
      <w:r>
        <w:rPr>
          <w:strike/>
          <w:color w:val="FF0000"/>
        </w:rPr>
        <w:t xml:space="preserve"> </w:t>
      </w:r>
      <w:r>
        <w:rPr>
          <w:rFonts w:ascii="Times New Roman;serif" w:hAnsi="Times New Roman;serif"/>
          <w:b w:val="false"/>
          <w:strike/>
          <w:color w:val="FF0000"/>
          <w:sz w:val="22"/>
        </w:rPr>
        <w:t xml:space="preserve">thereof from and after the first date on which </w:t>
      </w:r>
      <w:r>
        <w:rPr>
          <w:rFonts w:ascii="Times New Roman;serif" w:hAnsi="Times New Roman;serif"/>
          <w:b w:val="false"/>
          <w:strike/>
          <w:color w:val="008000"/>
          <w:sz w:val="22"/>
        </w:rPr>
        <w:t xml:space="preserve">the Company </w:t>
      </w:r>
      <w:r>
        <w:rPr>
          <w:rFonts w:ascii="Times New Roman;serif" w:hAnsi="Times New Roman;serif"/>
          <w:b w:val="false"/>
          <w:strike/>
          <w:color w:val="FF0000"/>
          <w:sz w:val="22"/>
        </w:rPr>
        <w:t xml:space="preserve">or its Restricted Subsidiaries could have incurred such Investment under </w:t>
      </w:r>
      <w:r>
        <w:rPr>
          <w:rFonts w:ascii="Times New Roman;serif" w:hAnsi="Times New Roman;serif"/>
          <w:b w:val="false"/>
          <w:strike/>
          <w:color w:val="FF0000"/>
          <w:sz w:val="22"/>
          <w:u w:val="single"/>
        </w:rPr>
        <w:t>clause (34)(ii)</w:t>
      </w:r>
      <w:r>
        <w:rPr>
          <w:strike/>
          <w:color w:val="FF0000"/>
        </w:rPr>
        <w:t xml:space="preserve"> </w:t>
      </w:r>
      <w:r>
        <w:rPr>
          <w:rFonts w:ascii="Times New Roman;serif" w:hAnsi="Times New Roman;serif"/>
          <w:b w:val="false"/>
          <w:strike/>
          <w:color w:val="FF0000"/>
          <w:sz w:val="22"/>
        </w:rPr>
        <w:t>of the definition of “Permitted Investment” without reliance on such other clause of such definition.</w:t>
      </w:r>
      <w:r>
        <w:rPr>
          <w:rFonts w:ascii="Times New Roman;serif" w:hAnsi="Times New Roman;serif"/>
          <w:b w:val="false"/>
          <w:color w:val="0000FF"/>
          <w:sz w:val="22"/>
          <w:u w:val="single"/>
        </w:rPr>
        <w:t>.</w:t>
      </w:r>
    </w:p>
    <w:p>
      <w:pPr>
        <w:pStyle w:val="TextBody"/>
        <w:bidi w:val="0"/>
        <w:spacing w:lineRule="auto" w:line="288" w:before="0" w:after="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Notwithstanding anything to the contrary set forth in this Agreement, including, without limitation, the term “Permitted Payments” and this Section 7.05, the aggregate amount of any Permitted Payments made by any Loan Party to any Non-Loan Party Subsidiary shall not exceed the Non-Loan Party Sublimit.</w:t>
      </w:r>
    </w:p>
    <w:p>
      <w:pPr>
        <w:pStyle w:val="TextBody"/>
        <w:bidi w:val="0"/>
        <w:spacing w:before="0" w:after="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amount of all Restricted Payments (other than cash) shall be the fair market value on the date of such Restricted Payment of the asset(s) or securities proposed to be paid, transferred or issued by the Company or such Restricted Subsidiary, as applicable,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In connection with any commitment, definitive agreement or similar event relating to an Investment, the Company or the applicable Restricted Subsidiary may designate such Investment as having occurred on the date of the commitment, definitive agreement or similar event relating thereto (such date, the “</w:t>
      </w:r>
      <w:r>
        <w:rPr>
          <w:rFonts w:ascii="Times New Roman;serif" w:hAnsi="Times New Roman;serif"/>
          <w:b/>
          <w:color w:val="000000"/>
          <w:sz w:val="22"/>
        </w:rPr>
        <w:t>Election Date</w:t>
      </w:r>
      <w:r>
        <w:rPr>
          <w:color w:val="000000"/>
        </w:rPr>
        <w:t>”</w:t>
      </w:r>
      <w:r>
        <w:rPr>
          <w:rFonts w:ascii="Times New Roman;serif" w:hAnsi="Times New Roman;serif"/>
          <w:b w:val="false"/>
          <w:color w:val="000000"/>
          <w:sz w:val="22"/>
        </w:rPr>
        <w:t xml:space="preserve">)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this Agreement, and any related subsequent actual making of such Investment will be deemed for all purposes under this Agreement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 that the foregoing shall not limit the application of </w:t>
      </w:r>
      <w:r>
        <w:rPr>
          <w:rFonts w:ascii="Times New Roman;serif" w:hAnsi="Times New Roman;serif"/>
          <w:b w:val="false"/>
          <w:color w:val="000000"/>
          <w:sz w:val="22"/>
          <w:u w:val="single"/>
        </w:rPr>
        <w:t>Section 1.02(i)</w:t>
      </w:r>
      <w:r>
        <w:rPr>
          <w:rFonts w:ascii="Times New Roman;serif" w:hAnsi="Times New Roman;serif"/>
          <w:b w:val="false"/>
          <w:color w:val="000000"/>
          <w:sz w:val="22"/>
        </w:rPr>
        <w:t>, to the extent applicable.</w:t>
      </w:r>
    </w:p>
    <w:p>
      <w:pPr>
        <w:pStyle w:val="TextBody"/>
        <w:bidi w:val="0"/>
        <w:spacing w:before="0" w:after="0"/>
        <w:jc w:val="left"/>
        <w:rPr/>
      </w:pPr>
      <w:r>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480175" cy="175260"/>
                <wp:effectExtent l="0" t="0" r="0" b="0"/>
                <wp:wrapNone/>
                <wp:docPr id="301" name="Frame2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If the Company or a Restricted Subsidiary makes a Restricted Payment which at the time of the making of such Restricted Payment would in the good faith determination of the Company be permitted under the provisions of this Agreement, such Restricted Payment shall be deemed to have been made in compliance with this Agreement notwithstanding any subsequent adjustments made in good faith to the Company’s financial statements affecting Consolidated Net Income or Consolidated EBITDA of the Company for any period.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the avoidance of doubt, this covenant shall not restrict the making of, or dividends or other distributions in amounts sufficient to make, any AHYDO Catch-up Payment with respect to any Indebtedness of any direct or indirect parent of the Company, the Company or any of its Restricted Subsidiaries permitted to be incurred under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7.06    </w:t>
      </w:r>
      <w:r>
        <w:rPr>
          <w:rFonts w:ascii="Times New Roman;serif" w:hAnsi="Times New Roman;serif"/>
          <w:b w:val="false"/>
          <w:color w:val="000000"/>
          <w:sz w:val="22"/>
          <w:u w:val="single"/>
        </w:rPr>
        <w:t>Burdensome Agreements</w:t>
      </w:r>
      <w:r>
        <w:rPr>
          <w:rFonts w:ascii="Times New Roman;serif" w:hAnsi="Times New Roman;serif"/>
          <w:b w:val="false"/>
          <w:color w:val="000000"/>
          <w:sz w:val="22"/>
        </w:rPr>
        <w:t>.</w:t>
      </w:r>
    </w:p>
    <w:p>
      <w:pPr>
        <w:pStyle w:val="TextBody"/>
        <w:bidi w:val="0"/>
        <w:spacing w:lineRule="auto" w:line="288" w:before="0" w:after="240"/>
        <w:ind w:left="0" w:right="0" w:firstLine="1440"/>
        <w:jc w:val="left"/>
        <w:rPr/>
      </w:pPr>
      <w:r>
        <w:rPr>
          <w:rFonts w:ascii="Times New Roman;serif" w:hAnsi="Times New Roman;serif"/>
          <w:b w:val="false"/>
          <w:color w:val="000000"/>
          <w:sz w:val="24"/>
        </w:rPr>
        <w:t>(a)    </w:t>
      </w:r>
      <w:r>
        <w:rPr>
          <w:rFonts w:ascii="Times New Roman;serif" w:hAnsi="Times New Roman;serif"/>
          <w:b w:val="false"/>
          <w:color w:val="000000"/>
          <w:sz w:val="22"/>
        </w:rPr>
        <w:t>Create or otherwise cause or permit to exist or become effective any consensual encumbrance or consensual restriction on the ability of any Loan Party other than the Company to pay dividends or make any other distributions on its Capital Stock;</w: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pStyle w:val="TextBody"/>
        <w:bidi w:val="0"/>
        <w:spacing w:lineRule="auto" w:line="288" w:before="0" w:after="240"/>
        <w:ind w:left="0" w:right="0" w:firstLine="1440"/>
        <w:jc w:val="left"/>
        <w:rPr/>
      </w:pPr>
      <w:r>
        <w:rPr>
          <w:rFonts w:ascii="Times New Roman;serif" w:hAnsi="Times New Roman;serif"/>
          <w:b w:val="false"/>
          <w:color w:val="000000"/>
          <w:sz w:val="24"/>
        </w:rPr>
        <w:t>(b)    </w:t>
      </w:r>
      <w:r>
        <w:rPr>
          <w:rFonts w:ascii="Times New Roman;serif" w:hAnsi="Times New Roman;serif"/>
          <w:b w:val="false"/>
          <w:color w:val="000000"/>
          <w:sz w:val="22"/>
        </w:rPr>
        <w:t xml:space="preserve">The provisions of </w:t>
      </w:r>
      <w:r>
        <w:rPr>
          <w:rFonts w:ascii="Times New Roman;serif" w:hAnsi="Times New Roman;serif"/>
          <w:b w:val="false"/>
          <w:color w:val="000000"/>
          <w:sz w:val="22"/>
          <w:u w:val="single"/>
        </w:rPr>
        <w:t>Section 7.06(a)</w:t>
      </w:r>
      <w:r>
        <w:rPr>
          <w:color w:val="000000"/>
        </w:rPr>
        <w:t xml:space="preserve"> </w:t>
      </w:r>
      <w:r>
        <w:rPr>
          <w:rFonts w:ascii="Times New Roman;serif" w:hAnsi="Times New Roman;serif"/>
          <w:b w:val="false"/>
          <w:color w:val="000000"/>
          <w:sz w:val="22"/>
        </w:rPr>
        <w:t>will not prohibit: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    any encumbrance or restriction (x) for the benefit of the Lenders with respect to the Facilities and the Obligations or under the Loan Documents or (y) pursuant to any instrument or agreement in effect at or entered into on the Spin-Off Date;</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(2)    any encumbrance or restriction pursuant to the Senior Secured Notes Documents;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(3)    any encumbrance or restriction pursuant to applicable law, rule, regulation or order;</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 xml:space="preserve">(4)    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was designated as a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Company or was merged, consolidated or otherwise combined with or into the Company or any Restricted Subsidiary or entered into in contemplation of or in connection with such transaction) and outstanding on such date; that, for the purposes of this clause, if another Person is the successor company, any Subsidiary of such Person or agreement or instrument of such Person or any such Subsidiary shall be deemed acquired </w:t>
      </w:r>
    </w:p>
    <w:p>
      <w:pPr>
        <w:pStyle w:val="TextBody"/>
        <w:bidi w:val="0"/>
        <w:spacing w:before="0" w:after="0"/>
        <w:jc w:val="left"/>
        <w:rPr/>
      </w:pPr>
      <w:r>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6480175" cy="175260"/>
                <wp:effectExtent l="0" t="0" r="0" b="0"/>
                <wp:wrapNone/>
                <wp:docPr id="302" name="Frame2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or assumed by the Company or any Restricted Subsidiary when such Person becomes the successor company;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(5)    any encumbrance or restriction:</w:t>
      </w:r>
    </w:p>
    <w:p>
      <w:pPr>
        <w:pStyle w:val="TextBody"/>
        <w:bidi w:val="0"/>
        <w:spacing w:lineRule="auto" w:line="288" w:before="0" w:after="240"/>
        <w:ind w:left="0" w:right="0" w:hanging="720"/>
        <w:jc w:val="left"/>
        <w:rPr/>
      </w:pPr>
      <w:r>
        <w:rPr>
          <w:rFonts w:ascii="Times New Roman;serif" w:hAnsi="Times New Roman;serif"/>
          <w:b w:val="false"/>
          <w:color w:val="000000"/>
          <w:sz w:val="24"/>
        </w:rPr>
        <w:t>(a)    </w:t>
      </w:r>
      <w:r>
        <w:rPr>
          <w:rFonts w:ascii="Times New Roman;serif" w:hAnsi="Times New Roman;serif"/>
          <w:b w:val="false"/>
          <w:color w:val="000000"/>
          <w:sz w:val="22"/>
        </w:rPr>
        <w:t>that restricts in a customary manner the subletting, assignment or transfer of any property or asset that is subject to a lease, license or similar contract or agreement, or the assignment or transfer of any lease, license or other contract or agreement;</w:t>
      </w:r>
    </w:p>
    <w:p>
      <w:pPr>
        <w:pStyle w:val="TextBody"/>
        <w:bidi w:val="0"/>
        <w:spacing w:lineRule="auto" w:line="288" w:before="0" w:after="240"/>
        <w:ind w:left="0" w:right="0" w:hanging="720"/>
        <w:jc w:val="left"/>
        <w:rPr/>
      </w:pPr>
      <w:r>
        <w:rPr>
          <w:rFonts w:ascii="Times New Roman;serif" w:hAnsi="Times New Roman;serif"/>
          <w:b w:val="false"/>
          <w:color w:val="000000"/>
          <w:sz w:val="24"/>
        </w:rPr>
        <w:t>(b)    </w:t>
      </w:r>
      <w:r>
        <w:rPr>
          <w:rFonts w:ascii="Times New Roman;serif" w:hAnsi="Times New Roman;serif"/>
          <w:b w:val="false"/>
          <w:color w:val="000000"/>
          <w:sz w:val="22"/>
        </w:rPr>
        <w:t>contained in mortgages, pledges, charges or other security agreements permitted under this Agreement or securing Indebtedness of the Company or a Restricted Subsidiary permitted under this Agreement to the extent such encumbrances or restrictions restrict the transfer or encumbrance of the property or assets subject to such mortgages, pledges, charges or other security agreements;</w:t>
      </w:r>
    </w:p>
    <w:p>
      <w:pPr>
        <w:pStyle w:val="TextBody"/>
        <w:bidi w:val="0"/>
        <w:spacing w:lineRule="auto" w:line="288" w:before="0" w:after="240"/>
        <w:ind w:left="0" w:right="0" w:hanging="720"/>
        <w:jc w:val="left"/>
        <w:rPr/>
      </w:pPr>
      <w:r>
        <w:rPr>
          <w:rFonts w:ascii="Times New Roman;serif" w:hAnsi="Times New Roman;serif"/>
          <w:b w:val="false"/>
          <w:color w:val="000000"/>
          <w:sz w:val="24"/>
        </w:rPr>
        <w:t>(c)    </w:t>
      </w:r>
      <w:r>
        <w:rPr>
          <w:rFonts w:ascii="Times New Roman;serif" w:hAnsi="Times New Roman;serif"/>
          <w:b w:val="false"/>
          <w:color w:val="000000"/>
          <w:sz w:val="22"/>
        </w:rPr>
        <w:t>contained in any trading, netting, operating, construction, service, supply, purchase, sale or other agreement to which the Company or any of its Restricted Subsidiaries is a party entered into in the ordinary course of business or consistent with past practice; that such agreement prohibits the encumbrance of solely the property or assets of the Company or such Restricted Subsidiary that are subject to such agreement, the payment rights arising thereunder or the proceeds thereof and does not extend to any other asset or property of the Company or such Restricted Subsidiary or the assets or property of another Restricted Subsidiary; or</w:t>
      </w:r>
    </w:p>
    <w:p>
      <w:pPr>
        <w:pStyle w:val="TextBody"/>
        <w:bidi w:val="0"/>
        <w:spacing w:lineRule="auto" w:line="288" w:before="0" w:after="240"/>
        <w:ind w:left="0" w:right="0" w:hanging="720"/>
        <w:jc w:val="left"/>
        <w:rPr/>
      </w:pPr>
      <w:r>
        <w:rPr>
          <w:rFonts w:ascii="Times New Roman;serif" w:hAnsi="Times New Roman;serif"/>
          <w:b w:val="false"/>
          <w:color w:val="000000"/>
          <w:sz w:val="24"/>
        </w:rPr>
        <w:t>(d)    </w:t>
      </w:r>
      <w:r>
        <w:rPr>
          <w:rFonts w:ascii="Times New Roman;serif" w:hAnsi="Times New Roman;serif"/>
          <w:b w:val="false"/>
          <w:color w:val="000000"/>
          <w:sz w:val="22"/>
        </w:rPr>
        <w:t>pursuant to customary provisions restricting dispositions of real property interests set forth in any reciprocal easement agreements of the Company or any Restricted Subsidiary;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(6)    any encumbrance or restriction pursuant to Purchase Money Obligations and Capitalized Lease Obligations permitted under this Agreement, in each case, that impose encumbrances or restrictions on the property so acquired;</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(7)    any encumbrance or restriction imposed pursuant to an agreement entered into for the direct or indirect sale or disposition to a Person of all or substantially all the Capital Stock or assets of the Company or any Restricted Subsidiary (or the property or assets that are subject to such restriction) pending the closing of such sale or disposition;</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(8)    customary provisions in leases, licenses, equityholder agreements, joint venture agreements, organizational documents and other similar agreements and instruments;</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(9)    encumbrances or restrictions arising or existing by reason of applicable law or any applicable rule, regulation or order, or required by any regulatory authority;</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(10)    any encumbrance or restriction on cash or other deposits or net worth imposed by customers under agreements entered into in the ordinary course of business or consistent with past practice;</w:t>
      </w:r>
    </w:p>
    <w:p>
      <w:pPr>
        <w:pStyle w:val="TextBody"/>
        <w:bidi w:val="0"/>
        <w:spacing w:before="0" w:after="0"/>
        <w:jc w:val="left"/>
        <w:rPr/>
      </w:pPr>
      <w:r>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6480175" cy="175260"/>
                <wp:effectExtent l="0" t="0" r="0" b="0"/>
                <wp:wrapNone/>
                <wp:docPr id="303" name="Frame3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(11)    any encumbrance or restriction pursuant to Swap Obligations;</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(12)    other Indebtedness, Disqualified Stock or Preferred Stock of Non-Loan Party Subsidiaries permitted to be incurred or issued subsequent to the Closing Date pursuant to the provisions of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that impose restrictions solely on the Non-Loan Party Subsidiaries party thereto and/or their Subsidiaries;</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(13)    restrictions created in connection with any Qualified Securitization Financing or Receivables Facility </w:t>
      </w:r>
      <w:r>
        <w:rPr>
          <w:rFonts w:ascii="Times New Roman;serif" w:hAnsi="Times New Roman;serif"/>
          <w:b w:val="false"/>
          <w:color w:val="0000FF"/>
          <w:sz w:val="22"/>
          <w:u w:val="single"/>
        </w:rPr>
        <w:t xml:space="preserve">permitted under this Agreement, </w:t>
      </w:r>
      <w:r>
        <w:rPr>
          <w:rFonts w:ascii="Times New Roman;serif" w:hAnsi="Times New Roman;serif"/>
          <w:b w:val="false"/>
          <w:color w:val="000000"/>
          <w:sz w:val="22"/>
        </w:rPr>
        <w:t>that, in the good faith determination of the Company, are necessary or advisable to effect such Securitization Facility or Receivables Facility;</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(14)    any encumbrance or restriction arising pursuant to an agreement or instrument relating to any Indebtedness permitted to be incurred subsequent to the Closing Date pursuant to the provisions of the covenant described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if (i) the encumbrances and restrictions contained in any such agreement or instrument taken as a whole are not materially less favorable to the Lenders than the encumbrances and restrictions contained in this Agreement, together with the security documents associated therewith, or the Senior Secured Notes Documents as in effect on the Closing Date or (ii) either (a) the Company determines at the time of entry into such agreement or instrument that such encumbrances or restrictions will not adversely affect, in any material respect, any Borrower’s ability to make principal or interest payments on the Loans or (b) such encumbrance or restriction applies only during the continuance of a default in respect of a payment relating to such agreement or instrument;</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(15)    any encumbrance or restriction existing by reason of any lien permitted under </w:t>
      </w:r>
      <w:r>
        <w:rPr>
          <w:rFonts w:ascii="Times New Roman;serif" w:hAnsi="Times New Roman;serif"/>
          <w:b w:val="false"/>
          <w:color w:val="000000"/>
          <w:sz w:val="22"/>
          <w:u w:val="single"/>
        </w:rPr>
        <w:t>Section 7.02</w:t>
      </w:r>
      <w:r>
        <w:rPr>
          <w:rFonts w:ascii="Times New Roman;serif" w:hAnsi="Times New Roman;serif"/>
          <w:b w:val="false"/>
          <w:color w:val="000000"/>
          <w:sz w:val="22"/>
        </w:rPr>
        <w:t>;</w:t>
      </w:r>
    </w:p>
    <w:p>
      <w:pPr>
        <w:pStyle w:val="TextBody"/>
        <w:bidi w:val="0"/>
        <w:spacing w:lineRule="auto" w:line="288" w:before="0" w:after="240"/>
        <w:ind w:left="0" w:right="0" w:hanging="720"/>
        <w:jc w:val="left"/>
        <w:rPr>
          <w:rFonts w:ascii="Times New Roman;serif" w:hAnsi="Times New Roman;serif"/>
          <w:b w:val="false"/>
          <w:color w:val="000000"/>
          <w:sz w:val="22"/>
        </w:rPr>
      </w:pPr>
      <w:r>
        <w:rPr>
          <w:rFonts w:ascii="Times New Roman;serif" w:hAnsi="Times New Roman;serif"/>
          <w:b w:val="false"/>
          <w:color w:val="000000"/>
          <w:sz w:val="22"/>
        </w:rPr>
        <w:t>(16)    any encumbrance or restriction arising pursuant to the Transaction Documents; or</w:t>
      </w:r>
    </w:p>
    <w:p>
      <w:pPr>
        <w:pStyle w:val="TextBody"/>
        <w:bidi w:val="0"/>
        <w:spacing w:lineRule="auto" w:line="288" w:before="0" w:after="240"/>
        <w:ind w:left="0" w:right="0" w:hanging="720"/>
        <w:jc w:val="left"/>
        <w:rPr/>
      </w:pPr>
      <w:r>
        <w:rPr>
          <w:rFonts w:ascii="Times New Roman;serif" w:hAnsi="Times New Roman;serif"/>
          <w:b w:val="false"/>
          <w:color w:val="000000"/>
          <w:sz w:val="22"/>
        </w:rPr>
        <w:t xml:space="preserve">(17)    any encumbrance or restriction pursuant to an agreement or instrument effecting a refinancing of Indebtedness incurred pursuant to, or that otherwise refinances, an agreement or instrument referred to in the clauses above or this clause (an “Initial Agreement”) or contained in any amendment, supplement or other modification to an agreement referred to in the clauses above or this clause;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encumbrances and restrictions with respect to such Guarantor contained in any such 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Company).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7.07    </w:t>
      </w:r>
      <w:r>
        <w:rPr>
          <w:rFonts w:ascii="Times New Roman;serif" w:hAnsi="Times New Roman;serif"/>
          <w:b w:val="false"/>
          <w:color w:val="000000"/>
          <w:sz w:val="22"/>
          <w:u w:val="single"/>
        </w:rPr>
        <w:t>Accounting Changes</w:t>
      </w:r>
      <w:r>
        <w:rPr>
          <w:rFonts w:ascii="Times New Roman;serif" w:hAnsi="Times New Roman;serif"/>
          <w:b w:val="false"/>
          <w:color w:val="000000"/>
          <w:sz w:val="22"/>
        </w:rPr>
        <w:t xml:space="preserve">. Make any change in fiscal year;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Company may, upon written notice to the Administrative Agent, change its fiscal year to any other fiscal year reasonably acceptable to the Administrative Agent, in which case, the Company and the Administrative Agent will, and are hereby authorized by the Lenders to, make any amendments to this Agreement that are necessary, in the judgment of the Administrative Agent and the Company, as applicable, to reflect such change in fiscal year.</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Section 7.08    </w:t>
      </w:r>
      <w:r>
        <w:rPr>
          <w:rFonts w:ascii="Times New Roman;serif" w:hAnsi="Times New Roman;serif"/>
          <w:b w:val="false"/>
          <w:color w:val="008000"/>
          <w:sz w:val="22"/>
          <w:u w:val="single"/>
        </w:rPr>
        <w:t>Financial Covenant. With respect to the Revolving Credit Facility only</w:t>
      </w:r>
      <w:r>
        <w:rPr>
          <w:rFonts w:ascii="Times New Roman;serif" w:hAnsi="Times New Roman;serif"/>
          <w:b w:val="false"/>
          <w:color w:val="0000FF"/>
          <w:sz w:val="22"/>
          <w:u w:val="single"/>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6480175" cy="175260"/>
                <wp:effectExtent l="0" t="0" r="0" b="0"/>
                <wp:wrapNone/>
                <wp:docPr id="304" name="Frame3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(a)    as of the last day of any fiscal quarter of the Company ending during the periods specified below</w:t>
      </w:r>
      <w:r>
        <w:rPr>
          <w:rFonts w:ascii="Times New Roman;serif" w:hAnsi="Times New Roman;serif"/>
          <w:b w:val="false"/>
          <w:color w:val="008000"/>
          <w:sz w:val="22"/>
          <w:u w:val="single"/>
        </w:rPr>
        <w:t xml:space="preserve">, permit the Consolidated First Lien Net Leverage Ratio to be </w:t>
      </w:r>
      <w:r>
        <w:rPr>
          <w:rFonts w:ascii="Times New Roman;serif" w:hAnsi="Times New Roman;serif"/>
          <w:b w:val="false"/>
          <w:color w:val="0000FF"/>
          <w:sz w:val="22"/>
          <w:u w:val="single"/>
        </w:rPr>
        <w:t>greater than the corresponding ratio set forth below:</w:t>
      </w:r>
    </w:p>
    <w:tbl>
      <w:tblPr>
        <w:tblW w:w="7094" w:type="dxa"/>
        <w:jc w:val="left"/>
        <w:tblInd w:w="0" w:type="dxa"/>
        <w:tblLayout w:type="fixed"/>
        <w:tblCellMar>
          <w:top w:w="28" w:type="dxa"/>
          <w:left w:w="28" w:type="dxa"/>
          <w:bottom w:w="28" w:type="dxa"/>
          <w:right w:w="28" w:type="dxa"/>
        </w:tblCellMar>
      </w:tblPr>
      <w:tblGrid>
        <w:gridCol w:w="1932"/>
        <w:gridCol w:w="1704"/>
        <w:gridCol w:w="1719"/>
        <w:gridCol w:w="509"/>
        <w:gridCol w:w="509"/>
        <w:gridCol w:w="721"/>
      </w:tblGrid>
      <w:tr>
        <w:trPr/>
        <w:tc>
          <w:tcPr>
            <w:tcW w:w="1932"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op w:val="single" w:sz="4" w:space="0" w:color="000000"/>
              <w:left w:val="single" w:sz="4" w:space="0" w:color="000000"/>
            </w:tcBorders>
            <w:shd w:fill="E6E6FA"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Period</w:t>
            </w:r>
          </w:p>
        </w:tc>
        <w:tc>
          <w:tcPr>
            <w:tcW w:w="1739"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Maximum Ratio</w:t>
            </w:r>
          </w:p>
        </w:tc>
      </w:tr>
      <w:tr>
        <w:trPr/>
        <w:tc>
          <w:tcPr>
            <w:tcW w:w="5355"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Closing Date through and including June 30, 2027</w:t>
            </w:r>
          </w:p>
        </w:tc>
        <w:tc>
          <w:tcPr>
            <w:tcW w:w="1739"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4.75 to 1.00</w:t>
            </w:r>
          </w:p>
        </w:tc>
      </w:tr>
      <w:tr>
        <w:trPr/>
        <w:tc>
          <w:tcPr>
            <w:tcW w:w="5355"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July 1, 2027 through and including December 31, 2027</w:t>
            </w:r>
          </w:p>
        </w:tc>
        <w:tc>
          <w:tcPr>
            <w:tcW w:w="1739"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4.50 to 1.00</w:t>
            </w:r>
          </w:p>
        </w:tc>
      </w:tr>
      <w:tr>
        <w:trPr/>
        <w:tc>
          <w:tcPr>
            <w:tcW w:w="5355"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January 1, 2028 through and including March 31, 2028</w:t>
            </w:r>
          </w:p>
        </w:tc>
        <w:tc>
          <w:tcPr>
            <w:tcW w:w="1739"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4.25 to 1.00</w:t>
            </w:r>
          </w:p>
        </w:tc>
      </w:tr>
      <w:tr>
        <w:trPr/>
        <w:tc>
          <w:tcPr>
            <w:tcW w:w="5355" w:type="dxa"/>
            <w:gridSpan w:val="3"/>
            <w:tcBorders>
              <w:top w:val="single" w:sz="4" w:space="0" w:color="000000"/>
              <w:left w:val="single" w:sz="4" w:space="0" w:color="000000"/>
              <w:bottom w:val="single" w:sz="4" w:space="0" w:color="000000"/>
            </w:tcBorders>
            <w:shd w:fill="E6E6FA"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April 1, 2028 and thereafter</w:t>
            </w:r>
          </w:p>
        </w:tc>
        <w:tc>
          <w:tcPr>
            <w:tcW w:w="1739" w:type="dxa"/>
            <w:gridSpan w:val="3"/>
            <w:tcBorders>
              <w:top w:val="single" w:sz="4" w:space="0" w:color="000000"/>
              <w:left w:val="single" w:sz="4" w:space="0" w:color="000000"/>
              <w:bottom w:val="single" w:sz="4" w:space="0" w:color="000000"/>
              <w:right w:val="single" w:sz="4" w:space="0" w:color="000000"/>
            </w:tcBorders>
            <w:shd w:fill="E6E6FA"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3.75 to 1.00</w:t>
            </w:r>
          </w:p>
        </w:tc>
      </w:tr>
    </w:tbl>
    <w:p>
      <w:pPr>
        <w:pStyle w:val="TextBody"/>
        <w:bidi w:val="0"/>
        <w:spacing w:lineRule="auto" w:line="288" w:before="0" w:after="0"/>
        <w:jc w:val="left"/>
        <w:rPr/>
      </w:pPr>
      <w:r>
        <w:rPr>
          <w:rFonts w:ascii="Times New Roman;serif" w:hAnsi="Times New Roman;serif"/>
          <w:b w:val="false"/>
          <w:strike/>
          <w:color w:val="FF0000"/>
          <w:sz w:val="24"/>
        </w:rPr>
        <w:t xml:space="preserve">Section 7.08 </w:t>
      </w:r>
      <w:r>
        <w:rPr>
          <w:rFonts w:ascii="Times New Roman;serif" w:hAnsi="Times New Roman;serif"/>
          <w:b w:val="false"/>
          <w:strike/>
          <w:color w:val="008000"/>
          <w:sz w:val="22"/>
        </w:rPr>
        <w:t xml:space="preserve">Financial Covenant. With respect to the Revolving Credit Facility only, permit the Consolidated First Lien Net Leverage Ratio </w:t>
      </w:r>
      <w:r>
        <w:rPr>
          <w:rFonts w:ascii="Times New Roman;serif" w:hAnsi="Times New Roman;serif"/>
          <w:b w:val="false"/>
          <w:strike/>
          <w:color w:val="FF0000"/>
          <w:sz w:val="22"/>
        </w:rPr>
        <w:t>as of the end of each fiscal quarter of the Company (commencing with the first full fiscal quarter to commence after the Closing Date) to be greater than 4.75 to 1.00 (the “</w:t>
      </w:r>
      <w:r>
        <w:rPr>
          <w:rFonts w:ascii="Times New Roman;serif" w:hAnsi="Times New Roman;serif"/>
          <w:b/>
          <w:strike/>
          <w:color w:val="FF0000"/>
          <w:sz w:val="22"/>
        </w:rPr>
        <w:t>Financial Covenant</w:t>
      </w:r>
      <w:r>
        <w:rPr>
          <w:strike/>
          <w:color w:val="FF0000"/>
        </w:rPr>
        <w:t>”</w:t>
      </w:r>
      <w:r>
        <w:rPr>
          <w:rFonts w:ascii="Times New Roman;serif" w:hAnsi="Times New Roman;serif"/>
          <w:b w:val="false"/>
          <w:strike/>
          <w:color w:val="FF0000"/>
          <w:sz w:val="22"/>
        </w:rPr>
        <w:t>).</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(b)    </w:t>
      </w:r>
      <w:r>
        <w:rPr>
          <w:rFonts w:ascii="Times New Roman;serif" w:hAnsi="Times New Roman;serif"/>
          <w:b w:val="false"/>
          <w:color w:val="008000"/>
          <w:sz w:val="22"/>
          <w:u w:val="single"/>
        </w:rPr>
        <w:t xml:space="preserve">as of the last day of </w:t>
      </w:r>
      <w:r>
        <w:rPr>
          <w:rFonts w:ascii="Times New Roman;serif" w:hAnsi="Times New Roman;serif"/>
          <w:b w:val="false"/>
          <w:color w:val="0000FF"/>
          <w:sz w:val="22"/>
          <w:u w:val="single"/>
        </w:rPr>
        <w:t xml:space="preserve">any fiscal quarter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 xml:space="preserve">Company ending </w:t>
      </w:r>
      <w:r>
        <w:rPr>
          <w:rFonts w:ascii="Times New Roman;serif" w:hAnsi="Times New Roman;serif"/>
          <w:b w:val="false"/>
          <w:color w:val="008000"/>
          <w:sz w:val="22"/>
          <w:u w:val="single"/>
        </w:rPr>
        <w:t xml:space="preserve">during the </w:t>
      </w:r>
      <w:r>
        <w:rPr>
          <w:rFonts w:ascii="Times New Roman;serif" w:hAnsi="Times New Roman;serif"/>
          <w:b w:val="false"/>
          <w:color w:val="0000FF"/>
          <w:sz w:val="22"/>
          <w:u w:val="single"/>
        </w:rPr>
        <w:t xml:space="preserve">periods specified below, permit </w:t>
      </w:r>
      <w:r>
        <w:rPr>
          <w:rFonts w:ascii="Times New Roman;serif" w:hAnsi="Times New Roman;serif"/>
          <w:b w:val="false"/>
          <w:color w:val="008000"/>
          <w:sz w:val="22"/>
          <w:u w:val="single"/>
        </w:rPr>
        <w:t xml:space="preserve">the Consolidated Interest Coverage Ratio </w:t>
      </w:r>
      <w:r>
        <w:rPr>
          <w:rFonts w:ascii="Times New Roman;serif" w:hAnsi="Times New Roman;serif"/>
          <w:b w:val="false"/>
          <w:color w:val="0000FF"/>
          <w:sz w:val="22"/>
          <w:u w:val="single"/>
        </w:rPr>
        <w:t>to be less than corresponding ratio set forth below:</w:t>
      </w:r>
    </w:p>
    <w:tbl>
      <w:tblPr>
        <w:tblW w:w="8909" w:type="dxa"/>
        <w:jc w:val="left"/>
        <w:tblInd w:w="0" w:type="dxa"/>
        <w:tblLayout w:type="fixed"/>
        <w:tblCellMar>
          <w:top w:w="28" w:type="dxa"/>
          <w:left w:w="28" w:type="dxa"/>
          <w:bottom w:w="28" w:type="dxa"/>
          <w:right w:w="28" w:type="dxa"/>
        </w:tblCellMar>
      </w:tblPr>
      <w:tblGrid>
        <w:gridCol w:w="2612"/>
        <w:gridCol w:w="2300"/>
        <w:gridCol w:w="2317"/>
        <w:gridCol w:w="491"/>
        <w:gridCol w:w="491"/>
        <w:gridCol w:w="698"/>
      </w:tblGrid>
      <w:tr>
        <w:trPr/>
        <w:tc>
          <w:tcPr>
            <w:tcW w:w="2612"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r>
      <w:tr>
        <w:trPr/>
        <w:tc>
          <w:tcPr>
            <w:tcW w:w="7229" w:type="dxa"/>
            <w:gridSpan w:val="3"/>
            <w:tcBorders>
              <w:top w:val="single" w:sz="4" w:space="0" w:color="000000"/>
              <w:left w:val="single" w:sz="4" w:space="0" w:color="000000"/>
            </w:tcBorders>
            <w:shd w:fill="E6E6FA"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Period</w:t>
            </w:r>
          </w:p>
        </w:tc>
        <w:tc>
          <w:tcPr>
            <w:tcW w:w="1680"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FF"/>
                <w:sz w:val="22"/>
                <w:u w:val="single"/>
              </w:rPr>
            </w:pPr>
            <w:r>
              <w:rPr>
                <w:rFonts w:ascii="Times New Roman;serif" w:hAnsi="Times New Roman;serif"/>
                <w:b/>
                <w:color w:val="0000FF"/>
                <w:sz w:val="22"/>
                <w:u w:val="single"/>
              </w:rPr>
              <w:t>Minimum Ratio</w:t>
            </w:r>
          </w:p>
        </w:tc>
      </w:tr>
      <w:tr>
        <w:trPr/>
        <w:tc>
          <w:tcPr>
            <w:tcW w:w="7229"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First Amendment Effective Date through and including September 30, 2027</w:t>
            </w:r>
          </w:p>
        </w:tc>
        <w:tc>
          <w:tcPr>
            <w:tcW w:w="1680"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2.50 to 1.00</w:t>
            </w:r>
          </w:p>
        </w:tc>
      </w:tr>
      <w:tr>
        <w:trPr/>
        <w:tc>
          <w:tcPr>
            <w:tcW w:w="7229" w:type="dxa"/>
            <w:gridSpan w:val="3"/>
            <w:tcBorders>
              <w:top w:val="single" w:sz="4" w:space="0" w:color="000000"/>
              <w:left w:val="single" w:sz="4" w:space="0" w:color="000000"/>
            </w:tcBorders>
            <w:shd w:fill="E6E6FA"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October 1, 2027 through and including December 31, 2027</w:t>
            </w:r>
          </w:p>
        </w:tc>
        <w:tc>
          <w:tcPr>
            <w:tcW w:w="1680" w:type="dxa"/>
            <w:gridSpan w:val="3"/>
            <w:tcBorders>
              <w:top w:val="single" w:sz="4" w:space="0" w:color="000000"/>
              <w:left w:val="single" w:sz="4" w:space="0" w:color="000000"/>
              <w:right w:val="single" w:sz="4" w:space="0" w:color="000000"/>
            </w:tcBorders>
            <w:shd w:fill="E6E6FA"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2.75 to 1.00</w:t>
            </w:r>
          </w:p>
        </w:tc>
      </w:tr>
      <w:tr>
        <w:trPr/>
        <w:tc>
          <w:tcPr>
            <w:tcW w:w="7229" w:type="dxa"/>
            <w:gridSpan w:val="3"/>
            <w:tcBorders>
              <w:top w:val="single" w:sz="4" w:space="0" w:color="000000"/>
              <w:left w:val="single" w:sz="4" w:space="0" w:color="000000"/>
              <w:bottom w:val="single" w:sz="4" w:space="0" w:color="000000"/>
            </w:tcBorders>
            <w:shd w:fill="E6E6FA" w:val="clear"/>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January 1, 2028 and thereafter</w:t>
            </w:r>
          </w:p>
        </w:tc>
        <w:tc>
          <w:tcPr>
            <w:tcW w:w="1680" w:type="dxa"/>
            <w:gridSpan w:val="3"/>
            <w:tcBorders>
              <w:top w:val="single" w:sz="4" w:space="0" w:color="000000"/>
              <w:left w:val="single" w:sz="4" w:space="0" w:color="000000"/>
              <w:bottom w:val="single" w:sz="4" w:space="0" w:color="000000"/>
              <w:right w:val="single" w:sz="4" w:space="0" w:color="000000"/>
            </w:tcBorders>
            <w:shd w:fill="E6E6FA" w:val="clear"/>
            <w:tcMar>
              <w:top w:w="30" w:type="dxa"/>
              <w:left w:w="48" w:type="dxa"/>
              <w:bottom w:w="30" w:type="dxa"/>
              <w:right w:w="48" w:type="dxa"/>
            </w:tcMar>
            <w:vAlign w:val="center"/>
          </w:tcPr>
          <w:p>
            <w:pPr>
              <w:pStyle w:val="TableContents"/>
              <w:bidi w:val="0"/>
              <w:spacing w:lineRule="auto" w:line="240" w:before="0" w:after="283"/>
              <w:jc w:val="center"/>
              <w:rPr>
                <w:rFonts w:ascii="Times New Roman;serif" w:hAnsi="Times New Roman;serif"/>
                <w:b w:val="false"/>
                <w:color w:val="0000FF"/>
                <w:sz w:val="22"/>
                <w:u w:val="single"/>
              </w:rPr>
            </w:pPr>
            <w:r>
              <w:rPr>
                <w:rFonts w:ascii="Times New Roman;serif" w:hAnsi="Times New Roman;serif"/>
                <w:b w:val="false"/>
                <w:color w:val="0000FF"/>
                <w:sz w:val="22"/>
                <w:u w:val="single"/>
              </w:rPr>
              <w:t>3.00 to 1.00</w:t>
            </w:r>
          </w:p>
        </w:tc>
      </w:tr>
    </w:tbl>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(c)    During the Initial Revolving Extension Period, the Company shall deliver to the Administrative Agent for further distribution to each Revolving Credit Lender as soon as available, but in any event no later than the end of the third full week after the last day </w:t>
      </w:r>
      <w:r>
        <w:rPr>
          <w:rFonts w:ascii="Times New Roman;serif" w:hAnsi="Times New Roman;serif"/>
          <w:b w:val="false"/>
          <w:color w:val="008000"/>
          <w:sz w:val="22"/>
          <w:u w:val="single"/>
        </w:rPr>
        <w:t xml:space="preserve">of each </w:t>
      </w:r>
      <w:r>
        <w:rPr>
          <w:rFonts w:ascii="Times New Roman;serif" w:hAnsi="Times New Roman;serif"/>
          <w:b w:val="false"/>
          <w:color w:val="0000FF"/>
          <w:sz w:val="22"/>
          <w:u w:val="single"/>
        </w:rPr>
        <w:t xml:space="preserve">fiscal month, commencing with the first full month after the First Amendment Effective Date, the Liquidity Forecast and Account Balance Report, including, without limitation, the balance of each deposit account, including each time deposit, of the Loan Parties. </w:t>
      </w:r>
    </w:p>
    <w:p>
      <w:pPr>
        <w:pStyle w:val="TextBody"/>
        <w:bidi w:val="0"/>
        <w:spacing w:lineRule="auto" w:line="288" w:before="0" w:after="240"/>
        <w:jc w:val="left"/>
        <w:rPr/>
      </w:pPr>
      <w:r>
        <w:rPr>
          <w:rFonts w:ascii="Times New Roman;serif" w:hAnsi="Times New Roman;serif"/>
          <w:b w:val="false"/>
          <w:color w:val="0000FF"/>
          <w:sz w:val="22"/>
          <w:u w:val="single"/>
        </w:rPr>
        <w:t>For purposes of this Section 7.08(c), “</w:t>
      </w:r>
      <w:r>
        <w:rPr>
          <w:rFonts w:ascii="Times New Roman;serif" w:hAnsi="Times New Roman;serif"/>
          <w:b/>
          <w:color w:val="0000FF"/>
          <w:sz w:val="22"/>
          <w:u w:val="single"/>
        </w:rPr>
        <w:t>Liquidity Forecast and Account Balance Report</w:t>
      </w:r>
      <w:r>
        <w:rPr>
          <w:color w:val="0000FF"/>
          <w:u w:val="single"/>
        </w:rPr>
        <w:t xml:space="preserve">” </w:t>
      </w:r>
      <w:r>
        <w:rPr>
          <w:rFonts w:ascii="Times New Roman;serif" w:hAnsi="Times New Roman;serif"/>
          <w:b w:val="false"/>
          <w:color w:val="0000FF"/>
          <w:sz w:val="22"/>
          <w:u w:val="single"/>
        </w:rPr>
        <w:t xml:space="preserve">means, with respect to each fiscal month </w:t>
      </w:r>
      <w:r>
        <w:rPr>
          <w:rFonts w:ascii="Times New Roman;serif" w:hAnsi="Times New Roman;serif"/>
          <w:b w:val="false"/>
          <w:color w:val="008000"/>
          <w:sz w:val="22"/>
          <w:u w:val="single"/>
        </w:rPr>
        <w:t xml:space="preserve">(a) a </w:t>
      </w:r>
      <w:r>
        <w:rPr>
          <w:rFonts w:ascii="Times New Roman;serif" w:hAnsi="Times New Roman;serif"/>
          <w:b w:val="false"/>
          <w:color w:val="0000FF"/>
          <w:sz w:val="22"/>
          <w:u w:val="single"/>
        </w:rPr>
        <w:t xml:space="preserve">monthly forecast of consolidated cash flows of the Company and the Guarantors prepared by the Company on a rolling twelve-month period following the last day </w:t>
      </w:r>
      <w:r>
        <w:rPr>
          <w:rFonts w:ascii="Times New Roman;serif" w:hAnsi="Times New Roman;serif"/>
          <w:b w:val="false"/>
          <w:color w:val="008000"/>
          <w:sz w:val="22"/>
          <w:u w:val="single"/>
        </w:rPr>
        <w:t xml:space="preserve">of such </w:t>
      </w:r>
      <w:r>
        <w:rPr>
          <w:rFonts w:ascii="Times New Roman;serif" w:hAnsi="Times New Roman;serif"/>
          <w:b w:val="false"/>
          <w:color w:val="0000FF"/>
          <w:sz w:val="22"/>
          <w:u w:val="single"/>
        </w:rPr>
        <w:t xml:space="preserve">month setting forth in each case variance analysis from the figures for the prior twelve-month cash flow projections previously delivered and including a narrative explanation of any increase or decrease of 10% or more in any line item category, with such additional information or reconciliations as the Administrative Agent may reasonably request to the extent such information is available to the Company without undue burden (it being agreed that such monthly forecast shall not be required to be prepared in accordance with GAAP) </w:t>
      </w:r>
      <w:r>
        <w:rPr>
          <w:rFonts w:ascii="Times New Roman;serif" w:hAnsi="Times New Roman;serif"/>
          <w:b w:val="false"/>
          <w:color w:val="008000"/>
          <w:sz w:val="22"/>
          <w:u w:val="single"/>
        </w:rPr>
        <w:t xml:space="preserve">and (b) </w:t>
      </w:r>
      <w:r>
        <w:rPr>
          <w:rFonts w:ascii="Times New Roman;serif" w:hAnsi="Times New Roman;serif"/>
          <w:b w:val="false"/>
          <w:color w:val="0000FF"/>
          <w:sz w:val="22"/>
          <w:u w:val="single"/>
        </w:rPr>
        <w:t>a listing of all deposit accounts and securities accounts of the Company and the Guarantors, which listing shall include the following information</w:t>
      </w:r>
      <w:r>
        <w:rPr>
          <w:rFonts w:ascii="Times New Roman;serif" w:hAnsi="Times New Roman;serif"/>
          <w:b w:val="false"/>
          <w:color w:val="008000"/>
          <w:sz w:val="22"/>
          <w:u w:val="single"/>
        </w:rPr>
        <w:t xml:space="preserve">: (i) the </w:t>
      </w:r>
      <w:r>
        <w:rPr>
          <w:rFonts w:ascii="Times New Roman;serif" w:hAnsi="Times New Roman;serif"/>
          <w:b w:val="false"/>
          <w:color w:val="0000FF"/>
          <w:sz w:val="22"/>
          <w:u w:val="single"/>
        </w:rPr>
        <w:t>applicable Loan Party that owns each such account, (ii) the account number for each such account, (iii) the institution with which each such account is maintained and (iv) the country in which each such account is maintained</w:t>
      </w:r>
      <w:r>
        <w:rPr>
          <w:rFonts w:ascii="Times New Roman;serif" w:hAnsi="Times New Roman;serif"/>
          <w:b w:val="false"/>
          <w:color w:val="008000"/>
          <w:sz w:val="22"/>
          <w:u w:val="single"/>
        </w:rPr>
        <w:t xml:space="preserve">, in </w:t>
      </w:r>
    </w:p>
    <w:p>
      <w:pPr>
        <w:pStyle w:val="TextBody"/>
        <w:bidi w:val="0"/>
        <w:spacing w:before="0" w:after="0"/>
        <w:jc w:val="left"/>
        <w:rPr/>
      </w:pPr>
      <w:r>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6480175" cy="175260"/>
                <wp:effectExtent l="0" t="0" r="0" b="0"/>
                <wp:wrapNone/>
                <wp:docPr id="305" name="Frame3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8000"/>
          <w:sz w:val="22"/>
          <w:u w:val="single"/>
        </w:rPr>
        <w:t>each case</w:t>
      </w:r>
      <w:r>
        <w:rPr>
          <w:rFonts w:ascii="Times New Roman;serif" w:hAnsi="Times New Roman;serif"/>
          <w:b w:val="false"/>
          <w:color w:val="0000FF"/>
          <w:sz w:val="22"/>
          <w:u w:val="single"/>
        </w:rPr>
        <w:t xml:space="preserve">, in substantially the form as </w:t>
      </w:r>
      <w:r>
        <w:rPr>
          <w:rFonts w:ascii="Times New Roman;serif" w:hAnsi="Times New Roman;serif"/>
          <w:b w:val="false"/>
          <w:color w:val="008000"/>
          <w:sz w:val="22"/>
          <w:u w:val="single"/>
        </w:rPr>
        <w:t xml:space="preserve">set forth </w:t>
      </w:r>
      <w:r>
        <w:rPr>
          <w:rFonts w:ascii="Times New Roman;serif" w:hAnsi="Times New Roman;serif"/>
          <w:b w:val="false"/>
          <w:color w:val="0000FF"/>
          <w:sz w:val="22"/>
          <w:u w:val="single"/>
        </w:rPr>
        <w:t xml:space="preserve">on Exhibit O (or otherwise in form and detail </w:t>
      </w:r>
      <w:r>
        <w:rPr>
          <w:rFonts w:ascii="Times New Roman;serif" w:hAnsi="Times New Roman;serif"/>
          <w:b w:val="false"/>
          <w:color w:val="008000"/>
          <w:sz w:val="22"/>
          <w:u w:val="single"/>
        </w:rPr>
        <w:t xml:space="preserve">acceptable to the Administrative Agent </w:t>
      </w:r>
      <w:r>
        <w:rPr>
          <w:rFonts w:ascii="Times New Roman;serif" w:hAnsi="Times New Roman;serif"/>
          <w:b w:val="false"/>
          <w:color w:val="0000FF"/>
          <w:sz w:val="22"/>
          <w:u w:val="single"/>
        </w:rPr>
        <w:t>and the First Amendment Lead Arranger).</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(d)    Repatriation of Cash. If, at </w:t>
      </w:r>
      <w:r>
        <w:rPr>
          <w:rFonts w:ascii="Times New Roman;serif" w:hAnsi="Times New Roman;serif"/>
          <w:b w:val="false"/>
          <w:color w:val="008000"/>
          <w:sz w:val="22"/>
          <w:u w:val="single"/>
        </w:rPr>
        <w:t xml:space="preserve">the end of the </w:t>
      </w:r>
      <w:r>
        <w:rPr>
          <w:rFonts w:ascii="Times New Roman;serif" w:hAnsi="Times New Roman;serif"/>
          <w:b w:val="false"/>
          <w:color w:val="0000FF"/>
          <w:sz w:val="22"/>
          <w:u w:val="single"/>
        </w:rPr>
        <w:t xml:space="preserve">last Business Day of any fiscal quarter, commencing with the </w:t>
      </w:r>
      <w:r>
        <w:rPr>
          <w:rFonts w:ascii="Times New Roman;serif" w:hAnsi="Times New Roman;serif"/>
          <w:b w:val="false"/>
          <w:color w:val="008000"/>
          <w:sz w:val="22"/>
          <w:u w:val="single"/>
        </w:rPr>
        <w:t xml:space="preserve">fiscal quarter ending </w:t>
      </w:r>
      <w:r>
        <w:rPr>
          <w:rFonts w:ascii="Times New Roman;serif" w:hAnsi="Times New Roman;serif"/>
          <w:b w:val="false"/>
          <w:color w:val="0000FF"/>
          <w:sz w:val="22"/>
          <w:u w:val="single"/>
        </w:rPr>
        <w:t xml:space="preserve">September 30, 2026, (x) Designated Non-U.S. Subsidiaries (as defined below) hold Unrestricted Cash and Cash Equivalents in an aggregate amount in excess of $100,000,000 (the amount </w:t>
      </w:r>
      <w:r>
        <w:rPr>
          <w:rFonts w:ascii="Times New Roman;serif" w:hAnsi="Times New Roman;serif"/>
          <w:b w:val="false"/>
          <w:color w:val="008000"/>
          <w:sz w:val="22"/>
          <w:u w:val="single"/>
        </w:rPr>
        <w:t xml:space="preserve">of such </w:t>
      </w:r>
      <w:r>
        <w:rPr>
          <w:rFonts w:ascii="Times New Roman;serif" w:hAnsi="Times New Roman;serif"/>
          <w:b w:val="false"/>
          <w:color w:val="0000FF"/>
          <w:sz w:val="22"/>
          <w:u w:val="single"/>
        </w:rPr>
        <w:t>excess, if any, the “</w:t>
      </w:r>
      <w:r>
        <w:rPr>
          <w:rFonts w:ascii="Times New Roman;serif" w:hAnsi="Times New Roman;serif"/>
          <w:b/>
          <w:color w:val="0000FF"/>
          <w:sz w:val="22"/>
          <w:u w:val="single"/>
        </w:rPr>
        <w:t>Designated Non-U.S. Subsidiary Excess Cash</w:t>
      </w:r>
      <w:r>
        <w:rPr>
          <w:color w:val="0000FF"/>
          <w:u w:val="single"/>
        </w:rPr>
        <w:t>”</w:t>
      </w:r>
      <w:r>
        <w:rPr>
          <w:rFonts w:ascii="Times New Roman;serif" w:hAnsi="Times New Roman;serif"/>
          <w:b w:val="false"/>
          <w:color w:val="0000FF"/>
          <w:sz w:val="22"/>
          <w:u w:val="single"/>
        </w:rPr>
        <w:t xml:space="preserve">) and </w:t>
      </w:r>
      <w:r>
        <w:rPr>
          <w:rFonts w:ascii="Times New Roman;serif" w:hAnsi="Times New Roman;serif"/>
          <w:b w:val="false"/>
          <w:color w:val="008000"/>
          <w:sz w:val="22"/>
          <w:u w:val="single"/>
        </w:rPr>
        <w:t xml:space="preserve">(y) the </w:t>
      </w:r>
      <w:r>
        <w:rPr>
          <w:rFonts w:ascii="Times New Roman;serif" w:hAnsi="Times New Roman;serif"/>
          <w:b w:val="false"/>
          <w:color w:val="0000FF"/>
          <w:sz w:val="22"/>
          <w:u w:val="single"/>
        </w:rPr>
        <w:t>Outstanding Amount of Revolving Credit Loans exceeds $50,000,000 (“</w:t>
      </w:r>
      <w:r>
        <w:rPr>
          <w:rFonts w:ascii="Times New Roman;serif" w:hAnsi="Times New Roman;serif"/>
          <w:b/>
          <w:color w:val="0000FF"/>
          <w:sz w:val="22"/>
          <w:u w:val="single"/>
        </w:rPr>
        <w:t>Repatriation Threshold Amount</w:t>
      </w:r>
      <w:r>
        <w:rPr>
          <w:color w:val="0000FF"/>
          <w:u w:val="single"/>
        </w:rPr>
        <w:t>”</w:t>
      </w:r>
      <w:r>
        <w:rPr>
          <w:rFonts w:ascii="Times New Roman;serif" w:hAnsi="Times New Roman;serif"/>
          <w:b w:val="false"/>
          <w:color w:val="0000FF"/>
          <w:sz w:val="22"/>
          <w:u w:val="single"/>
        </w:rPr>
        <w:t xml:space="preserve">), the Company shall (or shall use its commercially reasonable efforts to cause one or more of its Subsidiaries to), on or before the end of the fifteenth (15th) Business Day thereafter (or such later date as the Administrative Agent and the First Amendment Lead Arranger may agree to in writing in their sole discretion), transfer, distribute, and/or repatriate an amount equal to the lesser of (A) the positive difference (if any) of (1) the Outstanding Amount of Revolving Credit Loans and L/C Obligations </w:t>
      </w:r>
      <w:r>
        <w:rPr>
          <w:rFonts w:ascii="Times New Roman;serif" w:hAnsi="Times New Roman;serif"/>
          <w:b w:val="false"/>
          <w:i/>
          <w:color w:val="0000FF"/>
          <w:sz w:val="22"/>
          <w:u w:val="single"/>
        </w:rPr>
        <w:t>minus</w:t>
      </w:r>
      <w:r>
        <w:rPr>
          <w:color w:val="0000FF"/>
          <w:u w:val="single"/>
        </w:rPr>
        <w:t xml:space="preserve"> </w:t>
      </w:r>
      <w:r>
        <w:rPr>
          <w:rFonts w:ascii="Times New Roman;serif" w:hAnsi="Times New Roman;serif"/>
          <w:b w:val="false"/>
          <w:color w:val="0000FF"/>
          <w:sz w:val="22"/>
          <w:u w:val="single"/>
        </w:rPr>
        <w:t xml:space="preserve">(2) the Repatriation Threshold Amount, </w:t>
      </w:r>
      <w:r>
        <w:rPr>
          <w:rFonts w:ascii="Times New Roman;serif" w:hAnsi="Times New Roman;serif"/>
          <w:b w:val="false"/>
          <w:color w:val="008000"/>
          <w:sz w:val="22"/>
          <w:u w:val="single"/>
        </w:rPr>
        <w:t xml:space="preserve">and (B) </w:t>
      </w:r>
      <w:r>
        <w:rPr>
          <w:rFonts w:ascii="Times New Roman;serif" w:hAnsi="Times New Roman;serif"/>
          <w:b w:val="false"/>
          <w:color w:val="0000FF"/>
          <w:sz w:val="22"/>
          <w:u w:val="single"/>
        </w:rPr>
        <w:t>the full amount of the Designated Non-U.S. Subsidiary Excess Cash</w:t>
      </w:r>
      <w:r>
        <w:rPr>
          <w:rFonts w:ascii="Times New Roman;serif" w:hAnsi="Times New Roman;serif"/>
          <w:b w:val="false"/>
          <w:color w:val="008000"/>
          <w:sz w:val="22"/>
          <w:u w:val="single"/>
        </w:rPr>
        <w:t xml:space="preserve">, in each case, </w:t>
      </w:r>
      <w:r>
        <w:rPr>
          <w:rFonts w:ascii="Times New Roman;serif" w:hAnsi="Times New Roman;serif"/>
          <w:b w:val="false"/>
          <w:color w:val="0000FF"/>
          <w:sz w:val="22"/>
          <w:u w:val="single"/>
        </w:rPr>
        <w:t>to one or more Loan Parties (net of any applicable Taxes imposed in connection with such transfer, distribution, and/or repatriation).</w:t>
      </w:r>
    </w:p>
    <w:p>
      <w:pPr>
        <w:pStyle w:val="TextBody"/>
        <w:bidi w:val="0"/>
        <w:spacing w:lineRule="auto" w:line="288" w:before="0" w:after="240"/>
        <w:ind w:left="0" w:right="0" w:firstLine="720"/>
        <w:jc w:val="left"/>
        <w:rPr>
          <w:rFonts w:ascii="Times New Roman;serif" w:hAnsi="Times New Roman;serif"/>
          <w:b w:val="false"/>
          <w:color w:val="0000FF"/>
          <w:sz w:val="22"/>
          <w:u w:val="single"/>
        </w:rPr>
      </w:pPr>
      <w:r>
        <w:rPr>
          <w:rFonts w:ascii="Times New Roman;serif" w:hAnsi="Times New Roman;serif"/>
          <w:b w:val="false"/>
          <w:color w:val="0000FF"/>
          <w:sz w:val="22"/>
          <w:u w:val="single"/>
        </w:rPr>
        <w:t>Notwithstanding any other provisions of this Section 7.08(d) to the contrary:</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(i)    </w:t>
      </w:r>
      <w:r>
        <w:rPr>
          <w:rFonts w:ascii="Times New Roman;serif" w:hAnsi="Times New Roman;serif"/>
          <w:b w:val="false"/>
          <w:color w:val="008000"/>
          <w:sz w:val="22"/>
          <w:u w:val="single"/>
        </w:rPr>
        <w:t xml:space="preserve">to the extent </w:t>
      </w:r>
      <w:r>
        <w:rPr>
          <w:rFonts w:ascii="Times New Roman;serif" w:hAnsi="Times New Roman;serif"/>
          <w:b w:val="false"/>
          <w:color w:val="0000FF"/>
          <w:sz w:val="22"/>
          <w:u w:val="single"/>
        </w:rPr>
        <w:t xml:space="preserve">that the transfer, distribution or repatriation of any of the Designated Non-U.S. Subsidiary Excess Cash would cause any applicable Designated Non-U.S. Subsidiary to be insolvent (as determined in good faith </w:t>
      </w:r>
      <w:r>
        <w:rPr>
          <w:rFonts w:ascii="Times New Roman;serif" w:hAnsi="Times New Roman;serif"/>
          <w:b w:val="false"/>
          <w:color w:val="008000"/>
          <w:sz w:val="22"/>
          <w:u w:val="single"/>
        </w:rPr>
        <w:t xml:space="preserve">by the Company </w:t>
      </w:r>
      <w:r>
        <w:rPr>
          <w:rFonts w:ascii="Times New Roman;serif" w:hAnsi="Times New Roman;serif"/>
          <w:b w:val="false"/>
          <w:color w:val="0000FF"/>
          <w:sz w:val="22"/>
          <w:u w:val="single"/>
        </w:rPr>
        <w:t xml:space="preserve">pursuant to applicable local Law or applicable accounting standards), the portion of such Designated Non-U.S. Subsidiary Excess Cash so affected will not be </w:t>
      </w:r>
      <w:r>
        <w:rPr>
          <w:rFonts w:ascii="Times New Roman;serif" w:hAnsi="Times New Roman;serif"/>
          <w:b w:val="false"/>
          <w:color w:val="008000"/>
          <w:sz w:val="22"/>
          <w:u w:val="single"/>
        </w:rPr>
        <w:t xml:space="preserve">required to be </w:t>
      </w:r>
      <w:r>
        <w:rPr>
          <w:rFonts w:ascii="Times New Roman;serif" w:hAnsi="Times New Roman;serif"/>
          <w:b w:val="false"/>
          <w:color w:val="0000FF"/>
          <w:sz w:val="22"/>
          <w:u w:val="single"/>
        </w:rPr>
        <w:t xml:space="preserve">transferred, distributed, and/or repatriated to one or more Loan Parties at the time provided in this Section 7.08(d) but may be retained by the applicable Subsidiary so long as such transfer, distribution or repatriation of any </w:t>
      </w:r>
      <w:r>
        <w:rPr>
          <w:rFonts w:ascii="Times New Roman;serif" w:hAnsi="Times New Roman;serif"/>
          <w:b w:val="false"/>
          <w:color w:val="008000"/>
          <w:sz w:val="22"/>
          <w:u w:val="single"/>
        </w:rPr>
        <w:t xml:space="preserve">of the </w:t>
      </w:r>
      <w:r>
        <w:rPr>
          <w:rFonts w:ascii="Times New Roman;serif" w:hAnsi="Times New Roman;serif"/>
          <w:b w:val="false"/>
          <w:color w:val="0000FF"/>
          <w:sz w:val="22"/>
          <w:u w:val="single"/>
        </w:rPr>
        <w:t xml:space="preserve">Designated Non-U.S. Subsidiary Excess Cash would cause such Subsidiary to be insolvent (the Company hereby agreeing to cause the applicable Subsidiary to use its commercially reasonable efforts to promptly take all actions reasonably required by the applicable local Law or applicable accounting standards to permit such transfer, distribution and/or repatriation); </w:t>
      </w:r>
      <w:r>
        <w:rPr>
          <w:rFonts w:ascii="Times New Roman;serif" w:hAnsi="Times New Roman;serif"/>
          <w:b w:val="false"/>
          <w:i/>
          <w:color w:val="0000FF"/>
          <w:sz w:val="22"/>
          <w:u w:val="single"/>
        </w:rPr>
        <w:t>provided</w:t>
      </w:r>
      <w:r>
        <w:rPr>
          <w:color w:val="0000FF"/>
          <w:u w:val="single"/>
        </w:rPr>
        <w:t xml:space="preserve"> </w:t>
      </w:r>
      <w:r>
        <w:rPr>
          <w:rFonts w:ascii="Times New Roman;serif" w:hAnsi="Times New Roman;serif"/>
          <w:b w:val="false"/>
          <w:color w:val="0000FF"/>
          <w:sz w:val="22"/>
          <w:u w:val="single"/>
        </w:rPr>
        <w:t xml:space="preserve">that, </w:t>
      </w:r>
      <w:r>
        <w:rPr>
          <w:rFonts w:ascii="Times New Roman;serif" w:hAnsi="Times New Roman;serif"/>
          <w:b w:val="false"/>
          <w:color w:val="008000"/>
          <w:sz w:val="22"/>
          <w:u w:val="single"/>
        </w:rPr>
        <w:t xml:space="preserve">to the extent that such </w:t>
      </w:r>
      <w:r>
        <w:rPr>
          <w:rFonts w:ascii="Times New Roman;serif" w:hAnsi="Times New Roman;serif"/>
          <w:b w:val="false"/>
          <w:color w:val="0000FF"/>
          <w:sz w:val="22"/>
          <w:u w:val="single"/>
        </w:rPr>
        <w:t>transfer, distribution and/or repatriation would no longer cause such Subsidiary to be insolvent, then such transfer, distribution and/or repatriation will be promptly effected;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(ii)    to the extent that the transfer, distribution or repatriation of any of the Designated Non-U.S. Subsidiary Excess Cash would violate any fiduciary duties of the board of directors (or any comparable body</w:t>
      </w:r>
      <w:r>
        <w:rPr>
          <w:rFonts w:ascii="Times New Roman;serif" w:hAnsi="Times New Roman;serif"/>
          <w:b w:val="false"/>
          <w:color w:val="008000"/>
          <w:sz w:val="22"/>
          <w:u w:val="single"/>
        </w:rPr>
        <w:t xml:space="preserve">) of the </w:t>
      </w:r>
      <w:r>
        <w:rPr>
          <w:rFonts w:ascii="Times New Roman;serif" w:hAnsi="Times New Roman;serif"/>
          <w:b w:val="false"/>
          <w:color w:val="0000FF"/>
          <w:sz w:val="22"/>
          <w:u w:val="single"/>
        </w:rPr>
        <w:t xml:space="preserve">applicable Designated Non-U.S. Subsidiary (as determined in good faith by the Company pursuant to applicable local Law), the portion of such Designated Non-U.S. Subsidiary Excess Cash so affected will not be required to be so transferred, distributed, and/or repatriated to one or more Loan Parties at the time provided in this Section 7.08(d) but may be retained by the applicable Subsidiary so long as such transfer, distribution or repatriation of any of the Designated Non-U.S. Subsidiary Excess Cash would violate any fiduciary duties of the board of directors (or any comparable body) of such Subsidiary (the Company hereby agreeing to cause the applicable Subsidiary to use its commercially reasonable efforts to promptly take all actions reasonably required by the applicable local Law to permit such transfer, distribution and/or repatriation); </w:t>
      </w:r>
      <w:r>
        <w:rPr>
          <w:rFonts w:ascii="Times New Roman;serif" w:hAnsi="Times New Roman;serif"/>
          <w:b w:val="false"/>
          <w:i/>
          <w:color w:val="0000FF"/>
          <w:sz w:val="22"/>
          <w:u w:val="single"/>
        </w:rPr>
        <w:t>provided</w:t>
      </w:r>
      <w:r>
        <w:rPr>
          <w:rFonts w:ascii="Times New Roman;serif" w:hAnsi="Times New Roman;serif"/>
          <w:b w:val="false"/>
          <w:color w:val="0000FF"/>
          <w:sz w:val="22"/>
          <w:u w:val="single"/>
        </w:rPr>
        <w:t xml:space="preserve">, that </w:t>
      </w:r>
      <w:r>
        <w:rPr>
          <w:rFonts w:ascii="Times New Roman;serif" w:hAnsi="Times New Roman;serif"/>
          <w:b w:val="false"/>
          <w:color w:val="008000"/>
          <w:sz w:val="22"/>
          <w:u w:val="single"/>
        </w:rPr>
        <w:t xml:space="preserve">to the </w:t>
      </w:r>
      <w:r>
        <w:rPr>
          <w:rFonts w:ascii="Times New Roman;serif" w:hAnsi="Times New Roman;serif"/>
          <w:b w:val="false"/>
          <w:color w:val="0000FF"/>
          <w:sz w:val="22"/>
          <w:u w:val="single"/>
        </w:rPr>
        <w:t>extent that such transfer, distribution and/or repatriation would no longer cause such Subsidiary to violate any fiduciary duties of the board of directors (</w:t>
      </w:r>
      <w:r>
        <w:rPr>
          <w:rFonts w:ascii="Times New Roman;serif" w:hAnsi="Times New Roman;serif"/>
          <w:b w:val="false"/>
          <w:color w:val="008000"/>
          <w:sz w:val="22"/>
          <w:u w:val="single"/>
        </w:rPr>
        <w:t xml:space="preserve">or any </w:t>
      </w:r>
      <w:r>
        <w:rPr>
          <w:rFonts w:ascii="Times New Roman;serif" w:hAnsi="Times New Roman;serif"/>
          <w:b w:val="false"/>
          <w:color w:val="0000FF"/>
          <w:sz w:val="22"/>
          <w:u w:val="single"/>
        </w:rPr>
        <w:t>comparable body) of such Subsidiary, then such transfer, distribution and/or repatriation will be promptly effected; and</w:t>
      </w:r>
    </w:p>
    <w:p>
      <w:pPr>
        <w:pStyle w:val="TextBody"/>
        <w:bidi w:val="0"/>
        <w:spacing w:before="0" w:after="0"/>
        <w:jc w:val="left"/>
        <w:rPr/>
      </w:pPr>
      <w:r>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6480175" cy="175260"/>
                <wp:effectExtent l="0" t="0" r="0" b="0"/>
                <wp:wrapNone/>
                <wp:docPr id="306" name="Frame3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 xml:space="preserve">(iii)    to the extent that the transfer, distribution or repatriation </w:t>
      </w:r>
      <w:r>
        <w:rPr>
          <w:rFonts w:ascii="Times New Roman;serif" w:hAnsi="Times New Roman;serif"/>
          <w:b w:val="false"/>
          <w:color w:val="008000"/>
          <w:sz w:val="22"/>
          <w:u w:val="single"/>
        </w:rPr>
        <w:t xml:space="preserve">of any </w:t>
      </w:r>
      <w:r>
        <w:rPr>
          <w:rFonts w:ascii="Times New Roman;serif" w:hAnsi="Times New Roman;serif"/>
          <w:b w:val="false"/>
          <w:color w:val="0000FF"/>
          <w:sz w:val="22"/>
          <w:u w:val="single"/>
        </w:rPr>
        <w:t xml:space="preserve">of the Designated Non-U.S. Subsidiary Excess Cash is prohibited or delayed by any applicable Laws </w:t>
      </w:r>
      <w:r>
        <w:rPr>
          <w:rFonts w:ascii="Times New Roman;serif" w:hAnsi="Times New Roman;serif"/>
          <w:b w:val="false"/>
          <w:color w:val="008000"/>
          <w:sz w:val="22"/>
          <w:u w:val="single"/>
        </w:rPr>
        <w:t xml:space="preserve">(including any </w:t>
      </w:r>
      <w:r>
        <w:rPr>
          <w:rFonts w:ascii="Times New Roman;serif" w:hAnsi="Times New Roman;serif"/>
          <w:b w:val="false"/>
          <w:color w:val="0000FF"/>
          <w:sz w:val="22"/>
          <w:u w:val="single"/>
        </w:rPr>
        <w:t>Laws related to financial assistance and corporate benefits) then in effect from being repatriated to the United States, the portion of such Designated Non-U.S. Subsidiary Excess Cash so affected will not be required to be so transferred, distributed, and/or repatriated to one or more Loan Parties at the time provided in this Section 7.08(d) but may be retained by the applicable Subsidiary so long as applicable Laws then in effect will not permit repatriation to the United States (</w:t>
      </w:r>
      <w:r>
        <w:rPr>
          <w:rFonts w:ascii="Times New Roman;serif" w:hAnsi="Times New Roman;serif"/>
          <w:b w:val="false"/>
          <w:color w:val="008000"/>
          <w:sz w:val="22"/>
          <w:u w:val="single"/>
        </w:rPr>
        <w:t xml:space="preserve">the Company </w:t>
      </w:r>
      <w:r>
        <w:rPr>
          <w:rFonts w:ascii="Times New Roman;serif" w:hAnsi="Times New Roman;serif"/>
          <w:b w:val="false"/>
          <w:color w:val="0000FF"/>
          <w:sz w:val="22"/>
          <w:u w:val="single"/>
        </w:rPr>
        <w:t>hereby agreeing to cause the applicable Subsidiary to use its commercially reasonable efforts to promptly take all actions reasonably required by applicable Laws then in effect to permit such transfer, distribution and/or repatriation</w:t>
      </w:r>
      <w:r>
        <w:rPr>
          <w:rFonts w:ascii="Times New Roman;serif" w:hAnsi="Times New Roman;serif"/>
          <w:b w:val="false"/>
          <w:color w:val="008000"/>
          <w:sz w:val="22"/>
          <w:u w:val="single"/>
        </w:rPr>
        <w:t xml:space="preserve">); </w:t>
      </w:r>
      <w:r>
        <w:rPr>
          <w:rFonts w:ascii="Times New Roman;serif" w:hAnsi="Times New Roman;serif"/>
          <w:b w:val="false"/>
          <w:i/>
          <w:color w:val="008000"/>
          <w:sz w:val="22"/>
          <w:u w:val="single"/>
        </w:rPr>
        <w:t>provided</w:t>
      </w:r>
      <w:r>
        <w:rPr>
          <w:color w:val="008000"/>
          <w:u w:val="single"/>
        </w:rPr>
        <w:t xml:space="preserve"> </w:t>
      </w:r>
      <w:r>
        <w:rPr>
          <w:rFonts w:ascii="Times New Roman;serif" w:hAnsi="Times New Roman;serif"/>
          <w:b w:val="false"/>
          <w:color w:val="008000"/>
          <w:sz w:val="22"/>
          <w:u w:val="single"/>
        </w:rPr>
        <w:t xml:space="preserve">that, </w:t>
      </w:r>
      <w:r>
        <w:rPr>
          <w:rFonts w:ascii="Times New Roman;serif" w:hAnsi="Times New Roman;serif"/>
          <w:b w:val="false"/>
          <w:color w:val="0000FF"/>
          <w:sz w:val="22"/>
          <w:u w:val="single"/>
        </w:rPr>
        <w:t>to the extent such transfer, distribution and/or repatriation would no longer be prohibited or delayed by such applicable Laws then in effect, then such transfer, distribution and/or repatriation will be promptly effected.</w:t>
      </w:r>
    </w:p>
    <w:p>
      <w:pPr>
        <w:pStyle w:val="TextBody"/>
        <w:bidi w:val="0"/>
        <w:spacing w:lineRule="auto" w:line="288" w:before="0" w:after="240"/>
        <w:ind w:left="0" w:right="0" w:firstLine="720"/>
        <w:jc w:val="left"/>
        <w:rPr/>
      </w:pPr>
      <w:r>
        <w:rPr>
          <w:rFonts w:ascii="Times New Roman;serif" w:hAnsi="Times New Roman;serif"/>
          <w:b w:val="false"/>
          <w:color w:val="0000FF"/>
          <w:sz w:val="22"/>
          <w:u w:val="single"/>
        </w:rPr>
        <w:t>For purposes of this Section 7.08(d), “</w:t>
      </w:r>
      <w:r>
        <w:rPr>
          <w:rFonts w:ascii="Times New Roman;serif" w:hAnsi="Times New Roman;serif"/>
          <w:b/>
          <w:color w:val="0000FF"/>
          <w:sz w:val="22"/>
          <w:u w:val="single"/>
        </w:rPr>
        <w:t>Designated Non-U.S. Subsidiary</w:t>
      </w:r>
      <w:r>
        <w:rPr>
          <w:color w:val="0000FF"/>
          <w:u w:val="single"/>
        </w:rPr>
        <w:t xml:space="preserve">” </w:t>
      </w:r>
      <w:r>
        <w:rPr>
          <w:rFonts w:ascii="Times New Roman;serif" w:hAnsi="Times New Roman;serif"/>
          <w:b w:val="false"/>
          <w:color w:val="0000FF"/>
          <w:sz w:val="22"/>
          <w:u w:val="single"/>
        </w:rPr>
        <w:t>means any direct or indirect Subsidiary of the Company that is organized or established under the Laws of Australia, Switzerland, Canada, Japan, the United Kingdom or the Republic of Ireland.</w:t>
      </w:r>
    </w:p>
    <w:p>
      <w:pPr>
        <w:pStyle w:val="TextBody"/>
        <w:bidi w:val="0"/>
        <w:spacing w:lineRule="auto" w:line="288" w:before="0" w:after="240"/>
        <w:jc w:val="left"/>
        <w:rPr/>
      </w:pPr>
      <w:r>
        <w:rPr>
          <w:rFonts w:ascii="Times New Roman;serif" w:hAnsi="Times New Roman;serif"/>
          <w:b w:val="false"/>
          <w:color w:val="0000FF"/>
          <w:sz w:val="22"/>
          <w:u w:val="single"/>
        </w:rPr>
        <w:t>The covenants set forth in this Section 7.08 shall be referred to, individually and collectively, as the “</w:t>
      </w:r>
      <w:r>
        <w:rPr>
          <w:rFonts w:ascii="Times New Roman;serif" w:hAnsi="Times New Roman;serif"/>
          <w:b/>
          <w:color w:val="0000FF"/>
          <w:sz w:val="22"/>
          <w:u w:val="single"/>
        </w:rPr>
        <w:t>Financial Covenant</w:t>
      </w:r>
      <w:r>
        <w:rPr>
          <w:color w:val="0000FF"/>
          <w:u w:val="single"/>
        </w:rPr>
        <w:t>”</w:t>
      </w:r>
      <w:r>
        <w:rPr>
          <w:rFonts w:ascii="Times New Roman;serif" w:hAnsi="Times New Roman;serif"/>
          <w:b w:val="false"/>
          <w:color w:val="0000FF"/>
          <w:sz w:val="22"/>
          <w:u w:val="single"/>
        </w:rPr>
        <w:t>.</w:t>
      </w:r>
    </w:p>
    <w:p>
      <w:pPr>
        <w:pStyle w:val="TextBody"/>
        <w:bidi w:val="0"/>
        <w:spacing w:lineRule="auto" w:line="288" w:before="0" w:after="240"/>
        <w:jc w:val="center"/>
        <w:rPr/>
      </w:pPr>
      <w:r>
        <w:rPr>
          <w:rFonts w:ascii="Times New Roman;serif" w:hAnsi="Times New Roman;serif"/>
          <w:b/>
          <w:color w:val="000000"/>
          <w:sz w:val="24"/>
        </w:rPr>
        <w:t>ARTICLE VIII</w:t>
      </w:r>
      <w:r>
        <w:rPr>
          <w:rFonts w:ascii="Times New Roman;serif" w:hAnsi="Times New Roman;serif"/>
          <w:b/>
          <w:color w:val="000000"/>
          <w:sz w:val="22"/>
        </w:rPr>
        <w:br/>
        <w:br/>
        <w:t>EVENTS OF DEFAULT AND REMEDIES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8.01    </w:t>
      </w:r>
      <w:r>
        <w:rPr>
          <w:rFonts w:ascii="Times New Roman;serif" w:hAnsi="Times New Roman;serif"/>
          <w:b w:val="false"/>
          <w:color w:val="000000"/>
          <w:sz w:val="22"/>
          <w:u w:val="single"/>
        </w:rPr>
        <w:t>Events of Default</w:t>
      </w:r>
      <w:r>
        <w:rPr>
          <w:rFonts w:ascii="Times New Roman;serif" w:hAnsi="Times New Roman;serif"/>
          <w:b w:val="false"/>
          <w:color w:val="000000"/>
          <w:sz w:val="22"/>
        </w:rPr>
        <w:t>. Any of the following shall constitute an “</w:t>
      </w:r>
      <w:r>
        <w:rPr>
          <w:rFonts w:ascii="Times New Roman;serif" w:hAnsi="Times New Roman;serif"/>
          <w:b/>
          <w:color w:val="000000"/>
          <w:sz w:val="22"/>
        </w:rPr>
        <w:t>Event of Default</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Non-Payment</w:t>
      </w:r>
      <w:r>
        <w:rPr>
          <w:rFonts w:ascii="Times New Roman;serif" w:hAnsi="Times New Roman;serif"/>
          <w:b w:val="false"/>
          <w:color w:val="000000"/>
          <w:sz w:val="22"/>
        </w:rPr>
        <w:t>. Any Borrower or any other Loan Party fails to pay (i) when due and as required to be paid herein, any amount of principal of any Loan or (ii) within five Business Days after the same becomes due and payable, any interest on any Loan or on any L/C Obligation, any fee due hereunder or any other amount payable hereunder or with respect to any other Loan Document;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Specific Covenants</w:t>
      </w:r>
      <w:r>
        <w:rPr>
          <w:rFonts w:ascii="Times New Roman;serif" w:hAnsi="Times New Roman;serif"/>
          <w:b w:val="false"/>
          <w:color w:val="000000"/>
          <w:sz w:val="22"/>
        </w:rPr>
        <w:t xml:space="preserve">. Any Borrower or any other Loan Party fails to perform or observe any term, covenant or agreement contained in any of </w:t>
      </w:r>
      <w:r>
        <w:rPr>
          <w:rFonts w:ascii="Times New Roman;serif" w:hAnsi="Times New Roman;serif"/>
          <w:b w:val="false"/>
          <w:color w:val="000000"/>
          <w:sz w:val="22"/>
          <w:u w:val="single"/>
        </w:rPr>
        <w:t xml:space="preserve">Section </w:t>
      </w:r>
      <w:r>
        <w:rPr>
          <w:rFonts w:ascii="Times New Roman;serif" w:hAnsi="Times New Roman;serif"/>
          <w:b w:val="false"/>
          <w:color w:val="0000FF"/>
          <w:sz w:val="22"/>
          <w:u w:val="single"/>
        </w:rPr>
        <w:t xml:space="preserve">6.03(a), Section </w:t>
      </w:r>
      <w:r>
        <w:rPr>
          <w:rFonts w:ascii="Times New Roman;serif" w:hAnsi="Times New Roman;serif"/>
          <w:b w:val="false"/>
          <w:color w:val="000000"/>
          <w:sz w:val="22"/>
          <w:u w:val="single"/>
        </w:rPr>
        <w:t>6.05(a)</w:t>
      </w:r>
      <w:r>
        <w:rPr>
          <w:color w:val="000000"/>
        </w:rPr>
        <w:t xml:space="preserve"> </w:t>
      </w:r>
      <w:r>
        <w:rPr>
          <w:rFonts w:ascii="Times New Roman;serif" w:hAnsi="Times New Roman;serif"/>
          <w:b w:val="false"/>
          <w:color w:val="000000"/>
          <w:sz w:val="22"/>
        </w:rPr>
        <w:t xml:space="preserve">(solely with respect to any Borrower) or </w:t>
      </w:r>
      <w:r>
        <w:rPr>
          <w:rFonts w:ascii="Times New Roman;serif" w:hAnsi="Times New Roman;serif"/>
          <w:b w:val="false"/>
          <w:color w:val="000000"/>
          <w:sz w:val="22"/>
          <w:u w:val="single"/>
        </w:rPr>
        <w:t>6.11</w:t>
      </w:r>
      <w:r>
        <w:rPr>
          <w:color w:val="000000"/>
        </w:rPr>
        <w:t xml:space="preserve"> </w:t>
      </w:r>
      <w:r>
        <w:rPr>
          <w:rFonts w:ascii="Times New Roman;serif" w:hAnsi="Times New Roman;serif"/>
          <w:b w:val="false"/>
          <w:color w:val="000000"/>
          <w:sz w:val="22"/>
        </w:rPr>
        <w:t xml:space="preserve">(solely with respect to </w:t>
      </w:r>
      <w:r>
        <w:rPr>
          <w:rFonts w:ascii="Times New Roman;serif" w:hAnsi="Times New Roman;serif"/>
          <w:b w:val="false"/>
          <w:color w:val="000000"/>
          <w:sz w:val="22"/>
          <w:u w:val="single"/>
        </w:rPr>
        <w:t>Section 5.07</w:t>
      </w:r>
      <w:r>
        <w:rPr>
          <w:rFonts w:ascii="Times New Roman;serif" w:hAnsi="Times New Roman;serif"/>
          <w:b w:val="false"/>
          <w:color w:val="000000"/>
          <w:sz w:val="22"/>
        </w:rPr>
        <w:t xml:space="preserve">) or in any Section of </w:t>
      </w:r>
      <w:r>
        <w:rPr>
          <w:rFonts w:ascii="Times New Roman;serif" w:hAnsi="Times New Roman;serif"/>
          <w:b w:val="false"/>
          <w:color w:val="000000"/>
          <w:sz w:val="22"/>
          <w:u w:val="single"/>
        </w:rPr>
        <w:t>Article VII</w:t>
      </w:r>
      <w:r>
        <w:rPr>
          <w:color w:val="000000"/>
        </w:rPr>
        <w:t xml:space="preserve"> </w:t>
      </w:r>
      <w:r>
        <w:rPr>
          <w:rFonts w:ascii="Times New Roman;serif" w:hAnsi="Times New Roman;serif"/>
          <w:b w:val="false"/>
          <w:color w:val="000000"/>
          <w:sz w:val="22"/>
        </w:rPr>
        <w:t xml:space="preserve">(subject to, in the case of the Financial Covenant, the proviso at the end of this </w:t>
      </w:r>
      <w:r>
        <w:rPr>
          <w:rFonts w:ascii="Times New Roman;serif" w:hAnsi="Times New Roman;serif"/>
          <w:b w:val="false"/>
          <w:color w:val="000000"/>
          <w:sz w:val="22"/>
          <w:u w:val="single"/>
        </w:rPr>
        <w:t>clause (b)</w:t>
      </w:r>
      <w:r>
        <w:rPr>
          <w:rFonts w:ascii="Times New Roman;serif" w:hAnsi="Times New Roman;serif"/>
          <w:b w:val="false"/>
          <w:color w:val="000000"/>
          <w:sz w:val="22"/>
        </w:rPr>
        <w:t xml:space="preserve">); , that a Default or Event of Default under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(a “</w:t>
      </w:r>
      <w:r>
        <w:rPr>
          <w:rFonts w:ascii="Times New Roman;serif" w:hAnsi="Times New Roman;serif"/>
          <w:b/>
          <w:color w:val="000000"/>
          <w:sz w:val="22"/>
        </w:rPr>
        <w:t>Financial Covenant Event of Default</w:t>
      </w:r>
      <w:r>
        <w:rPr>
          <w:color w:val="000000"/>
        </w:rPr>
        <w:t>”</w:t>
      </w:r>
      <w:r>
        <w:rPr>
          <w:rFonts w:ascii="Times New Roman;serif" w:hAnsi="Times New Roman;serif"/>
          <w:b w:val="false"/>
          <w:color w:val="000000"/>
          <w:sz w:val="22"/>
        </w:rPr>
        <w:t>) shall not constitute an Event of Default with respect to any Term Facility or any Specified Refinancing Debt (unless refinancing the Revolving Credit Facility) (or, if applicable, for any New Revolving Facility that has elected to not receive the benefit of the Financial Covenant) unless and until the Required Revolving Lenders shall have terminated their Revolving Credit Commitments and declared all amounts outstanding under the Revolving Credit Facility to be due and payable and such termination and acceleration has not been rescinded;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Other Defaults</w:t>
      </w:r>
      <w:r>
        <w:rPr>
          <w:rFonts w:ascii="Times New Roman;serif" w:hAnsi="Times New Roman;serif"/>
          <w:b w:val="false"/>
          <w:color w:val="000000"/>
          <w:sz w:val="22"/>
        </w:rPr>
        <w:t xml:space="preserve">. Any Loan Party fails to perform or observe any covenant or agreement (other than those specified in </w:t>
      </w:r>
      <w:r>
        <w:rPr>
          <w:rFonts w:ascii="Times New Roman;serif" w:hAnsi="Times New Roman;serif"/>
          <w:b w:val="false"/>
          <w:color w:val="000000"/>
          <w:sz w:val="22"/>
          <w:u w:val="single"/>
        </w:rPr>
        <w:t>Section 8.01(a)</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above) contained in any Loan Document on its part to be performed or observed and such failure continues for 30 days after notice thereof by the Administrative Agent to the Company; or</w:t>
      </w:r>
    </w:p>
    <w:p>
      <w:pPr>
        <w:pStyle w:val="TextBody"/>
        <w:bidi w:val="0"/>
        <w:spacing w:before="0" w:after="0"/>
        <w:jc w:val="left"/>
        <w:rPr/>
      </w:pPr>
      <w:r>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6480175" cy="175260"/>
                <wp:effectExtent l="0" t="0" r="0" b="0"/>
                <wp:wrapNone/>
                <wp:docPr id="307" name="Frame3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Representations and Warranties</w:t>
      </w:r>
      <w:r>
        <w:rPr>
          <w:rFonts w:ascii="Times New Roman;serif" w:hAnsi="Times New Roman;serif"/>
          <w:b w:val="false"/>
          <w:color w:val="000000"/>
          <w:sz w:val="22"/>
        </w:rPr>
        <w:t>. Any representation, warranty, certification or statement of fact made or deemed made by or on behalf of any Borrower or any other Loan Party herein, in any other Loan Document, or in any document required to be delivered in connection herewith or therewith shall be incorrect or misleading in any material respect (or in any respect if such representation or warranty is already qualified by materiality) when made or deemed made and, to the extent capable of being cured, such representation, warranty, certification or statement of fact is not corrected or clarified within 30 days after it was initially made;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Cross-Default</w:t>
      </w:r>
      <w:r>
        <w:rPr>
          <w:rFonts w:ascii="Times New Roman;serif" w:hAnsi="Times New Roman;serif"/>
          <w:b w:val="false"/>
          <w:color w:val="000000"/>
          <w:sz w:val="22"/>
        </w:rPr>
        <w:t>. Any Loan Party or any Restricted Subsidiary:</w:t>
      </w:r>
    </w:p>
    <w:p>
      <w:pPr>
        <w:pStyle w:val="TextBody"/>
        <w:bidi w:val="0"/>
        <w:spacing w:lineRule="auto" w:line="288" w:before="0" w:after="240"/>
        <w:jc w:val="left"/>
        <w:rPr/>
      </w:pPr>
      <w:r>
        <w:rPr>
          <w:rFonts w:ascii="Times New Roman;serif" w:hAnsi="Times New Roman;serif"/>
          <w:b w:val="false"/>
          <w:color w:val="000000"/>
          <w:sz w:val="22"/>
        </w:rPr>
        <w:t>(A)    fails to make any payment beyond the applicable grace period with respect thereto, if any (whether by scheduled maturity, required prepayment, acceleration, demand, or otherwise) in respect of any Indebtedness (other than Indebtedness hereunder and intercompany Indebtedness) having an aggregate outstanding principal amount equal to or greater than the Threshold Amount (any such Indebtedness, “</w:t>
      </w:r>
      <w:r>
        <w:rPr>
          <w:rFonts w:ascii="Times New Roman;serif" w:hAnsi="Times New Roman;serif"/>
          <w:b/>
          <w:color w:val="000000"/>
          <w:sz w:val="22"/>
        </w:rPr>
        <w:t>Material Indebtedness</w:t>
      </w:r>
      <w:r>
        <w:rPr>
          <w:color w:val="000000"/>
        </w:rPr>
        <w:t>”</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color w:val="000000"/>
          <w:sz w:val="22"/>
        </w:rPr>
        <w:t xml:space="preserve">(B)    fails to observe or perform any other agreement relating to Material Indebtedness, or any other event occurs under Material Indebtedness (other than a default or an event of default in respect of the observance of or compliance with any financial maintenance covenant, which is addressed by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 xml:space="preserve">below), and any applicable grace or cure period under the applicable Material Indebtedness has expired, such that the holder or holders of such Material Indebtedness (or a trustee or agent on behalf of such holder or holders or beneficiary or beneficiaries) have caused, or are permitted to cause such Indebtedness to become due, in each case, prior to its Stated Maturity; that this </w:t>
      </w:r>
      <w:r>
        <w:rPr>
          <w:rFonts w:ascii="Times New Roman;serif" w:hAnsi="Times New Roman;serif"/>
          <w:b w:val="false"/>
          <w:color w:val="000000"/>
          <w:sz w:val="22"/>
          <w:u w:val="single"/>
        </w:rPr>
        <w:t>clause (e)(B)</w:t>
      </w:r>
      <w:r>
        <w:rPr>
          <w:color w:val="000000"/>
        </w:rPr>
        <w:t xml:space="preserve"> </w:t>
      </w:r>
      <w:r>
        <w:rPr>
          <w:rFonts w:ascii="Times New Roman;serif" w:hAnsi="Times New Roman;serif"/>
          <w:b w:val="false"/>
          <w:color w:val="000000"/>
          <w:sz w:val="22"/>
        </w:rPr>
        <w:t xml:space="preserve">shall not apply to (x) secured Indebtedness that becomes due as a result of the sale or transfer or other Disposition (including a Casualty Event) of the property or assets securing such Indebtedness permitted hereunder and under the documents providing for such Indebtedness and such Indebtedness is repaid when required under the documents providing for such Indebtedness, (y) events of default, termination events or any other similar event under the documents governing Swap Contracts for so long as such event of default, termination event or other similar event does not result in the occurrence of an early termination date or any acceleration of any amounts or other Indebtedness payable thereunder or (z) Indebtedness that upon the happening of any such default or event automatically converts into Equity Interests (other than Disqualified Stock or, in the case of a Restricted Subsidiary, Disqualified Stock or Preferred Stock) in accordance with its terms;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this </w:t>
      </w:r>
      <w:r>
        <w:rPr>
          <w:rFonts w:ascii="Times New Roman;serif" w:hAnsi="Times New Roman;serif"/>
          <w:b w:val="false"/>
          <w:color w:val="000000"/>
          <w:sz w:val="22"/>
          <w:u w:val="single"/>
        </w:rPr>
        <w:t>clause (e)(B)</w:t>
      </w:r>
      <w:r>
        <w:rPr>
          <w:color w:val="000000"/>
        </w:rPr>
        <w:t xml:space="preserve"> </w:t>
      </w:r>
      <w:r>
        <w:rPr>
          <w:rFonts w:ascii="Times New Roman;serif" w:hAnsi="Times New Roman;serif"/>
          <w:b w:val="false"/>
          <w:color w:val="000000"/>
          <w:sz w:val="22"/>
        </w:rPr>
        <w:t xml:space="preserve">shall automatically cease to apply if the applicable failure or event giving rise hereto is validly waived by the holders of such Material Indebtedness in accordance with the terms of the documents governing such Material Indebtedness prior to any termination of the Revolving Credit Commitments or acceleration of the Loans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or</w:t>
      </w:r>
    </w:p>
    <w:p>
      <w:pPr>
        <w:pStyle w:val="TextBody"/>
        <w:bidi w:val="0"/>
        <w:spacing w:lineRule="auto" w:line="288" w:before="0" w:after="240"/>
        <w:jc w:val="left"/>
        <w:rPr/>
      </w:pPr>
      <w:r>
        <w:rPr>
          <w:rFonts w:ascii="Times New Roman;serif" w:hAnsi="Times New Roman;serif"/>
          <w:b w:val="false"/>
          <w:color w:val="000000"/>
          <w:sz w:val="22"/>
        </w:rPr>
        <w:t>(C)    fails to observe or perform any other agreement relating to any Material Indebtedness containing or otherwise requiring observance or compliance with a financial maintenance covenant and the holder or holders of such Material Indebtedness (or a trustee or agent on behalf of such holder or holders or beneficiary or beneficiaries) have caused such Indebtedness to become due, prior to its Stated Maturity (“</w:t>
      </w:r>
      <w:r>
        <w:rPr>
          <w:rFonts w:ascii="Times New Roman;serif" w:hAnsi="Times New Roman;serif"/>
          <w:b/>
          <w:color w:val="000000"/>
          <w:sz w:val="22"/>
        </w:rPr>
        <w:t>Acceleration</w:t>
      </w:r>
      <w:r>
        <w:rPr>
          <w:color w:val="000000"/>
        </w:rPr>
        <w:t>”</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such holder or holders (or a trustee or an agent on behalf of such holder or holders or beneficiary or beneficiaries) irrevocably rescind such </w:t>
      </w:r>
    </w:p>
    <w:p>
      <w:pPr>
        <w:pStyle w:val="TextBody"/>
        <w:bidi w:val="0"/>
        <w:spacing w:before="0" w:after="0"/>
        <w:jc w:val="left"/>
        <w:rPr/>
      </w:pPr>
      <w:r>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6480175" cy="175260"/>
                <wp:effectExtent l="0" t="0" r="0" b="0"/>
                <wp:wrapNone/>
                <wp:docPr id="308" name="Frame3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Acceleration, the Event of Default with respect to this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shall automatically cease from and after such date;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Insolvency Proceedings, Etc</w:t>
      </w:r>
      <w:r>
        <w:rPr>
          <w:rFonts w:ascii="Times New Roman;serif" w:hAnsi="Times New Roman;serif"/>
          <w:b w:val="false"/>
          <w:color w:val="000000"/>
          <w:sz w:val="22"/>
        </w:rPr>
        <w:t>. Any Borrower or any Material Subsidiary: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institutes, resolves to institute or consents to the institution of any proceeding under any Debtor Relief Law, in each case relating to a winding-up, an administration, a dissolution, or a composition thereof;</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makes an assignment for the benefit of creditors or any other action is commenced (by way of voluntary arrangement, scheme of arrangement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(iii)    appoints, resolves to appoint, applies for or consents to the appointment of any receiver, administrator, administrative receiver, trustee, custodian, conservator, liquidator, rehabilitator, judicial manager, provisional liquidator, administrator, receiver and manager, controller, monitor or similar officer (any such person, a “</w:t>
      </w:r>
      <w:r>
        <w:rPr>
          <w:rFonts w:ascii="Times New Roman;serif" w:hAnsi="Times New Roman;serif"/>
          <w:b/>
          <w:color w:val="000000"/>
          <w:sz w:val="22"/>
        </w:rPr>
        <w:t>Custodian</w:t>
      </w:r>
      <w:r>
        <w:rPr>
          <w:color w:val="000000"/>
        </w:rPr>
        <w:t>”</w:t>
      </w:r>
      <w:r>
        <w:rPr>
          <w:rFonts w:ascii="Times New Roman;serif" w:hAnsi="Times New Roman;serif"/>
          <w:b w:val="false"/>
          <w:color w:val="000000"/>
          <w:sz w:val="22"/>
        </w:rPr>
        <w:t>) for it or for all or substantially all of its property;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has a Custodian appointed with respect thereto without the application or consent of such Person and the appointment continues undischarged or unstayed for 60 days;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becomes subject to any proceeding under any Debtor Relief Law (including, without limitation, for the appointment of any Custodian with respect thereto) relating to such Person or to all or substantially all of its property without the consent of such Person, and such proceeding continues undismissed or unstayed for 60 days;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2"/>
          <w:u w:val="single"/>
        </w:rPr>
        <w:t>Inability to Pay Debts; Attachment</w:t>
      </w:r>
      <w:r>
        <w:rPr>
          <w:rFonts w:ascii="Times New Roman;serif" w:hAnsi="Times New Roman;serif"/>
          <w:b w:val="false"/>
          <w:color w:val="000000"/>
          <w:sz w:val="22"/>
        </w:rPr>
        <w:t>. (i) Any Borrower or any Material Subsidiary admits in writing its inability or fails generally to pay its debts as they become due, or (ii) any writ or warrant of attachment or execution or similar process is issued, commenced or levied against all or substantially all of the property of any such Person and is not released, vacated or fully bonded within 60 days after its issue, commencement or levy;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(h)    </w:t>
      </w:r>
      <w:r>
        <w:rPr>
          <w:rFonts w:ascii="Times New Roman;serif" w:hAnsi="Times New Roman;serif"/>
          <w:b w:val="false"/>
          <w:color w:val="000000"/>
          <w:sz w:val="22"/>
          <w:u w:val="single"/>
        </w:rPr>
        <w:t>Judgments</w:t>
      </w:r>
      <w:r>
        <w:rPr>
          <w:rFonts w:ascii="Times New Roman;serif" w:hAnsi="Times New Roman;serif"/>
          <w:b w:val="false"/>
          <w:color w:val="000000"/>
          <w:sz w:val="22"/>
        </w:rPr>
        <w:t>. There is entered against any Loan Party or any Material Subsidiary a final judgment or order for the payment of money in an aggregate amount (as to all such judgments and orders) equal to or greater than the Threshold Amount (to the extent not paid and not covered by (i) independent third-party insurance as to which the insurer has been notified of such judgment or order and does not deny coverage or (ii) an enforceable indemnity to the extent that such Loan Party or Restricted Subsidiary shall have made a claim for indemnification and the applicable indemnifying party shall not have disputed such claim) and there is a period of 60 consecutive days during which a stay of enforcement of such judgment, by reason of a pending appeal, bond or otherwise, is not in effect;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(i)    </w:t>
      </w:r>
      <w:r>
        <w:rPr>
          <w:rFonts w:ascii="Times New Roman;serif" w:hAnsi="Times New Roman;serif"/>
          <w:b w:val="false"/>
          <w:color w:val="000000"/>
          <w:sz w:val="22"/>
          <w:u w:val="single"/>
        </w:rPr>
        <w:t>ERISA</w:t>
      </w:r>
      <w:r>
        <w:rPr>
          <w:rFonts w:ascii="Times New Roman;serif" w:hAnsi="Times New Roman;serif"/>
          <w:b w:val="false"/>
          <w:color w:val="000000"/>
          <w:sz w:val="22"/>
        </w:rPr>
        <w:t>. (i) One or more ERISA Events occur or there is or arises an Unfunded Pension Liability (taking into account only Plans with positive Unfunded Pension Liability) which ERISA Event or ERISA Events or Unfunded Pension Liability or Unfunded Pension Liabilities results or would reasonably be expected to result in liability of any Loan Party in an aggregate amount which would reasonably be expected to result in a Material Adverse Effect or (ii) any Loan Party or any ERISA Affiliate fails to pay when due, after the expiration of any applicable grace period, any installment payment with respect to its withdrawal liability under Section 4201 of ERISA which has resulted or could reasonably be expected to result in liability of any Loan Party in an aggregate amount which would reasonably be expected to result in a Material Adverse Effect; or</w:t>
      </w:r>
    </w:p>
    <w:p>
      <w:pPr>
        <w:pStyle w:val="TextBody"/>
        <w:bidi w:val="0"/>
        <w:spacing w:before="0" w:after="0"/>
        <w:jc w:val="left"/>
        <w:rPr/>
      </w:pPr>
      <w:r>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6480175" cy="175260"/>
                <wp:effectExtent l="0" t="0" r="0" b="0"/>
                <wp:wrapNone/>
                <wp:docPr id="309" name="Frame3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(j)    </w:t>
      </w:r>
      <w:r>
        <w:rPr>
          <w:rFonts w:ascii="Times New Roman;serif" w:hAnsi="Times New Roman;serif"/>
          <w:b w:val="false"/>
          <w:color w:val="000000"/>
          <w:sz w:val="22"/>
          <w:u w:val="single"/>
        </w:rPr>
        <w:t>Invalidity of Certain Loan Documents</w:t>
      </w:r>
      <w:r>
        <w:rPr>
          <w:rFonts w:ascii="Times New Roman;serif" w:hAnsi="Times New Roman;serif"/>
          <w:b w:val="false"/>
          <w:color w:val="000000"/>
          <w:sz w:val="22"/>
        </w:rPr>
        <w:t xml:space="preserve">. Any material provision of any Collateral Document and/or any Guaranty (in each case, subject to the Perfection Exceptions), at any time after its execution and delivery and for any reason other than as expressly permitted hereunder or thereunder (including as a result of a transaction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satisfaction in full of all the Obligations (other than any Remaining Obligations) ceases to be in full force and effect (except that any such failure to be in full force and effect with respect to the documents referred to in </w:t>
      </w:r>
      <w:r>
        <w:rPr>
          <w:rFonts w:ascii="Times New Roman;serif" w:hAnsi="Times New Roman;serif"/>
          <w:b w:val="false"/>
          <w:color w:val="000000"/>
          <w:sz w:val="22"/>
          <w:u w:val="single"/>
        </w:rPr>
        <w:t>clause (viii)</w:t>
      </w:r>
      <w:r>
        <w:rPr>
          <w:color w:val="000000"/>
        </w:rPr>
        <w:t xml:space="preserve"> </w:t>
      </w:r>
      <w:r>
        <w:rPr>
          <w:rFonts w:ascii="Times New Roman;serif" w:hAnsi="Times New Roman;serif"/>
          <w:b w:val="false"/>
          <w:color w:val="000000"/>
          <w:sz w:val="22"/>
        </w:rPr>
        <w:t>of the definition of “Loan Documents” shall constitute an Event of Default only if the Borrowers receive notice thereof and the Borrowers fail to remedy the relevant failure in all material respects within fifteen days of receiving said notice); or any Lien purported to be created under the Collateral Documents and to extend to assets that are material to the Company and its Subsidiaries on a consolidated basis shall cease to be a valid and perfected Lien on the assets covered thereby (except to the extent that any such loss of perfection results from the failure of the Collateral Agent to maintain possession of certificates actually delivered to it representing securities pledged under the Collateral Documents or to file UCC continuation statements and except to the extent that such loss is covered by a lender’s title insurance policy and the Administrative Agent shall be reasonably satisfied with the credit of such insurer); or any Loan Party contests in writing the validity or enforceability of any provision of this Agreement, any Collateral Document and/or any Guaranty; or any Loan Party denies in writing that it has any or further liability or obligation under any Collateral Document or Guaranty (other than as a result of repayment in full of the Obligations (other than any Remaining Obligations) and termination of the Aggregate Commitments), or purports in writing to revoke or rescind any Collateral Document or Guaranty or the Liens created thereby (except as otherwise expressly provided in this Agreement or the Collateral Documents);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2"/>
          <w:u w:val="single"/>
        </w:rPr>
        <w:t>Change of Control</w:t>
      </w:r>
      <w:r>
        <w:rPr>
          <w:rFonts w:ascii="Times New Roman;serif" w:hAnsi="Times New Roman;serif"/>
          <w:b w:val="false"/>
          <w:color w:val="000000"/>
          <w:sz w:val="22"/>
        </w:rPr>
        <w:t>. There occurs any Change of Control;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(l)    </w:t>
      </w:r>
      <w:r>
        <w:rPr>
          <w:rFonts w:ascii="Times New Roman;serif" w:hAnsi="Times New Roman;serif"/>
          <w:b w:val="false"/>
          <w:color w:val="000000"/>
          <w:sz w:val="22"/>
          <w:u w:val="single"/>
        </w:rPr>
        <w:t>Spin-Off Date</w:t>
      </w:r>
      <w:r>
        <w:rPr>
          <w:rFonts w:ascii="Times New Roman;serif" w:hAnsi="Times New Roman;serif"/>
          <w:b w:val="false"/>
          <w:color w:val="000000"/>
          <w:sz w:val="22"/>
        </w:rPr>
        <w:t xml:space="preserve">. (i) The Spin-Off Date does not occur on the Closing Date or on the Business Day immediately following the Closing Date and (ii) any Loan Party fails to perform or observe any term, covenant or agreement contained in </w:t>
      </w:r>
      <w:r>
        <w:rPr>
          <w:rFonts w:ascii="Times New Roman;serif" w:hAnsi="Times New Roman;serif"/>
          <w:b w:val="false"/>
          <w:color w:val="000000"/>
          <w:sz w:val="22"/>
          <w:u w:val="single"/>
        </w:rPr>
        <w:t>Section 6.16(A)</w:t>
      </w:r>
      <w:r>
        <w:rPr>
          <w:color w:val="000000"/>
        </w:rPr>
        <w:t xml:space="preserve"> </w:t>
      </w:r>
      <w:r>
        <w:rPr>
          <w:rFonts w:ascii="Times New Roman;serif" w:hAnsi="Times New Roman;serif"/>
          <w:b w:val="false"/>
          <w:color w:val="000000"/>
          <w:sz w:val="22"/>
        </w:rPr>
        <w:t>on the Spin-Off Date.</w:t>
      </w:r>
    </w:p>
    <w:p>
      <w:pPr>
        <w:pStyle w:val="TextBody"/>
        <w:bidi w:val="0"/>
        <w:spacing w:lineRule="auto" w:line="288" w:before="0" w:after="240"/>
        <w:jc w:val="left"/>
        <w:rPr/>
      </w:pPr>
      <w:r>
        <w:rPr>
          <w:rFonts w:ascii="Times New Roman;serif" w:hAnsi="Times New Roman;serif"/>
          <w:b w:val="false"/>
          <w:color w:val="000000"/>
          <w:sz w:val="22"/>
        </w:rPr>
        <w:t xml:space="preserve">Notwithstanding anything to the contrary in this Agreement, no Event of Default or breach of any representation or warranty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covenant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 xml:space="preserve">shall constitute a Default or Event of Default if such Event of Default or breach of such representation or warranty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such covenant in </w:t>
      </w:r>
      <w:r>
        <w:rPr>
          <w:rFonts w:ascii="Times New Roman;serif" w:hAnsi="Times New Roman;serif"/>
          <w:b w:val="false"/>
          <w:color w:val="000000"/>
          <w:sz w:val="22"/>
          <w:u w:val="single"/>
        </w:rPr>
        <w:t>Article VI</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VII</w:t>
      </w:r>
      <w:r>
        <w:rPr>
          <w:color w:val="000000"/>
        </w:rPr>
        <w:t xml:space="preserve"> </w:t>
      </w:r>
      <w:r>
        <w:rPr>
          <w:rFonts w:ascii="Times New Roman;serif" w:hAnsi="Times New Roman;serif"/>
          <w:b w:val="false"/>
          <w:color w:val="000000"/>
          <w:sz w:val="22"/>
        </w:rPr>
        <w:t>would not have occurred but for a fluctuation (or other adverse change) in Exchange Rates.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8.02    </w:t>
      </w:r>
      <w:r>
        <w:rPr>
          <w:rFonts w:ascii="Times New Roman;serif" w:hAnsi="Times New Roman;serif"/>
          <w:b w:val="false"/>
          <w:color w:val="000000"/>
          <w:sz w:val="22"/>
          <w:u w:val="single"/>
        </w:rPr>
        <w:t>Remedies upon Event of Default</w:t>
      </w:r>
      <w:r>
        <w:rPr>
          <w:rFonts w:ascii="Times New Roman;serif" w:hAnsi="Times New Roman;serif"/>
          <w:b w:val="false"/>
          <w:color w:val="000000"/>
          <w:sz w:val="22"/>
        </w:rPr>
        <w:t xml:space="preserve">. If any Event of Default occurs and is continuing (including any Event of Default arising by virtue of the termination and declaration contemplated by the proviso to </w:t>
      </w:r>
      <w:r>
        <w:rPr>
          <w:rFonts w:ascii="Times New Roman;serif" w:hAnsi="Times New Roman;serif"/>
          <w:b w:val="false"/>
          <w:color w:val="000000"/>
          <w:sz w:val="22"/>
          <w:u w:val="single"/>
        </w:rPr>
        <w:t>Section 8.01(b)</w:t>
      </w:r>
      <w:r>
        <w:rPr>
          <w:rFonts w:ascii="Times New Roman;serif" w:hAnsi="Times New Roman;serif"/>
          <w:b w:val="false"/>
          <w:color w:val="000000"/>
          <w:sz w:val="22"/>
        </w:rPr>
        <w:t xml:space="preserve">), the Administrative Agent may, or at the request of the Required Lenders shall (and, if a Financial Covenant Event of Default occurs and is continuing, the Administrative Agent may, or at the request of the Required Revolving Lenders only shall, and in such case, without limiting the proviso to </w:t>
      </w:r>
      <w:r>
        <w:rPr>
          <w:rFonts w:ascii="Times New Roman;serif" w:hAnsi="Times New Roman;serif"/>
          <w:b w:val="false"/>
          <w:color w:val="000000"/>
          <w:sz w:val="22"/>
          <w:u w:val="single"/>
        </w:rPr>
        <w:t>Section 8.01(b)</w:t>
      </w:r>
      <w:r>
        <w:rPr>
          <w:rFonts w:ascii="Times New Roman;serif" w:hAnsi="Times New Roman;serif"/>
          <w:b w:val="false"/>
          <w:color w:val="000000"/>
          <w:sz w:val="22"/>
        </w:rPr>
        <w:t>, only with respect to the Revolving Credit Facility, any Letters of Credit, L/C Credit Extensions and L/C Obligations), take any or all of the following actions: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declare the commitment of each Lender to make Loans and any obligation of the L/C Issuers to make L/C Credit Extensions to be terminated, whereupon such commitments and obligation shall be terminated;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declare the unpaid principal amount of all outstanding Loans, all interest accrued and unpaid thereon, and all other amounts owing or payable hereunder or under any other Loan Document to </w:t>
      </w:r>
    </w:p>
    <w:p>
      <w:pPr>
        <w:pStyle w:val="TextBody"/>
        <w:bidi w:val="0"/>
        <w:spacing w:before="0" w:after="0"/>
        <w:jc w:val="left"/>
        <w:rPr/>
      </w:pPr>
      <w:r>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6480175" cy="175260"/>
                <wp:effectExtent l="0" t="0" r="0" b="0"/>
                <wp:wrapNone/>
                <wp:docPr id="310" name="Frame3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be immediately due and payable, without presentment, demand, protest or other notice of any kind, all of which are hereby expressly waived by the Borrowers;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require that the Borrowers Cash Collateralize the L/C Obligations (in an amount equal to the then Outstanding Amount thereof); and/or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pStyle w:val="TextBody"/>
        <w:bidi w:val="0"/>
        <w:spacing w:lineRule="auto" w:line="288" w:before="0" w:after="240"/>
        <w:jc w:val="left"/>
        <w:rPr/>
      </w:pP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upon the occurrence of any Event of Default under </w:t>
      </w:r>
      <w:r>
        <w:rPr>
          <w:rFonts w:ascii="Times New Roman;serif" w:hAnsi="Times New Roman;serif"/>
          <w:b w:val="false"/>
          <w:color w:val="000000"/>
          <w:sz w:val="22"/>
          <w:u w:val="single"/>
        </w:rPr>
        <w:t>Section 8.01(f)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(with respect to any Borrower or any other Loan Party) or </w:t>
      </w:r>
      <w:r>
        <w:rPr>
          <w:rFonts w:ascii="Times New Roman;serif" w:hAnsi="Times New Roman;serif"/>
          <w:b w:val="false"/>
          <w:color w:val="000000"/>
          <w:sz w:val="22"/>
          <w:u w:val="single"/>
        </w:rPr>
        <w:t>Section 8.01(l)</w:t>
      </w:r>
      <w:r>
        <w:rPr>
          <w:rFonts w:ascii="Times New Roman;serif" w:hAnsi="Times New Roman;serif"/>
          <w:b w:val="false"/>
          <w:color w:val="000000"/>
          <w:sz w:val="22"/>
        </w:rPr>
        <w:t>,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Notwithstanding anything herein to the contrary or in any other Loan Document, neither the Administrative Agent nor, for the avoidance of doubt, any Lender, may exercise any remedies or otherwise take any other action with respect to any Default or Event of Default for which notice has been provided to the Administrative Agent or the Lenders, or otherwise reported publicly, more than two years prior to such exercise of remedies or other action; that such two year limitation shall not apply if (i) the Administrative Agent has commenced any remedial action in respect of any such Default or Event of Default or (ii) any Loan Party has actual knowledge of such Default or Event of Default and failed to notify the Administrative Agent as required 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8.03    </w:t>
      </w:r>
      <w:r>
        <w:rPr>
          <w:rFonts w:ascii="Times New Roman;serif" w:hAnsi="Times New Roman;serif"/>
          <w:b w:val="false"/>
          <w:color w:val="000000"/>
          <w:sz w:val="22"/>
          <w:u w:val="single"/>
        </w:rPr>
        <w:t>[Reserved]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8.04    </w:t>
      </w:r>
      <w:r>
        <w:rPr>
          <w:rFonts w:ascii="Times New Roman;serif" w:hAnsi="Times New Roman;serif"/>
          <w:b w:val="false"/>
          <w:color w:val="000000"/>
          <w:sz w:val="22"/>
          <w:u w:val="single"/>
        </w:rPr>
        <w:t>Application of Funds</w:t>
      </w:r>
      <w:r>
        <w:rPr>
          <w:rFonts w:ascii="Times New Roman;serif" w:hAnsi="Times New Roman;serif"/>
          <w:b w:val="false"/>
          <w:color w:val="000000"/>
          <w:sz w:val="22"/>
        </w:rPr>
        <w:t xml:space="preserve">. After the exercise of remedies provided for in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(or after an actual or deemed entry of an order for relief with respect to any Borrower under any Debtor Relief Law), any amounts received on account of the Obligations shall, subject to the provisions of </w:t>
      </w:r>
      <w:r>
        <w:rPr>
          <w:rFonts w:ascii="Times New Roman;serif" w:hAnsi="Times New Roman;serif"/>
          <w:b w:val="false"/>
          <w:color w:val="000000"/>
          <w:sz w:val="22"/>
          <w:u w:val="single"/>
        </w:rPr>
        <w:t>Sections 2.16</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2.17</w:t>
      </w:r>
      <w:r>
        <w:rPr>
          <w:rFonts w:ascii="Times New Roman;serif" w:hAnsi="Times New Roman;serif"/>
          <w:b w:val="false"/>
          <w:color w:val="000000"/>
          <w:sz w:val="22"/>
        </w:rPr>
        <w:t>, be applied by the Administrative Agent subject to the terms of the First Lien Intercreditor Agreement in the following order: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first</w:t>
      </w:r>
      <w:r>
        <w:rPr>
          <w:rFonts w:ascii="Times New Roman;serif" w:hAnsi="Times New Roman;serif"/>
          <w:b w:val="false"/>
          <w:color w:val="000000"/>
          <w:sz w:val="22"/>
        </w:rPr>
        <w:t xml:space="preserve">, to payment of that portion of the Obligations constituting fees, indemnities, expenses and other amounts (including fees, disbursements and other charges of counsel payable under </w:t>
      </w:r>
      <w:r>
        <w:rPr>
          <w:rFonts w:ascii="Times New Roman;serif" w:hAnsi="Times New Roman;serif"/>
          <w:b w:val="false"/>
          <w:color w:val="000000"/>
          <w:sz w:val="22"/>
          <w:u w:val="single"/>
        </w:rPr>
        <w:t>Section 10.04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and amounts payable under </w:t>
      </w:r>
      <w:r>
        <w:rPr>
          <w:rFonts w:ascii="Times New Roman;serif" w:hAnsi="Times New Roman;serif"/>
          <w:b w:val="false"/>
          <w:color w:val="000000"/>
          <w:sz w:val="22"/>
          <w:u w:val="single"/>
        </w:rPr>
        <w:t>Article III</w:t>
      </w:r>
      <w:r>
        <w:rPr>
          <w:color w:val="000000"/>
        </w:rPr>
        <w:t xml:space="preserve"> </w:t>
      </w:r>
      <w:r>
        <w:rPr>
          <w:rFonts w:ascii="Times New Roman;serif" w:hAnsi="Times New Roman;serif"/>
          <w:b w:val="false"/>
          <w:color w:val="000000"/>
          <w:sz w:val="22"/>
        </w:rPr>
        <w:t>and amounts owing in respect of (x) the preservation of Collateral or the Collateral Agent’s security interest in the Collateral or (y) with respect to enforcing the rights of the Secured Parties under the Loan Documents) payable to the Administrative Agent and the Collateral Agent in their respective capacity as such;</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second</w:t>
      </w:r>
      <w:r>
        <w:rPr>
          <w:rFonts w:ascii="Times New Roman;serif" w:hAnsi="Times New Roman;serif"/>
          <w:b w:val="false"/>
          <w:color w:val="000000"/>
          <w:sz w:val="22"/>
        </w:rPr>
        <w:t>, to payment in full of Unfunded Advances/Participations (the amounts so applied to be distributed between or among, as applicable, the Administrative Agent and the L/C Issuers pro rata in accordance with the amounts of Unfunded Advances/Participations owed to them on the date of any such distribution);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third</w:t>
      </w:r>
      <w:r>
        <w:rPr>
          <w:rFonts w:ascii="Times New Roman;serif" w:hAnsi="Times New Roman;serif"/>
          <w:b w:val="false"/>
          <w:color w:val="000000"/>
          <w:sz w:val="22"/>
        </w:rPr>
        <w:t xml:space="preserve">, to payment of that portion of the Obligations constituting fees, indemnities, expenses and other amounts (other than principal, interest and Letter of Credit fees) payable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6480175" cy="175260"/>
                <wp:effectExtent l="0" t="0" r="0" b="0"/>
                <wp:wrapNone/>
                <wp:docPr id="311" name="Frame3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Lenders and the L/C Issuers (including fees, disbursements and other charges of counsel payable under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rFonts w:ascii="Times New Roman;serif" w:hAnsi="Times New Roman;serif"/>
          <w:b w:val="false"/>
          <w:color w:val="000000"/>
          <w:sz w:val="22"/>
        </w:rPr>
        <w:t xml:space="preserve">) arising under the Loan Documents and amounts payable under </w:t>
      </w:r>
      <w:r>
        <w:rPr>
          <w:rFonts w:ascii="Times New Roman;serif" w:hAnsi="Times New Roman;serif"/>
          <w:b w:val="false"/>
          <w:color w:val="000000"/>
          <w:sz w:val="22"/>
          <w:u w:val="single"/>
        </w:rPr>
        <w:t>Article III</w:t>
      </w:r>
      <w:r>
        <w:rPr>
          <w:rFonts w:ascii="Times New Roman;serif" w:hAnsi="Times New Roman;serif"/>
          <w:b w:val="false"/>
          <w:color w:val="000000"/>
          <w:sz w:val="22"/>
        </w:rPr>
        <w:t xml:space="preserve">, ratably among them in proportion to the respective amounts described in this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fourth</w:t>
      </w:r>
      <w:r>
        <w:rPr>
          <w:rFonts w:ascii="Times New Roman;serif" w:hAnsi="Times New Roman;serif"/>
          <w:b w:val="false"/>
          <w:color w:val="000000"/>
          <w:sz w:val="22"/>
        </w:rPr>
        <w:t xml:space="preserve">, to payment of that portion of the Obligations constituting accrued and unpaid Letter of Credit fees and interest on the Loans and L/C Borrowings, ratably among the Lenders and the L/C Issuers in proportion to the respective amounts described in this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held by them;</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fifth</w:t>
      </w:r>
      <w:r>
        <w:rPr>
          <w:rFonts w:ascii="Times New Roman;serif" w:hAnsi="Times New Roman;serif"/>
          <w:b w:val="false"/>
          <w:color w:val="000000"/>
          <w:sz w:val="22"/>
        </w:rPr>
        <w:t xml:space="preserve">, (i) to payment of that portion of the Obligations constituting unpaid principal of the Loans and the L/C Borrowings, that portion of the Obligations of the Loan Parties then owing in respect of regularly scheduled payments or termination payments (whether as a result of the occurrence of any event of default or other termination event) under the Secured Hedge Agreements and that portion of the Obligations of the Loan Parties then owing under the Secured Cash Management Agreements and (ii) to Cash Collateralize that portion of L/C Obligations comprising the aggregate undrawn amount of Letters of Credit to the extent not otherwise Cash Collateralized by the Borrowers pursuant to </w:t>
      </w:r>
      <w:r>
        <w:rPr>
          <w:rFonts w:ascii="Times New Roman;serif" w:hAnsi="Times New Roman;serif"/>
          <w:b w:val="false"/>
          <w:color w:val="000000"/>
          <w:sz w:val="22"/>
          <w:u w:val="single"/>
        </w:rPr>
        <w:t>Sections 2.03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ratably among the Lenders, the L/C Issuers, the Hedge Banks party to such Secured Hedge Agreements and the Cash Management Banks party to such Secured Cash Management Agreements in proportion to the respective amounts described in this clause (e) held by them; that (x) any such amounts applied pursuant to the foregoing clause (ii) shall be paid to the Administrative Agent for the ratable account of the applicable L/C Issuers to Cash Collateralize such L/C Obligations, (y) subject to </w:t>
      </w:r>
      <w:r>
        <w:rPr>
          <w:rFonts w:ascii="Times New Roman;serif" w:hAnsi="Times New Roman;serif"/>
          <w:b w:val="false"/>
          <w:color w:val="000000"/>
          <w:sz w:val="22"/>
          <w:u w:val="single"/>
        </w:rPr>
        <w:t>Sections 2.03(d)</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2.16</w:t>
      </w:r>
      <w:r>
        <w:rPr>
          <w:rFonts w:ascii="Times New Roman;serif" w:hAnsi="Times New Roman;serif"/>
          <w:b w:val="false"/>
          <w:color w:val="000000"/>
          <w:sz w:val="22"/>
        </w:rPr>
        <w:t xml:space="preserve">, amounts used to Cash Collateralize the aggregate undrawn amount of Letters of Credit pursuant to this clause (e) shall be applied to satisfy drawings under such Letters of Credit as they occur and (z) upon the expiration of any Letter of Credit without any pending drawing, the pro rata share of Cash Collateral attributable to such expired Letter of Credit shall be applied by the Administrative Agent in accordance with the priority of payments set forth in this </w:t>
      </w:r>
      <w:r>
        <w:rPr>
          <w:rFonts w:ascii="Times New Roman;serif" w:hAnsi="Times New Roman;serif"/>
          <w:b w:val="false"/>
          <w:color w:val="000000"/>
          <w:sz w:val="22"/>
          <w:u w:val="single"/>
        </w:rPr>
        <w:t>Section 8.04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(f)    </w:t>
      </w:r>
      <w:r>
        <w:rPr>
          <w:rFonts w:ascii="Times New Roman;serif" w:hAnsi="Times New Roman;serif"/>
          <w:b w:val="false"/>
          <w:color w:val="000000"/>
          <w:sz w:val="22"/>
          <w:u w:val="single"/>
        </w:rPr>
        <w:t>sixth</w:t>
      </w:r>
      <w:r>
        <w:rPr>
          <w:rFonts w:ascii="Times New Roman;serif" w:hAnsi="Times New Roman;serif"/>
          <w:b w:val="false"/>
          <w:color w:val="000000"/>
          <w:sz w:val="22"/>
        </w:rPr>
        <w:t xml:space="preserve">, to the payment of all other Obligations of the Loan Parties owing under or in respect of the Loan Documents or under Secured Hedge Agreements and the Secured Cash Management Agreements that are then due and payable to the Administrative Agent and the other Secured Parties, and not otherwise paid pursuant to </w:t>
      </w:r>
      <w:r>
        <w:rPr>
          <w:rFonts w:ascii="Times New Roman;serif" w:hAnsi="Times New Roman;serif"/>
          <w:b w:val="false"/>
          <w:color w:val="000000"/>
          <w:sz w:val="22"/>
          <w:u w:val="single"/>
        </w:rPr>
        <w:t>clause (e)</w:t>
      </w:r>
      <w:r>
        <w:rPr>
          <w:color w:val="000000"/>
        </w:rPr>
        <w:t xml:space="preserve"> </w:t>
      </w:r>
      <w:r>
        <w:rPr>
          <w:rFonts w:ascii="Times New Roman;serif" w:hAnsi="Times New Roman;serif"/>
          <w:b w:val="false"/>
          <w:color w:val="000000"/>
          <w:sz w:val="22"/>
        </w:rPr>
        <w:t>above, ratably based upon the respective aggregate amounts of all such Obligations then owing to the Administrative Agent and the other Secured Parties;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(g)    </w:t>
      </w:r>
      <w:r>
        <w:rPr>
          <w:rFonts w:ascii="Times New Roman;serif" w:hAnsi="Times New Roman;serif"/>
          <w:b w:val="false"/>
          <w:color w:val="000000"/>
          <w:sz w:val="22"/>
          <w:u w:val="single"/>
        </w:rPr>
        <w:t>last</w:t>
      </w:r>
      <w:r>
        <w:rPr>
          <w:rFonts w:ascii="Times New Roman;serif" w:hAnsi="Times New Roman;serif"/>
          <w:b w:val="false"/>
          <w:color w:val="000000"/>
          <w:sz w:val="22"/>
        </w:rPr>
        <w:t>, after all of the Obligations have been paid in full (other than any Remaining Obligations), to the Borrowers or as otherwise required by Law; that no amounts received from any Guarantor shall be applied to Excluded Swap Obligations of such Guarantor.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If any amount remains on deposit as Cash Collateral after all Letters of Credit have either been fully drawn or expired without any pending drawing, such remaining amount shall be applied to the other Obligations, if any, in accordance with the priority of payments set forth above. 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 Administrative Agent may reasonably request, from the applicable Cash Management Bank or Hedge Bank, as applicable.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for itself and its Affiliates as if a “Lender” party hereto.</w:t>
      </w:r>
    </w:p>
    <w:p>
      <w:pPr>
        <w:pStyle w:val="TextBody"/>
        <w:bidi w:val="0"/>
        <w:spacing w:before="0" w:after="0"/>
        <w:jc w:val="left"/>
        <w:rPr/>
      </w:pPr>
      <w:r>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6480175" cy="175260"/>
                <wp:effectExtent l="0" t="0" r="0" b="0"/>
                <wp:wrapNone/>
                <wp:docPr id="312" name="Frame3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It is understood and agreed by each Loan Party and each Secured Party that the Administrative Agent and Collateral Agent shall have no liability for any determinations made by it in this </w:t>
      </w:r>
      <w:r>
        <w:rPr>
          <w:rFonts w:ascii="Times New Roman;serif" w:hAnsi="Times New Roman;serif"/>
          <w:b w:val="false"/>
          <w:color w:val="000000"/>
          <w:sz w:val="22"/>
          <w:u w:val="single"/>
        </w:rPr>
        <w:t>Section 8.04</w:t>
      </w:r>
      <w:r>
        <w:rPr>
          <w:rFonts w:ascii="Times New Roman;serif" w:hAnsi="Times New Roman;serif"/>
          <w:b w:val="false"/>
          <w:color w:val="000000"/>
          <w:sz w:val="22"/>
        </w:rPr>
        <w:t>, in each case except to the extent resulting from the gross negligence, bad faith or willful misconduct of, or material breach of the Loan Documents by,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 or the First Lien Intercreditor Agreement, and the Administrative Agent and the Collateral Agent shall be entitled to wait for, and may conclusively rely on, any such determination.</w:t>
      </w:r>
    </w:p>
    <w:p>
      <w:pPr>
        <w:pStyle w:val="TextBody"/>
        <w:bidi w:val="0"/>
        <w:spacing w:lineRule="auto" w:line="288" w:before="0" w:after="240"/>
        <w:jc w:val="center"/>
        <w:rPr/>
      </w:pPr>
      <w:r>
        <w:rPr>
          <w:rFonts w:ascii="Times New Roman;serif" w:hAnsi="Times New Roman;serif"/>
          <w:b/>
          <w:color w:val="000000"/>
          <w:sz w:val="24"/>
        </w:rPr>
        <w:t>ARTICLE IX</w:t>
      </w:r>
      <w:r>
        <w:rPr>
          <w:rFonts w:ascii="Times New Roman;serif" w:hAnsi="Times New Roman;serif"/>
          <w:b/>
          <w:color w:val="000000"/>
          <w:sz w:val="22"/>
        </w:rPr>
        <w:br/>
        <w:br/>
        <w:t>ADMINISTRATIVE AGENT AND OTHER AGENTS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9.01    </w:t>
      </w:r>
      <w:r>
        <w:rPr>
          <w:rFonts w:ascii="Times New Roman;serif" w:hAnsi="Times New Roman;serif"/>
          <w:b w:val="false"/>
          <w:color w:val="000000"/>
          <w:sz w:val="22"/>
          <w:u w:val="single"/>
        </w:rPr>
        <w:t>Appointment and Authorization of Agents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Each Lender and L/C Issuer hereby irrevocably appoints MS and its successors and permitted assigns to act on its behalf as Administrative Agent hereunder and under the other Loan Documents (subject to the provisions in </w:t>
      </w:r>
      <w:r>
        <w:rPr>
          <w:rFonts w:ascii="Times New Roman;serif" w:hAnsi="Times New Roman;serif"/>
          <w:b w:val="false"/>
          <w:color w:val="000000"/>
          <w:sz w:val="22"/>
          <w:u w:val="single"/>
        </w:rPr>
        <w:t>Section 9.09</w:t>
      </w:r>
      <w:r>
        <w:rPr>
          <w:rFonts w:ascii="Times New Roman;serif" w:hAnsi="Times New Roman;serif"/>
          <w:b w:val="false"/>
          <w:color w:val="000000"/>
          <w:sz w:val="22"/>
        </w:rPr>
        <w:t xml:space="preserve">),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thereto. The Administrative Agent may perform any of its duties through its officers, directors, agents, employees, or affiliates. The provisions of this Article (other than </w:t>
      </w:r>
      <w:r>
        <w:rPr>
          <w:rFonts w:ascii="Times New Roman;serif" w:hAnsi="Times New Roman;serif"/>
          <w:b w:val="false"/>
          <w:color w:val="000000"/>
          <w:sz w:val="22"/>
          <w:u w:val="single"/>
        </w:rPr>
        <w:t>Sections 9.09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9.14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9.15</w:t>
      </w:r>
      <w:r>
        <w:rPr>
          <w:color w:val="000000"/>
        </w:rPr>
        <w:t xml:space="preserve"> </w:t>
      </w:r>
      <w:r>
        <w:rPr>
          <w:rFonts w:ascii="Times New Roman;serif" w:hAnsi="Times New Roman;serif"/>
          <w:b w:val="false"/>
          <w:color w:val="000000"/>
          <w:sz w:val="22"/>
        </w:rPr>
        <w:t>to the extent of the rights of the Company or the other Loan Parties and the obligations and agreements of the Administrative Agent, the Lenders and the other Secured Parties for the benefit of the Company or the other Loan Parties, in each case expressly set forth therein) are solely for the benefit of the Administrative Agent and the Lenders, and no Loan Party shall have rights as a third party beneficiary of any of such provisions.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Each L/C Issuer shall act on behalf of the Lenders with respect to any Letters of Credit issued by it and the documents associated therewith, and such L/C Issuer shall have all of the benefits and immunities (i) provided to the Agents in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with respect to any acts taken or omissions suffered by such L/C Issuer in connection with Letters of Credit issued by it or proposed to be issued by it and the applications and agreements for letters of credit pertaining to such Letters of Credit as fully as if </w:t>
      </w:r>
    </w:p>
    <w:p>
      <w:pPr>
        <w:pStyle w:val="TextBody"/>
        <w:bidi w:val="0"/>
        <w:spacing w:before="0" w:after="0"/>
        <w:jc w:val="left"/>
        <w:rPr/>
      </w:pPr>
      <w:r>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6480175" cy="175260"/>
                <wp:effectExtent l="0" t="0" r="0" b="0"/>
                <wp:wrapNone/>
                <wp:docPr id="313" name="Frame3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 term “Agent” as used in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and in the definition of “Agent-Related Person” included such L/C Issuer with respect to such acts or omissions, and (ii) as additionally provided herein with respect to such L/C Issuer.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The Administrative Agent shall also act as the Collateral Agent under the Loan Documents, and each of the Lenders (including in its capacities as a Lender, L/C Issuer (if applicable) and a potential Cash Management Bank party to a Secured Cash Management Agreement and/or a potential Hedge Bank party to a Secured Hedge Agreement) hereby irrevocably appoints and authorizes the Administrative Agent to act as the agent of (and to hold any security interest, charge or other Lien created by the Collateral Documents for) such Lender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Collateral Agent pursuant to </w:t>
      </w:r>
      <w:r>
        <w:rPr>
          <w:rFonts w:ascii="Times New Roman;serif" w:hAnsi="Times New Roman;serif"/>
          <w:b w:val="false"/>
          <w:color w:val="000000"/>
          <w:sz w:val="22"/>
          <w:u w:val="single"/>
        </w:rPr>
        <w:t>Section 9.02</w:t>
      </w:r>
      <w:r>
        <w:rPr>
          <w:color w:val="000000"/>
        </w:rPr>
        <w:t xml:space="preserve"> </w:t>
      </w:r>
      <w:r>
        <w:rPr>
          <w:rFonts w:ascii="Times New Roman;serif" w:hAnsi="Times New Roman;serif"/>
          <w:b w:val="false"/>
          <w:color w:val="000000"/>
          <w:sz w:val="22"/>
        </w:rPr>
        <w:t xml:space="preserve">for purposes of holding or enforcing any Lien on the Collateral (or any portion thereof) granted under the Collateral Documents, or for exercising any rights and remedies thereunder), shall be entitled to the benefits of all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(including </w:t>
      </w:r>
      <w:r>
        <w:rPr>
          <w:rFonts w:ascii="Times New Roman;serif" w:hAnsi="Times New Roman;serif"/>
          <w:b w:val="false"/>
          <w:color w:val="000000"/>
          <w:sz w:val="22"/>
          <w:u w:val="single"/>
        </w:rPr>
        <w:t>Section 9.07</w:t>
      </w:r>
      <w:r>
        <w:rPr>
          <w:rFonts w:ascii="Times New Roman;serif" w:hAnsi="Times New Roman;serif"/>
          <w:b w:val="false"/>
          <w:color w:val="000000"/>
          <w:sz w:val="22"/>
        </w:rPr>
        <w:t xml:space="preserve">, as though such co-agents, sub-agents and attorneys-in-fact were the Collateral Agent under the Loan Documents) and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as if set forth in full herein with respect thereto and all references to Administrative Agent in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where applicable, be read as including a reference to the Collateral Agent. Without limiting the generality of the foregoing, the Lenders hereby expressly authorize (i) the Administrative Agent and Collateral Agent, as applicable, to execute and deliver, and to perform its obligations under, each of the Loan Documents to which the Administrative Agent is a party and (ii) the Administrative Agent and the Collateral Agent, as applicable, to execute and deliver, and to perform its obligations under,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L/C Issuer (if applicable) and a potential Cash Management Bank party to a Secured Cash Management Agreement and/or a potential Hedge Bank party to a Secured Hedge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9.02    </w:t>
      </w:r>
      <w:r>
        <w:rPr>
          <w:rFonts w:ascii="Times New Roman;serif" w:hAnsi="Times New Roman;serif"/>
          <w:b w:val="false"/>
          <w:color w:val="000000"/>
          <w:sz w:val="22"/>
          <w:u w:val="single"/>
        </w:rPr>
        <w:t>Delegation of Duties</w:t>
      </w:r>
      <w:r>
        <w:rPr>
          <w:rFonts w:ascii="Times New Roman;serif" w:hAnsi="Times New Roman;serif"/>
          <w:b w:val="false"/>
          <w:color w:val="000000"/>
          <w:sz w:val="22"/>
        </w:rPr>
        <w:t xml:space="preserve">. The Administrative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any such sub agent may perform any and all of its duties and exercise its rights and powers by or through their respective Agent-Related Persons. The Administrative Agent shall not be responsible for the negligence or misconduct of any agent or attorney-in-fact that it selects in the absence of gross negligence or willful misconduct by the Administrative Agent, as determined by a final non-appealable judgment by a court of competent jurisdiction. The exculpatory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9.03    </w:t>
      </w:r>
      <w:r>
        <w:rPr>
          <w:rFonts w:ascii="Times New Roman;serif" w:hAnsi="Times New Roman;serif"/>
          <w:b w:val="false"/>
          <w:color w:val="000000"/>
          <w:sz w:val="22"/>
          <w:u w:val="single"/>
        </w:rPr>
        <w:t>Liability of Agents</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6480175" cy="175260"/>
                <wp:effectExtent l="0" t="0" r="0" b="0"/>
                <wp:wrapNone/>
                <wp:docPr id="314" name="Frame3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No Agent-Related Person shall be (i) liable for any action taken or omitted to be taken by any of them under or in connection with this Agreement or any other Loan Document or the transactions contemplated hereby (except for its own gross negligence, bad faith, willful misconduct or material breach of the Loan Documents in connection with its duties expressly set forth herein, to the extent determined in a final, non-appealable judgment by a court of competent jurisdiction), (ii) liable for any action taken or not taken by it or its Related Parties under or in connection with this Agreement or any other Loan Document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2"/>
          <w:u w:val="single"/>
        </w:rPr>
        <w:t>Sections 10.01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8.02</w:t>
      </w:r>
      <w:r>
        <w:rPr>
          <w:rFonts w:ascii="Times New Roman;serif" w:hAnsi="Times New Roman;serif"/>
          <w:b w:val="false"/>
          <w:color w:val="000000"/>
          <w:sz w:val="22"/>
        </w:rPr>
        <w:t xml:space="preserve">) or (B) in the absence of its own gross negligence, bad faith, willful misconduct or material breach of the Loan Documents as 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(iv) responsible for or have any duty to ascertain or inquire into the validity, effectiveness, genuineness, enforceability or sufficiency of this Agreement or any other Loan Document or any other agreement, instrument or document, or the creation, perfection or priority of any Lien, or security interest created or purported to be created under the Collateral Documents, or for any failure of any Loan Party or any other party to any Loan Document to perform its obligations hereunder, (v) responsible for or have any duty to ascertain or inquire into the value or the sufficiency of any Collateral or (vi) responsible for or have any duty to ascertain or inquire into the satisfaction of any condition set forth in </w:t>
      </w:r>
      <w:r>
        <w:rPr>
          <w:rFonts w:ascii="Times New Roman;serif" w:hAnsi="Times New Roman;serif"/>
          <w:b w:val="false"/>
          <w:color w:val="000000"/>
          <w:sz w:val="22"/>
          <w:u w:val="single"/>
        </w:rPr>
        <w:t>Article IV</w:t>
      </w:r>
      <w:r>
        <w:rPr>
          <w:color w:val="000000"/>
        </w:rPr>
        <w:t xml:space="preserve"> </w:t>
      </w:r>
      <w:r>
        <w:rPr>
          <w:rFonts w:ascii="Times New Roman;serif" w:hAnsi="Times New Roman;serif"/>
          <w:b w:val="false"/>
          <w:color w:val="000000"/>
          <w:sz w:val="22"/>
        </w:rPr>
        <w:t>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or have any liability for, or have any duty to ascertain, inquire into monitor or enforce, compliance with the provisions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a Net Short Lender or (y) have any liability with respect to or arising out of any assignment or participation of loans, or disclosure of confidential information, to, or the restriction on any exercise of rights or remedies of, any Disqualified Institution or any Net Short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As to any matters not expressly provided for herein and in the other Loan Documents (including enforcement or collection), neither the Administrative Agent nor the Collateral Agent, as applicable, shall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neither the Administrative Agent nor the Collateral Agent, as applicable, shall be required to take any action that (i) the Administrative Agent or the Collateral Agent, as applicable, in good faith believes exposes it to liability unless the Administrative Agent or the Collateral Agent, as applicable, receives an indemnification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w:t>
      </w:r>
    </w:p>
    <w:p>
      <w:pPr>
        <w:pStyle w:val="TextBody"/>
        <w:bidi w:val="0"/>
        <w:spacing w:before="0" w:after="0"/>
        <w:jc w:val="left"/>
        <w:rPr/>
      </w:pPr>
      <w:r>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6480175" cy="175260"/>
                <wp:effectExtent l="0" t="0" r="0" b="0"/>
                <wp:wrapNone/>
                <wp:docPr id="315" name="Frame3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of a Defaulting Lender in violation of any requirement of Law relating to bankruptcy, insolvency or reorganization or relief of debtors; </w:t>
      </w:r>
      <w:r>
        <w:rPr>
          <w:rFonts w:ascii="Times New Roman;serif" w:hAnsi="Times New Roman;serif"/>
          <w:b w:val="false"/>
          <w:i/>
          <w:color w:val="000000"/>
          <w:sz w:val="22"/>
        </w:rPr>
        <w:t>provided, further</w:t>
      </w:r>
      <w:r>
        <w:rPr>
          <w:rFonts w:ascii="Times New Roman;serif" w:hAnsi="Times New Roman;serif"/>
          <w:b w:val="false"/>
          <w:color w:val="000000"/>
          <w:sz w:val="22"/>
        </w:rPr>
        <w:t>, that the Administrative Agent or the Collateral Agent, as applicable, may seek clarification or direction from the Required Lenders prior to the exercise of any such instructed action and may refrain from acting until such clarification or direction has been provided. Neither the Administrative Agent nor the Collateral Agent, as applicable, shall have any duty to disclose, except as expressly set forth herein and in the other Loan Documents, and shall not be liable for the failure to disclose, any information relating to the Borrowers or any of their Affiliates that is communicated to or obtained by any Person serving as an Agent or any of its Affiliates in any capacity. Nothing in this Agreement shall require the Administrative Agent or the Collateral Agent, as applicable,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Institution.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9.04    </w:t>
      </w:r>
      <w:r>
        <w:rPr>
          <w:rFonts w:ascii="Times New Roman;serif" w:hAnsi="Times New Roman;serif"/>
          <w:b w:val="false"/>
          <w:color w:val="000000"/>
          <w:sz w:val="22"/>
          <w:u w:val="single"/>
        </w:rPr>
        <w:t>Reliance by Agents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 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For purposes of determining compliance with the conditions specified in </w:t>
      </w:r>
      <w:r>
        <w:rPr>
          <w:rFonts w:ascii="Times New Roman;serif" w:hAnsi="Times New Roman;serif"/>
          <w:b w:val="false"/>
          <w:color w:val="000000"/>
          <w:sz w:val="22"/>
          <w:u w:val="single"/>
        </w:rPr>
        <w:t>Sections 4.01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4.02</w:t>
      </w:r>
      <w:r>
        <w:rPr>
          <w:rFonts w:ascii="Times New Roman;serif" w:hAnsi="Times New Roman;serif"/>
          <w:b w:val="false"/>
          <w:color w:val="000000"/>
          <w:sz w:val="22"/>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6480175" cy="175260"/>
                <wp:effectExtent l="0" t="0" r="0" b="0"/>
                <wp:wrapNone/>
                <wp:docPr id="316" name="Frame3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9.05    </w:t>
      </w:r>
      <w:r>
        <w:rPr>
          <w:rFonts w:ascii="Times New Roman;serif" w:hAnsi="Times New Roman;serif"/>
          <w:b w:val="false"/>
          <w:color w:val="000000"/>
          <w:sz w:val="22"/>
          <w:u w:val="single"/>
        </w:rPr>
        <w:t>Notice of Default</w:t>
      </w:r>
      <w:r>
        <w:rPr>
          <w:rFonts w:ascii="Times New Roman;serif" w:hAnsi="Times New Roman;serif"/>
          <w:b w:val="false"/>
          <w:color w:val="000000"/>
          <w:sz w:val="22"/>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a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 accordance with </w:t>
      </w:r>
      <w:r>
        <w:rPr>
          <w:rFonts w:ascii="Times New Roman;serif" w:hAnsi="Times New Roman;serif"/>
          <w:b w:val="false"/>
          <w:color w:val="000000"/>
          <w:sz w:val="22"/>
          <w:u w:val="single"/>
        </w:rPr>
        <w:t>Article VIII</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however</w:t>
      </w:r>
      <w:r>
        <w:rPr>
          <w:rFonts w:ascii="Times New Roman;serif" w:hAnsi="Times New Roman;serif"/>
          <w:b w:val="false"/>
          <w:color w:val="000000"/>
          <w:sz w:val="22"/>
        </w:rPr>
        <w:t>, that 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Notwithstanding anything herein to the contrary, the Administrative Agent shall not be liable for, or be responsible for any loss, cost or expense suffered by the Borrower, any Subsidiary, any Lender or any L/C Issuer as a result of any determination of the outstanding Revolving Credit Commitments, any of the component amounts thereof or any portion thereof attributable to each Lender or L/C Issuer, or any Exchange Rate or Dollar-equivalent in the absence of its own gross negligence, bad faith, willful misconduct or material breach of the Loan Documents in connection with its duties expressly set forth herein, to the extent determined in a final, non-appealable judgment by a court of competent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9.06    </w:t>
      </w:r>
      <w:r>
        <w:rPr>
          <w:rFonts w:ascii="Times New Roman;serif" w:hAnsi="Times New Roman;serif"/>
          <w:b w:val="false"/>
          <w:color w:val="000000"/>
          <w:sz w:val="22"/>
          <w:u w:val="single"/>
        </w:rPr>
        <w:t>Credit Decision; Disclosure of Information by Agents</w:t>
      </w:r>
      <w:r>
        <w:rPr>
          <w:rFonts w:ascii="Times New Roman;serif" w:hAnsi="Times New Roman;serif"/>
          <w:b w:val="false"/>
          <w:color w:val="000000"/>
          <w:sz w:val="22"/>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9.07    </w:t>
      </w:r>
      <w:r>
        <w:rPr>
          <w:rFonts w:ascii="Times New Roman;serif" w:hAnsi="Times New Roman;serif"/>
          <w:b w:val="false"/>
          <w:color w:val="000000"/>
          <w:sz w:val="22"/>
          <w:u w:val="single"/>
        </w:rPr>
        <w:t>Indemnification of Agents</w:t>
      </w:r>
      <w:r>
        <w:rPr>
          <w:rFonts w:ascii="Times New Roman;serif" w:hAnsi="Times New Roman;serif"/>
          <w:b w:val="false"/>
          <w:color w:val="000000"/>
          <w:sz w:val="22"/>
        </w:rPr>
        <w:t xml:space="preserve">. Whether or not the transactions contemplated hereby are consummated, each Lender shall, on a ratable basis based on such Lender’s Pro Rata Share of all the </w:t>
      </w:r>
    </w:p>
    <w:p>
      <w:pPr>
        <w:pStyle w:val="TextBody"/>
        <w:bidi w:val="0"/>
        <w:spacing w:before="0" w:after="0"/>
        <w:jc w:val="left"/>
        <w:rPr/>
      </w:pPr>
      <w:r>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6480175" cy="175260"/>
                <wp:effectExtent l="0" t="0" r="0" b="0"/>
                <wp:wrapNone/>
                <wp:docPr id="317" name="Frame3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(including, for the avoidance of doubt, any such Agent-Related Person in its capacity as L/C Issuer);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bad faith or willful misconduct;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no action taken in accordance with the directions of the Required Lenders (or such other number or percentage of the Lenders as shall be required by the Loan Documents) shall be deemed to constitute gross negligence, bad faith or willful misconduct for purposes of this </w:t>
      </w:r>
      <w:r>
        <w:rPr>
          <w:rFonts w:ascii="Times New Roman;serif" w:hAnsi="Times New Roman;serif"/>
          <w:b w:val="false"/>
          <w:color w:val="000000"/>
          <w:sz w:val="22"/>
          <w:u w:val="single"/>
        </w:rPr>
        <w:t>Section 9.07</w:t>
      </w:r>
      <w:r>
        <w:rPr>
          <w:rFonts w:ascii="Times New Roman;serif" w:hAnsi="Times New Roman;serif"/>
          <w:b w:val="false"/>
          <w:color w:val="000000"/>
          <w:sz w:val="22"/>
        </w:rPr>
        <w:t xml:space="preserve">;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to the extent any L/C Issuer is entitled to indemnification under this Section 9.07 solely in its capacity and role as an L/C Issuer, only the Revolving Credit Lenders shall be required to indemnify such L/C Issuer under this </w:t>
      </w:r>
      <w:r>
        <w:rPr>
          <w:rFonts w:ascii="Times New Roman;serif" w:hAnsi="Times New Roman;serif"/>
          <w:b w:val="false"/>
          <w:color w:val="000000"/>
          <w:sz w:val="22"/>
          <w:u w:val="single"/>
        </w:rPr>
        <w:t>Section 9.07</w:t>
      </w:r>
      <w:r>
        <w:rPr>
          <w:color w:val="000000"/>
        </w:rPr>
        <w:t xml:space="preserve"> </w:t>
      </w:r>
      <w:r>
        <w:rPr>
          <w:rFonts w:ascii="Times New Roman;serif" w:hAnsi="Times New Roman;serif"/>
          <w:b w:val="false"/>
          <w:color w:val="000000"/>
          <w:sz w:val="22"/>
        </w:rPr>
        <w:t xml:space="preserve">(which indemnity shall be provided by such Lenders based upon their respective Pro Rata Share of the Revolving Credit Facility). In the case of any investigation, litigation or proceeding giving rise to any Indemnified Liabilities, this </w:t>
      </w:r>
      <w:r>
        <w:rPr>
          <w:rFonts w:ascii="Times New Roman;serif" w:hAnsi="Times New Roman;serif"/>
          <w:b w:val="false"/>
          <w:color w:val="000000"/>
          <w:sz w:val="22"/>
          <w:u w:val="single"/>
        </w:rPr>
        <w:t>Section 9.07</w:t>
      </w:r>
      <w:r>
        <w:rPr>
          <w:color w:val="000000"/>
        </w:rPr>
        <w:t xml:space="preserve"> </w:t>
      </w:r>
      <w:r>
        <w:rPr>
          <w:rFonts w:ascii="Times New Roman;serif" w:hAnsi="Times New Roman;serif"/>
          <w:b w:val="false"/>
          <w:color w:val="000000"/>
          <w:sz w:val="22"/>
        </w:rPr>
        <w:t xml:space="preserve">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that such reimbursement by the Lenders shall not affect the Borrowers’ continuing reimbursement obligations with respect thereto;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failure of any Lender to indemnify or reimburse the Administrative Agent shall not relieve any other Lender of its obligation in respect thereof. The undertaking in this </w:t>
      </w:r>
      <w:r>
        <w:rPr>
          <w:rFonts w:ascii="Times New Roman;serif" w:hAnsi="Times New Roman;serif"/>
          <w:b w:val="false"/>
          <w:color w:val="000000"/>
          <w:sz w:val="22"/>
          <w:u w:val="single"/>
        </w:rPr>
        <w:t>Section 9.07</w:t>
      </w:r>
      <w:r>
        <w:rPr>
          <w:color w:val="000000"/>
        </w:rPr>
        <w:t xml:space="preserve"> </w:t>
      </w:r>
      <w:r>
        <w:rPr>
          <w:rFonts w:ascii="Times New Roman;serif" w:hAnsi="Times New Roman;serif"/>
          <w:b w:val="false"/>
          <w:color w:val="000000"/>
          <w:sz w:val="22"/>
        </w:rPr>
        <w:t>shall survive termination of the Aggregate Commitments, the payment of all other Obligations and the resignation or removal of the Administrative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9.08    </w:t>
      </w:r>
      <w:r>
        <w:rPr>
          <w:rFonts w:ascii="Times New Roman;serif" w:hAnsi="Times New Roman;serif"/>
          <w:b w:val="false"/>
          <w:color w:val="000000"/>
          <w:sz w:val="22"/>
          <w:u w:val="single"/>
        </w:rPr>
        <w:t>Agents in Their Individual Capacities</w:t>
      </w:r>
      <w:r>
        <w:rPr>
          <w:rFonts w:ascii="Times New Roman;serif" w:hAnsi="Times New Roman;serif"/>
          <w:b w:val="false"/>
          <w:color w:val="000000"/>
          <w:sz w:val="22"/>
        </w:rPr>
        <w:t>. Any Agent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 (unless otherwise expressly indicated or unless the context otherwise requires).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9.09    </w:t>
      </w:r>
      <w:r>
        <w:rPr>
          <w:rFonts w:ascii="Times New Roman;serif" w:hAnsi="Times New Roman;serif"/>
          <w:b w:val="false"/>
          <w:color w:val="000000"/>
          <w:sz w:val="22"/>
          <w:u w:val="single"/>
        </w:rPr>
        <w:t>Successor Agents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    The Administrative Agent or Collateral Agent may resign as the Administrative Agent or Collateral Agent, as applicable, upon 30 days’ written notice to the Company and the Lenders; that, if at the time of such resignation, there is a successor Administrative Agent or Collateral Agent, as applicable, satisfactory to each of the resigning Agent, the incoming Agent and the Company, each, in its sole </w:t>
      </w:r>
    </w:p>
    <w:p>
      <w:pPr>
        <w:pStyle w:val="TextBody"/>
        <w:bidi w:val="0"/>
        <w:spacing w:before="0" w:after="0"/>
        <w:jc w:val="left"/>
        <w:rPr/>
      </w:pPr>
      <w:r>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6480175" cy="175260"/>
                <wp:effectExtent l="0" t="0" r="0" b="0"/>
                <wp:wrapNone/>
                <wp:docPr id="318" name="Frame3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discretion, then the resigning Agent, the incoming Agent and the Company may agree to waive or shorten the 30 day notice period. If the Administrative Agent or Collateral Agent or a controlling Affiliate of the Administrative Agent or the Collateral Agent is subject to an Agent-Related Distress Event, the Company may remove such Agent from such role upon ten days’ written notice to the Lenders. Upon receipt of any such notice of resignation or removal, the Required Lenders shall appoint from among the Lenders a successor agent for the Lenders, which successor agent shall be subject to the consent of the Company at all times other than during the existence of an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rFonts w:ascii="Times New Roman;serif" w:hAnsi="Times New Roman;serif"/>
          <w:b w:val="false"/>
          <w:color w:val="000000"/>
          <w:sz w:val="22"/>
        </w:rPr>
        <w:t xml:space="preserve">, 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(which consent of the Company shall not be unreasonably withheld or delayed). If no successor agent is appointed prior to the effective date of the resignation or removal, as applicable, of the Administrative Agent or Collateral Agent, as applicable, the Administrative Agent or Collateral Agent (other than to the extent subject to an Agent-Related Distress Event or if the Administrative Agent is being removed as a result of it being a Disqualified Institution), as applicable, may appoint, after consulting with the Lenders and the Company, a successor agent from among the Lenders. Upon the acceptance of its appointment as successor agent hereunder, the Person acting as such successor agent shall succeed to all the rights, powers and duties of the retiring Administrative Agent or Collateral Agent, as applicable, and the term “Administrative Agent” or “Collateral Agent,” as applicable, shall mean such successor administrative agent or such successor collateral agent, as applicable, and the retiring Administrative Agent’s or Collateral Agent’s appointment, powers and duties as the Administrative Agent or Collateral Agent, as applicable, shall be terminated. After the retiring Administrative Agent’s or Collateral Agent’s resignation or removal hereunder as the Administrative Agent or Collateral Agent,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shall continue in effect for its benefit as to any actions taken or omitted to be taken by it while it was the Administrative Agent or Collateral Agent under this Agreement. If no successor agent has accepted appointment as the Administrative Agent or Collateral Agent by the date which is 30 days following the retiring Administrative Agent’s or Collateral Agent’s notice of resignation or removal, the retiring Administrative Agent’s or Collateral Agent’s resignation or removal shall nevertheless thereupon become effective and (i)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as bailee, trustee or other applicable capacity until such time as a successor of such Agent is appointed, for the avoidance of doubt any agency fees for the account of the retiring agent shall cease to accrue from (and shall be payable on) the date that a successor Agent is appointed; it being understood that the agency fees payable to the successor of such Agent shall be the same as those payable to the retiring Agent, unless otherwise agreed to by the Borrowers and the successor of such Agent), (ii) except for any indemnity payments or other amounts owed to the retiring Agent, all payments, communications and determinations provided to be made by, to or through the Administrative Agent shall instead be made by or to each Lender directly, until such time as the Required Lenders appoint a successor Administrative Agent as provided for above in this </w:t>
      </w:r>
      <w:r>
        <w:rPr>
          <w:rFonts w:ascii="Times New Roman;serif" w:hAnsi="Times New Roman;serif"/>
          <w:b w:val="false"/>
          <w:color w:val="000000"/>
          <w:sz w:val="22"/>
          <w:u w:val="single"/>
        </w:rPr>
        <w:t>Section 9.09</w:t>
      </w:r>
      <w:r>
        <w:rPr>
          <w:color w:val="000000"/>
        </w:rPr>
        <w:t xml:space="preserve"> </w:t>
      </w:r>
      <w:r>
        <w:rPr>
          <w:rFonts w:ascii="Times New Roman;serif" w:hAnsi="Times New Roman;serif"/>
          <w:b w:val="false"/>
          <w:color w:val="000000"/>
          <w:sz w:val="22"/>
        </w:rPr>
        <w:t xml:space="preserve">and (iii) the Lenders shall perform all of the duties of the Administrative Agent or Collateral Agent, as applicable,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the Collateral Documents, the Administrative Agent or Collateral Agent, as applicable, shall thereupon succeed to and become vested with all the rights, powers, discretion, privileges, and duties of the retiring Administrative Agent or Collateral Agent.    Upon the acceptance of any appointment as the Administrative Agent or Collateral Agent hereunder by a successor or upon the expiration of the 30-day period following the retiring Administrative Agent’s or Collateral Agent’s notice of resignation or </w:t>
      </w:r>
    </w:p>
    <w:p>
      <w:pPr>
        <w:pStyle w:val="TextBody"/>
        <w:bidi w:val="0"/>
        <w:spacing w:before="0" w:after="0"/>
        <w:jc w:val="left"/>
        <w:rPr/>
      </w:pPr>
      <w:r>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6480175" cy="175260"/>
                <wp:effectExtent l="0" t="0" r="0" b="0"/>
                <wp:wrapNone/>
                <wp:docPr id="319" name="Frame3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removal without a successor agent having been appointed, the retiring Administrative Agent or Collateral Agent, as applicable, shall be discharged from its duties and obligations hereunder and under the other Loan Documents other than as specifically set forth in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 xml:space="preserve">above of this Section 9.09(a) but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shall continue in effect for the benefit of such retiring Agent, its sub-agents and their respective Agent-Related Persons in respect of any actions taken or omitted to be taken by any of them solely in respect of the Loan Documents or Obligations, as applicable, while the retiring Agent was acting as Administrative Agent or Collateral Agent, as applicable. At any time the Administrative Agent or Collateral Agent is a Defaulting Lender pursuant to </w:t>
      </w:r>
      <w:r>
        <w:rPr>
          <w:rFonts w:ascii="Times New Roman;serif" w:hAnsi="Times New Roman;serif"/>
          <w:b w:val="false"/>
          <w:color w:val="000000"/>
          <w:sz w:val="22"/>
          <w:u w:val="single"/>
        </w:rPr>
        <w:t>clause (d)</w:t>
      </w:r>
      <w:r>
        <w:rPr>
          <w:color w:val="000000"/>
        </w:rPr>
        <w:t xml:space="preserve"> </w:t>
      </w:r>
      <w:r>
        <w:rPr>
          <w:rFonts w:ascii="Times New Roman;serif" w:hAnsi="Times New Roman;serif"/>
          <w:b w:val="false"/>
          <w:color w:val="000000"/>
          <w:sz w:val="22"/>
        </w:rPr>
        <w:t>of the definition thereof, the Administrative Agent or Collateral Agent may be removed as the Administrative Agent or Collateral Agent hereunder at the request of the Company and the Required Lenders.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Any resignation by or removal of MS as Administrative Agent and/or Collateral Agent pursuant to this </w:t>
      </w:r>
      <w:r>
        <w:rPr>
          <w:rFonts w:ascii="Times New Roman;serif" w:hAnsi="Times New Roman;serif"/>
          <w:b w:val="false"/>
          <w:color w:val="000000"/>
          <w:sz w:val="22"/>
          <w:u w:val="single"/>
        </w:rPr>
        <w:t>Section 9.09</w:t>
      </w:r>
      <w:r>
        <w:rPr>
          <w:color w:val="000000"/>
        </w:rPr>
        <w:t xml:space="preserve"> </w:t>
      </w:r>
      <w:r>
        <w:rPr>
          <w:rFonts w:ascii="Times New Roman;serif" w:hAnsi="Times New Roman;serif"/>
          <w:b w:val="false"/>
          <w:color w:val="000000"/>
          <w:sz w:val="22"/>
        </w:rPr>
        <w:t>shall also constitute its resignation or removal as an L/C Issuer, in which case the resigning or removed L/C Issuer (x) shall not be required to issue any further Letters of Credit and (y) shall maintain all of its rights as L/C Issuer with respect to any Letters of Credit issued by it, prior to the date of such resignation or removal. Upon the acceptance of a successor’s appointment as Administrative Agent and/or Collateral Agent hereunder or upon the expiration of the 30-day period following the retiring Administrative Agent’s and/or Collateral Agent’s notice of resignation or removal without a successor agent having been appointed, (i) such successor (if any)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(if any) shall issue letters of credit in substitution for the Letters of Credit, if any, outstanding at the time of such succession or make (or the applicable Borrower shall enter into) other arrangements satisfactory to the retiring L/C Issuer to effectively assume the obligations of the retiring L/C Issuer with respect to such Letters of Credit.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9.10    </w:t>
      </w:r>
      <w:r>
        <w:rPr>
          <w:rFonts w:ascii="Times New Roman;serif" w:hAnsi="Times New Roman;serif"/>
          <w:b w:val="false"/>
          <w:color w:val="000000"/>
          <w:sz w:val="22"/>
          <w:u w:val="single"/>
        </w:rPr>
        <w:t>Administrative Agent May File Proofs of Claim</w:t>
      </w:r>
      <w:r>
        <w:rPr>
          <w:rFonts w:ascii="Times New Roman;serif" w:hAnsi="Times New Roman;serif"/>
          <w:b w:val="false"/>
          <w:color w:val="000000"/>
          <w:sz w:val="22"/>
        </w:rPr>
        <w:t>. In case of the pendency of any receivership, administrative receivership, judicial management, insolvency, liquidation, bankruptcy, reorganization (by way of voluntary arrangement, schemes of arrangement or otherwise),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w:t>
      </w:r>
      <w:r>
        <w:rPr>
          <w:rFonts w:ascii="Times New Roman;serif" w:hAnsi="Times New Roman;serif"/>
          <w:b w:val="false"/>
          <w:color w:val="000000"/>
          <w:sz w:val="22"/>
          <w:u w:val="single"/>
        </w:rPr>
        <w:t>Sections 2.03(h)</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 allowed in such judicial proceeding;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to collect and receive any monies or other property payable or deliverable on any such claims and to distribute the same; and any administrator, administrative receiver, custodian, receiver, assignee, trustee,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w:t>
      </w:r>
    </w:p>
    <w:p>
      <w:pPr>
        <w:pStyle w:val="TextBody"/>
        <w:bidi w:val="0"/>
        <w:spacing w:before="0" w:after="0"/>
        <w:jc w:val="left"/>
        <w:rPr/>
      </w:pPr>
      <w:r>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6480175" cy="175260"/>
                <wp:effectExtent l="0" t="0" r="0" b="0"/>
                <wp:wrapNone/>
                <wp:docPr id="320" name="Frame3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Lenders, to pay to the Administrative Agent any amount due for the reasonable compensation, expenses, disbursements and advances of the Agents and their respective agents and counsel, and any other amounts, in each case, due the Administrative Agent under </w:t>
      </w:r>
      <w:r>
        <w:rPr>
          <w:rFonts w:ascii="Times New Roman;serif" w:hAnsi="Times New Roman;serif"/>
          <w:b w:val="false"/>
          <w:color w:val="000000"/>
          <w:sz w:val="22"/>
          <w:u w:val="single"/>
        </w:rPr>
        <w:t>Sections 2.09</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10.04</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Nothing contained herein shall be deemed to authorize the Administrative Agent to authorize or consent to or accept or adopt on behalf of any Lender any plan of reorganization (by way of voluntary arrangement, schemes of arrangement or otherwise), arrangement, adjustment or composition affecting the Obligations or the rights of any Lender or to authorize the Administrative Agent to vote in respect of the claim of any Lender in any such proceeding.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9.11    </w:t>
      </w:r>
      <w:r>
        <w:rPr>
          <w:rFonts w:ascii="Times New Roman;serif" w:hAnsi="Times New Roman;serif"/>
          <w:b w:val="false"/>
          <w:color w:val="000000"/>
          <w:sz w:val="22"/>
          <w:u w:val="single"/>
        </w:rPr>
        <w:t>Collateral and Guaranty Matters</w:t>
      </w:r>
      <w:r>
        <w:rPr>
          <w:rFonts w:ascii="Times New Roman;serif" w:hAnsi="Times New Roman;serif"/>
          <w:b w:val="false"/>
          <w:color w:val="000000"/>
          <w:sz w:val="22"/>
        </w:rPr>
        <w:t xml:space="preserve">. Except with respect to the exercise of setoff rights in accordance with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hereby waives any right to, take or institute any actions or 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or the Collateral Agent, as applicable; , that, for the avoidance of doubt, this sentence may be enforced against any Secured Party by the Required Lenders, any Agent or any Borrower (or any of its Affiliates) and each Secured Party expressly acknowledge that this sentence shall be available as a defense of any Borrower (or any of its Affiliates) in any such action, proceeding or remedial procedure. Each Secured Party, whether or not a party hereto, will be deemed, by its acceptance of the benefits of the Collateral and of the Guarantees of the Obligations, to have agreed to the foregoing provisions. Each of the Lenders (including in their capacities as potential or actual Hedge Banks party to a Secured Hedge Agreement and potential or actual Cash Management Banks party to a Secured Cash Management Agreement) and each L/C Issuer, the Administrative Agent and the Collateral Agent hereby irrevocably agree: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that any Lien on any property granted to or held by the Administrative Agent or Collateral Agent under any Loan Document shall be automatically released (and following such automatic release the Administrative Agent or Collateral Agent shall execute any appropriate release documentation to document or evidence such release at the Company’s reasonable request and sole expense):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upon termination of the Aggregate Commitments and payment in full of all Obligations in cash and in immediately available funds (other than any Remaining Obligations) and the expiration without any pending drawing or termination of all Letters of Credit (other than any Remaining Obligations),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if the property subject to such Lien is sold, disposed of or distributed as part of or in connection with any transaction or series of related transactions not prohibited hereunder or under any other Loan Document, in each case to a Person that is not a Loan Party (including pursuant to any Receivables Facility permitted under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subject to </w:t>
      </w:r>
      <w:r>
        <w:rPr>
          <w:rFonts w:ascii="Times New Roman;serif" w:hAnsi="Times New Roman;serif"/>
          <w:b w:val="false"/>
          <w:color w:val="000000"/>
          <w:sz w:val="22"/>
          <w:u w:val="single"/>
        </w:rPr>
        <w:t>Section 10.01</w:t>
      </w:r>
      <w:r>
        <w:rPr>
          <w:rFonts w:ascii="Times New Roman;serif" w:hAnsi="Times New Roman;serif"/>
          <w:b w:val="false"/>
          <w:color w:val="000000"/>
          <w:sz w:val="22"/>
        </w:rPr>
        <w:t>, if such release is approved, authorized or ratified in writing by the Required Lenders,</w:t>
      </w:r>
    </w:p>
    <w:p>
      <w:pPr>
        <w:pStyle w:val="TextBody"/>
        <w:bidi w:val="0"/>
        <w:spacing w:before="0" w:after="0"/>
        <w:jc w:val="left"/>
        <w:rPr/>
      </w:pPr>
      <w:r>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480175" cy="175260"/>
                <wp:effectExtent l="0" t="0" r="0" b="0"/>
                <wp:wrapNone/>
                <wp:docPr id="321" name="Frame3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if the property subject to such Lien constitutes or becomes Excluded Property as a result of an occurrence not prohibited hereunder,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if the property subject to such Lien is owned by a Guarantor or Co-Borrower, upon release of such Guarantor or Co-Borrower from its obligations under its Guaranty, any Collateral Document or hereunder, as applicable, pursuant to </w:t>
      </w:r>
      <w:r>
        <w:rPr>
          <w:rFonts w:ascii="Times New Roman;serif" w:hAnsi="Times New Roman;serif"/>
          <w:b w:val="false"/>
          <w:color w:val="000000"/>
          <w:sz w:val="22"/>
          <w:u w:val="single"/>
        </w:rPr>
        <w:t>clause (c)</w:t>
      </w:r>
      <w:r>
        <w:rPr>
          <w:color w:val="000000"/>
        </w:rPr>
        <w:t xml:space="preserve"> </w:t>
      </w:r>
      <w:r>
        <w:rPr>
          <w:rFonts w:ascii="Times New Roman;serif" w:hAnsi="Times New Roman;serif"/>
          <w:b w:val="false"/>
          <w:color w:val="000000"/>
          <w:sz w:val="22"/>
        </w:rPr>
        <w:t>below;</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that any Lien on any property granted to or held by the Administrative Agent or Collateral Agent under any Loan Document shall be automatically released and/or subordinated, as applicable, to the holder of any Permitted Lien on such property that is permitted by </w:t>
      </w:r>
      <w:r>
        <w:rPr>
          <w:rFonts w:ascii="Times New Roman;serif" w:hAnsi="Times New Roman;serif"/>
          <w:b w:val="false"/>
          <w:color w:val="000000"/>
          <w:sz w:val="22"/>
          <w:u w:val="single"/>
        </w:rPr>
        <w:t>clauses (1)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(6)</w:t>
      </w:r>
      <w:r>
        <w:rPr>
          <w:color w:val="000000"/>
        </w:rPr>
        <w:t xml:space="preserve"> </w:t>
      </w:r>
      <w:r>
        <w:rPr>
          <w:rFonts w:ascii="Times New Roman;serif" w:hAnsi="Times New Roman;serif"/>
          <w:b w:val="false"/>
          <w:color w:val="000000"/>
          <w:sz w:val="22"/>
        </w:rPr>
        <w:t xml:space="preserve">(only with regard to </w:t>
      </w:r>
      <w:r>
        <w:rPr>
          <w:rFonts w:ascii="Times New Roman;serif" w:hAnsi="Times New Roman;serif"/>
          <w:b w:val="false"/>
          <w:color w:val="000000"/>
          <w:sz w:val="22"/>
          <w:u w:val="single"/>
        </w:rPr>
        <w:t>Section 7.01(b)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(16)</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(17)</w:t>
      </w:r>
      <w:r>
        <w:rPr>
          <w:color w:val="000000"/>
        </w:rPr>
        <w:t xml:space="preserve"> </w:t>
      </w:r>
      <w:r>
        <w:rPr>
          <w:rFonts w:ascii="Times New Roman;serif" w:hAnsi="Times New Roman;serif"/>
          <w:b w:val="false"/>
          <w:color w:val="000000"/>
          <w:sz w:val="22"/>
        </w:rPr>
        <w:t xml:space="preserve">(other than with respect to self-insurance arrangements), </w:t>
      </w:r>
      <w:r>
        <w:rPr>
          <w:rFonts w:ascii="Times New Roman;serif" w:hAnsi="Times New Roman;serif"/>
          <w:b w:val="false"/>
          <w:color w:val="000000"/>
          <w:sz w:val="22"/>
          <w:u w:val="single"/>
        </w:rPr>
        <w:t>(18)</w:t>
      </w:r>
      <w:r>
        <w:rPr>
          <w:color w:val="000000"/>
        </w:rPr>
        <w:t xml:space="preserve"> </w:t>
      </w:r>
      <w:r>
        <w:rPr>
          <w:rFonts w:ascii="Times New Roman;serif" w:hAnsi="Times New Roman;serif"/>
          <w:b w:val="false"/>
          <w:color w:val="000000"/>
          <w:sz w:val="22"/>
        </w:rPr>
        <w:t xml:space="preserve">(solely to the extent constituting Excluded Property), </w:t>
      </w:r>
      <w:r>
        <w:rPr>
          <w:rFonts w:ascii="Times New Roman;serif" w:hAnsi="Times New Roman;serif"/>
          <w:b w:val="false"/>
          <w:color w:val="000000"/>
          <w:sz w:val="22"/>
          <w:u w:val="single"/>
        </w:rPr>
        <w:t>(20)</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(23)</w:t>
      </w:r>
      <w:r>
        <w:rPr>
          <w:color w:val="000000"/>
        </w:rPr>
        <w:t xml:space="preserve"> </w:t>
      </w:r>
      <w:r>
        <w:rPr>
          <w:rFonts w:ascii="Times New Roman;serif" w:hAnsi="Times New Roman;serif"/>
          <w:b w:val="false"/>
          <w:color w:val="000000"/>
          <w:sz w:val="22"/>
        </w:rPr>
        <w:t xml:space="preserve">(solely to the extent relating to a lien of the type allowed pursuant to clauses </w:t>
      </w:r>
      <w:r>
        <w:rPr>
          <w:rFonts w:ascii="Times New Roman;serif" w:hAnsi="Times New Roman;serif"/>
          <w:b w:val="false"/>
          <w:color w:val="000000"/>
          <w:sz w:val="22"/>
          <w:u w:val="single"/>
        </w:rPr>
        <w:t>(8)</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(9)</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(11)</w:t>
      </w:r>
      <w:r>
        <w:rPr>
          <w:color w:val="000000"/>
        </w:rPr>
        <w:t xml:space="preserve"> </w:t>
      </w:r>
      <w:r>
        <w:rPr>
          <w:rFonts w:ascii="Times New Roman;serif" w:hAnsi="Times New Roman;serif"/>
          <w:b w:val="false"/>
          <w:color w:val="000000"/>
          <w:sz w:val="22"/>
        </w:rPr>
        <w:t xml:space="preserve">(solely with respect to cash deposits) of the definition thereof), </w:t>
      </w:r>
      <w:r>
        <w:rPr>
          <w:rFonts w:ascii="Times New Roman;serif" w:hAnsi="Times New Roman;serif"/>
          <w:b w:val="false"/>
          <w:color w:val="000000"/>
          <w:sz w:val="22"/>
          <w:u w:val="single"/>
        </w:rPr>
        <w:t>(25)</w:t>
      </w:r>
      <w:r>
        <w:rPr>
          <w:color w:val="000000"/>
        </w:rPr>
        <w:t xml:space="preserve"> </w:t>
      </w:r>
      <w:r>
        <w:rPr>
          <w:rFonts w:ascii="Times New Roman;serif" w:hAnsi="Times New Roman;serif"/>
          <w:b w:val="false"/>
          <w:color w:val="000000"/>
          <w:sz w:val="22"/>
        </w:rPr>
        <w:t xml:space="preserve">(solely to the extent relating to a lien of the type allowed pursuant to </w:t>
      </w:r>
      <w:r>
        <w:rPr>
          <w:rFonts w:ascii="Times New Roman;serif" w:hAnsi="Times New Roman;serif"/>
          <w:b w:val="false"/>
          <w:color w:val="000000"/>
          <w:sz w:val="22"/>
          <w:u w:val="single"/>
        </w:rPr>
        <w:t>clause (6)</w:t>
      </w:r>
      <w:r>
        <w:rPr>
          <w:color w:val="000000"/>
        </w:rPr>
        <w:t xml:space="preserve"> </w:t>
      </w:r>
      <w:r>
        <w:rPr>
          <w:rFonts w:ascii="Times New Roman;serif" w:hAnsi="Times New Roman;serif"/>
          <w:b w:val="false"/>
          <w:color w:val="000000"/>
          <w:sz w:val="22"/>
        </w:rPr>
        <w:t xml:space="preserve">of the definition of “Permitted Liens” and securing obligations under Indebtedness of the type allowed pursuant to </w:t>
      </w:r>
      <w:r>
        <w:rPr>
          <w:rFonts w:ascii="Times New Roman;serif" w:hAnsi="Times New Roman;serif"/>
          <w:b w:val="false"/>
          <w:color w:val="000000"/>
          <w:sz w:val="22"/>
          <w:u w:val="single"/>
        </w:rPr>
        <w:t>Section 7.01(b)</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(26)</w:t>
      </w:r>
      <w:r>
        <w:rPr>
          <w:color w:val="000000"/>
        </w:rPr>
        <w:t xml:space="preserve"> </w:t>
      </w:r>
      <w:r>
        <w:rPr>
          <w:rFonts w:ascii="Times New Roman;serif" w:hAnsi="Times New Roman;serif"/>
          <w:b w:val="false"/>
          <w:color w:val="000000"/>
          <w:sz w:val="22"/>
        </w:rPr>
        <w:t xml:space="preserve">(solely to the extent the Lien of the Collateral Agent on such property is not, pursuant to such agreements, permitted to be senior to or with such Liens), </w:t>
      </w:r>
      <w:r>
        <w:rPr>
          <w:rFonts w:ascii="Times New Roman;serif" w:hAnsi="Times New Roman;serif"/>
          <w:b w:val="false"/>
          <w:color w:val="000000"/>
          <w:sz w:val="22"/>
          <w:u w:val="single"/>
        </w:rPr>
        <w:t>(27)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(29)</w:t>
      </w:r>
      <w:r>
        <w:rPr>
          <w:color w:val="000000"/>
        </w:rPr>
        <w:t xml:space="preserve"> </w:t>
      </w:r>
      <w:r>
        <w:rPr>
          <w:rFonts w:ascii="Times New Roman;serif" w:hAnsi="Times New Roman;serif"/>
          <w:b w:val="false"/>
          <w:color w:val="000000"/>
          <w:sz w:val="22"/>
        </w:rPr>
        <w:t xml:space="preserve">(solely with respect to cash deposits), </w:t>
      </w:r>
      <w:r>
        <w:rPr>
          <w:rFonts w:ascii="Times New Roman;serif" w:hAnsi="Times New Roman;serif"/>
          <w:b w:val="false"/>
          <w:color w:val="000000"/>
          <w:sz w:val="22"/>
          <w:u w:val="single"/>
        </w:rPr>
        <w:t>(33)</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(39)</w:t>
      </w:r>
      <w:r>
        <w:rPr>
          <w:color w:val="000000"/>
        </w:rPr>
        <w:t xml:space="preserve"> </w:t>
      </w:r>
      <w:r>
        <w:rPr>
          <w:rFonts w:ascii="Times New Roman;serif" w:hAnsi="Times New Roman;serif"/>
          <w:b w:val="false"/>
          <w:color w:val="000000"/>
          <w:sz w:val="22"/>
        </w:rPr>
        <w:t xml:space="preserve">(only for so long as required to be secured for such letter of intent or investment) and </w:t>
      </w:r>
      <w:r>
        <w:rPr>
          <w:rFonts w:ascii="Times New Roman;serif" w:hAnsi="Times New Roman;serif"/>
          <w:b w:val="false"/>
          <w:color w:val="000000"/>
          <w:sz w:val="22"/>
          <w:u w:val="single"/>
        </w:rPr>
        <w:t>(45)</w:t>
      </w:r>
      <w:r>
        <w:rPr>
          <w:color w:val="000000"/>
        </w:rPr>
        <w:t xml:space="preserve"> </w:t>
      </w:r>
      <w:r>
        <w:rPr>
          <w:rFonts w:ascii="Times New Roman;serif" w:hAnsi="Times New Roman;serif"/>
          <w:b w:val="false"/>
          <w:color w:val="000000"/>
          <w:sz w:val="22"/>
        </w:rPr>
        <w:t>of the definition thereof (and following such automatic release and/or subordination the Administrative Agent or Collateral Agent shall execute any appropriate documentation to document or evidence such release and/or subordination at the Company’s reasonable request and sole expense);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that any Guarantor or any Co-Borrower shall be automatically released from its obligations under the applicable Guaranty, Collateral Document or hereunder, as applicable (and following such automatic release the Administrative Agent or Collateral Agent shall execute any appropriate documentation to document or evidence such release and/or subordination at the Company’s reasonable request and sole expense):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if in the case of any Subsidiary, such Person ceases to be a Restricted Subsidiary or otherwise becomes an Excluded Subsidiary as a result of a transaction or designation permitted hereunder (other than upon the basis of such Subsidiary becoming a non-Wholly Owned Subsidiary as a result of (x) a transaction that is not bona fide or (y) the sale of its Equity Interests with the sole intention to release such Subsidiary from its Guarantee of the Obligations); that no such release shall occur if such Guarantor or Co-Borrower continues to be a guarantor or co-borrower, as applicable, in respect of any Indebtedness for borrowed money of the Company or a Guarantor or a Co-Borrower (in each case, other than any Guarantor or Co-Borrower that will simultaneously cease to be a Restricted Subsidiary or an Excluded Subsidiary), in an aggregate outstanding principal amount in excess of $300,000,000;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if such other Indebtedness will permit the release of such Subsidiary if such Subsidiary is released from its obligations hereunder, then such Subsidiary shall be released pursuant to this </w:t>
      </w:r>
      <w:r>
        <w:rPr>
          <w:rFonts w:ascii="Times New Roman;serif" w:hAnsi="Times New Roman;serif"/>
          <w:b w:val="false"/>
          <w:color w:val="000000"/>
          <w:sz w:val="22"/>
          <w:u w:val="single"/>
        </w:rPr>
        <w:t>clause (i)</w:t>
      </w:r>
      <w:r>
        <w:rPr>
          <w:rFonts w:ascii="Times New Roman;serif" w:hAnsi="Times New Roman;serif"/>
          <w:b w:val="false"/>
          <w:color w:val="000000"/>
          <w:sz w:val="22"/>
        </w:rPr>
        <w:t xml:space="preserve">, notwithstanding the foregoing proviso; </w:t>
      </w:r>
      <w:r>
        <w:rPr>
          <w:rFonts w:ascii="Times New Roman;serif" w:hAnsi="Times New Roman;serif"/>
          <w:b w:val="false"/>
          <w:i/>
          <w:color w:val="000000"/>
          <w:sz w:val="22"/>
        </w:rPr>
        <w:t>provided, however</w:t>
      </w:r>
      <w:r>
        <w:rPr>
          <w:rFonts w:ascii="Times New Roman;serif" w:hAnsi="Times New Roman;serif"/>
          <w:b w:val="false"/>
          <w:color w:val="000000"/>
          <w:sz w:val="22"/>
        </w:rPr>
        <w:t>, that no Co-Borrower shall be released unless the Company has notified the Administrative Agent that such Borrower has ceased to be a Restricted Subsidiary as a result of a transaction permitted by this Agreement, and the Company has expressly assumed the Loans and other Obligations of the Co-Borrower under the Loan Documents;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(ii)    upon termination of the Aggregate Commitments and payment in full of all Obligations in cash and in immediately available funds (other than any Remaining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6480175" cy="175260"/>
                <wp:effectExtent l="0" t="0" r="0" b="0"/>
                <wp:wrapNone/>
                <wp:docPr id="322" name="Frame3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and the expiration without any pending drawing or termination of all Letters of Credit (other than any Remaining Obligations);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(iii)    if such Guarantor (subject, in the case of a Co-Borrower, to such Co-Borrower’s resignation as a Co-Borrower in accordance with the terms hereof) was designated as such pursuant to the last sentence of </w:t>
      </w:r>
      <w:r>
        <w:rPr>
          <w:rFonts w:ascii="Times New Roman;serif" w:hAnsi="Times New Roman;serif"/>
          <w:b w:val="false"/>
          <w:color w:val="000000"/>
          <w:sz w:val="22"/>
          <w:u w:val="single"/>
        </w:rPr>
        <w:t>Section 6.12</w:t>
      </w:r>
      <w:r>
        <w:rPr>
          <w:rFonts w:ascii="Times New Roman;serif" w:hAnsi="Times New Roman;serif"/>
          <w:b w:val="false"/>
          <w:color w:val="000000"/>
          <w:sz w:val="22"/>
        </w:rPr>
        <w:t>, if the Company so requests, so long as any Indebtedness of such Subsidiary then outstanding could have been incurred by such Subsidiary (either (x) when so incurred or (y) at the time of the release of such Guarantee) and such Subsidiary is not otherwise required to be a Guarantor at the time of such release in accordance with the provisions of this Agreement or the other Loan Documents;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that they shall establish, enter into (or amend, renew, extend, supplement, restate, waive or otherwise modify) intercreditor arrangements as expressly contemplated by this Agreement (including, without limitation, those consistent with either (x) the terms of </w:t>
      </w:r>
      <w:r>
        <w:rPr>
          <w:rFonts w:ascii="Times New Roman;serif" w:hAnsi="Times New Roman;serif"/>
          <w:b w:val="false"/>
          <w:color w:val="000000"/>
          <w:sz w:val="22"/>
          <w:u w:val="single"/>
        </w:rPr>
        <w:t>Exhibit G-1</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G-2</w:t>
      </w:r>
      <w:r>
        <w:rPr>
          <w:color w:val="000000"/>
        </w:rPr>
        <w:t xml:space="preserve"> </w:t>
      </w:r>
      <w:r>
        <w:rPr>
          <w:rFonts w:ascii="Times New Roman;serif" w:hAnsi="Times New Roman;serif"/>
          <w:b w:val="false"/>
          <w:color w:val="000000"/>
          <w:sz w:val="22"/>
        </w:rPr>
        <w:t xml:space="preserve">(which shall be deemed satisfactory to the Administrative Agent and Collateral Agent) or (y) any other terms set forth in this Agreement, in each case, to the extent the Indebtedness being incurred and secured in connection therewith is not prohibited from being incurred under </w:t>
      </w:r>
      <w:r>
        <w:rPr>
          <w:rFonts w:ascii="Times New Roman;serif" w:hAnsi="Times New Roman;serif"/>
          <w:b w:val="false"/>
          <w:color w:val="000000"/>
          <w:sz w:val="22"/>
          <w:u w:val="single"/>
        </w:rPr>
        <w:t>Section 7.01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w:t>
      </w:r>
      <w:r>
        <w:rPr>
          <w:color w:val="000000"/>
        </w:rPr>
        <w:t xml:space="preserve"> </w:t>
      </w:r>
      <w:r>
        <w:rPr>
          <w:rFonts w:ascii="Times New Roman;serif" w:hAnsi="Times New Roman;serif"/>
          <w:b w:val="false"/>
          <w:color w:val="000000"/>
          <w:sz w:val="22"/>
        </w:rPr>
        <w:t>of this Agreement, which the Administrative Agent and Collateral Agent shall be required to enter into upon the delivery of a certificate described in the following paragraph).</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notwithstanding anything to the contrary provided herein or in any other Loan Document, that upon the occurrence of the BD Guaranty Release Date, BD shall be automatically released from all of its obligations under this Agreement and the BD Guaranty and shall have no further liability or obligation whatsoever hereunder or under the BD Guaranty or any other Loan Document (the “BD Guaranty Release”).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In each case as specified in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the applicable Agent will (and each Lender irrevocably authorizes the applicable Agent to), at the Company’s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or Co-Borrower from its obligations under the Guaranty or Collateral Documents, in each case in accordance with the terms of the Loan Documents and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Additionally, upon reasonable request of the Company, the Collateral Agent will return possessory Collateral held by it that is released from the security interests created by the Collateral Documents pursuant to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that in each case of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prior to the Administrative Agent’s or Collateral Agent’s execution of any release or intercreditor documentation (but without effecting the automatic nature of the releases and subordinations described in this </w:t>
      </w:r>
      <w:r>
        <w:rPr>
          <w:rFonts w:ascii="Times New Roman;serif" w:hAnsi="Times New Roman;serif"/>
          <w:b w:val="false"/>
          <w:color w:val="000000"/>
          <w:sz w:val="22"/>
          <w:u w:val="single"/>
        </w:rPr>
        <w:t>Section 9.11</w:t>
      </w:r>
      <w:r>
        <w:rPr>
          <w:rFonts w:ascii="Times New Roman;serif" w:hAnsi="Times New Roman;serif"/>
          <w:b w:val="false"/>
          <w:color w:val="000000"/>
          <w:sz w:val="22"/>
        </w:rPr>
        <w:t>), upon the Collateral Agent’s reasonable request, the Company shall deliver to the Administrative Agent and Collateral Agent a certificate of a Responsible Officer of the Company certifying that any such transaction has been consummated in compliance with this Agreement and the other Loan Documents and that such release is not prohibited hereby. In the event that the Collateral Agent loses or misplaces any possessory collateral delivered to the Collateral Agent by the Company, upon reasonable request of the Company the Collateral Agent shall provide a loss affidavit to the Company, in the form customarily provided by the Collateral Agent in such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6480175" cy="175260"/>
                <wp:effectExtent l="0" t="0" r="0" b="0"/>
                <wp:wrapNone/>
                <wp:docPr id="323" name="Frame3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9.12    </w:t>
      </w:r>
      <w:r>
        <w:rPr>
          <w:rFonts w:ascii="Times New Roman;serif" w:hAnsi="Times New Roman;serif"/>
          <w:b w:val="false"/>
          <w:color w:val="000000"/>
          <w:sz w:val="22"/>
          <w:u w:val="single"/>
        </w:rPr>
        <w:t>Other Agents; Arranger and Managers</w:t>
      </w:r>
      <w:r>
        <w:rPr>
          <w:rFonts w:ascii="Times New Roman;serif" w:hAnsi="Times New Roman;serif"/>
          <w:b w:val="false"/>
          <w:color w:val="000000"/>
          <w:sz w:val="22"/>
        </w:rPr>
        <w:t>. None of the Lenders or other Persons identified on the facing page or signature pages of this Agreement as a “documentation agent,” “joint lead arranger,” or “joint bookrunner” shall have any right, power, obligation, liability, responsibility or duty under this Agreement other than those applicable to all Lenders as such; that each Arranger shall be entitled to any express rights given to that Arranger under any Loan Document.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9.13    </w:t>
      </w:r>
      <w:r>
        <w:rPr>
          <w:rFonts w:ascii="Times New Roman;serif" w:hAnsi="Times New Roman;serif"/>
          <w:b w:val="false"/>
          <w:color w:val="000000"/>
          <w:sz w:val="22"/>
          <w:u w:val="single"/>
        </w:rPr>
        <w:t>Secured Cash Management Agreements and Secured Hedge Agreements</w:t>
      </w:r>
      <w:r>
        <w:rPr>
          <w:rFonts w:ascii="Times New Roman;serif" w:hAnsi="Times New Roman;serif"/>
          <w:b w:val="false"/>
          <w:color w:val="000000"/>
          <w:sz w:val="22"/>
        </w:rPr>
        <w:t xml:space="preserve">. No Cash Management Bank or Hedge Bank that obtains the benefits of </w:t>
      </w:r>
      <w:r>
        <w:rPr>
          <w:rFonts w:ascii="Times New Roman;serif" w:hAnsi="Times New Roman;serif"/>
          <w:b w:val="false"/>
          <w:color w:val="000000"/>
          <w:sz w:val="22"/>
          <w:u w:val="single"/>
        </w:rPr>
        <w:t>Section 8.04</w:t>
      </w:r>
      <w:r>
        <w:rPr>
          <w:rFonts w:ascii="Times New Roman;serif" w:hAnsi="Times New Roman;serif"/>
          <w:b w:val="false"/>
          <w:color w:val="000000"/>
          <w:sz w:val="22"/>
        </w:rPr>
        <w:t>,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Article IX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 Management Bank or Hedge Bank, as applicable. By accepting the benefits of the Collateral, each Secured Party that is a party to any such arrangement in respect of Secured Cash Management Agreements or Secured Hedge Agreement, as applicable, shall be deemed to have appointed the Administrative Agent to serve as administrative agent under the Loan Documents, and shall be deemed to have appointed the Collateral Agent to serve as collateral agent under the Loan Documents and agreed to be bound by the Loan Documents as a Secured Party thereunder, subject to the limitations set forth in this paragraph.</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9.14    </w:t>
      </w:r>
      <w:r>
        <w:rPr>
          <w:rFonts w:ascii="Times New Roman;serif" w:hAnsi="Times New Roman;serif"/>
          <w:b w:val="false"/>
          <w:color w:val="000000"/>
          <w:sz w:val="22"/>
          <w:u w:val="single"/>
        </w:rPr>
        <w:t>Appointment of Supplemental Agents, Incremental Arrangers, Incremental Equivalent Debt Arrangers and Specified Refinancing Agents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them in their sole discretion as a separate trustee, co-trustee, administrative agent, collateral agent, administrative sub-agent or administrative co-agent, as applicable (any such additional individual or institution being referred to herein individually as a “</w:t>
      </w:r>
      <w:r>
        <w:rPr>
          <w:rFonts w:ascii="Times New Roman;serif" w:hAnsi="Times New Roman;serif"/>
          <w:b/>
          <w:color w:val="000000"/>
          <w:sz w:val="22"/>
        </w:rPr>
        <w:t>Supplemental Agent</w:t>
      </w:r>
      <w:r>
        <w:rPr>
          <w:color w:val="000000"/>
        </w:rPr>
        <w:t xml:space="preserve">” </w:t>
      </w:r>
      <w:r>
        <w:rPr>
          <w:rFonts w:ascii="Times New Roman;serif" w:hAnsi="Times New Roman;serif"/>
          <w:b w:val="false"/>
          <w:color w:val="000000"/>
          <w:sz w:val="22"/>
        </w:rPr>
        <w:t>and collectively as “</w:t>
      </w:r>
      <w:r>
        <w:rPr>
          <w:rFonts w:ascii="Times New Roman;serif" w:hAnsi="Times New Roman;serif"/>
          <w:b/>
          <w:color w:val="000000"/>
          <w:sz w:val="22"/>
        </w:rPr>
        <w:t>Supplemental Agents</w:t>
      </w:r>
      <w:r>
        <w:rPr>
          <w:color w:val="000000"/>
        </w:rPr>
        <w: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(b)    In the event that the Administrative Agent or the Collateral Agent appoints a Supplemental Agent with respect to any Collateral, (i) each and every right, power, privilege or duty expressed or intended by this Agreement or any of the other Loan Documents to be exercised by or vested in or conveyed to the Administrative Agent or the Collateral Agent with respect to such Collateral shall </w:t>
      </w:r>
    </w:p>
    <w:p>
      <w:pPr>
        <w:pStyle w:val="TextBody"/>
        <w:bidi w:val="0"/>
        <w:spacing w:before="0" w:after="0"/>
        <w:jc w:val="left"/>
        <w:rPr/>
      </w:pPr>
      <w:r>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6480175" cy="175260"/>
                <wp:effectExtent l="0" t="0" r="0" b="0"/>
                <wp:wrapNone/>
                <wp:docPr id="324" name="Frame3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Collateral Agent or such Supplemental Agent, and (ii)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of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(obligating the Borrowers to pay the Administrative Agent’s and the Collateral Agent’s expenses and to indemnify the Administrative Agent and the Collateral Agent) that refer to the Administrative Agent and/or the Collateral Agent shall inure to the benefit of such Supplemental Agent and all references therein to the Administrative Agent and/or Collateral Agent shall be deemed to be references to the Administrative Agent and/or Collateral Agent and/or such Supplemental Agent, as the context may require.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Should any instrument in writing from any Borrower or any other Loan Party be required by any Supplemental Agent so appointed by the Administrative Agent or the Collateral Agent for more fully and certainly vesting in and confirming to him or it such rights, powers, privileges and duties, the Company shall, or shall cause such Loan Party to, execute, acknowledge and deliver any and all such instruments promptly upon request by the Administrative Agent or the Collateral Agent. In case any Supplemental Agent, or a successor thereto, shall become incapable of acting, resign or be removed, all the rights, powers, privileges and duties of such Supplemental Agent, to the extent permitted by Law, shall vest in and be exercised by the Administrative Agent or the Collateral Agent, as applicable, until the appointment of a new Supplemental Agent.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In the event that any Borrower appoints or designates any Incremental Arranger, Incremental Equivalent Debt Arranger or Specified Refinancing Agent pursuant to </w:t>
      </w:r>
      <w:r>
        <w:rPr>
          <w:rFonts w:ascii="Times New Roman;serif" w:hAnsi="Times New Roman;serif"/>
          <w:b w:val="false"/>
          <w:color w:val="000000"/>
          <w:sz w:val="22"/>
          <w:u w:val="single"/>
        </w:rPr>
        <w:t>Sections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2.18</w:t>
      </w:r>
      <w:r>
        <w:rPr>
          <w:rFonts w:ascii="Times New Roman;serif" w:hAnsi="Times New Roman;serif"/>
          <w:b w:val="false"/>
          <w:color w:val="000000"/>
          <w:sz w:val="22"/>
        </w:rPr>
        <w:t xml:space="preserve">, as applicable, (i) each and every right, power, privilege or duty expressed or intended by this Agreement or 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 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 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this </w:t>
      </w:r>
      <w:r>
        <w:rPr>
          <w:rFonts w:ascii="Times New Roman;serif" w:hAnsi="Times New Roman;serif"/>
          <w:b w:val="false"/>
          <w:color w:val="000000"/>
          <w:sz w:val="22"/>
          <w:u w:val="single"/>
        </w:rPr>
        <w:t>Article IX</w:t>
      </w:r>
      <w:r>
        <w:rPr>
          <w:color w:val="000000"/>
        </w:rPr>
        <w:t xml:space="preserve"> </w:t>
      </w:r>
      <w:r>
        <w:rPr>
          <w:rFonts w:ascii="Times New Roman;serif" w:hAnsi="Times New Roman;serif"/>
          <w:b w:val="false"/>
          <w:color w:val="000000"/>
          <w:sz w:val="22"/>
        </w:rPr>
        <w:t xml:space="preserve">and of </w:t>
      </w:r>
      <w:r>
        <w:rPr>
          <w:rFonts w:ascii="Times New Roman;serif" w:hAnsi="Times New Roman;serif"/>
          <w:b w:val="false"/>
          <w:color w:val="000000"/>
          <w:sz w:val="22"/>
          <w:u w:val="single"/>
        </w:rPr>
        <w:t>Sections 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(obligating the Borrowers to pay the Administrative Agent’s and the Collateral Agent’s expenses and to indemnify the Administrative Agent and the Collateral Agent) that refer to the Administrative Agent and/or the Collateral Agent shall inure to the benefit of such Incremental Arranger, Incremental Equivalent Debt Arranger or Specified Refinancing Agent and all references therein to the Administrative Agent and/or Collateral Agent shall be deemed to be references to the Administrative Agent and/or Collateral Agent and/or such Incremental Arranger, Incremental Equivalent Debt Arranger or Specified Refinancing Agent, as the context may require. Each Lender and L/C Issuer hereby irrevocably appoints any Incremental Arranger, Incremental Equivalent Debt Arranger or Specified Refinancing Agent to act on its behalf hereunder and under the other Loan Documents pursuant to </w:t>
      </w:r>
      <w:r>
        <w:rPr>
          <w:rFonts w:ascii="Times New Roman;serif" w:hAnsi="Times New Roman;serif"/>
          <w:b w:val="false"/>
          <w:color w:val="000000"/>
          <w:sz w:val="22"/>
          <w:u w:val="single"/>
        </w:rPr>
        <w:t>Sections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2.15</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2.18</w:t>
      </w:r>
      <w:r>
        <w:rPr>
          <w:rFonts w:ascii="Times New Roman;serif" w:hAnsi="Times New Roman;serif"/>
          <w:b w:val="false"/>
          <w:color w:val="000000"/>
          <w:sz w:val="22"/>
        </w:rPr>
        <w:t xml:space="preserve">, as applicable, and designates and authorizes such Incremental Arranger, Incremental Equivalent Debt Arranger or Specified Refinancing Agent to take such </w:t>
      </w:r>
    </w:p>
    <w:p>
      <w:pPr>
        <w:pStyle w:val="TextBody"/>
        <w:bidi w:val="0"/>
        <w:spacing w:before="0" w:after="0"/>
        <w:jc w:val="left"/>
        <w:rPr/>
      </w:pPr>
      <w:r>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6480175" cy="175260"/>
                <wp:effectExtent l="0" t="0" r="0" b="0"/>
                <wp:wrapNone/>
                <wp:docPr id="325" name="Frame3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actions on its behalf under the provisions of this Agreement and each other Loan Document and to exercise such powers and perform such duties as are expressly delegated to such Incremental Arranger, Incremental Equivalent Debt Arranger or Specified Refinancing Agent by the terms of this Agreement or any other Loan Document, together with such actions and powers as are reasonably incidental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9.15    </w:t>
      </w:r>
      <w:r>
        <w:rPr>
          <w:rFonts w:ascii="Times New Roman;serif" w:hAnsi="Times New Roman;serif"/>
          <w:b w:val="false"/>
          <w:color w:val="000000"/>
          <w:sz w:val="22"/>
          <w:u w:val="single"/>
        </w:rPr>
        <w:t>Intercreditor Agreement</w:t>
      </w:r>
      <w:r>
        <w:rPr>
          <w:rFonts w:ascii="Times New Roman;serif" w:hAnsi="Times New Roman;serif"/>
          <w:b w:val="false"/>
          <w:color w:val="000000"/>
          <w:sz w:val="22"/>
        </w:rPr>
        <w:t xml:space="preserve">. Without limiting </w:t>
      </w:r>
      <w:r>
        <w:rPr>
          <w:rFonts w:ascii="Times New Roman;serif" w:hAnsi="Times New Roman;serif"/>
          <w:b w:val="false"/>
          <w:color w:val="000000"/>
          <w:sz w:val="22"/>
          <w:u w:val="single"/>
        </w:rPr>
        <w:t>Section 9.11</w:t>
      </w:r>
      <w:r>
        <w:rPr>
          <w:rFonts w:ascii="Times New Roman;serif" w:hAnsi="Times New Roman;serif"/>
          <w:b w:val="false"/>
          <w:color w:val="000000"/>
          <w:sz w:val="22"/>
        </w:rPr>
        <w:t xml:space="preserve">, the Administrative Agent and the Collateral Agent are authorized by the Lenders and other Secured Parties to, (i) enter into any intercreditor agreement expressly contemplated by this Agreement or any other Loan Document (including, on the Spin-Off Date, the First Lien Intercreditor Agreement), (ii) enter into any Collateral Document or (iii) make or consent to any filings or take any other actions in connection therewith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Times New Roman;serif" w:hAnsi="Times New Roman;serif"/>
          <w:b w:val="false"/>
          <w:color w:val="000000"/>
          <w:sz w:val="22"/>
          <w:u w:val="single"/>
        </w:rPr>
        <w:t>Sections 7.01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w:t>
      </w:r>
      <w:r>
        <w:rPr>
          <w:color w:val="000000"/>
        </w:rPr>
        <w:t xml:space="preserve"> </w:t>
      </w:r>
      <w:r>
        <w:rPr>
          <w:rFonts w:ascii="Times New Roman;serif" w:hAnsi="Times New Roman;serif"/>
          <w:b w:val="false"/>
          <w:color w:val="000000"/>
          <w:sz w:val="22"/>
        </w:rPr>
        <w:t xml:space="preserve">of this Agreement, in order to permit such Indebtedness to be secured by a valid, perfected lien on the Collateral (with such priority as may be designated by such Loan Party, to the extent such priority is permitted by the Loan Documents)), and the parties hereto acknowledge that any intercreditor agreement, Collateral Document, consent, filing or other action will be binding upon them. Each Lender and other Secured Party (a) hereby agrees that it will be bound by and will take no actions contrary to the provisions of any intercreditor agreement (if entered into by the Collateral Agent) and (b) hereby authorizes and instructs the Administrative Agent and the Collateral Agent to enter into any intercreditor agreement expressly contemplated by this Agreement or any other Loan Document or Collateral Document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Times New Roman;serif" w:hAnsi="Times New Roman;serif"/>
          <w:b w:val="false"/>
          <w:color w:val="000000"/>
          <w:sz w:val="22"/>
          <w:u w:val="single"/>
        </w:rPr>
        <w:t>Sections 7.01</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7.02</w:t>
      </w:r>
      <w:r>
        <w:rPr>
          <w:color w:val="000000"/>
        </w:rPr>
        <w:t xml:space="preserve"> </w:t>
      </w:r>
      <w:r>
        <w:rPr>
          <w:rFonts w:ascii="Times New Roman;serif" w:hAnsi="Times New Roman;serif"/>
          <w:b w:val="false"/>
          <w:color w:val="000000"/>
          <w:sz w:val="22"/>
        </w:rPr>
        <w:t>of this Agreement, in order to permit such Indebtedness to be secured by a valid, perfected lien on the Collateral (with such priority as may be designated by such Loan Party, to the extent such priority is permitted by the Loan Documents)), and to subject the Liens on the Collateral securing the Obligations to the provisions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9.16    </w:t>
      </w:r>
      <w:r>
        <w:rPr>
          <w:rFonts w:ascii="Times New Roman;serif" w:hAnsi="Times New Roman;serif"/>
          <w:b w:val="false"/>
          <w:color w:val="000000"/>
          <w:sz w:val="22"/>
          <w:u w:val="single"/>
        </w:rPr>
        <w:t>Withholding Tax</w:t>
      </w:r>
      <w:r>
        <w:rPr>
          <w:rFonts w:ascii="Times New Roman;serif" w:hAnsi="Times New Roman;serif"/>
          <w:b w:val="false"/>
          <w:color w:val="000000"/>
          <w:sz w:val="22"/>
        </w:rPr>
        <w:t xml:space="preserve">. To the extent required by any applicable Law, the Administrative Agent may withhold from any payment to any Lender an amount equivalent to any applicable withholding Tax. Without limiting or expanding the provisions of Section 3.01,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U.S. Internal Revenue Service or any other Governmental Authority as a result of the failure of the Administrative Agent to properly withhold tax from amounts paid to or for the account of any Lender for any reason (including, without limitation, because the appropriate documentation was not delivered or not property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 For the avoidance of doubt, for purposes of this </w:t>
      </w:r>
      <w:r>
        <w:rPr>
          <w:rFonts w:ascii="Times New Roman;serif" w:hAnsi="Times New Roman;serif"/>
          <w:b w:val="false"/>
          <w:color w:val="000000"/>
          <w:sz w:val="22"/>
          <w:u w:val="single"/>
        </w:rPr>
        <w:t>Section 9.16</w:t>
      </w:r>
      <w:r>
        <w:rPr>
          <w:rFonts w:ascii="Times New Roman;serif" w:hAnsi="Times New Roman;serif"/>
          <w:b w:val="false"/>
          <w:color w:val="000000"/>
          <w:sz w:val="22"/>
        </w:rPr>
        <w:t>, the term “Lender” shall include any L/C Issuer.</w:t>
      </w:r>
    </w:p>
    <w:p>
      <w:pPr>
        <w:pStyle w:val="TextBody"/>
        <w:bidi w:val="0"/>
        <w:spacing w:before="0" w:after="0"/>
        <w:jc w:val="left"/>
        <w:rPr/>
      </w:pPr>
      <w:r>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6480175" cy="175260"/>
                <wp:effectExtent l="0" t="0" r="0" b="0"/>
                <wp:wrapNone/>
                <wp:docPr id="326" name="Frame3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9.17    </w:t>
      </w:r>
      <w:r>
        <w:rPr>
          <w:rFonts w:ascii="Times New Roman;serif" w:hAnsi="Times New Roman;serif"/>
          <w:b w:val="false"/>
          <w:color w:val="000000"/>
          <w:sz w:val="22"/>
          <w:u w:val="single"/>
        </w:rPr>
        <w:t>Credit Bidding</w:t>
      </w:r>
      <w:r>
        <w:rPr>
          <w:rFonts w:ascii="Times New Roman;serif" w:hAnsi="Times New Roman;serif"/>
          <w:b w:val="false"/>
          <w:color w:val="000000"/>
          <w:sz w:val="22"/>
        </w:rPr>
        <w:t xml:space="preserve">. Each Lender and L/C Issuer hereby irrevocably authorizes the Administrative Agent (and the Collateral Agent at the direction of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other Debtor Relief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applicable, irrespective of the termination of this Agreement and without giving effect to the limitations on actions by the Required Lenders contained in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clause (ii)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pStyle w:val="TextBody"/>
        <w:bidi w:val="0"/>
        <w:spacing w:before="0" w:after="0"/>
        <w:jc w:val="left"/>
        <w:rPr/>
      </w:pPr>
      <w:r>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6480175" cy="175260"/>
                <wp:effectExtent l="0" t="0" r="0" b="0"/>
                <wp:wrapNone/>
                <wp:docPr id="327" name="Frame3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9.18    </w:t>
      </w:r>
      <w:r>
        <w:rPr>
          <w:rFonts w:ascii="Times New Roman;serif" w:hAnsi="Times New Roman;serif"/>
          <w:b w:val="false"/>
          <w:color w:val="000000"/>
          <w:sz w:val="22"/>
          <w:u w:val="single"/>
        </w:rPr>
        <w:t>Certain ERISA Matters</w:t>
      </w:r>
      <w:r>
        <w:rPr>
          <w:rFonts w:ascii="Times New Roman;serif" w:hAnsi="Times New Roman;serif"/>
          <w:b w:val="false"/>
          <w:color w:val="000000"/>
          <w:sz w:val="22"/>
        </w:rPr>
        <w:t xml:space="preserve">. </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any Borrower or any other Loan Party, that at least one of the following is and will be true: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with such Lender’s entrance into, participation in, administration of and performance of the Loans, the Commitments and this Agreement,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such other representation, warranty and covenant as may be agreed in writing between the Agents and such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In addition, unless either (1) </w:t>
      </w:r>
      <w:r>
        <w:rPr>
          <w:rFonts w:ascii="Times New Roman;serif" w:hAnsi="Times New Roman;serif"/>
          <w:b w:val="false"/>
          <w:color w:val="000000"/>
          <w:sz w:val="22"/>
          <w:u w:val="single"/>
        </w:rPr>
        <w:t>sub-clause (i)</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 xml:space="preserve">is true with respect to a Lender or (2) a Lender has provided another representation, warranty and covenant in accordance with </w:t>
      </w:r>
      <w:r>
        <w:rPr>
          <w:rFonts w:ascii="Times New Roman;serif" w:hAnsi="Times New Roman;serif"/>
          <w:b w:val="false"/>
          <w:color w:val="000000"/>
          <w:sz w:val="22"/>
          <w:u w:val="single"/>
        </w:rPr>
        <w:t>sub-clause (iv)</w:t>
      </w:r>
      <w:r>
        <w:rPr>
          <w:color w:val="000000"/>
        </w:rPr>
        <w:t xml:space="preserve"> </w:t>
      </w:r>
      <w:r>
        <w:rPr>
          <w:rFonts w:ascii="Times New Roman;serif" w:hAnsi="Times New Roman;serif"/>
          <w:b w:val="false"/>
          <w:color w:val="000000"/>
          <w:sz w:val="22"/>
        </w:rPr>
        <w:t xml:space="preserve">in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such Lender further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any Borrower or any other Loan Party, that the Agents are not a fiduciary with respect to the assets of such Lender involved in such Lender’s entrance into, participation in, administration of and performance of the Loans, the Commitments and this Agreement (including in connection with the reservation or exercise of any rights by the Agents under this Agreement, any Loan Document or any documents related hereto or thereto).</w:t>
      </w:r>
    </w:p>
    <w:p>
      <w:pPr>
        <w:pStyle w:val="TextBody"/>
        <w:bidi w:val="0"/>
        <w:spacing w:before="0" w:after="0"/>
        <w:jc w:val="left"/>
        <w:rPr/>
      </w:pPr>
      <w:r>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6480175" cy="175260"/>
                <wp:effectExtent l="0" t="0" r="0" b="0"/>
                <wp:wrapNone/>
                <wp:docPr id="328" name="Frame32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9.19    </w:t>
      </w:r>
      <w:r>
        <w:rPr>
          <w:rFonts w:ascii="Times New Roman;serif" w:hAnsi="Times New Roman;serif"/>
          <w:b w:val="false"/>
          <w:color w:val="000000"/>
          <w:sz w:val="22"/>
          <w:u w:val="single"/>
        </w:rPr>
        <w:t>Erroneous Payments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If the Administrative Agent (x) notifies a Lender, L/C Issuer or Secured Party, or any Person who has received funds on behalf of a Lender, L/C Issuer or Secured Party (any such Lender, L/C Issuer, Secured Party or other recipient (and each of their respective successors and assigns) (but for the avoidance of doubt, excluding the Borrower and its Subsidiaries), a “</w:t>
      </w:r>
      <w:r>
        <w:rPr>
          <w:rFonts w:ascii="Times New Roman;serif" w:hAnsi="Times New Roman;serif"/>
          <w:b/>
          <w:color w:val="000000"/>
          <w:sz w:val="22"/>
        </w:rPr>
        <w:t>Payment Recipient</w:t>
      </w:r>
      <w:r>
        <w:rPr>
          <w:color w:val="000000"/>
        </w:rPr>
        <w:t>”</w:t>
      </w:r>
      <w:r>
        <w:rPr>
          <w:rFonts w:ascii="Times New Roman;serif" w:hAnsi="Times New Roman;serif"/>
          <w:b w:val="false"/>
          <w:color w:val="000000"/>
          <w:sz w:val="22"/>
        </w:rPr>
        <w:t xml:space="preserve">) that the Administrative Agent has determined in its sole discretion (whether or not after receipt of any notice under the immediately succeeding </w:t>
      </w:r>
      <w:r>
        <w:rPr>
          <w:rFonts w:ascii="Times New Roman;serif" w:hAnsi="Times New Roman;serif"/>
          <w:b w:val="false"/>
          <w:color w:val="000000"/>
          <w:sz w:val="22"/>
          <w:u w:val="single"/>
        </w:rPr>
        <w:t>clause (b)</w:t>
      </w:r>
      <w:r>
        <w:rPr>
          <w:rFonts w:ascii="Times New Roman;serif" w:hAnsi="Times New Roman;serif"/>
          <w:b w:val="false"/>
          <w:color w:val="000000"/>
          <w:sz w:val="22"/>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L/C Issuer, Secured Party or other Payment Recipient on its behalf) (any such funds, whether transmitted or received as a payment, prepayment or repayment of principal, interest, fees, distribution or otherwise, individually and collectively, an “</w:t>
      </w:r>
      <w:r>
        <w:rPr>
          <w:rFonts w:ascii="Times New Roman;serif" w:hAnsi="Times New Roman;serif"/>
          <w:b/>
          <w:color w:val="000000"/>
          <w:sz w:val="22"/>
        </w:rPr>
        <w:t>Erroneous Payment</w:t>
      </w:r>
      <w:r>
        <w:rPr>
          <w:color w:val="000000"/>
        </w:rPr>
        <w:t>”</w:t>
      </w:r>
      <w:r>
        <w:rPr>
          <w:rFonts w:ascii="Times New Roman;serif" w:hAnsi="Times New Roman;serif"/>
          <w:b w:val="false"/>
          <w:color w:val="000000"/>
          <w:sz w:val="22"/>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serif" w:hAnsi="Times New Roman;serif"/>
          <w:b w:val="false"/>
          <w:color w:val="000000"/>
          <w:sz w:val="22"/>
          <w:u w:val="single"/>
        </w:rPr>
        <w:t>Section 9.19</w:t>
      </w:r>
      <w:r>
        <w:rPr>
          <w:color w:val="000000"/>
        </w:rPr>
        <w:t xml:space="preserve"> </w:t>
      </w:r>
      <w:r>
        <w:rPr>
          <w:rFonts w:ascii="Times New Roman;serif" w:hAnsi="Times New Roman;serif"/>
          <w:b w:val="false"/>
          <w:color w:val="000000"/>
          <w:sz w:val="22"/>
        </w:rPr>
        <w:t xml:space="preserve">and held in trust for the benefit of the Administrative Agent, and such Lender, L/C Issuer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(x) the NYFRB Rate (with respect to any Erroneous Payment denominated in Dollars) or the Central Bank Rate (with respect to any Erroneous Payment denominated in Euros) and (y) a rate determined by the Administrative Agent in accordance with banking industry rules on interbank compensation from time to time in effect. A notice of the Administrative Agent to any Payment Recipient under this </w:t>
      </w:r>
      <w:r>
        <w:rPr>
          <w:rFonts w:ascii="Times New Roman;serif" w:hAnsi="Times New Roman;serif"/>
          <w:b w:val="false"/>
          <w:color w:val="000000"/>
          <w:sz w:val="22"/>
          <w:u w:val="single"/>
        </w:rPr>
        <w:t>clause (a)</w:t>
      </w:r>
      <w:r>
        <w:rPr>
          <w:color w:val="000000"/>
        </w:rPr>
        <w:t xml:space="preserve"> </w:t>
      </w:r>
      <w:r>
        <w:rPr>
          <w:rFonts w:ascii="Times New Roman;serif" w:hAnsi="Times New Roman;serif"/>
          <w:b w:val="false"/>
          <w:color w:val="000000"/>
          <w:sz w:val="22"/>
        </w:rPr>
        <w:t>shall be conclusive, absent manifest error.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Without limiting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each Lender, L/C Issuer, Secured Party or any Person who has received funds on behalf of a Lender, L/C Issuer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L/C Issuer or Secured Party, or other such recipient, otherwise becomes aware was transmitted, or received, in error or by mistake (in whole or in part), then in each such case: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it acknowledges and agrees that (A) in the case of the immediately preceding clauses (x) or (y), an error and mistake shall be presumed to have been made (absent written confirmation from the Administrative Agent to the contrary) or (B) an error and mistake has been made (in the case of the immediately preceding clause (z)), in each case, with respect to such payment, prepayment or repayment; and</w:t>
      </w:r>
    </w:p>
    <w:p>
      <w:pPr>
        <w:pStyle w:val="TextBody"/>
        <w:bidi w:val="0"/>
        <w:spacing w:before="0" w:after="0"/>
        <w:jc w:val="left"/>
        <w:rPr/>
      </w:pPr>
      <w:r>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6480175" cy="175260"/>
                <wp:effectExtent l="0" t="0" r="0" b="0"/>
                <wp:wrapNone/>
                <wp:docPr id="329" name="Frame32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such Lender, L/C Issuer or Secured Party shall (and shall cause any other recipient that receives funds on its respective behalf to) promptly (and, in all events, within one Business Day of its knowledge of the occurrence of any of the circumstances described in the immediately preceding </w:t>
      </w:r>
      <w:r>
        <w:rPr>
          <w:rFonts w:ascii="Times New Roman;serif" w:hAnsi="Times New Roman;serif"/>
          <w:b w:val="false"/>
          <w:color w:val="000000"/>
          <w:sz w:val="22"/>
          <w:u w:val="single"/>
        </w:rPr>
        <w:t>clauses (x)</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(z)</w:t>
      </w:r>
      <w:r>
        <w:rPr>
          <w:rFonts w:ascii="Times New Roman;serif" w:hAnsi="Times New Roman;serif"/>
          <w:b w:val="false"/>
          <w:color w:val="000000"/>
          <w:sz w:val="22"/>
        </w:rPr>
        <w:t xml:space="preserve">)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2"/>
          <w:u w:val="single"/>
        </w:rPr>
        <w:t>Section 9.19(b)</w:t>
      </w:r>
      <w:r>
        <w:rPr>
          <w:rFonts w:ascii="Times New Roman;serif" w:hAnsi="Times New Roman;serif"/>
          <w:b w:val="false"/>
          <w:color w:val="000000"/>
          <w:sz w:val="22"/>
        </w:rPr>
        <w:t>.</w:t>
      </w:r>
    </w:p>
    <w:p>
      <w:pPr>
        <w:pStyle w:val="TextBody"/>
        <w:bidi w:val="0"/>
        <w:spacing w:lineRule="auto" w:line="288" w:before="0" w:after="240"/>
        <w:jc w:val="left"/>
        <w:rPr/>
      </w:pPr>
      <w:r>
        <w:rPr>
          <w:rFonts w:ascii="Times New Roman;serif" w:hAnsi="Times New Roman;serif"/>
          <w:b w:val="false"/>
          <w:color w:val="000000"/>
          <w:sz w:val="22"/>
        </w:rPr>
        <w:t xml:space="preserve">For the avoidance of doubt, the failure to deliver a notice to the Administrative Agent pursuant to this </w:t>
      </w:r>
      <w:r>
        <w:rPr>
          <w:rFonts w:ascii="Times New Roman;serif" w:hAnsi="Times New Roman;serif"/>
          <w:b w:val="false"/>
          <w:color w:val="000000"/>
          <w:sz w:val="22"/>
          <w:u w:val="single"/>
        </w:rPr>
        <w:t>Section 9.19(b)</w:t>
      </w:r>
      <w:r>
        <w:rPr>
          <w:color w:val="000000"/>
        </w:rPr>
        <w:t xml:space="preserve"> </w:t>
      </w:r>
      <w:r>
        <w:rPr>
          <w:rFonts w:ascii="Times New Roman;serif" w:hAnsi="Times New Roman;serif"/>
          <w:b w:val="false"/>
          <w:color w:val="000000"/>
          <w:sz w:val="22"/>
        </w:rPr>
        <w:t xml:space="preserve">shall not have any effect on a Payment Recipient’s obligations pursuant to </w:t>
      </w:r>
      <w:r>
        <w:rPr>
          <w:rFonts w:ascii="Times New Roman;serif" w:hAnsi="Times New Roman;serif"/>
          <w:b w:val="false"/>
          <w:color w:val="000000"/>
          <w:sz w:val="22"/>
          <w:u w:val="single"/>
        </w:rPr>
        <w:t>Section 9.19(a)</w:t>
      </w:r>
      <w:r>
        <w:rPr>
          <w:color w:val="000000"/>
        </w:rPr>
        <w:t xml:space="preserve"> </w:t>
      </w:r>
      <w:r>
        <w:rPr>
          <w:rFonts w:ascii="Times New Roman;serif" w:hAnsi="Times New Roman;serif"/>
          <w:b w:val="false"/>
          <w:color w:val="000000"/>
          <w:sz w:val="22"/>
        </w:rPr>
        <w:t>or on whether or not an Erroneous Payment has been made.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Each Lender, L/C Issuer or Secured Party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under any Loan Document with respect to any payment of principal, interest, fees or other amounts, against any amount that the Administrative Agent has demanded to be returned under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(i) In the event that an Erroneous Payment (or portion thereof) is not recovered by the Administrative Agent for any reason, after demand therefor in accordance with the immediately preceding </w:t>
      </w:r>
      <w:r>
        <w:rPr>
          <w:rFonts w:ascii="Times New Roman;serif" w:hAnsi="Times New Roman;serif"/>
          <w:b w:val="false"/>
          <w:color w:val="000000"/>
          <w:sz w:val="22"/>
          <w:u w:val="single"/>
        </w:rPr>
        <w:t>clause (a)</w:t>
      </w:r>
      <w:r>
        <w:rPr>
          <w:rFonts w:ascii="Times New Roman;serif" w:hAnsi="Times New Roman;serif"/>
          <w:b w:val="false"/>
          <w:color w:val="000000"/>
          <w:sz w:val="22"/>
        </w:rPr>
        <w:t>, from any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color w:val="000000"/>
          <w:sz w:val="22"/>
        </w:rPr>
        <w:t>Erroneous Payment Return Deficiency</w:t>
      </w:r>
      <w:r>
        <w:rPr>
          <w:color w:val="000000"/>
        </w:rPr>
        <w:t>”</w:t>
      </w:r>
      <w:r>
        <w:rPr>
          <w:rFonts w:ascii="Times New Roman;serif" w:hAnsi="Times New Roman;serif"/>
          <w:b w:val="false"/>
          <w:color w:val="000000"/>
          <w:sz w:val="22"/>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serif" w:hAnsi="Times New Roman;serif"/>
          <w:b/>
          <w:color w:val="000000"/>
          <w:sz w:val="22"/>
        </w:rPr>
        <w:t>Erroneous Payment Impacted Class</w:t>
      </w:r>
      <w:r>
        <w:rPr>
          <w:color w:val="000000"/>
        </w:rPr>
        <w:t>”</w:t>
      </w:r>
      <w:r>
        <w:rPr>
          <w:rFonts w:ascii="Times New Roman;serif" w:hAnsi="Times New Roman;serif"/>
          <w:b w:val="false"/>
          <w:color w:val="000000"/>
          <w:sz w:val="22"/>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color w:val="000000"/>
          <w:sz w:val="22"/>
        </w:rPr>
        <w:t>Erroneous Payment Deficiency Assignment</w:t>
      </w:r>
      <w:r>
        <w:rPr>
          <w:color w:val="000000"/>
        </w:rPr>
        <w:t>”</w:t>
      </w:r>
      <w:r>
        <w:rPr>
          <w:rFonts w:ascii="Times New Roman;serif" w:hAnsi="Times New Roman;serif"/>
          <w:b w:val="false"/>
          <w:color w:val="000000"/>
          <w:sz w:val="22"/>
        </w:rPr>
        <w:t xml:space="preserve">) (on a cashless basis and such amount calculated at par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 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6480175" cy="175260"/>
                <wp:effectExtent l="0" t="0" r="0" b="0"/>
                <wp:wrapNone/>
                <wp:docPr id="330" name="Frame32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Subject to </w:t>
      </w:r>
      <w:r>
        <w:rPr>
          <w:rFonts w:ascii="Times New Roman;serif" w:hAnsi="Times New Roman;serif"/>
          <w:b w:val="false"/>
          <w:color w:val="000000"/>
          <w:sz w:val="22"/>
          <w:u w:val="single"/>
        </w:rPr>
        <w:t>Section 10.07</w:t>
      </w:r>
      <w:r>
        <w:rPr>
          <w:color w:val="000000"/>
        </w:rPr>
        <w:t xml:space="preserve"> </w:t>
      </w:r>
      <w:r>
        <w:rPr>
          <w:rFonts w:ascii="Times New Roman;serif" w:hAnsi="Times New Roman;serif"/>
          <w:b w:val="false"/>
          <w:color w:val="000000"/>
          <w:sz w:val="22"/>
        </w:rPr>
        <w:t>(but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pStyle w:val="TextBody"/>
        <w:bidi w:val="0"/>
        <w:spacing w:lineRule="auto" w:line="288" w:before="0" w:after="240"/>
        <w:ind w:left="0" w:right="0" w:firstLine="720"/>
        <w:jc w:val="left"/>
        <w:rPr/>
      </w:pPr>
      <w:r>
        <w:rPr>
          <w:rFonts w:ascii="Times New Roman;serif" w:hAnsi="Times New Roman;serif"/>
          <w:b w:val="false"/>
          <w:color w:val="000000"/>
          <w:sz w:val="22"/>
        </w:rPr>
        <w:t>(e)    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w:t>
      </w:r>
      <w:r>
        <w:rPr>
          <w:rFonts w:ascii="Times New Roman;serif" w:hAnsi="Times New Roman;serif"/>
          <w:b/>
          <w:color w:val="000000"/>
          <w:sz w:val="22"/>
        </w:rPr>
        <w:t>Erroneous Payment Subrogation Rights</w:t>
      </w:r>
      <w:r>
        <w:rPr>
          <w:color w:val="000000"/>
        </w:rPr>
        <w:t>”</w:t>
      </w:r>
      <w:r>
        <w:rPr>
          <w:rFonts w:ascii="Times New Roman;serif" w:hAnsi="Times New Roman;serif"/>
          <w:b w:val="false"/>
          <w:color w:val="000000"/>
          <w:sz w:val="22"/>
        </w:rPr>
        <w:t xml:space="preserve">)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that this </w:t>
      </w:r>
      <w:r>
        <w:rPr>
          <w:rFonts w:ascii="Times New Roman;serif" w:hAnsi="Times New Roman;serif"/>
          <w:b w:val="false"/>
          <w:color w:val="000000"/>
          <w:sz w:val="22"/>
          <w:u w:val="single"/>
        </w:rPr>
        <w:t>Section 9.19</w:t>
      </w:r>
      <w:r>
        <w:rPr>
          <w:color w:val="000000"/>
        </w:rPr>
        <w:t xml:space="preserve"> </w:t>
      </w:r>
      <w:r>
        <w:rPr>
          <w:rFonts w:ascii="Times New Roman;serif" w:hAnsi="Times New Roman;serif"/>
          <w:b w:val="false"/>
          <w:color w:val="000000"/>
          <w:sz w:val="22"/>
        </w:rPr>
        <w:t xml:space="preserve">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for the avoidance of doubt, the immediately preceding </w:t>
      </w:r>
      <w:r>
        <w:rPr>
          <w:rFonts w:ascii="Times New Roman;serif" w:hAnsi="Times New Roman;serif"/>
          <w:b w:val="false"/>
          <w:color w:val="000000"/>
          <w:sz w:val="22"/>
          <w:u w:val="single"/>
        </w:rPr>
        <w:t>clauses (x)</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(y)</w:t>
      </w:r>
      <w:r>
        <w:rPr>
          <w:color w:val="000000"/>
        </w:rPr>
        <w:t xml:space="preserve"> </w:t>
      </w:r>
      <w:r>
        <w:rPr>
          <w:rFonts w:ascii="Times New Roman;serif" w:hAnsi="Times New Roman;serif"/>
          <w:b w:val="false"/>
          <w:color w:val="000000"/>
          <w:sz w:val="22"/>
        </w:rPr>
        <w:t>shall not apply to the extent any such Erroneous Payment is, and solely with respect to the amount of such Erroneous Payment that is, comprised of funds received by the Administrative Agent from the Borrower for the purpose of making any payment hereunder that became subject to such Erroneous Payment.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Each party’s obligations, agreements and waivers under this </w:t>
      </w:r>
      <w:r>
        <w:rPr>
          <w:rFonts w:ascii="Times New Roman;serif" w:hAnsi="Times New Roman;serif"/>
          <w:b w:val="false"/>
          <w:color w:val="000000"/>
          <w:sz w:val="22"/>
          <w:u w:val="single"/>
        </w:rPr>
        <w:t>Section 9.19</w:t>
      </w:r>
      <w:r>
        <w:rPr>
          <w:color w:val="000000"/>
        </w:rPr>
        <w:t xml:space="preserve"> </w:t>
      </w:r>
      <w:r>
        <w:rPr>
          <w:rFonts w:ascii="Times New Roman;serif" w:hAnsi="Times New Roman;serif"/>
          <w:b w:val="false"/>
          <w:color w:val="000000"/>
          <w:sz w:val="22"/>
        </w:rPr>
        <w:t>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6480175" cy="175260"/>
                <wp:effectExtent l="0" t="0" r="0" b="0"/>
                <wp:wrapNone/>
                <wp:docPr id="331" name="Frame32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pPr>
      <w:r>
        <w:rPr>
          <w:rFonts w:ascii="Times New Roman;serif" w:hAnsi="Times New Roman;serif"/>
          <w:b/>
          <w:color w:val="000000"/>
          <w:sz w:val="24"/>
        </w:rPr>
        <w:t>ARTICLE X</w:t>
      </w:r>
      <w:r>
        <w:rPr>
          <w:rFonts w:ascii="Times New Roman;serif" w:hAnsi="Times New Roman;serif"/>
          <w:b/>
          <w:color w:val="000000"/>
          <w:sz w:val="22"/>
        </w:rPr>
        <w:br/>
        <w:br/>
        <w:t>MISCELLANEOUS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10.01    </w:t>
      </w:r>
      <w:r>
        <w:rPr>
          <w:rFonts w:ascii="Times New Roman;serif" w:hAnsi="Times New Roman;serif"/>
          <w:b w:val="false"/>
          <w:color w:val="000000"/>
          <w:sz w:val="22"/>
          <w:u w:val="single"/>
        </w:rPr>
        <w:t>Amendments, Etc</w:t>
      </w:r>
      <w:r>
        <w:rPr>
          <w:rFonts w:ascii="Times New Roman;serif" w:hAnsi="Times New Roman;serif"/>
          <w:b w:val="false"/>
          <w:color w:val="000000"/>
          <w:sz w:val="22"/>
        </w:rPr>
        <w:t xml:space="preserve">. Except as otherwise expressly set forth in this Agreement or the applicable Loan Document, no amendment or waiver of any provision of this Agreement or any other Loan Document, and no consent to any departure by any Borrower or any other Loan Party therefrom, shall be effective unless in writing signed by the Required Lenders (or by the Administrative Agent at the instruction of the Required Lenders) and the Company or the applicable Loan Party, as applicable, and acknowledged by the Administrative Agent (other than with respect to any amendment or waiver contemplated in clause (h) below, which shall only require the consent of the Required Revolving Lenders and acknowledged by the Administrative Agent), and each such amendment, waiver or consent shall be effective only in the specific instance and for the specific purpose for which given; </w:t>
      </w:r>
      <w:r>
        <w:rPr>
          <w:rFonts w:ascii="Times New Roman;serif" w:hAnsi="Times New Roman;serif"/>
          <w:b w:val="false"/>
          <w:i/>
          <w:color w:val="000000"/>
          <w:sz w:val="22"/>
        </w:rPr>
        <w:t>provided, however</w:t>
      </w:r>
      <w:r>
        <w:rPr>
          <w:rFonts w:ascii="Times New Roman;serif" w:hAnsi="Times New Roman;serif"/>
          <w:b w:val="false"/>
          <w:color w:val="000000"/>
          <w:sz w:val="22"/>
        </w:rPr>
        <w:t>, that no such amendment, waiver or consent shall:</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extend or increase the Commitment of any Lender, or reinstate the Commitment of any Lender after the termination of such Commitment pursuant to </w:t>
      </w:r>
      <w:r>
        <w:rPr>
          <w:rFonts w:ascii="Times New Roman;serif" w:hAnsi="Times New Roman;serif"/>
          <w:b w:val="false"/>
          <w:color w:val="000000"/>
          <w:sz w:val="22"/>
          <w:u w:val="single"/>
        </w:rPr>
        <w:t>Section 8.02</w:t>
      </w:r>
      <w:r>
        <w:rPr>
          <w:rFonts w:ascii="Times New Roman;serif" w:hAnsi="Times New Roman;serif"/>
          <w:b w:val="false"/>
          <w:color w:val="000000"/>
          <w:sz w:val="22"/>
        </w:rPr>
        <w:t xml:space="preserve">, in each case without the written consent of such Lender (it being understood that a waiver of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or the waiver of (or amendment to the terms of) any Default or Event of Default, mandatory prepayment or mandatory reduction of the Commitments shall not constitute an extension or increase of any Commitment of any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postpone any date scheduled for, or reduce the amount of, any payment of principal of, or interest on, any Loan or L/C Borrowing or any fees or other amounts payable hereunder, without the written consent of each Lender directly and adversely affected thereby (and subject to such further requirements as may be applicable thereto under </w:t>
      </w:r>
      <w:r>
        <w:rPr>
          <w:rFonts w:ascii="Times New Roman;serif" w:hAnsi="Times New Roman;serif"/>
          <w:b w:val="false"/>
          <w:color w:val="000000"/>
          <w:sz w:val="22"/>
          <w:u w:val="single"/>
        </w:rPr>
        <w:t>Section 2.19</w:t>
      </w:r>
      <w:r>
        <w:rPr>
          <w:rFonts w:ascii="Times New Roman;serif" w:hAnsi="Times New Roman;serif"/>
          <w:b w:val="false"/>
          <w:color w:val="000000"/>
          <w:sz w:val="22"/>
        </w:rPr>
        <w:t>), it being understood that the waiver of any obligation to pay interest at the Default Rate, or the amendment or waiver of any mandatory prepayment of Loans under the any Term Facilities shall not constitute a postponement of any date scheduled for the payment of principal, interest or fees;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reduce the principal of, or the rate of interest specified herein on, or change the currency of, any Loan or L/C Borrowing (it being understood that a waiver of any Default or Event of Default or mandatory prepayment shall not constitute a reduction or forgiveness of principal), or (subject to </w:t>
      </w:r>
      <w:r>
        <w:rPr>
          <w:rFonts w:ascii="Times New Roman;serif" w:hAnsi="Times New Roman;serif"/>
          <w:b w:val="false"/>
          <w:color w:val="000000"/>
          <w:sz w:val="22"/>
          <w:u w:val="single"/>
        </w:rPr>
        <w:t>clause (iv)</w:t>
      </w:r>
      <w:r>
        <w:rPr>
          <w:color w:val="000000"/>
        </w:rPr>
        <w:t xml:space="preserve"> </w:t>
      </w:r>
      <w:r>
        <w:rPr>
          <w:rFonts w:ascii="Times New Roman;serif" w:hAnsi="Times New Roman;serif"/>
          <w:b w:val="false"/>
          <w:color w:val="000000"/>
          <w:sz w:val="22"/>
        </w:rPr>
        <w:t xml:space="preserve">of the second proviso to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below) any fees or other amounts payable hereunder or under any other Loan Document without the written consent of each Lender directly and adversely affected thereby; </w:t>
      </w:r>
      <w:r>
        <w:rPr>
          <w:rFonts w:ascii="Times New Roman;serif" w:hAnsi="Times New Roman;serif"/>
          <w:b w:val="false"/>
          <w:i/>
          <w:color w:val="000000"/>
          <w:sz w:val="22"/>
        </w:rPr>
        <w:t>provided, however</w:t>
      </w:r>
      <w:r>
        <w:rPr>
          <w:rFonts w:ascii="Times New Roman;serif" w:hAnsi="Times New Roman;serif"/>
          <w:b w:val="false"/>
          <w:color w:val="000000"/>
          <w:sz w:val="22"/>
        </w:rPr>
        <w:t>, that only the consent of the Required Lenders shall be necessary to amend the definition of “Default Rate”, to waive any obligation of any Borrower to pay interest at the Default Rate or to waive or amend the MFN Provision;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(d)    amend or modify any term or provision of any Loan Document to permit the issuance or incurrence of any Indebtedness for borrowed money (including any exchange of existing Indebtedness that results in another class of Indebtedness for borrowed money) with respect to which the Liens on all or substantially all of the Collateral securing the Obligations of any Tranche would be subordinated, except (A) Indebtedness that is expressly permitted by this Agreement as in effect as of the Closing Date to be secured by a Lien that is senior (including by way of subordination) to the Lien securing the Obligations, (B) any “debtor-in-possession” facility (or similar financing under applicable Law) or (C) any other Indebtedness so long as the opportunity to participate in such Indebtedness is offered ratably to all adversely affected Lenders, in each case, without the written consent of each Lender directly and adversely affected thereby;</w:t>
      </w:r>
    </w:p>
    <w:p>
      <w:pPr>
        <w:pStyle w:val="TextBody"/>
        <w:bidi w:val="0"/>
        <w:spacing w:before="0" w:after="0"/>
        <w:jc w:val="left"/>
        <w:rPr/>
      </w:pPr>
      <w:r>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6480175" cy="175260"/>
                <wp:effectExtent l="0" t="0" r="0" b="0"/>
                <wp:wrapNone/>
                <wp:docPr id="332" name="Frame3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change (i) any provision of this </w:t>
      </w:r>
      <w:r>
        <w:rPr>
          <w:rFonts w:ascii="Times New Roman;serif" w:hAnsi="Times New Roman;serif"/>
          <w:b w:val="false"/>
          <w:color w:val="000000"/>
          <w:sz w:val="22"/>
          <w:u w:val="single"/>
        </w:rPr>
        <w:t>Section 10.01</w:t>
      </w:r>
      <w:r>
        <w:rPr>
          <w:rFonts w:ascii="Times New Roman;serif" w:hAnsi="Times New Roman;serif"/>
          <w:b w:val="false"/>
          <w:color w:val="000000"/>
          <w:sz w:val="22"/>
        </w:rPr>
        <w:t xml:space="preserve">, or the definition of Required Lenders, or any other provision hereof specifying the number or percentage of Lenders or portion of the Loans or Commitments required to amend, waive or otherwise modify any rights hereunder or make any determination or grant any consent hereunder (other than the definition specified in </w:t>
      </w:r>
      <w:r>
        <w:rPr>
          <w:rFonts w:ascii="Times New Roman;serif" w:hAnsi="Times New Roman;serif"/>
          <w:b w:val="false"/>
          <w:color w:val="000000"/>
          <w:sz w:val="22"/>
          <w:u w:val="single"/>
        </w:rPr>
        <w:t>clause (ii)</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10.01(e)</w:t>
      </w:r>
      <w:r>
        <w:rPr>
          <w:color w:val="000000"/>
        </w:rPr>
        <w:t xml:space="preserve"> </w:t>
      </w:r>
      <w:r>
        <w:rPr>
          <w:rFonts w:ascii="Times New Roman;serif" w:hAnsi="Times New Roman;serif"/>
          <w:b w:val="false"/>
          <w:color w:val="000000"/>
          <w:sz w:val="22"/>
        </w:rPr>
        <w:t xml:space="preserve">or modifications in connection with repurchases of Term Loans, amendments with respect to the New Term Facilities or New Revolving Facility and amendments with respect to extensions of maturity, which shall only require the written consent of each Lender directly and adversely affected thereby), without the written consent of each Lender; (ii) the definition of “Required Revolving Lenders,” without the written consent of each Revolving Credit Lender or (iii) the provisions of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8.04</w:t>
      </w:r>
      <w:r>
        <w:rPr>
          <w:rFonts w:ascii="Times New Roman;serif" w:hAnsi="Times New Roman;serif"/>
          <w:b w:val="false"/>
          <w:color w:val="000000"/>
          <w:sz w:val="22"/>
        </w:rPr>
        <w:t>, in each case, in a manner that would alter the pro rata sharing of payments or setoffs required thereby without the written consent of each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other than in a transaction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7.04</w:t>
      </w:r>
      <w:r>
        <w:rPr>
          <w:rFonts w:ascii="Times New Roman;serif" w:hAnsi="Times New Roman;serif"/>
          <w:b w:val="false"/>
          <w:color w:val="000000"/>
          <w:sz w:val="22"/>
        </w:rPr>
        <w:t>, release all or substantially all of the Liens on the Collateral in any transaction or series of related transactions, without the written consent of each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(g)    other than in a transaction permitted under </w:t>
      </w:r>
      <w:r>
        <w:rPr>
          <w:rFonts w:ascii="Times New Roman;serif" w:hAnsi="Times New Roman;serif"/>
          <w:b w:val="false"/>
          <w:color w:val="000000"/>
          <w:sz w:val="22"/>
          <w:u w:val="single"/>
        </w:rPr>
        <w:t>Section 7.03</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7.04</w:t>
      </w:r>
      <w:r>
        <w:rPr>
          <w:color w:val="000000"/>
        </w:rPr>
        <w:t xml:space="preserve"> </w:t>
      </w:r>
      <w:r>
        <w:rPr>
          <w:rFonts w:ascii="Times New Roman;serif" w:hAnsi="Times New Roman;serif"/>
          <w:b w:val="false"/>
          <w:color w:val="000000"/>
          <w:sz w:val="22"/>
        </w:rPr>
        <w:t xml:space="preserve">or as provided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 release all or substantially all of the aggregate value of the Guaranty, or all or substantially all of the Guarantors, without the written consent of each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(h)    (i) amend or otherwise modify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 xml:space="preserve">(or for the purposes of determining compliance with the Financial Covenant, any defined terms used therein (including, for the avoidance of doubt the parenthetical phrases in </w:t>
      </w:r>
      <w:r>
        <w:rPr>
          <w:rFonts w:ascii="Times New Roman;serif" w:hAnsi="Times New Roman;serif"/>
          <w:b w:val="false"/>
          <w:color w:val="000000"/>
          <w:sz w:val="22"/>
          <w:u w:val="single"/>
        </w:rPr>
        <w:t>clauses (1)(g)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(u)</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(v)</w:t>
      </w:r>
      <w:r>
        <w:rPr>
          <w:color w:val="000000"/>
        </w:rPr>
        <w:t xml:space="preserve"> </w:t>
      </w:r>
      <w:r>
        <w:rPr>
          <w:rFonts w:ascii="Times New Roman;serif" w:hAnsi="Times New Roman;serif"/>
          <w:b w:val="false"/>
          <w:color w:val="000000"/>
          <w:sz w:val="22"/>
        </w:rPr>
        <w:t xml:space="preserve">of the definition of “Consolidated EBITDA” referring to the determination of compliance with </w:t>
      </w:r>
      <w:r>
        <w:rPr>
          <w:rFonts w:ascii="Times New Roman;serif" w:hAnsi="Times New Roman;serif"/>
          <w:b w:val="false"/>
          <w:color w:val="000000"/>
          <w:sz w:val="22"/>
          <w:u w:val="single"/>
        </w:rPr>
        <w:t>Section 7.08)</w:t>
      </w:r>
      <w:r>
        <w:rPr>
          <w:rFonts w:ascii="Times New Roman;serif" w:hAnsi="Times New Roman;serif"/>
          <w:b w:val="false"/>
          <w:color w:val="000000"/>
          <w:sz w:val="22"/>
        </w:rPr>
        <w:t xml:space="preserve">), (ii) waive or consent to any Default or Event of Default resulting from a breach of the Financial Covenant, (iii) alter the rights or remedies of the Required Revolving Lenders arising pursuant to </w:t>
      </w:r>
      <w:r>
        <w:rPr>
          <w:rFonts w:ascii="Times New Roman;serif" w:hAnsi="Times New Roman;serif"/>
          <w:b w:val="false"/>
          <w:color w:val="000000"/>
          <w:sz w:val="22"/>
          <w:u w:val="single"/>
        </w:rPr>
        <w:t>Article VIII</w:t>
      </w:r>
      <w:r>
        <w:rPr>
          <w:color w:val="000000"/>
        </w:rPr>
        <w:t xml:space="preserve"> </w:t>
      </w:r>
      <w:r>
        <w:rPr>
          <w:rFonts w:ascii="Times New Roman;serif" w:hAnsi="Times New Roman;serif"/>
          <w:b w:val="false"/>
          <w:color w:val="000000"/>
          <w:sz w:val="22"/>
        </w:rPr>
        <w:t xml:space="preserve">as a result of a breach of </w:t>
      </w:r>
      <w:r>
        <w:rPr>
          <w:rFonts w:ascii="Times New Roman;serif" w:hAnsi="Times New Roman;serif"/>
          <w:b w:val="false"/>
          <w:color w:val="000000"/>
          <w:sz w:val="22"/>
          <w:u w:val="single"/>
        </w:rPr>
        <w:t>Section 7.08</w:t>
      </w:r>
      <w:r>
        <w:rPr>
          <w:color w:val="000000"/>
        </w:rPr>
        <w:t xml:space="preserve"> </w:t>
      </w:r>
      <w:r>
        <w:rPr>
          <w:rFonts w:ascii="Times New Roman;serif" w:hAnsi="Times New Roman;serif"/>
          <w:b w:val="false"/>
          <w:color w:val="000000"/>
          <w:sz w:val="22"/>
        </w:rPr>
        <w:t xml:space="preserve">or (iv) waive any condition precedent set forth in </w:t>
      </w:r>
      <w:r>
        <w:rPr>
          <w:rFonts w:ascii="Times New Roman;serif" w:hAnsi="Times New Roman;serif"/>
          <w:b w:val="false"/>
          <w:color w:val="000000"/>
          <w:sz w:val="22"/>
          <w:u w:val="single"/>
        </w:rPr>
        <w:t>Section 4.02</w:t>
      </w:r>
      <w:r>
        <w:rPr>
          <w:color w:val="000000"/>
        </w:rPr>
        <w:t xml:space="preserve"> </w:t>
      </w:r>
      <w:r>
        <w:rPr>
          <w:rFonts w:ascii="Times New Roman;serif" w:hAnsi="Times New Roman;serif"/>
          <w:b w:val="false"/>
          <w:color w:val="000000"/>
          <w:sz w:val="22"/>
        </w:rPr>
        <w:t xml:space="preserve">with respect to Credit Extensions involving the Revolving Credit Facility, in each case, without the written consent of the Required Revolving Lenders (other than any Defaulting Lender);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amendments, modifications, waivers and consents described in this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shall not require the consent of any Lenders other than the Required Revolving Lenders;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amend, waive or grant any consent that would affect the rights or duties of an L/C Issuer, in its capacity as such, under this Agreement or any Letter of Credit Application or other Issuer Document relating to any Letter of Credit issued or to be issued by it without the written consent of such L/C Issuer in addition to the Borrowers and the Lenders required above;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(j)    amend, waive or grant any consent that would affect the rights or duties of, or any fees or other amounts payable to, the Administrative Agent or the Collateral Agent, as applicable, under this Agreement or any other Loan Document without the written consent of the Administrative Agent, the Collateral Agent in their respective capacities as such, in addition to the Borrowers and the Lenders required above; or</w:t>
      </w:r>
    </w:p>
    <w:p>
      <w:pPr>
        <w:pStyle w:val="TextBody"/>
        <w:bidi w:val="0"/>
        <w:spacing w:lineRule="auto" w:line="288" w:before="0" w:after="240"/>
        <w:ind w:left="0" w:right="0" w:firstLine="720"/>
        <w:jc w:val="left"/>
        <w:rPr/>
      </w:pPr>
      <w:r>
        <w:rPr>
          <w:rFonts w:ascii="Times New Roman;serif" w:hAnsi="Times New Roman;serif"/>
          <w:b w:val="false"/>
          <w:color w:val="000000"/>
          <w:sz w:val="22"/>
        </w:rPr>
        <w:t>(k)    </w:t>
      </w:r>
      <w:r>
        <w:rPr>
          <w:rFonts w:ascii="Times New Roman;serif" w:hAnsi="Times New Roman;serif"/>
          <w:b w:val="false"/>
          <w:color w:val="000000"/>
          <w:sz w:val="22"/>
          <w:u w:val="single"/>
        </w:rPr>
        <w:t>Section 10.07(g)</w:t>
      </w:r>
      <w:r>
        <w:rPr>
          <w:color w:val="000000"/>
        </w:rPr>
        <w:t xml:space="preserve"> </w:t>
      </w:r>
      <w:r>
        <w:rPr>
          <w:rFonts w:ascii="Times New Roman;serif" w:hAnsi="Times New Roman;serif"/>
          <w:b w:val="false"/>
          <w:color w:val="000000"/>
          <w:sz w:val="22"/>
        </w:rPr>
        <w:t>may not be amended, waived or otherwise modified without the consent of each Granting Lender all or any part of whose Loans are being funded by an SPC at the time of such amendment, waiver or other modification.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herein, any amendment, modification, waiver or other action which by its terms requires the consent of all Lenders or each affected Lender may be effected with </w:t>
      </w:r>
    </w:p>
    <w:p>
      <w:pPr>
        <w:pStyle w:val="TextBody"/>
        <w:bidi w:val="0"/>
        <w:spacing w:before="0" w:after="0"/>
        <w:jc w:val="left"/>
        <w:rPr/>
      </w:pPr>
      <w:r>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6480175" cy="175260"/>
                <wp:effectExtent l="0" t="0" r="0" b="0"/>
                <wp:wrapNone/>
                <wp:docPr id="333" name="Frame3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the consent of the applicable Lenders other than Defaulting Lenders, except that (x) no amendment, waiver or consent relating to </w:t>
      </w:r>
      <w:r>
        <w:rPr>
          <w:rFonts w:ascii="Times New Roman;serif" w:hAnsi="Times New Roman;serif"/>
          <w:b w:val="false"/>
          <w:color w:val="000000"/>
          <w:sz w:val="22"/>
          <w:u w:val="single"/>
        </w:rPr>
        <w:t>Section 10.01(a)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may be effected, in each case without the consent of such Defaulting Lender and (y) any amendment, modification, waiver or other action that by its terms adversely affects any Defaulting Lender in its capacity as a Lender in a manner that differs in any material respect from, and is more adverse to such Defaulting Lender than it is to, other affected Lenders shall require the consent of such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Notwithstanding anything to the contrary herein, (1)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if such Lenders were the only Lenders hereunder at the time, (2) to the extent any Lenders under any New Revolving Facility have elected to not receive the benefit of the Financial Covenant, the New Revolving Commitments and New Revolving Loans of such Lenders shall be excluded in calculating the votes of any “Required Revolving Lenders” for purposes of </w:t>
      </w:r>
      <w:r>
        <w:rPr>
          <w:rFonts w:ascii="Times New Roman;serif" w:hAnsi="Times New Roman;serif"/>
          <w:b w:val="false"/>
          <w:color w:val="000000"/>
          <w:sz w:val="22"/>
          <w:u w:val="single"/>
        </w:rPr>
        <w:t>Section 2.03(g)</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10.01(h)</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8.01(b)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and (3) any fee letter may be amended, or the rights or privileges thereunder waived, in a writing executed only by the parties thereto.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shall be subject to any contrary provision of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2.19</w:t>
      </w:r>
      <w:r>
        <w:rPr>
          <w:rFonts w:ascii="Times New Roman;serif" w:hAnsi="Times New Roman;serif"/>
          <w:b w:val="false"/>
          <w:color w:val="000000"/>
          <w:sz w:val="22"/>
        </w:rPr>
        <w:t xml:space="preserve">. In addition, notwithstanding anything else to the contrary contained in this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or otherwise herein, (a) amendments and modifications to this Agreement and to any other Loan Document in connection with the transactions provided for by </w:t>
      </w:r>
      <w:r>
        <w:rPr>
          <w:rFonts w:ascii="Times New Roman;serif" w:hAnsi="Times New Roman;serif"/>
          <w:b w:val="false"/>
          <w:color w:val="000000"/>
          <w:sz w:val="22"/>
          <w:u w:val="single"/>
        </w:rPr>
        <w:t>Section 2.14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2.17</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2.18</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2.19</w:t>
      </w:r>
      <w:r>
        <w:rPr>
          <w:color w:val="000000"/>
        </w:rPr>
        <w:t xml:space="preserve"> </w:t>
      </w:r>
      <w:r>
        <w:rPr>
          <w:rFonts w:ascii="Times New Roman;serif" w:hAnsi="Times New Roman;serif"/>
          <w:b w:val="false"/>
          <w:color w:val="000000"/>
          <w:sz w:val="22"/>
        </w:rPr>
        <w:t xml:space="preserve">that benefit existing Lenders may be effected without such Lenders’ consent, (b) if the Administrative Agent and the Company shall have jointly identified an obvious error or any error, ambiguity or omission, defect or inconsistency of a technical nature, in each case, in any provision of the Loan Documents, then the Administrative Agent and the Company shall be permitted to amend or modify such provision, (c) the Administrative Agent and the Company shall be permitted to amend or modify any provision of any Collateral Document, the Guaranty or any other Loan Document, or enter into any new agreement or instrument, to be consistent with this Agreement and the other Loan Documents or as required by local law to give effect to any guaranty, or to give effect to or to protect any security interest for the benefit of the Secured Parties, in any property so that the security interests comply with applicable Law, and in each case, such amendments, documents and agreements shall become effective without any further action or consent of any other party to any Loan Document if the same is not objected to in writing by the Required Lenders to the Administrative Agent within five Business Days following receipt of notice thereof, (d) the Administrative Agent and the Company shall be permitted to amend or modify any Loan Document to effect the provisions of </w:t>
      </w:r>
      <w:r>
        <w:rPr>
          <w:rFonts w:ascii="Times New Roman;serif" w:hAnsi="Times New Roman;serif"/>
          <w:b w:val="false"/>
          <w:color w:val="000000"/>
          <w:sz w:val="22"/>
          <w:u w:val="single"/>
        </w:rPr>
        <w:t>Article XI</w:t>
      </w:r>
      <w:r>
        <w:rPr>
          <w:color w:val="000000"/>
        </w:rPr>
        <w:t xml:space="preserve"> </w:t>
      </w:r>
      <w:r>
        <w:rPr>
          <w:rFonts w:ascii="Times New Roman;serif" w:hAnsi="Times New Roman;serif"/>
          <w:b w:val="false"/>
          <w:color w:val="000000"/>
          <w:sz w:val="22"/>
        </w:rPr>
        <w:t>and (e) the Administrative Agent and the Company shall be permitted to amend or modify any Loan Document to comply with local law or advice or local counsel.</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 Administrative Agent or any Lender to undertake any action (or refrain from taking any action) with respect to or under any Loan Document, any Lender (other than (x) any Lender that is a Regulated Bank and (y) any Revolving Credit Lender or its Affiliates as of the Closing Date) that, as a result of its interest in any total return swap, total rate of return swap, credit default swap or other derivative contract (other </w:t>
      </w:r>
    </w:p>
    <w:p>
      <w:pPr>
        <w:pStyle w:val="TextBody"/>
        <w:bidi w:val="0"/>
        <w:spacing w:before="0" w:after="0"/>
        <w:jc w:val="left"/>
        <w:rPr/>
      </w:pPr>
      <w:r>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6480175" cy="175260"/>
                <wp:effectExtent l="0" t="0" r="0" b="0"/>
                <wp:wrapNone/>
                <wp:docPr id="334" name="Frame33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serif" w:hAnsi="Times New Roman;serif"/>
          <w:b/>
          <w:color w:val="000000"/>
          <w:sz w:val="22"/>
        </w:rPr>
        <w:t>Net Short Lender</w:t>
      </w:r>
      <w:r>
        <w:rPr>
          <w:color w:val="000000"/>
        </w:rPr>
        <w:t>”</w:t>
      </w:r>
      <w:r>
        <w:rPr>
          <w:rFonts w:ascii="Times New Roman;serif" w:hAnsi="Times New Roman;serif"/>
          <w:b w:val="false"/>
          <w:color w:val="000000"/>
          <w:sz w:val="22"/>
        </w:rPr>
        <w:t>) shall not, without the consent of the Company (in its sole discretion), have any right to vote any of its Loans and Commitments and shall be deemed to have voted its interest as a Lender without discretion in the same proportion as the allocation of voting with respect to such matter by Lenders who are not Net Short Lenders.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For purposes of determining whether a Lender has a “net short position” on any date of determination: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derivative contracts with respect to the Loans and Commitments and such contracts that are the functional equivalent thereof shall be counted at the notional amount thereof in Dollars,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derivative contracts in respect of an index that includes any of the Borrowers or other Loan Parties or any instrument issued or guaranteed by any of the Borrowers or other Loan Parties shall not be deemed to create a short position with respect to the Loans and/or Commitments, so long as (x) such index is not created, designed, administered or requested by such Lender or its Affiliates and (y) the Borrowers and the other Loan Parties and any instrument issued or guaranteed by any of the Borrowers or other Loan Parties, collectively, shall represent less than five percent (5%) of the components of such index,</w:t>
      </w:r>
    </w:p>
    <w:p>
      <w:pPr>
        <w:pStyle w:val="TextBody"/>
        <w:bidi w:val="0"/>
        <w:spacing w:lineRule="auto" w:line="288" w:before="0" w:after="240"/>
        <w:ind w:left="0" w:right="0" w:firstLine="720"/>
        <w:jc w:val="left"/>
        <w:rPr/>
      </w:pPr>
      <w:r>
        <w:rPr>
          <w:rFonts w:ascii="Times New Roman;serif" w:hAnsi="Times New Roman;serif"/>
          <w:b w:val="false"/>
          <w:color w:val="000000"/>
          <w:sz w:val="22"/>
        </w:rPr>
        <w:t>(iv)    derivative transactions that are documented using either the 2014 ISDA Credit Derivatives Definitions or the 2003 ISDA Credit Derivative Definitions (collectively, the “</w:t>
      </w:r>
      <w:r>
        <w:rPr>
          <w:rFonts w:ascii="Times New Roman;serif" w:hAnsi="Times New Roman;serif"/>
          <w:b/>
          <w:color w:val="000000"/>
          <w:sz w:val="22"/>
        </w:rPr>
        <w:t>ISDA CDS Definitions</w:t>
      </w:r>
      <w:r>
        <w:rPr>
          <w:color w:val="000000"/>
        </w:rPr>
        <w:t>”</w:t>
      </w:r>
      <w:r>
        <w:rPr>
          <w:rFonts w:ascii="Times New Roman;serif" w:hAnsi="Times New Roman;serif"/>
          <w:b w:val="false"/>
          <w:color w:val="000000"/>
          <w:sz w:val="22"/>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Borrowers or other Loan Parties (or its successor) is designated as a “Reference Entity” under the terms of such derivative transaction,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    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Borrowers or other Loan Parties other than, in each case, as part of an index so long as (x) such index is not created, designed, administered or requested by such Lender or its Affiliates and (y) the Borrowers and other Loan Parties and any instrument issued or guaranteed by any of the Borrowers or other Loan Parties, collectively, shall represent less than five percent (5%) of the components of such index.</w:t>
      </w:r>
    </w:p>
    <w:p>
      <w:pPr>
        <w:pStyle w:val="TextBody"/>
        <w:bidi w:val="0"/>
        <w:spacing w:before="0" w:after="0"/>
        <w:jc w:val="left"/>
        <w:rPr/>
      </w:pPr>
      <w:r>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6480175" cy="175260"/>
                <wp:effectExtent l="0" t="0" r="0" b="0"/>
                <wp:wrapNone/>
                <wp:docPr id="335" name="Frame3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any such determination, each Lender shall promptly notify the Administrative Agent in writing that it is a Net Short Lender, or shall otherwise be deemed to have represented and warranted to the Borrowers and the Administrative Agent that it is not a Net Short Lender (it being understood and agreed that the Borrowers and the Administrative Agent shall be entitled to rely on each such representation and deemed representation without independent verification thereof).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10.02    </w:t>
      </w:r>
      <w:r>
        <w:rPr>
          <w:rFonts w:ascii="Times New Roman;serif" w:hAnsi="Times New Roman;serif"/>
          <w:b w:val="false"/>
          <w:color w:val="000000"/>
          <w:sz w:val="22"/>
          <w:u w:val="single"/>
        </w:rPr>
        <w:t>Notices; Electronic Communications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General.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if to the Company, any other Loan Party, the Administrative Agent, the Collateral Agent or an L/C Issuer, to the address, telecopier number, electronic mail address or telephone number specified for such Person on </w:t>
      </w:r>
      <w:r>
        <w:rPr>
          <w:rFonts w:ascii="Times New Roman;serif" w:hAnsi="Times New Roman;serif"/>
          <w:b w:val="false"/>
          <w:color w:val="000000"/>
          <w:sz w:val="22"/>
          <w:u w:val="single"/>
        </w:rPr>
        <w:t>Schedule 10.02</w:t>
      </w:r>
      <w:r>
        <w:rPr>
          <w:color w:val="000000"/>
        </w:rPr>
        <w:t xml:space="preserve"> </w:t>
      </w:r>
      <w:r>
        <w:rPr>
          <w:rFonts w:ascii="Times New Roman;serif" w:hAnsi="Times New Roman;serif"/>
          <w:b w:val="false"/>
          <w:color w:val="000000"/>
          <w:sz w:val="22"/>
        </w:rPr>
        <w:t xml:space="preserve">or to such other address, telecopier number, electronic mail address or telephone number as shall be designated by such party in a notice to the other parties hereto, as provided in </w:t>
      </w:r>
      <w:r>
        <w:rPr>
          <w:rFonts w:ascii="Times New Roman;serif" w:hAnsi="Times New Roman;serif"/>
          <w:b w:val="false"/>
          <w:color w:val="000000"/>
          <w:sz w:val="22"/>
          <w:u w:val="single"/>
        </w:rPr>
        <w:t>Section 10.02(d)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if to any other Lender, to the address, telecopier number, electronic mail address or telephone number specified in its Administrative Questionnaire;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if to any Hedge Bank or Cash Management Bank, at its address specified in the applicable Secured Hedge Agreement or Secured Cash Management Agreement to which it is a party, or as otherwise agreed between the Company or any Restricted Subsidiary and such Hedge Bank or Cash Management Bank.</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 xml:space="preserve">below shall be effective as provided in such </w:t>
      </w:r>
      <w:r>
        <w:rPr>
          <w:rFonts w:ascii="Times New Roman;serif" w:hAnsi="Times New Roman;serif"/>
          <w:b w:val="false"/>
          <w:color w:val="000000"/>
          <w:sz w:val="22"/>
          <w:u w:val="single"/>
        </w:rPr>
        <w:t>clause (b)</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Electronic Communications.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serif" w:hAnsi="Times New Roman;serif"/>
          <w:b w:val="false"/>
          <w:i/>
          <w:color w:val="000000"/>
          <w:sz w:val="22"/>
        </w:rPr>
        <w:t>provided</w:t>
      </w:r>
      <w:r>
        <w:rPr>
          <w:color w:val="000000"/>
        </w:rPr>
        <w:t xml:space="preserve"> </w:t>
      </w:r>
      <w:r>
        <w:rPr>
          <w:rFonts w:ascii="Times New Roman;serif" w:hAnsi="Times New Roman;serif"/>
          <w:b w:val="false"/>
          <w:color w:val="000000"/>
          <w:sz w:val="22"/>
        </w:rPr>
        <w:t xml:space="preserve">that the foregoing shall not apply to notices to any Lender or any L/C Issuer pursuant to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 xml:space="preserve">if such Lender or such L/C Issuer, as applicable, has notified the Administrative Agent that it is incapable of receiving, or is unwilling to receive, notices under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by electronic communication. The Administrative Agent or any Borrower may, in its discretion, agree to accept notices and other communications to it hereunder by electronic communications pursuant to procedures approved by it; that approval of such procedures may be limited to particular notices or communications.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Unless the Administrative Agent otherwise prescribes (with the Company’s consent), (i) notices and other communications sent to an e-mail address shall be deemed received upon the sender’s receipt of an acknowledgment from the intended recipient (such as by the “return receipt requested” function, as available, return e-mail or other written acknowledgement); that if such notice or other communication is </w:t>
      </w:r>
    </w:p>
    <w:p>
      <w:pPr>
        <w:pStyle w:val="TextBody"/>
        <w:bidi w:val="0"/>
        <w:spacing w:before="0" w:after="0"/>
        <w:jc w:val="left"/>
        <w:rPr/>
      </w:pPr>
      <w:r>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6480175" cy="175260"/>
                <wp:effectExtent l="0" t="0" r="0" b="0"/>
                <wp:wrapNone/>
                <wp:docPr id="336" name="Frame3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serif" w:hAnsi="Times New Roman;serif"/>
          <w:b w:val="false"/>
          <w:color w:val="000000"/>
          <w:sz w:val="22"/>
          <w:u w:val="single"/>
        </w:rPr>
        <w:t>clause (i)</w:t>
      </w:r>
      <w:r>
        <w:rPr>
          <w:color w:val="000000"/>
        </w:rPr>
        <w:t xml:space="preserve"> </w:t>
      </w:r>
      <w:r>
        <w:rPr>
          <w:rFonts w:ascii="Times New Roman;serif" w:hAnsi="Times New Roman;serif"/>
          <w:b w:val="false"/>
          <w:color w:val="000000"/>
          <w:sz w:val="22"/>
        </w:rPr>
        <w:t>of notification that such notice or communication is available and identifying the website address therefor.</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The Platform</w:t>
      </w:r>
      <w:r>
        <w:rPr>
          <w:rFonts w:ascii="Times New Roman;serif" w:hAnsi="Times New Roman;serif"/>
          <w:b w:val="false"/>
          <w:color w:val="000000"/>
          <w:sz w:val="22"/>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any L/C Issuer or any other Person for losses, claims, damages, liabilities or expenses of any kind (whether in tort, contract or otherwise) arising out of any Borrower’s or the Administrative Agent’s transmission of the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the Loan Documents by, such Agent-Related Person; </w:t>
      </w:r>
      <w:r>
        <w:rPr>
          <w:rFonts w:ascii="Times New Roman;serif" w:hAnsi="Times New Roman;serif"/>
          <w:b w:val="false"/>
          <w:i/>
          <w:color w:val="000000"/>
          <w:sz w:val="22"/>
        </w:rPr>
        <w:t>provided, however</w:t>
      </w:r>
      <w:r>
        <w:rPr>
          <w:rFonts w:ascii="Times New Roman;serif" w:hAnsi="Times New Roman;serif"/>
          <w:b w:val="false"/>
          <w:color w:val="000000"/>
          <w:sz w:val="22"/>
        </w:rPr>
        <w:t>, that in no event shall any Agent-Related Person have any liability to any Loan Party or any of their respective Subsidiaries, any Lender, any L/C Issuer or any other Person for indirect, special, incidental, consequential or punitive damages (as opposed to direct or actual damages).</w:t>
      </w:r>
    </w:p>
    <w:p>
      <w:pPr>
        <w:pStyle w:val="TextBody"/>
        <w:bidi w:val="0"/>
        <w:spacing w:lineRule="auto" w:line="288" w:before="0" w:after="240"/>
        <w:ind w:left="0" w:right="0" w:firstLine="720"/>
        <w:jc w:val="left"/>
        <w:rPr/>
      </w:pPr>
      <w:r>
        <w:rPr>
          <w:rFonts w:ascii="Times New Roman;serif" w:hAnsi="Times New Roman;serif"/>
          <w:b w:val="false"/>
          <w:color w:val="000000"/>
          <w:sz w:val="22"/>
        </w:rPr>
        <w:t>(d)    </w:t>
      </w:r>
      <w:r>
        <w:rPr>
          <w:rFonts w:ascii="Times New Roman;serif" w:hAnsi="Times New Roman;serif"/>
          <w:b w:val="false"/>
          <w:color w:val="000000"/>
          <w:sz w:val="22"/>
          <w:u w:val="single"/>
        </w:rPr>
        <w:t>Change of Address, Etc</w:t>
      </w:r>
      <w:r>
        <w:rPr>
          <w:rFonts w:ascii="Times New Roman;serif" w:hAnsi="Times New Roman;serif"/>
          <w:b w:val="false"/>
          <w:color w:val="000000"/>
          <w:sz w:val="22"/>
        </w:rPr>
        <w:t>. Each of the Company, the Borrowers, the Guarantors, the Administrative Agent, the Collateral Agent and each L/C Issuer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Borrowers,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the Borrowers or their securities for purposes of United States federal or state securities laws.</w:t>
      </w:r>
    </w:p>
    <w:p>
      <w:pPr>
        <w:pStyle w:val="TextBody"/>
        <w:bidi w:val="0"/>
        <w:spacing w:lineRule="auto" w:line="288" w:before="0" w:after="240"/>
        <w:ind w:left="0" w:right="0" w:firstLine="720"/>
        <w:jc w:val="left"/>
        <w:rPr/>
      </w:pPr>
      <w:r>
        <w:rPr>
          <w:rFonts w:ascii="Times New Roman;serif" w:hAnsi="Times New Roman;serif"/>
          <w:b w:val="false"/>
          <w:color w:val="000000"/>
          <w:sz w:val="22"/>
        </w:rPr>
        <w:t>(e)    </w:t>
      </w:r>
      <w:r>
        <w:rPr>
          <w:rFonts w:ascii="Times New Roman;serif" w:hAnsi="Times New Roman;serif"/>
          <w:b w:val="false"/>
          <w:color w:val="000000"/>
          <w:sz w:val="22"/>
          <w:u w:val="single"/>
        </w:rPr>
        <w:t>Reliance by Administrative Agent, Collateral Agent, L/C Issuer and Lenders</w:t>
      </w:r>
      <w:r>
        <w:rPr>
          <w:rFonts w:ascii="Times New Roman;serif" w:hAnsi="Times New Roman;serif"/>
          <w:b w:val="false"/>
          <w:color w:val="000000"/>
          <w:sz w:val="22"/>
        </w:rPr>
        <w:t xml:space="preserve">. The Administrative Agent, the Collateral Agent, the L/C Issuers and the Lenders shall be entitled to rely and act upon any notices (including telephonic Committed Loan Notices) purportedly given by or on behalf of any Borrower even if (i) such notices were not made in a manner specified herein, were incomplete or were not preceded or followed by any other form of notice specified herein, or (ii) the terms thereof, as </w:t>
      </w:r>
    </w:p>
    <w:p>
      <w:pPr>
        <w:pStyle w:val="TextBody"/>
        <w:bidi w:val="0"/>
        <w:spacing w:before="0" w:after="0"/>
        <w:jc w:val="left"/>
        <w:rPr/>
      </w:pPr>
      <w:r>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6480175" cy="175260"/>
                <wp:effectExtent l="0" t="0" r="0" b="0"/>
                <wp:wrapNone/>
                <wp:docPr id="337" name="Frame3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understood by the recipient, varied from any confirmation thereof except to the extent such reliance is deemed to be gross negligence, bad faith or willful misconduct of, or material breach of the Loan Documents by, the Administrative Agent, Collateral Agent, L/C Issuer or Lender in a final non-appealable judgment of a court of competent jurisdiction. Each Borrower shall indemnify the Administrative Agent, the Collateral Agent, each L/C Issuer, each Lender and the Related Parties of each of them from all losses, costs, expenses and liabilities resulting from the reliance by such Person on each notice purportedly given by or on behalf of such Borrower to the extent required by </w:t>
      </w:r>
      <w:r>
        <w:rPr>
          <w:rFonts w:ascii="Times New Roman;serif" w:hAnsi="Times New Roman;serif"/>
          <w:b w:val="false"/>
          <w:color w:val="000000"/>
          <w:sz w:val="22"/>
          <w:u w:val="single"/>
        </w:rPr>
        <w:t>Section 10.05</w:t>
      </w:r>
      <w:r>
        <w:rPr>
          <w:rFonts w:ascii="Times New Roman;serif" w:hAnsi="Times New Roman;serif"/>
          <w:b w:val="false"/>
          <w:color w:val="000000"/>
          <w:sz w:val="22"/>
        </w:rPr>
        <w:t>. All telephonic notices to and other telephonic communications with the Administrative Agent may be recorded by the Administrative Agent, and each of the parties hereto hereby consents to such recording.</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10.03    </w:t>
      </w:r>
      <w:r>
        <w:rPr>
          <w:rFonts w:ascii="Times New Roman;serif" w:hAnsi="Times New Roman;serif"/>
          <w:b w:val="false"/>
          <w:color w:val="000000"/>
          <w:sz w:val="22"/>
          <w:u w:val="single"/>
        </w:rPr>
        <w:t>No Waiver; Cumulative Remedies; Enforcement</w:t>
      </w:r>
      <w:r>
        <w:rPr>
          <w:rFonts w:ascii="Times New Roman;serif" w:hAnsi="Times New Roman;serif"/>
          <w:b w:val="false"/>
          <w:color w:val="000000"/>
          <w:sz w:val="22"/>
        </w:rPr>
        <w: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No failure by any Lender, any L/C Issuer,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Notwithstanding anything to the contrary contained herein or in any other Loan Document, the authority to enforce rights and remedies hereunder and under the other Loan Documents against the Loan Parties or any of them, and the right to realize upon any of the Collateral or to enforce any Guarantee of the Obligations shall be vested exclusively in, and all actions and proceedings at law in connection with such enforcement shall be instituted and maintained exclusively by, the Administrative Agent or the Collateral Agent in accordance with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for the benefit of all the Lenders and the L/C Issuers;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foregoing shall not prohibit (i) the Administrative Agent or the Collateral Agent from exercising on its own behalf the rights and remedies that inure to its benefit (solely in its capacity as the Administrative Agent or the Collateral Agent) hereunder and under the other Loan Documents, (ii) each L/C Issuer from exercising the rights and remedies that inure to its benefit (solely in its capacity as an L/C Issuer) hereunder and under the other Loan Documents or (iii) any Lender from exercising setoff rights in accordance with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 xml:space="preserve">(subject to the terms of </w:t>
      </w:r>
      <w:r>
        <w:rPr>
          <w:rFonts w:ascii="Times New Roman;serif" w:hAnsi="Times New Roman;serif"/>
          <w:b w:val="false"/>
          <w:color w:val="000000"/>
          <w:sz w:val="22"/>
          <w:u w:val="single"/>
        </w:rPr>
        <w:t>Section 2.13</w:t>
      </w:r>
      <w:r>
        <w:rPr>
          <w:rFonts w:ascii="Times New Roman;serif" w:hAnsi="Times New Roman;serif"/>
          <w:b w:val="false"/>
          <w:color w:val="000000"/>
          <w:sz w:val="22"/>
        </w:rPr>
        <w:t xml:space="preserve">); and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if at any time there is no Person acting as Administrative Agent hereunder and under the other Loan Documents, then (x) the Required Lenders shall have the rights otherwise ascribed to the Administrative Agent pursuant to </w:t>
      </w:r>
      <w:r>
        <w:rPr>
          <w:rFonts w:ascii="Times New Roman;serif" w:hAnsi="Times New Roman;serif"/>
          <w:b w:val="false"/>
          <w:color w:val="000000"/>
          <w:sz w:val="22"/>
          <w:u w:val="single"/>
        </w:rPr>
        <w:t>Section 8.02</w:t>
      </w:r>
      <w:r>
        <w:rPr>
          <w:color w:val="000000"/>
        </w:rPr>
        <w:t xml:space="preserve"> </w:t>
      </w:r>
      <w:r>
        <w:rPr>
          <w:rFonts w:ascii="Times New Roman;serif" w:hAnsi="Times New Roman;serif"/>
          <w:b w:val="false"/>
          <w:color w:val="000000"/>
          <w:sz w:val="22"/>
        </w:rPr>
        <w:t xml:space="preserve">and (y) in addition to the matters set forth in </w:t>
      </w:r>
      <w:r>
        <w:rPr>
          <w:rFonts w:ascii="Times New Roman;serif" w:hAnsi="Times New Roman;serif"/>
          <w:b w:val="false"/>
          <w:color w:val="000000"/>
          <w:sz w:val="22"/>
          <w:u w:val="single"/>
        </w:rPr>
        <w:t>clauses (ii)</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(iii)</w:t>
      </w:r>
      <w:r>
        <w:rPr>
          <w:color w:val="000000"/>
        </w:rPr>
        <w:t xml:space="preserve"> </w:t>
      </w:r>
      <w:r>
        <w:rPr>
          <w:rFonts w:ascii="Times New Roman;serif" w:hAnsi="Times New Roman;serif"/>
          <w:b w:val="false"/>
          <w:color w:val="000000"/>
          <w:sz w:val="22"/>
        </w:rPr>
        <w:t xml:space="preserve">of the preceding proviso and subject to </w:t>
      </w:r>
      <w:r>
        <w:rPr>
          <w:rFonts w:ascii="Times New Roman;serif" w:hAnsi="Times New Roman;serif"/>
          <w:b w:val="false"/>
          <w:color w:val="000000"/>
          <w:sz w:val="22"/>
          <w:u w:val="single"/>
        </w:rPr>
        <w:t>Section 2.13</w:t>
      </w:r>
      <w:r>
        <w:rPr>
          <w:rFonts w:ascii="Times New Roman;serif" w:hAnsi="Times New Roman;serif"/>
          <w:b w:val="false"/>
          <w:color w:val="000000"/>
          <w:sz w:val="22"/>
        </w:rPr>
        <w:t>, any Lender may, with the consent of the Required Lenders, enforce any rights and remedies available to it and as authorized by the Required Lenders. In the event of a foreclosure by the Collateral Agent on any of the Collateral pursuant to a public or private sale, the Administrative Agent, the Collateral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Notwithstanding anything to the contrary herein, each Lender agrees that it shall not, and hereby expressly and irrevocably waives any right to, take or institute any actions or proceedings, judicial or otherwise, for any right or remedy or assert any other Cause of Action against any Loan Party (including </w:t>
      </w:r>
    </w:p>
    <w:p>
      <w:pPr>
        <w:pStyle w:val="TextBody"/>
        <w:bidi w:val="0"/>
        <w:spacing w:before="0" w:after="0"/>
        <w:jc w:val="left"/>
        <w:rPr/>
      </w:pPr>
      <w:r>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480175" cy="175260"/>
                <wp:effectExtent l="0" t="0" r="0" b="0"/>
                <wp:wrapNone/>
                <wp:docPr id="338" name="Frame3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the exercise of any right of setoff, rights on account of any banker’s lien or similar claim or other rights of self-help), or institute any actions or proceedings or any other Cause of Action, or otherwise commence any remedial procedures, against the Company, any Borrower and/or any of their respective Subsidiaries or parent companies with respect to any Collateral or any other property of any such Person, without the prior written consent of the Required Lenders.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10.04    </w:t>
      </w:r>
      <w:r>
        <w:rPr>
          <w:rFonts w:ascii="Times New Roman;serif" w:hAnsi="Times New Roman;serif"/>
          <w:b w:val="false"/>
          <w:color w:val="000000"/>
          <w:sz w:val="22"/>
          <w:u w:val="single"/>
        </w:rPr>
        <w:t>Expenses</w:t>
      </w:r>
      <w:r>
        <w:rPr>
          <w:rFonts w:ascii="Times New Roman;serif" w:hAnsi="Times New Roman;serif"/>
          <w:b w:val="false"/>
          <w:color w:val="000000"/>
          <w:sz w:val="22"/>
        </w:rPr>
        <w:t xml:space="preserve">. Each Borrower agrees (a) to pay or reimburse the Administrative Agent and the other Agents for all reasonable and documented out-of-pocket costs and expenses incurred in connection with the preparation, negotiation, syndication and execution of this Agreement and the other Loan Documents (including reasonable and documented out-of-pocket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and documented out-of-pocket fees, disbursements and other charges of counsel (limited to the reasonable, documented out-of-pocket fees, disbursements and other charges of one primary counsel to the Agents taken as a whole and, if reasonably necessary, one local counsel to the Agents taken as a whole in each relevant material jurisdiction (which may include a single special counsel acting in multiple jurisdictions, in each case, in relevant jurisdictions material to the interests of the Lenders)), and (b) to pay or reimburse the Administrative Agent, the other Agents and each Lender (including, for the avoidance of doubt, each L/C Issuer) for all reasonable documented out-of-pocket costs and expenses incurred in connection with the enforcement of any rights or remedies under this Agreement or the other Loan Documents (including all such reasonable and documented out-of-pocket costs and expenses incurred during any legal proceeding, including any proceeding under any Debtor Relief Law or in connection with any workout or restructuring), including the reasonable and documented out-of-pocket fees, disbursements and other charges of counsel (limited to the reasonable fees, documented out-of-pocket disbursements and other charges of one counsel to the Administrative Agent, the other Agents and the Lenders taken as a whole, and, if reasonably necessary, of one local counsel to such Persons take as a whole in each relevant jurisdiction (which may include a single special counsel acting in multiple jurisdictions, in each case, in relevant jurisdictions material to the interests of the Lenders) and, in the event of any actual or perceived conflict of interest, one additional counsel in each relevant jurisdiction for each Lender or group of similarly affected Lenders or Agents taken as a whole subject to such conflict with the consent of the Borrowers). The foregoing costs and expenses shall include all reasonable search, filing, recording, title insurance and appraisal charges and fees, and other out-of-pocket expenses incurred by any Agent. All amounts due under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be paid within 30 days (or such longer period as the Administrative Agent may agree to in its reasonable discretion) after invoiced or demand therefor (with a reasonably detailed invoice with respect thereto) (except for any such costs and expenses incurred prior to the Closing Date, which shall be paid on the Closing Date to the extent invoiced at least three Business Days prior to the Closing Date). The agreements in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 xml:space="preserve">shall survive the termination of the Aggregate Commitments and repayment of all other Obligations. If any Borrower fails to pay when due any costs, expenses or other amounts payable by it hereunder or under any Loan Document, such amount may be paid on behalf of such Borrower by the Administrative Agent after any applicable grace periods have expired, in its sole discretion and such Borrower shall immediately reimburse the Administrative Agent, as applicable. This </w:t>
      </w:r>
      <w:r>
        <w:rPr>
          <w:rFonts w:ascii="Times New Roman;serif" w:hAnsi="Times New Roman;serif"/>
          <w:b w:val="false"/>
          <w:color w:val="000000"/>
          <w:sz w:val="22"/>
          <w:u w:val="single"/>
        </w:rPr>
        <w:t>Section 10.04</w:t>
      </w:r>
      <w:r>
        <w:rPr>
          <w:color w:val="000000"/>
        </w:rPr>
        <w:t xml:space="preserve"> </w:t>
      </w:r>
      <w:r>
        <w:rPr>
          <w:rFonts w:ascii="Times New Roman;serif" w:hAnsi="Times New Roman;serif"/>
          <w:b w:val="false"/>
          <w:color w:val="000000"/>
          <w:sz w:val="22"/>
        </w:rPr>
        <w:t>shall not apply with respect to Taxes other than any Taxes arising from any non-Tax cost or expense.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10.05    </w:t>
      </w:r>
      <w:r>
        <w:rPr>
          <w:rFonts w:ascii="Times New Roman;serif" w:hAnsi="Times New Roman;serif"/>
          <w:b w:val="false"/>
          <w:color w:val="000000"/>
          <w:sz w:val="22"/>
          <w:u w:val="single"/>
        </w:rPr>
        <w:t>Indemnification by the Borrowers</w:t>
      </w:r>
      <w:r>
        <w:rPr>
          <w:rFonts w:ascii="Times New Roman;serif" w:hAnsi="Times New Roman;serif"/>
          <w:b w:val="false"/>
          <w:color w:val="000000"/>
          <w:sz w:val="22"/>
        </w:rPr>
        <w:t xml:space="preserve">. Each Borrower shall indemnify and hold harmless each Arranger, each Agent-Related Person, each Lender, each L/C Issuer, each of their respective Affiliates and each partner, director, officer, employee, counsel, agent and representative of the foregoing and, in the case of any funds, trustees and advisors and attorneys-in-fact (collectively, the </w:t>
      </w:r>
    </w:p>
    <w:p>
      <w:pPr>
        <w:pStyle w:val="TextBody"/>
        <w:bidi w:val="0"/>
        <w:spacing w:before="0" w:after="0"/>
        <w:jc w:val="left"/>
        <w:rPr/>
      </w:pPr>
      <w:r>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6480175" cy="175260"/>
                <wp:effectExtent l="0" t="0" r="0" b="0"/>
                <wp:wrapNone/>
                <wp:docPr id="339" name="Frame3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color w:val="000000"/>
        </w:rPr>
        <w:t>“</w:t>
      </w:r>
      <w:r>
        <w:rPr>
          <w:rFonts w:ascii="Times New Roman;serif" w:hAnsi="Times New Roman;serif"/>
          <w:b/>
          <w:color w:val="000000"/>
          <w:sz w:val="22"/>
        </w:rPr>
        <w:t>Indemnitees</w:t>
      </w:r>
      <w:r>
        <w:rPr>
          <w:color w:val="000000"/>
        </w:rPr>
        <w:t>”</w:t>
      </w:r>
      <w:r>
        <w:rPr>
          <w:rFonts w:ascii="Times New Roman;serif" w:hAnsi="Times New Roman;serif"/>
          <w:b w:val="false"/>
          <w:color w:val="000000"/>
          <w:sz w:val="22"/>
        </w:rPr>
        <w:t>)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(but (x) limited, in the case of legal fees and expenses, to the reasonable and documented out-of-pocket fees, disbursements and other charges of (i) one counsel to the Indemnitees taken as a whole, (ii) in the case of an actual or perceived conflict of interest, where the Indemnitee affected by such conflict informs the Borrowers of such conflict and thereafter retains its own counsel, of another firm of counsel for each such affected Indemnitee in each relevant jurisdiction material to the interests of the Lenders, and (iii) if reasonably necessary, one local counsel in each jurisdiction material to the interests of the Indemnitees (which may include a single special counsel acting in multiple jurisdictions) and (y) excluding the fees and expenses of any other third-party advisors retained without the Borrowers’ prior written consent) of any kind or nature whatsoever which may at any time be imposed on, incurred by or asserted or awarded against any such Indemnitee in any way relating to or arising out of or in connection with or by reason of (x)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 with the transactions contemplated thereby or the consummation of the transactions contemplated thereby or (b)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that such indemnity shall not, as to any Indemnitee, be available to the extent that such liabilities, obligations, losses, damages, penalties, claims, demands, actions, judgments, suits, costs, disbursements, fees or related expenses resulted from (A) the bad faith, gross negligence or willful misconduct of such Indemnitee or any of its Affiliates or controlling persons or any of the officers, directors, employees, agents, advisors, or members of any of the foregoing, as applicable, as determined by a court of competent jurisdiction in a final and non-appealable decision, (B) a material breach of the Loan Documents by such Arranger, Agent- Related Person, Lender, L/C Issuer (or any of their respective Affiliates, partners, directors, officers, employees, counsel, agents and representatives), as applicable, as determined by a court of competent jurisdiction in a final and non-appealable decision or (C) any dispute that is among Indemnitees (other than any dispute involving claims against the Administrative Agent, any Arranger or any other Agent or any L/C Issuer, in each case in their respective capacities as such) that did not involve actions or omissions of the Company or its Subsidiaries or any of their respective Affiliates; or (y) to the extent related to the foregoing in clauses (a) and (b) above, any actual or alleged presence or Release of Hazardous Materials on or from any property currently or formerly owned or operated by the Company or its Subsidiaries and any other Environmental Liability related in any way to the Company or any of its Subsidiaries (clauses (x) and (y), collectively, the “</w:t>
      </w:r>
      <w:r>
        <w:rPr>
          <w:rFonts w:ascii="Times New Roman;serif" w:hAnsi="Times New Roman;serif"/>
          <w:b/>
          <w:color w:val="000000"/>
          <w:sz w:val="22"/>
        </w:rPr>
        <w:t>Indemnified Liabilities</w:t>
      </w:r>
      <w:r>
        <w:rPr>
          <w:color w:val="000000"/>
        </w:rPr>
        <w:t>”</w:t>
      </w:r>
      <w:r>
        <w:rPr>
          <w:rFonts w:ascii="Times New Roman;serif" w:hAnsi="Times New Roman;serif"/>
          <w:b w:val="false"/>
          <w:color w:val="000000"/>
          <w:sz w:val="22"/>
        </w:rPr>
        <w:t xml:space="preserve">), in all cases,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No Indemnitee shall be liable for any damages arising from the use by others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6480175" cy="175260"/>
                <wp:effectExtent l="0" t="0" r="0" b="0"/>
                <wp:wrapNone/>
                <wp:docPr id="340" name="Frame3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waiver of special, punitive, indirect or consequential damages shall not limit the indemnification obligations of the Loan Parties under this </w:t>
      </w:r>
      <w:r>
        <w:rPr>
          <w:rFonts w:ascii="Times New Roman;serif" w:hAnsi="Times New Roman;serif"/>
          <w:b w:val="false"/>
          <w:color w:val="000000"/>
          <w:sz w:val="22"/>
          <w:u w:val="single"/>
        </w:rPr>
        <w:t>Section 10.05</w:t>
      </w:r>
      <w:r>
        <w:rPr>
          <w:rFonts w:ascii="Times New Roman;serif" w:hAnsi="Times New Roman;serif"/>
          <w:b w:val="false"/>
          <w:color w:val="000000"/>
          <w:sz w:val="22"/>
        </w:rPr>
        <w:t xml:space="preserve">. In the case of an investigation, litigation or other proceeding to which the indemnity in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applies, such indemnity shall be effective whether or not such investigation, litigation or proceeding is brought by or against any Loan Party, its directors, shareholders or creditors, an Indemnitee or any other Person, and whether or not any Indemnitee is otherwise a party thereto. Should any investigation, litigation or proceeding be settled, or if there is a judgment in any such investigation, litigation or proceeding, the Borrowers shall indemnify and hold harmless each Indemnitee in the manner set forth above; that the Borrowers shall not be liable for any settlement effected without the Borrowers’ prior written consent (such consent not to be unreasonably withheld, delayed or conditioned). All amounts due under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shall be payable within 30 days (or such longer period as any Agent may agree to in its reasonable discretion) after demand therefor (and after receipt by the Borrowers of a reasonably detailed invoice with respect thereto). The agreements in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 xml:space="preserve">shall survive the resignation of the Administrative Agent, the replacement of any Lender, the termination of the Aggregate Commitments and the repayment, satisfaction or discharge of all the other Obligations. This </w:t>
      </w:r>
      <w:r>
        <w:rPr>
          <w:rFonts w:ascii="Times New Roman;serif" w:hAnsi="Times New Roman;serif"/>
          <w:b w:val="false"/>
          <w:color w:val="000000"/>
          <w:sz w:val="22"/>
          <w:u w:val="single"/>
        </w:rPr>
        <w:t>Section 10.05</w:t>
      </w:r>
      <w:r>
        <w:rPr>
          <w:color w:val="000000"/>
        </w:rPr>
        <w:t xml:space="preserve"> </w:t>
      </w:r>
      <w:r>
        <w:rPr>
          <w:rFonts w:ascii="Times New Roman;serif" w:hAnsi="Times New Roman;serif"/>
          <w:b w:val="false"/>
          <w:color w:val="000000"/>
          <w:sz w:val="22"/>
        </w:rPr>
        <w:t>shall not apply with respect to Taxes other than any Taxes that represent Indemnified Liabilities arising from any non-Tax claim. Notwithstanding the foregoing, each Indemnitee shall be obligated to refund or return any and all amounts paid by any Loan Party under this paragraph to such Indemnitee for any losses, claims, damages, liabilities and expenses to the extent such Indemnitee is not entitled to payment of such amounts in accordance with the terms hereof as determined in a final, non-appealable judgment of a court of competent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10.06    </w:t>
      </w:r>
      <w:r>
        <w:rPr>
          <w:rFonts w:ascii="Times New Roman;serif" w:hAnsi="Times New Roman;serif"/>
          <w:b w:val="false"/>
          <w:color w:val="000000"/>
          <w:sz w:val="22"/>
          <w:u w:val="single"/>
        </w:rPr>
        <w:t>Payments Set Aside</w:t>
      </w:r>
      <w:r>
        <w:rPr>
          <w:rFonts w:ascii="Times New Roman;serif" w:hAnsi="Times New Roman;serif"/>
          <w:b w:val="false"/>
          <w:color w:val="000000"/>
          <w:sz w:val="22"/>
        </w:rPr>
        <w:t xml:space="preserve">. To the extent that any payment by or on behalf of the Borrower is made to any Agent, to any L/C Issuer or any Lender, in each case in their capacities as such,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any Agent, </w:t>
      </w:r>
      <w:r>
        <w:rPr>
          <w:rFonts w:ascii="Times New Roman;serif" w:hAnsi="Times New Roman;serif"/>
          <w:b w:val="false"/>
          <w:i/>
          <w:color w:val="000000"/>
          <w:sz w:val="22"/>
        </w:rPr>
        <w:t>plus</w:t>
      </w:r>
      <w:r>
        <w:rPr>
          <w:color w:val="000000"/>
        </w:rPr>
        <w:t xml:space="preserve"> </w:t>
      </w:r>
      <w:r>
        <w:rPr>
          <w:rFonts w:ascii="Times New Roman;serif" w:hAnsi="Times New Roman;serif"/>
          <w:b w:val="false"/>
          <w:color w:val="000000"/>
          <w:sz w:val="22"/>
        </w:rPr>
        <w:t xml:space="preserve">interest thereon from the date of such demand to the date such payment is made at a rate per annum equal to the Federal Funds Effective Rate from time to time in effect. The obligations of the Lenders and the L/C Issuers under </w:t>
      </w:r>
      <w:r>
        <w:rPr>
          <w:rFonts w:ascii="Times New Roman;serif" w:hAnsi="Times New Roman;serif"/>
          <w:b w:val="false"/>
          <w:color w:val="000000"/>
          <w:sz w:val="22"/>
          <w:u w:val="single"/>
        </w:rPr>
        <w:t>clause (b)</w:t>
      </w:r>
      <w:r>
        <w:rPr>
          <w:color w:val="000000"/>
        </w:rPr>
        <w:t xml:space="preserve"> </w:t>
      </w:r>
      <w:r>
        <w:rPr>
          <w:rFonts w:ascii="Times New Roman;serif" w:hAnsi="Times New Roman;serif"/>
          <w:b w:val="false"/>
          <w:color w:val="000000"/>
          <w:sz w:val="22"/>
        </w:rPr>
        <w:t>of the preceding sentence shall survive the payment in full of the Obligations and the termination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10.07    </w:t>
      </w:r>
      <w:r>
        <w:rPr>
          <w:rFonts w:ascii="Times New Roman;serif" w:hAnsi="Times New Roman;serif"/>
          <w:b w:val="false"/>
          <w:color w:val="000000"/>
          <w:sz w:val="22"/>
          <w:u w:val="single"/>
        </w:rPr>
        <w:t>Successors and Assigns</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(other than in connection with a transaction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 xml:space="preserve">, and no Lender may assign or otherwise transfer any of its rights or obligations hereunder except (i) to an Eligible Assignee (other than to any Disqualified Institution or Natural Person) in accordance with the provisions of </w:t>
      </w:r>
      <w:r>
        <w:rPr>
          <w:rFonts w:ascii="Times New Roman;serif" w:hAnsi="Times New Roman;serif"/>
          <w:b w:val="false"/>
          <w:color w:val="000000"/>
          <w:sz w:val="22"/>
          <w:u w:val="single"/>
        </w:rPr>
        <w:t>Section 10.07(b)</w:t>
      </w:r>
      <w:r>
        <w:rPr>
          <w:rFonts w:ascii="Times New Roman;serif" w:hAnsi="Times New Roman;serif"/>
          <w:b w:val="false"/>
          <w:color w:val="000000"/>
          <w:sz w:val="22"/>
        </w:rPr>
        <w:t xml:space="preserve">, (ii) by way of participation in accordance with the provisions of </w:t>
      </w:r>
      <w:r>
        <w:rPr>
          <w:rFonts w:ascii="Times New Roman;serif" w:hAnsi="Times New Roman;serif"/>
          <w:b w:val="false"/>
          <w:color w:val="000000"/>
          <w:sz w:val="22"/>
          <w:u w:val="single"/>
        </w:rPr>
        <w:t>Section 10.07(d)</w:t>
      </w:r>
      <w:r>
        <w:rPr>
          <w:rFonts w:ascii="Times New Roman;serif" w:hAnsi="Times New Roman;serif"/>
          <w:b w:val="false"/>
          <w:color w:val="000000"/>
          <w:sz w:val="22"/>
        </w:rPr>
        <w:t xml:space="preserve">, (iii) by way of pledge or assignment of a security interest subject to the restrictions of </w:t>
      </w:r>
      <w:r>
        <w:rPr>
          <w:rFonts w:ascii="Times New Roman;serif" w:hAnsi="Times New Roman;serif"/>
          <w:b w:val="false"/>
          <w:color w:val="000000"/>
          <w:sz w:val="22"/>
          <w:u w:val="single"/>
        </w:rPr>
        <w:t>Section 10.07(f)</w:t>
      </w:r>
      <w:r>
        <w:rPr>
          <w:color w:val="000000"/>
        </w:rPr>
        <w:t xml:space="preserve"> </w:t>
      </w:r>
      <w:r>
        <w:rPr>
          <w:rFonts w:ascii="Times New Roman;serif" w:hAnsi="Times New Roman;serif"/>
          <w:b w:val="false"/>
          <w:color w:val="000000"/>
          <w:sz w:val="22"/>
        </w:rPr>
        <w:t xml:space="preserve">or (iv) to an SPC in accordance with the provisions of </w:t>
      </w:r>
      <w:r>
        <w:rPr>
          <w:rFonts w:ascii="Times New Roman;serif" w:hAnsi="Times New Roman;serif"/>
          <w:b w:val="false"/>
          <w:color w:val="000000"/>
          <w:sz w:val="22"/>
          <w:u w:val="single"/>
        </w:rPr>
        <w:t>Section 10.07(g)</w:t>
      </w:r>
      <w:r>
        <w:rPr>
          <w:color w:val="000000"/>
        </w:rPr>
        <w:t xml:space="preserve"> </w:t>
      </w:r>
      <w:r>
        <w:rPr>
          <w:rFonts w:ascii="Times New Roman;serif" w:hAnsi="Times New Roman;serif"/>
          <w:b w:val="false"/>
          <w:color w:val="000000"/>
          <w:sz w:val="22"/>
        </w:rPr>
        <w:t xml:space="preserve">(and any other attempted assignment or transfer by any party hereto shall be null and void). Nothing in </w:t>
      </w:r>
    </w:p>
    <w:p>
      <w:pPr>
        <w:pStyle w:val="TextBody"/>
        <w:bidi w:val="0"/>
        <w:spacing w:before="0" w:after="0"/>
        <w:jc w:val="left"/>
        <w:rPr/>
      </w:pPr>
      <w:r>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6480175" cy="175260"/>
                <wp:effectExtent l="0" t="0" r="0" b="0"/>
                <wp:wrapNone/>
                <wp:docPr id="341" name="Frame3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this Agreement, expressed or implied, shall be construed to confer upon any Person (other than the parties hereto, their respective successors and assigns permitted hereby, Participants to the extent provided in </w:t>
      </w:r>
      <w:r>
        <w:rPr>
          <w:rFonts w:ascii="Times New Roman;serif" w:hAnsi="Times New Roman;serif"/>
          <w:b w:val="false"/>
          <w:color w:val="000000"/>
          <w:sz w:val="22"/>
          <w:u w:val="single"/>
        </w:rPr>
        <w:t>Section 10.07(d)</w:t>
      </w:r>
      <w:r>
        <w:rPr>
          <w:color w:val="000000"/>
        </w:rPr>
        <w:t xml:space="preserve"> </w:t>
      </w:r>
      <w:r>
        <w:rPr>
          <w:rFonts w:ascii="Times New Roman;serif" w:hAnsi="Times New Roman;serif"/>
          <w:b w:val="false"/>
          <w:color w:val="000000"/>
          <w:sz w:val="22"/>
        </w:rPr>
        <w:t>and, to the extent expressly contemplated hereby, the Indemnitees) any legal or equitable right, remedy or claim under or by reason of this Agreement.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Any Lender may at any time assign to one or more Eligible Assignees all or a portion of its rights and obligations under this Agreement (including all or a portion of its Commitment(s) and the Loans (including for purposes of this </w:t>
      </w:r>
      <w:r>
        <w:rPr>
          <w:rFonts w:ascii="Times New Roman;serif" w:hAnsi="Times New Roman;serif"/>
          <w:b w:val="false"/>
          <w:color w:val="000000"/>
          <w:sz w:val="22"/>
          <w:u w:val="single"/>
        </w:rPr>
        <w:t>Section 10.07(b)</w:t>
      </w:r>
      <w:r>
        <w:rPr>
          <w:rFonts w:ascii="Times New Roman;serif" w:hAnsi="Times New Roman;serif"/>
          <w:b w:val="false"/>
          <w:color w:val="000000"/>
          <w:sz w:val="22"/>
        </w:rPr>
        <w:t>, participations in L/C Obligations) at the time owing to it); that: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(A) in the case of an assignment to a Lender, an Affiliate of a Lender or an Approved Fund or of the entire remaining amount of the assigning Lender’s Commitment under any Facility and the Loans at the time owing to it under such Facility, no minimum amount shall need be assigned, and (B) in any case not described in </w:t>
      </w:r>
      <w:r>
        <w:rPr>
          <w:rFonts w:ascii="Times New Roman;serif" w:hAnsi="Times New Roman;serif"/>
          <w:b w:val="false"/>
          <w:color w:val="000000"/>
          <w:sz w:val="22"/>
          <w:u w:val="single"/>
        </w:rPr>
        <w:t>clause (b)(i)(A)</w:t>
      </w:r>
      <w:r>
        <w:rPr>
          <w:color w:val="000000"/>
        </w:rPr>
        <w:t xml:space="preserve"> </w:t>
      </w:r>
      <w:r>
        <w:rPr>
          <w:rFonts w:ascii="Times New Roman;serif" w:hAnsi="Times New Roman;serif"/>
          <w:b w:val="false"/>
          <w:color w:val="000000"/>
          <w:sz w:val="22"/>
        </w:rPr>
        <w:t xml:space="preserve">of this </w:t>
      </w:r>
      <w:r>
        <w:rPr>
          <w:rFonts w:ascii="Times New Roman;serif" w:hAnsi="Times New Roman;serif"/>
          <w:b w:val="false"/>
          <w:color w:val="000000"/>
          <w:sz w:val="22"/>
          <w:u w:val="single"/>
        </w:rPr>
        <w:t>Section 10.07</w:t>
      </w:r>
      <w:r>
        <w:rPr>
          <w:rFonts w:ascii="Times New Roman;serif" w:hAnsi="Times New Roman;serif"/>
          <w:b w:val="false"/>
          <w:color w:val="000000"/>
          <w:sz w:val="22"/>
        </w:rPr>
        <w:t xml:space="preserve">,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equivalent) or integral multiples of $1,000,000 (or equivalent) (or such lesser amount or multiple as is acceptable to the Administrative Agent and the applicable Borrower), in the case of any assignment in respect of the Revolving Credit Facility, or $500,000 or integral multiples of $100,000 (or equivalent) (or such lesser amount or multiple as is acceptable to the Administrative Agent and the applicable Borrower), in the case of any assignment in respect of a Term Facility, in each case unless each of the Administrative Agent and, so long as no Event of Default under </w:t>
      </w:r>
      <w:r>
        <w:rPr>
          <w:rFonts w:ascii="Times New Roman;serif" w:hAnsi="Times New Roman;serif"/>
          <w:b w:val="false"/>
          <w:color w:val="000000"/>
          <w:sz w:val="22"/>
          <w:u w:val="single"/>
        </w:rPr>
        <w:t>Section 8.01(a)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(g)</w:t>
      </w:r>
      <w:r>
        <w:rPr>
          <w:color w:val="000000"/>
        </w:rPr>
        <w:t xml:space="preserve"> </w:t>
      </w:r>
      <w:r>
        <w:rPr>
          <w:rFonts w:ascii="Times New Roman;serif" w:hAnsi="Times New Roman;serif"/>
          <w:b w:val="false"/>
          <w:color w:val="000000"/>
          <w:sz w:val="22"/>
        </w:rPr>
        <w:t xml:space="preserve">has occurred and is continuing, the applicable Borrower otherwise consents (in each case, which consent shall not be unreasonably withheld, conditioned or delayed);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r>
        <w:rPr>
          <w:rFonts w:ascii="Times New Roman;serif" w:hAnsi="Times New Roman;serif"/>
          <w:b w:val="false"/>
          <w:i/>
          <w:color w:val="000000"/>
          <w:sz w:val="22"/>
        </w:rPr>
        <w:t>provided, further</w:t>
      </w:r>
      <w:r>
        <w:rPr>
          <w:rFonts w:ascii="Times New Roman;serif" w:hAnsi="Times New Roman;serif"/>
          <w:b w:val="false"/>
          <w:color w:val="000000"/>
          <w:sz w:val="22"/>
        </w:rPr>
        <w:t>, that the request for any consent of the applicable Borrower shall be delivered to both such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each partial assignment shall be made as an assignment of a proportionate part of all the assigning Lender’s rights and obligations under this Agreement with respect to the Loans or the Commitment assigned, except that this clause (ii) shall not prohibit any Lender from assigning all or a portion of its rights and obligations among separate Facilities (or tranche of any Facilities) on a non-pro rata basis;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(A)    the consent of the applicable Borrower (such consent not to be unreasonably withheld, conditioned or delayed; that such Borrower shall have absolute consent rights with regards to any proposed assignment to a Disqualified Institution) shall be required for any assignment, unless (1) an Event of Default under </w:t>
      </w:r>
      <w:r>
        <w:rPr>
          <w:rFonts w:ascii="Times New Roman;serif" w:hAnsi="Times New Roman;serif"/>
          <w:b w:val="false"/>
          <w:color w:val="000000"/>
          <w:sz w:val="22"/>
          <w:u w:val="single"/>
        </w:rPr>
        <w:t>Section 8.01(a)</w:t>
      </w:r>
      <w:r>
        <w:rPr>
          <w:color w:val="000000"/>
        </w:rPr>
        <w:t xml:space="preserve"> </w:t>
      </w:r>
      <w:r>
        <w:rPr>
          <w:rFonts w:ascii="Times New Roman;serif" w:hAnsi="Times New Roman;serif"/>
          <w:b w:val="false"/>
          <w:color w:val="000000"/>
          <w:sz w:val="22"/>
        </w:rPr>
        <w:t xml:space="preserve">(only with respect to principal payments), (f) or (g) has occurred and is continuing at the time of such assignment (in each case, other than in the case of a proposed assignment to any Disqualified Institution); (2) such assignment is in respect of a Term Facility and is </w:t>
      </w:r>
    </w:p>
    <w:p>
      <w:pPr>
        <w:pStyle w:val="TextBody"/>
        <w:bidi w:val="0"/>
        <w:spacing w:before="0" w:after="0"/>
        <w:jc w:val="left"/>
        <w:rPr/>
      </w:pPr>
      <w:r>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480175" cy="175260"/>
                <wp:effectExtent l="0" t="0" r="0" b="0"/>
                <wp:wrapNone/>
                <wp:docPr id="342" name="Frame3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to a Lender, an Affiliate of a Lender or an Approved Fund (other than any Disqualified Institution); or (3) such assignment is in respect of the Revolving Credit Facility and made from a Revolving Credit Lender to an Affiliate of such Revolving Credit Lender ( that such affiliate must be a controlled bank affiliate and not a loan syndicate affiliate (except that, in the case of JPMorgan Chase Bank, N.A. or its Affiliates, such affiliate may include Chase Lincoln First Commercial Corporation and its Affiliates for so long as such entity is a Wholly Owned Subsidiary of JPMorgan Chase Bank, N.A. and such assignment is not made in connection with or in contemplation of such entity ceasing to be a Wholly Owned Subsidiary of JPMorgan Chase Bank, N.A.)) or another Revolving Credit Lender that was a Revolving Credit Lender as of the Closing Date (other than any Disqualified Institution); that (1) other than with respect to assignments of the Revolving Credit Facility, such Borrower shall be deemed to have consented to any assignment unless such Borrower objects thereto by written notice to the Administrative Agent within ten Business Days after having received notice thereof and (2) during the 90 day period following the Closing Date, such Borrower shall be deemed to have consented to an assignment to any Lender (other than any Disqualified Institution) if such Lender was previously identified in writing and approved in writing in the initial allocations of the Loans and Commitments provided by the Arrangers to such Borrower,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consent of the Administrative Agent (such consent not to be unreasonably withheld, conditioned or delayed) shall be required for any assignment unless (1) such assignment is in respect of a Term Facility and is to a Lender, an Affiliate of a Lender, an Approved Fund, the Company or any Subsidiary of the Company, or (2) such assignment is in respect of the Revolving Credit Facility and is to a Revolving Credit Lender, an Affiliate of a Revolving Credit Lender or an Approved Fund related thereto ( that in each case the Administrative Agent shall acknowledge any such assignment),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the consent of each L/C Issuer of the applicable Revolving Tranche (such consent not to be unreasonably withheld, conditioned or delayed) shall be required for any assignment in respect of the Revolving Credit Facility of such Revolving Tranche; </w:t>
      </w:r>
      <w:r>
        <w:rPr>
          <w:rFonts w:ascii="Times New Roman;serif" w:hAnsi="Times New Roman;serif"/>
          <w:b w:val="false"/>
          <w:i/>
          <w:color w:val="000000"/>
          <w:sz w:val="22"/>
        </w:rPr>
        <w:t>provided, however</w:t>
      </w:r>
      <w:r>
        <w:rPr>
          <w:rFonts w:ascii="Times New Roman;serif" w:hAnsi="Times New Roman;serif"/>
          <w:b w:val="false"/>
          <w:color w:val="000000"/>
          <w:sz w:val="22"/>
        </w:rPr>
        <w:t>, that the consent of each L/C Issuer shall not be required for any assignment in respect of a Term Loan;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(iv)    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for each assignment (or group of affiliated or related assignments) (except (w) no processing and recordation fee shall be payable in the case of assignments in connection with the initial syndication of the Facilities, (x) in the case of contemporaneous assignments by any Lender to one or more Approved Funds, only a single processing and recording fee shall be payable for such assignments, (y) no processing and recordation fee shall be payable for assignments among Approved Funds or among any Lender and any of its Approved Funds and (z) the Administrative Agent, in its sole discretion, may elect to waive such processing and recording fee in the case of any assignment). Each Eligible Assignee that is not an existing Lender shall deliver to the Administrative Agent an Administrative Questionnaire;</w:t>
      </w:r>
    </w:p>
    <w:p>
      <w:pPr>
        <w:pStyle w:val="TextBody"/>
        <w:bidi w:val="0"/>
        <w:spacing w:before="0" w:after="0"/>
        <w:jc w:val="left"/>
        <w:rPr/>
      </w:pPr>
      <w:r>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6480175" cy="175260"/>
                <wp:effectExtent l="0" t="0" r="0" b="0"/>
                <wp:wrapNone/>
                <wp:docPr id="343" name="Frame3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(v)    no such assignment shall be made (A) to any Defaulting Lender or any of its Subsidiaries, or any Person who, upon becoming a Lender hereunder, would constitute a Defaulting Lender or a Subsidiary of a Defaulting Lender, (B) to any Natural Person, (C) to any Disqualified Institution or (D) to the Company, any Borrower or any of their Subsidiaries except as permitted under </w:t>
      </w:r>
      <w:r>
        <w:rPr>
          <w:rFonts w:ascii="Times New Roman;serif" w:hAnsi="Times New Roman;serif"/>
          <w:b w:val="false"/>
          <w:color w:val="000000"/>
          <w:sz w:val="22"/>
          <w:u w:val="single"/>
        </w:rPr>
        <w:t>clause (j)</w:t>
      </w:r>
      <w:r>
        <w:rPr>
          <w:color w:val="000000"/>
        </w:rPr>
        <w:t xml:space="preserve"> </w:t>
      </w:r>
      <w:r>
        <w:rPr>
          <w:rFonts w:ascii="Times New Roman;serif" w:hAnsi="Times New Roman;serif"/>
          <w:b w:val="false"/>
          <w:color w:val="000000"/>
          <w:sz w:val="22"/>
        </w:rPr>
        <w:t xml:space="preserve">below and any such assignment in violation of this </w:t>
      </w:r>
      <w:r>
        <w:rPr>
          <w:rFonts w:ascii="Times New Roman;serif" w:hAnsi="Times New Roman;serif"/>
          <w:b w:val="false"/>
          <w:color w:val="000000"/>
          <w:sz w:val="22"/>
          <w:u w:val="single"/>
        </w:rPr>
        <w:t>clause (v)</w:t>
      </w:r>
      <w:r>
        <w:rPr>
          <w:color w:val="000000"/>
        </w:rPr>
        <w:t xml:space="preserve"> </w:t>
      </w:r>
      <w:r>
        <w:rPr>
          <w:rFonts w:ascii="Times New Roman;serif" w:hAnsi="Times New Roman;serif"/>
          <w:b w:val="false"/>
          <w:color w:val="000000"/>
          <w:sz w:val="22"/>
        </w:rPr>
        <w:t xml:space="preserve">shall be, at the applicable Borrower’s option, declared (and shall thereafter automatically be) null and void; , that each Lender shall make an inquiry to the Administrative Agent as to whether a specific potential assignee or prospective participant is a Disqualified Institution and upon such inquiry by any Lender to the Administrative Agent, the Administrative Agent shall be permitted to disclose to such inquiring Lender whether such specific potential assignee or prospective participant is on the list of Disqualified Institutions;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such Lender agrees to keep such identity confidential;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Administrative Agent shall not be responsible or have any liability for, or have any duty to ascertain, inquire into, monitor or enforce, compliance with the provisions hereof relating to Disqualified Institutions and shall not (x) be obligated to ascertain, monitor or inquire as to whether any Lender or Participant or prospective Lender or Participant is a Disqualified Institution or a Net Short Lender or (y) have any liability with respect to or arising out of any assignment or participation to or disclosure of confidential information to, a Disqualified Institution; </w:t>
      </w:r>
      <w:r>
        <w:rPr>
          <w:rFonts w:ascii="Times New Roman;serif" w:hAnsi="Times New Roman;serif"/>
          <w:b w:val="false"/>
          <w:i/>
          <w:color w:val="000000"/>
          <w:sz w:val="22"/>
        </w:rPr>
        <w:t>provided, further</w:t>
      </w:r>
      <w:r>
        <w:rPr>
          <w:rFonts w:ascii="Times New Roman;serif" w:hAnsi="Times New Roman;serif"/>
          <w:b w:val="false"/>
          <w:color w:val="000000"/>
          <w:sz w:val="22"/>
        </w:rPr>
        <w:t xml:space="preserve">, that the Administrative Agent shall not disclose (verbally or in writing) the list of entities that are Disqualified Institutions to any person, but may, upon the written request or inquiry by any Lender, disclose whether a particular potential assignee or participant is a Disqualified Institution (, that, such Lender agrees to keep such information confidential and each Lender party to this Agreement (on or after the Closing Date) expressly acknowledges that the Disqualified Institutions list shall be treated as “Information” subject to the restrictions of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except to the extent disclosure of a particular Disqualified Institution’s status is required in connection with a potential assignment to such particular Disqualified Institution);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    [reserved];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(vii)    the assigning Lender shall deliver any Notes or, in lieu thereof, a lost note affidavit and indemnity reasonably acceptable to the applicable Borrower evidencing such Loans to such Borrower or the Administrative Agent;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(viii)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applicable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L/C Issuer or Lender hereunder (and interest accrued thereon) and (y) acquire (and fund as appropriate) its full Pro Rata Share of all Loans and participations in Letters of Credit in accordance with its Pro Rata Share; that notwithstanding the foregoing, in the event that any assignment of rights and obligations of any Defaulting Lender hereunder shall become effective under applicable Law without compliance with the provisions of this clause, then the assignee of </w:t>
      </w:r>
    </w:p>
    <w:p>
      <w:pPr>
        <w:pStyle w:val="TextBody"/>
        <w:bidi w:val="0"/>
        <w:spacing w:before="0" w:after="0"/>
        <w:jc w:val="left"/>
        <w:rPr/>
      </w:pPr>
      <w:r>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6480175" cy="175260"/>
                <wp:effectExtent l="0" t="0" r="0" b="0"/>
                <wp:wrapNone/>
                <wp:docPr id="344" name="Frame3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such interest shall be deemed to be a Defaulting Lender for all purposes of this Agreement until such compliance occurs.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Subject to acceptance and recording thereof by the Administrative Agent pursuant to </w:t>
      </w:r>
      <w:r>
        <w:rPr>
          <w:rFonts w:ascii="Times New Roman;serif" w:hAnsi="Times New Roman;serif"/>
          <w:b w:val="false"/>
          <w:color w:val="000000"/>
          <w:sz w:val="22"/>
          <w:u w:val="single"/>
        </w:rPr>
        <w:t>Section 10.07(c)</w:t>
      </w:r>
      <w:r>
        <w:rPr>
          <w:rFonts w:ascii="Times New Roman;serif" w:hAnsi="Times New Roman;serif"/>
          <w:b w:val="false"/>
          <w:color w:val="000000"/>
          <w:sz w:val="22"/>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10.04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10.05</w:t>
      </w:r>
      <w:r>
        <w:rPr>
          <w:color w:val="000000"/>
        </w:rPr>
        <w:t xml:space="preserve"> </w:t>
      </w:r>
      <w:r>
        <w:rPr>
          <w:rFonts w:ascii="Times New Roman;serif" w:hAnsi="Times New Roman;serif"/>
          <w:b w:val="false"/>
          <w:color w:val="000000"/>
          <w:sz w:val="22"/>
        </w:rPr>
        <w:t xml:space="preserve">with respect to facts and circumstances occurring prior to the effective date of such assignment, and subject to the obligations set forth in </w:t>
      </w:r>
      <w:r>
        <w:rPr>
          <w:rFonts w:ascii="Times New Roman;serif" w:hAnsi="Times New Roman;serif"/>
          <w:b w:val="false"/>
          <w:color w:val="000000"/>
          <w:sz w:val="22"/>
          <w:u w:val="single"/>
        </w:rPr>
        <w:t>Section 10.08</w:t>
      </w:r>
      <w:r>
        <w:rPr>
          <w:rFonts w:ascii="Times New Roman;serif" w:hAnsi="Times New Roman;serif"/>
          <w:b w:val="false"/>
          <w:color w:val="000000"/>
          <w:sz w:val="22"/>
        </w:rPr>
        <w:t xml:space="preserve">). Upon request, and the surrender by the assigning Lender of its Note (or, in lieu thereof, a lost note affidavit and indemnity reasonably acceptable to the applicable Borrower), the applicable Borrower (at its expense) shall execute and deliver a Note to the assignee Lender. Any assignment or transfer by a Lender of rights or obligations under this Agreement (other than any purported assignment or transfer to a Disqualified Institution) that does not comply with this clause (b) shall be treated for purposes of this Agreement as a sale by such Lender of a participation in such rights and obligations in accordance with </w:t>
      </w:r>
      <w:r>
        <w:rPr>
          <w:rFonts w:ascii="Times New Roman;serif" w:hAnsi="Times New Roman;serif"/>
          <w:b w:val="false"/>
          <w:color w:val="000000"/>
          <w:sz w:val="22"/>
          <w:u w:val="single"/>
        </w:rPr>
        <w:t>Section 10.07(d)</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(c)    The Administrative Agent, acting solely for this purpose as a non-fiduciary agent of the Borrowers, shall maintain at the Administrative Agent’s Office a copy of each Assignment and Assumption delivered to it and a register in which it shall record the names and addresses of the Lenders, and the Commitments of, and principal amounts (and related interest amounts) of the Loans, L/C Obligations (specifying the Unreimbursed Amounts), L/C Borrowings and amounts due under </w:t>
      </w:r>
      <w:r>
        <w:rPr>
          <w:rFonts w:ascii="Times New Roman;serif" w:hAnsi="Times New Roman;serif"/>
          <w:b w:val="false"/>
          <w:color w:val="000000"/>
          <w:sz w:val="22"/>
          <w:u w:val="single"/>
        </w:rPr>
        <w:t>Section 2.03</w:t>
      </w:r>
      <w:r>
        <w:rPr>
          <w:rFonts w:ascii="Times New Roman;serif" w:hAnsi="Times New Roman;serif"/>
          <w:b w:val="false"/>
          <w:color w:val="000000"/>
          <w:sz w:val="22"/>
        </w:rPr>
        <w:t>, owing to, each Lender pursuant to the terms hereof from time to time (the “</w:t>
      </w:r>
      <w:r>
        <w:rPr>
          <w:rFonts w:ascii="Times New Roman;serif" w:hAnsi="Times New Roman;serif"/>
          <w:b/>
          <w:color w:val="000000"/>
          <w:sz w:val="22"/>
        </w:rPr>
        <w:t>Register</w:t>
      </w:r>
      <w:r>
        <w:rPr>
          <w:color w:val="000000"/>
        </w:rPr>
        <w:t>”</w:t>
      </w:r>
      <w:r>
        <w:rPr>
          <w:rFonts w:ascii="Times New Roman;serif" w:hAnsi="Times New Roman;serif"/>
          <w:b w:val="false"/>
          <w:color w:val="000000"/>
          <w:sz w:val="22"/>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any Borrower, any Agent and any Lender (but only to entries with respect to itself), at any reasonable time and from time to time upon reasonable prior notice. This Section </w:t>
      </w:r>
      <w:r>
        <w:rPr>
          <w:rFonts w:ascii="Times New Roman;serif" w:hAnsi="Times New Roman;serif"/>
          <w:b w:val="false"/>
          <w:color w:val="000000"/>
          <w:sz w:val="22"/>
          <w:u w:val="single"/>
        </w:rPr>
        <w:t>10.07(c)</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10.07(m)</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Section 2.11</w:t>
      </w:r>
      <w:r>
        <w:rPr>
          <w:color w:val="000000"/>
        </w:rPr>
        <w:t xml:space="preserve"> </w:t>
      </w:r>
      <w:r>
        <w:rPr>
          <w:rFonts w:ascii="Times New Roman;serif" w:hAnsi="Times New Roman;serif"/>
          <w:b w:val="false"/>
          <w:color w:val="000000"/>
          <w:sz w:val="22"/>
        </w:rPr>
        <w:t>shall be construed so that all Loans are at all times maintained in “registered form” within the meaning of Sections 163(f), 871(h)(2), and 881(c)(2) of the Code, and United States Treasury Regulations Section 5f.103-1(c), and proposed United States Treasury Regulations Section 1.163-5(b) (or any other relevant or successor provisions of the Code or of such Treasury Regulations).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(d)    Any Lender may at any time, without the consent of, or notice to, the applicable Borrower, the Administrative Agent or the L/C Issuers, sell participations to any Person (other than a Natural Person, a Person that the Administrative Agent has identified in a notice to the Lenders as a Defaulting Lender or a Disqualified Institution) (each, a “</w:t>
      </w:r>
      <w:r>
        <w:rPr>
          <w:rFonts w:ascii="Times New Roman;serif" w:hAnsi="Times New Roman;serif"/>
          <w:b/>
          <w:color w:val="000000"/>
          <w:sz w:val="22"/>
        </w:rPr>
        <w:t>Participant</w:t>
      </w:r>
      <w:r>
        <w:rPr>
          <w:color w:val="000000"/>
        </w:rPr>
        <w:t>”</w:t>
      </w:r>
      <w:r>
        <w:rPr>
          <w:rFonts w:ascii="Times New Roman;serif" w:hAnsi="Times New Roman;serif"/>
          <w:b w:val="false"/>
          <w:color w:val="000000"/>
          <w:sz w:val="22"/>
        </w:rPr>
        <w:t xml:space="preserve">) in all or a portion of such Lender’s rights and/or obligations under this Agreement (including all or a portion of its Commitment and/or the Loans (including such Lender’s participations in L/C Obligations) owing to it); that (i) such Lender’s obligations under this Agreement shall remain unchanged, (ii) such Lender shall remain solely responsible to the other 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w:t>
      </w:r>
    </w:p>
    <w:p>
      <w:pPr>
        <w:pStyle w:val="TextBody"/>
        <w:bidi w:val="0"/>
        <w:spacing w:before="0" w:after="0"/>
        <w:jc w:val="left"/>
        <w:rPr/>
      </w:pPr>
      <w:r>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6480175" cy="175260"/>
                <wp:effectExtent l="0" t="0" r="0" b="0"/>
                <wp:wrapNone/>
                <wp:docPr id="345" name="Frame3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enforce this Agreement and the other Loan Documents and to approve any amendment, modification or waiver of any provision of this Agreement or any other Loan Document unless otherwise agreed by the applicable Borrower; that such agreement or instrument may provide that such Lender will not, without the consent of the Participant, agree to any amendment, waiver or other modification described in the first proviso to </w:t>
      </w:r>
      <w:r>
        <w:rPr>
          <w:rFonts w:ascii="Times New Roman;serif" w:hAnsi="Times New Roman;serif"/>
          <w:b w:val="false"/>
          <w:color w:val="000000"/>
          <w:sz w:val="22"/>
          <w:u w:val="single"/>
        </w:rPr>
        <w:t>Section 10.01</w:t>
      </w:r>
      <w:r>
        <w:rPr>
          <w:color w:val="000000"/>
        </w:rPr>
        <w:t xml:space="preserve"> </w:t>
      </w:r>
      <w:r>
        <w:rPr>
          <w:rFonts w:ascii="Times New Roman;serif" w:hAnsi="Times New Roman;serif"/>
          <w:b w:val="false"/>
          <w:color w:val="000000"/>
          <w:sz w:val="22"/>
        </w:rPr>
        <w:t xml:space="preserve">(in the case of any amendment, waiver or other modification described in </w:t>
      </w:r>
      <w:r>
        <w:rPr>
          <w:rFonts w:ascii="Times New Roman;serif" w:hAnsi="Times New Roman;serif"/>
          <w:b w:val="false"/>
          <w:color w:val="000000"/>
          <w:sz w:val="22"/>
          <w:u w:val="single"/>
        </w:rPr>
        <w:t>clause (a)</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(c)</w:t>
      </w:r>
      <w:r>
        <w:rPr>
          <w:color w:val="000000"/>
        </w:rPr>
        <w:t xml:space="preserve"> </w:t>
      </w:r>
      <w:r>
        <w:rPr>
          <w:rFonts w:ascii="Times New Roman;serif" w:hAnsi="Times New Roman;serif"/>
          <w:b w:val="false"/>
          <w:color w:val="000000"/>
          <w:sz w:val="22"/>
        </w:rPr>
        <w:t xml:space="preserve">of such proviso, that directly and adversely affects such Participant). Subject to </w:t>
      </w:r>
      <w:r>
        <w:rPr>
          <w:rFonts w:ascii="Times New Roman;serif" w:hAnsi="Times New Roman;serif"/>
          <w:b w:val="false"/>
          <w:color w:val="000000"/>
          <w:sz w:val="22"/>
          <w:u w:val="single"/>
        </w:rPr>
        <w:t>Section 10.07(e)</w:t>
      </w:r>
      <w:r>
        <w:rPr>
          <w:rFonts w:ascii="Times New Roman;serif" w:hAnsi="Times New Roman;serif"/>
          <w:b w:val="false"/>
          <w:color w:val="000000"/>
          <w:sz w:val="22"/>
        </w:rPr>
        <w:t xml:space="preserve">, each Borrower agrees that each Participant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(subject to the requirements and the limitations of such Sections (it being understood that the documentation required under </w:t>
      </w:r>
      <w:r>
        <w:rPr>
          <w:rFonts w:ascii="Times New Roman;serif" w:hAnsi="Times New Roman;serif"/>
          <w:b w:val="false"/>
          <w:color w:val="000000"/>
          <w:sz w:val="22"/>
          <w:u w:val="single"/>
        </w:rPr>
        <w:t>Section 3.01(h)</w:t>
      </w:r>
      <w:r>
        <w:rPr>
          <w:color w:val="000000"/>
        </w:rPr>
        <w:t xml:space="preserve"> </w:t>
      </w:r>
      <w:r>
        <w:rPr>
          <w:rFonts w:ascii="Times New Roman;serif" w:hAnsi="Times New Roman;serif"/>
          <w:b w:val="false"/>
          <w:color w:val="000000"/>
          <w:sz w:val="22"/>
        </w:rPr>
        <w:t xml:space="preserve">shall be delivered solely to the participating Lender) and </w:t>
      </w:r>
      <w:r>
        <w:rPr>
          <w:rFonts w:ascii="Times New Roman;serif" w:hAnsi="Times New Roman;serif"/>
          <w:b w:val="false"/>
          <w:color w:val="000000"/>
          <w:sz w:val="22"/>
          <w:u w:val="single"/>
        </w:rPr>
        <w:t>Section 3.08</w:t>
      </w:r>
      <w:r>
        <w:rPr>
          <w:rFonts w:ascii="Times New Roman;serif" w:hAnsi="Times New Roman;serif"/>
          <w:b w:val="false"/>
          <w:color w:val="000000"/>
          <w:sz w:val="22"/>
        </w:rPr>
        <w:t xml:space="preserve">) to the same extent as if it were a Lender and had acquired its interest by assignment pursuant to </w:t>
      </w:r>
      <w:r>
        <w:rPr>
          <w:rFonts w:ascii="Times New Roman;serif" w:hAnsi="Times New Roman;serif"/>
          <w:b w:val="false"/>
          <w:color w:val="000000"/>
          <w:sz w:val="22"/>
          <w:u w:val="single"/>
        </w:rPr>
        <w:t>Section 10.07(b)</w:t>
      </w:r>
      <w:r>
        <w:rPr>
          <w:rFonts w:ascii="Times New Roman;serif" w:hAnsi="Times New Roman;serif"/>
          <w:b w:val="false"/>
          <w:color w:val="000000"/>
          <w:sz w:val="22"/>
        </w:rPr>
        <w:t xml:space="preserve">. To the extent permitted by law, each Participant also shall be entitled to the benefits of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 xml:space="preserve">as though it were a Lender; such Participant agrees to be subject to </w:t>
      </w:r>
      <w:r>
        <w:rPr>
          <w:rFonts w:ascii="Times New Roman;serif" w:hAnsi="Times New Roman;serif"/>
          <w:b w:val="false"/>
          <w:color w:val="000000"/>
          <w:sz w:val="22"/>
          <w:u w:val="single"/>
        </w:rPr>
        <w:t>Section 2.13</w:t>
      </w:r>
      <w:r>
        <w:rPr>
          <w:color w:val="000000"/>
        </w:rPr>
        <w:t xml:space="preserve"> </w:t>
      </w:r>
      <w:r>
        <w:rPr>
          <w:rFonts w:ascii="Times New Roman;serif" w:hAnsi="Times New Roman;serif"/>
          <w:b w:val="false"/>
          <w:color w:val="000000"/>
          <w:sz w:val="22"/>
        </w:rPr>
        <w:t>as though it were a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(e)    A Participant (i) shall be subject to the provisions of </w:t>
      </w:r>
      <w:r>
        <w:rPr>
          <w:rFonts w:ascii="Times New Roman;serif" w:hAnsi="Times New Roman;serif"/>
          <w:b w:val="false"/>
          <w:color w:val="000000"/>
          <w:sz w:val="22"/>
          <w:u w:val="single"/>
        </w:rPr>
        <w:t>Section 3.08</w:t>
      </w:r>
      <w:r>
        <w:rPr>
          <w:color w:val="000000"/>
        </w:rPr>
        <w:t xml:space="preserve"> </w:t>
      </w:r>
      <w:r>
        <w:rPr>
          <w:rFonts w:ascii="Times New Roman;serif" w:hAnsi="Times New Roman;serif"/>
          <w:b w:val="false"/>
          <w:color w:val="000000"/>
          <w:sz w:val="22"/>
        </w:rPr>
        <w:t xml:space="preserve">as if it were an assignee pursuant to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 xml:space="preserve">and (ii) shall not be entitled to receive any greater payment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than the applicable Lender would have been entitled to receive with respect to the participation sold to such Participant, except to the extent such greater entitlement results from a Change in Law after the Participant acquires such participation.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(f)    Any Lender may at any time pledge or assign a security interest in all or any portion of its rights under this Agreement (including under its Note, if any) (other than to a Disqualified Institution or a Natural Person) to secure obligations of such Lender, including any pledge or assignment to secure obligations to a FRB or any central bank having jurisdiction over such Lender; that no such pledge or assignment shall release such Lender from any of its obligations hereunder or substitute any such pledgee or assignee for such Lender as a party hereto.</w:t>
      </w:r>
    </w:p>
    <w:p>
      <w:pPr>
        <w:pStyle w:val="TextBody"/>
        <w:bidi w:val="0"/>
        <w:spacing w:lineRule="auto" w:line="288" w:before="0" w:after="240"/>
        <w:ind w:left="0" w:right="0" w:firstLine="720"/>
        <w:jc w:val="left"/>
        <w:rPr/>
      </w:pPr>
      <w:r>
        <w:rPr>
          <w:rFonts w:ascii="Times New Roman;serif" w:hAnsi="Times New Roman;serif"/>
          <w:b w:val="false"/>
          <w:color w:val="000000"/>
          <w:sz w:val="22"/>
        </w:rPr>
        <w:t>(g)    Notwithstanding anything to the contrary herein, any Lender (a “</w:t>
      </w:r>
      <w:r>
        <w:rPr>
          <w:rFonts w:ascii="Times New Roman;serif" w:hAnsi="Times New Roman;serif"/>
          <w:b/>
          <w:color w:val="000000"/>
          <w:sz w:val="22"/>
        </w:rPr>
        <w:t>Granting Lender</w:t>
      </w:r>
      <w:r>
        <w:rPr>
          <w:color w:val="000000"/>
        </w:rPr>
        <w:t>”</w:t>
      </w:r>
      <w:r>
        <w:rPr>
          <w:rFonts w:ascii="Times New Roman;serif" w:hAnsi="Times New Roman;serif"/>
          <w:b w:val="false"/>
          <w:color w:val="000000"/>
          <w:sz w:val="22"/>
        </w:rPr>
        <w:t>) may grant to a special purpose funding vehicle (an “</w:t>
      </w:r>
      <w:r>
        <w:rPr>
          <w:rFonts w:ascii="Times New Roman;serif" w:hAnsi="Times New Roman;serif"/>
          <w:b/>
          <w:color w:val="000000"/>
          <w:sz w:val="22"/>
        </w:rPr>
        <w:t>SPC</w:t>
      </w:r>
      <w:r>
        <w:rPr>
          <w:color w:val="000000"/>
        </w:rPr>
        <w:t>”</w:t>
      </w:r>
      <w:r>
        <w:rPr>
          <w:rFonts w:ascii="Times New Roman;serif" w:hAnsi="Times New Roman;serif"/>
          <w:b w:val="false"/>
          <w:color w:val="000000"/>
          <w:sz w:val="22"/>
        </w:rPr>
        <w:t xml:space="preserve">) identified as such in writing from time to time by the Granting Lender to the Administrative Agent and the applicable Borrower the option to provide all or any part of any Loan that such Granting Lender would otherwise be obligated to make pursuant to this Agreement; that (i) 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serif" w:hAnsi="Times New Roman;serif"/>
          <w:b w:val="false"/>
          <w:color w:val="000000"/>
          <w:sz w:val="22"/>
          <w:u w:val="single"/>
        </w:rPr>
        <w:t>Section 2.12(b)</w:t>
      </w:r>
      <w:r>
        <w:rPr>
          <w:rFonts w:ascii="Times New Roman;serif" w:hAnsi="Times New Roman;serif"/>
          <w:b w:val="false"/>
          <w:color w:val="000000"/>
          <w:sz w:val="22"/>
        </w:rPr>
        <w:t xml:space="preserve">. Each party hereto hereby agrees that an SPC shall be entitled to the benefits of </w:t>
      </w:r>
      <w:r>
        <w:rPr>
          <w:rFonts w:ascii="Times New Roman;serif" w:hAnsi="Times New Roman;serif"/>
          <w:b w:val="false"/>
          <w:color w:val="000000"/>
          <w:sz w:val="22"/>
          <w:u w:val="single"/>
        </w:rPr>
        <w:t>Sections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3.05</w:t>
      </w:r>
      <w:r>
        <w:rPr>
          <w:color w:val="000000"/>
        </w:rPr>
        <w:t xml:space="preserve"> </w:t>
      </w:r>
      <w:r>
        <w:rPr>
          <w:rFonts w:ascii="Times New Roman;serif" w:hAnsi="Times New Roman;serif"/>
          <w:b w:val="false"/>
          <w:color w:val="000000"/>
          <w:sz w:val="22"/>
        </w:rPr>
        <w:t xml:space="preserve">(subject to the requirements and the limitations of such Sections (it being understood that the documentation required under </w:t>
      </w:r>
      <w:r>
        <w:rPr>
          <w:rFonts w:ascii="Times New Roman;serif" w:hAnsi="Times New Roman;serif"/>
          <w:b w:val="false"/>
          <w:color w:val="000000"/>
          <w:sz w:val="22"/>
          <w:u w:val="single"/>
        </w:rPr>
        <w:t>Section 3.01(h)</w:t>
      </w:r>
      <w:r>
        <w:rPr>
          <w:color w:val="000000"/>
        </w:rPr>
        <w:t xml:space="preserve"> </w:t>
      </w:r>
      <w:r>
        <w:rPr>
          <w:rFonts w:ascii="Times New Roman;serif" w:hAnsi="Times New Roman;serif"/>
          <w:b w:val="false"/>
          <w:color w:val="000000"/>
          <w:sz w:val="22"/>
        </w:rPr>
        <w:t xml:space="preserve">shall be delivered solely to the Granting Lender) and </w:t>
      </w:r>
      <w:r>
        <w:rPr>
          <w:rFonts w:ascii="Times New Roman;serif" w:hAnsi="Times New Roman;serif"/>
          <w:b w:val="false"/>
          <w:color w:val="000000"/>
          <w:sz w:val="22"/>
          <w:u w:val="single"/>
        </w:rPr>
        <w:t>Section 3.08</w:t>
      </w:r>
      <w:r>
        <w:rPr>
          <w:rFonts w:ascii="Times New Roman;serif" w:hAnsi="Times New Roman;serif"/>
          <w:b w:val="false"/>
          <w:color w:val="000000"/>
          <w:sz w:val="22"/>
        </w:rPr>
        <w:t xml:space="preserve">); that neither the grant to any SPC nor the exercise by any SPC of such option shall increase the costs or expenses or otherwise increase or change the obligations of any Borrower under this Agreement (including under </w:t>
      </w:r>
      <w:r>
        <w:rPr>
          <w:rFonts w:ascii="Times New Roman;serif" w:hAnsi="Times New Roman;serif"/>
          <w:b w:val="false"/>
          <w:color w:val="000000"/>
          <w:sz w:val="22"/>
          <w:u w:val="single"/>
        </w:rPr>
        <w:t>Section 3.01</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3.04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3.05</w:t>
      </w:r>
      <w:r>
        <w:rPr>
          <w:rFonts w:ascii="Times New Roman;serif" w:hAnsi="Times New Roman;serif"/>
          <w:b w:val="false"/>
          <w:color w:val="000000"/>
          <w:sz w:val="22"/>
        </w:rPr>
        <w:t xml:space="preserve">), except to the extent such greater entitlement results from a Change in Law after the applicable grant. Each party hereto further agrees that (i) no SPC shall be liable for any indemnity or similar payment obligation under this Agreement for which a Lender would be liable, and (ii) the Granting Lender shall for all purposes, including the approval of any amendment, waiver or other modification of any provision of any Loan Document, remain the Lender of record hereunder. Other than as expressly provided in this </w:t>
      </w:r>
      <w:r>
        <w:rPr>
          <w:rFonts w:ascii="Times New Roman;serif" w:hAnsi="Times New Roman;serif"/>
          <w:b w:val="false"/>
          <w:color w:val="000000"/>
          <w:sz w:val="22"/>
          <w:u w:val="single"/>
        </w:rPr>
        <w:t>Section 10.07(g)</w:t>
      </w:r>
      <w:r>
        <w:rPr>
          <w:rFonts w:ascii="Times New Roman;serif" w:hAnsi="Times New Roman;serif"/>
          <w:b w:val="false"/>
          <w:color w:val="000000"/>
          <w:sz w:val="22"/>
        </w:rPr>
        <w:t xml:space="preserve">, (A) such Granting Lender’s obligations under this Agreement shall remain unchanged, (B) such Granting Lender shall remain solely responsible to the other parties hereto for the performance of such obligations and (C) the Borrowers, the Agents and the other Lenders shall continue to deal solely and directly with such Granting Lender in connection with such </w:t>
      </w:r>
    </w:p>
    <w:p>
      <w:pPr>
        <w:pStyle w:val="TextBody"/>
        <w:bidi w:val="0"/>
        <w:spacing w:before="0" w:after="0"/>
        <w:jc w:val="left"/>
        <w:rPr/>
      </w:pPr>
      <w:r>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6480175" cy="175260"/>
                <wp:effectExtent l="0" t="0" r="0" b="0"/>
                <wp:wrapNone/>
                <wp:docPr id="346" name="Frame3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applicable Borrower and the Administrative Agent and with the payment of a processing fee of $3,500, assign all or any portion of its rights hereunder with respect to any Loan to the Granting Lender and (ii) subject to </w:t>
      </w:r>
      <w:r>
        <w:rPr>
          <w:rFonts w:ascii="Times New Roman;serif" w:hAnsi="Times New Roman;serif"/>
          <w:b w:val="false"/>
          <w:color w:val="000000"/>
          <w:sz w:val="22"/>
          <w:u w:val="single"/>
        </w:rPr>
        <w:t>Section 10.08</w:t>
      </w:r>
      <w:r>
        <w:rPr>
          <w:rFonts w:ascii="Times New Roman;serif" w:hAnsi="Times New Roman;serif"/>
          <w:b w:val="false"/>
          <w:color w:val="000000"/>
          <w:sz w:val="22"/>
        </w:rPr>
        <w:t>, disclose on a confidential basis any non-public information relating to its funding of Loans to any rating agency, commercial paper dealer or provider of any surety or Guarantee or credit or liquidity enhancement to such SPC.</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(h)    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 that unless and until such trustee actually becomes a Lender in compliance with the other provisions of this </w:t>
      </w:r>
      <w:r>
        <w:rPr>
          <w:rFonts w:ascii="Times New Roman;serif" w:hAnsi="Times New Roman;serif"/>
          <w:b w:val="false"/>
          <w:color w:val="000000"/>
          <w:sz w:val="22"/>
          <w:u w:val="single"/>
        </w:rPr>
        <w:t>Section 10.07</w:t>
      </w:r>
      <w:r>
        <w:rPr>
          <w:rFonts w:ascii="Times New Roman;serif" w:hAnsi="Times New Roman;serif"/>
          <w:b w:val="false"/>
          <w:color w:val="000000"/>
          <w:sz w:val="22"/>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(j)    Notwithstanding anything to the contrary herein, including </w:t>
      </w:r>
      <w:r>
        <w:rPr>
          <w:rFonts w:ascii="Times New Roman;serif" w:hAnsi="Times New Roman;serif"/>
          <w:b w:val="false"/>
          <w:color w:val="000000"/>
          <w:sz w:val="22"/>
          <w:u w:val="single"/>
        </w:rPr>
        <w:t>Sections 2.13</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8.04</w:t>
      </w:r>
      <w:r>
        <w:rPr>
          <w:rFonts w:ascii="Times New Roman;serif" w:hAnsi="Times New Roman;serif"/>
          <w:b w:val="false"/>
          <w:color w:val="000000"/>
          <w:sz w:val="22"/>
        </w:rPr>
        <w:t>, so long as no Default or Event of Default exists, any Lender may assign all or any portion of its Term Loans, Specified Refinancing Term Loans and New Term Loans hereunder to the Company, any Borrower, or any of their Subsidiaries, whether pursuant to open market purchase, dutch auction, exchange, or otherwise, and, for the avoidance of doubt any such assignment may be made on a non-pro rata basis, and provided that: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any such Term Loans shall be automatically and permanently cancelled immediately upon acquisition thereof by the Company or any of its Subsidiaries;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(ii)    the Company and its Subsidiaries do not use the proceeds of the Revolving Credit Facility (whether or not the Revolving Credit Facility has been increased pursuant to </w:t>
      </w:r>
      <w:r>
        <w:rPr>
          <w:rFonts w:ascii="Times New Roman;serif" w:hAnsi="Times New Roman;serif"/>
          <w:b w:val="false"/>
          <w:color w:val="000000"/>
          <w:sz w:val="22"/>
          <w:u w:val="single"/>
        </w:rPr>
        <w:t>Section 2.14</w:t>
      </w:r>
      <w:r>
        <w:rPr>
          <w:color w:val="000000"/>
        </w:rPr>
        <w:t xml:space="preserve"> </w:t>
      </w:r>
      <w:r>
        <w:rPr>
          <w:rFonts w:ascii="Times New Roman;serif" w:hAnsi="Times New Roman;serif"/>
          <w:b w:val="false"/>
          <w:color w:val="000000"/>
          <w:sz w:val="22"/>
        </w:rPr>
        <w:t xml:space="preserve">or refinanced pursuant to </w:t>
      </w:r>
      <w:r>
        <w:rPr>
          <w:rFonts w:ascii="Times New Roman;serif" w:hAnsi="Times New Roman;serif"/>
          <w:b w:val="false"/>
          <w:color w:val="000000"/>
          <w:sz w:val="22"/>
          <w:u w:val="single"/>
        </w:rPr>
        <w:t>Section 2.18</w:t>
      </w:r>
      <w:r>
        <w:rPr>
          <w:rFonts w:ascii="Times New Roman;serif" w:hAnsi="Times New Roman;serif"/>
          <w:b w:val="false"/>
          <w:color w:val="000000"/>
          <w:sz w:val="22"/>
        </w:rPr>
        <w:t>) to acquire such Term Loan.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In connection with any assignment pursuant to Section 10.07(j), each Lender acknowledges and agrees that, in connection therewith:</w:t>
      </w:r>
    </w:p>
    <w:p>
      <w:pPr>
        <w:pStyle w:val="TextBody"/>
        <w:bidi w:val="0"/>
        <w:spacing w:lineRule="auto" w:line="288" w:before="0" w:after="240"/>
        <w:ind w:left="0" w:right="0" w:firstLine="720"/>
        <w:jc w:val="left"/>
        <w:rPr/>
      </w:pPr>
      <w:r>
        <w:rPr>
          <w:rFonts w:ascii="Times New Roman;serif" w:hAnsi="Times New Roman;serif"/>
          <w:b w:val="false"/>
          <w:color w:val="000000"/>
          <w:sz w:val="22"/>
        </w:rPr>
        <w:t>(1)    the Company and/or any of its Subsidiaries may have, and later may come into possession of, information regarding either the Company or any of its Subsidiaries and/or any of their respective Affiliates not known to such Lender and that may be material to a decision by such Lender to participate in such assignment (including material non-public information) (“</w:t>
      </w:r>
      <w:r>
        <w:rPr>
          <w:rFonts w:ascii="Times New Roman;serif" w:hAnsi="Times New Roman;serif"/>
          <w:b/>
          <w:color w:val="000000"/>
          <w:sz w:val="22"/>
        </w:rPr>
        <w:t>Excluded Information</w:t>
      </w:r>
      <w:r>
        <w:rPr>
          <w:color w:val="000000"/>
        </w:rPr>
        <w:t>”</w:t>
      </w:r>
      <w:r>
        <w:rPr>
          <w:rFonts w:ascii="Times New Roman;serif" w:hAnsi="Times New Roman;serif"/>
          <w:b w:val="false"/>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6480175" cy="175260"/>
                <wp:effectExtent l="0" t="0" r="0" b="0"/>
                <wp:wrapNone/>
                <wp:docPr id="347" name="Frame3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(2)    such Lender, independently and, without reliance on the Company, any of its Subsidiaries, any Agent or any of their respective Affiliates, has made its own analysis and determination to participate in such assignment notwithstanding such Lender’s lack of knowledge of the Excluded Information,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(3)    none of the Company, any of its Subsidiaries, any Agent or any of their respective Affiliates shall have any liability to such Lender, and such Lender hereby waives and releases, to the extent permitted by law, any claims such Lender may have against the Company, any of its Subsidiaries, any Agent or any of their respective Affiliates, under applicable laws or otherwise, with respect to the nondisclosure of the Excluded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(k)    [Reserved].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(l)    Notwithstanding anything to the contrary herein, any L/C Issuer may, upon 30 days’ notice to the Borrowers and the Lenders, resign as L/C Issuer; that on or prior to the expiration of such 30-day period with respect to such resignation, the relevant L/C Issuer shall have identified a successor L/C Issuer willing to accept its appointment as successor L/C Issuer, and the effectiveness of such resignation shall be conditioned upon such successor assuming the rights and duties of the L/C Issuer. In the event of any such resignation as L/C Issuer, the Borrowers shall be entitled to appoint from among the Lenders agreeing to accept such appointment a successor L/C Issuer hereunder;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no failure by the Borrowers to appoint any such successor shall affect the resignation of the L/C Issuer. If an L/C Issuer resigns as L/C Issuer, it shall retain all the rights and obligations of an L/C Issuer hereunder with respect to all Letters of Credit outstanding, as of the effective date of such resignation and all L/C Obligations with respect thereto (including the right to require the Lenders to make ABR Loans or fund risk participations in Unreimbursed Amounts pursuant to </w:t>
      </w:r>
      <w:r>
        <w:rPr>
          <w:rFonts w:ascii="Times New Roman;serif" w:hAnsi="Times New Roman;serif"/>
          <w:b w:val="false"/>
          <w:color w:val="000000"/>
          <w:sz w:val="22"/>
          <w:u w:val="single"/>
        </w:rPr>
        <w:t>Section 2.03(d)</w:t>
      </w:r>
      <w:r>
        <w:rPr>
          <w:rFonts w:ascii="Times New Roman;serif" w:hAnsi="Times New Roman;serif"/>
          <w:b w:val="false"/>
          <w:color w:val="000000"/>
          <w:sz w:val="22"/>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(m)    The applicable Lender, acting solely for this purpose as a non-fiduciary agent of the applicable Borrower, shall maintain a register on which it enters the name and address of (i) each SPC (other than any SPC that is treated as a disregarded entity of the Granting Lender for U.S. federal income tax purposes) that has exercised its option pursuant to </w:t>
      </w:r>
      <w:r>
        <w:rPr>
          <w:rFonts w:ascii="Times New Roman;serif" w:hAnsi="Times New Roman;serif"/>
          <w:b w:val="false"/>
          <w:color w:val="000000"/>
          <w:sz w:val="22"/>
          <w:u w:val="single"/>
        </w:rPr>
        <w:t>Section 10.07(g)</w:t>
      </w:r>
      <w:r>
        <w:rPr>
          <w:color w:val="000000"/>
        </w:rPr>
        <w:t xml:space="preserve"> </w:t>
      </w:r>
      <w:r>
        <w:rPr>
          <w:rFonts w:ascii="Times New Roman;serif" w:hAnsi="Times New Roman;serif"/>
          <w:b w:val="false"/>
          <w:color w:val="000000"/>
          <w:sz w:val="22"/>
        </w:rPr>
        <w:t>and (ii) each Participant, and the amount of each such SPC’s and Participant’s interest in such Lender’s rights and/or obligations under this Agreement or any Loan Document complying with the requirements of Sections 163(f), 871(h) and 881(c)(2) of the Code and the United States Treasury Regulations (the “</w:t>
      </w:r>
      <w:r>
        <w:rPr>
          <w:rFonts w:ascii="Times New Roman;serif" w:hAnsi="Times New Roman;serif"/>
          <w:b/>
          <w:color w:val="000000"/>
          <w:sz w:val="22"/>
        </w:rPr>
        <w:t>Participant Register</w:t>
      </w:r>
      <w:r>
        <w:rPr>
          <w:color w:val="000000"/>
        </w:rPr>
        <w:t>”</w:t>
      </w:r>
      <w:r>
        <w:rPr>
          <w:rFonts w:ascii="Times New Roman;serif" w:hAnsi="Times New Roman;serif"/>
          <w:b w:val="false"/>
          <w:color w:val="000000"/>
          <w:sz w:val="22"/>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Sections 163(f), 871(h)(2), and 881(c)(2) of the Code, United States Treasury Regulations Section 5f.103-1(c), and proposed United States Treasury Regulations Section 1.163-5(b) (or any other relevant or successor provisions of the Code or of such Treasury Regulations). The entries in the Participant Register shall be conclusive absent manifest error, and such Borrower and such Lender shall treat each Person whose name is recorded in the Participant Register as the owner of the applicable rights and/or obligations of such Lender under this Agreement, notwithstanding notice to the contrary. For the avoidance of doubt, the </w:t>
      </w:r>
    </w:p>
    <w:p>
      <w:pPr>
        <w:pStyle w:val="TextBody"/>
        <w:bidi w:val="0"/>
        <w:spacing w:before="0" w:after="0"/>
        <w:jc w:val="left"/>
        <w:rPr/>
      </w:pPr>
      <w:r>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480175" cy="175260"/>
                <wp:effectExtent l="0" t="0" r="0" b="0"/>
                <wp:wrapNone/>
                <wp:docPr id="348" name="Frame3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Administrative Agent (in its capacity as Administrative Agent) shall have no obligation to maintain the Participant Register.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(n)    In the event that a transfer by any of the Secured Parties of its rights and/or obligations under this Agreement (and/or any relevant Loan Document) occurred or was deemed to occur by way of novation, the Borrowers and any other Loan Parties explicitly agree that all securities and guarantees created under any Loan Documents shall be preserved for the benefit of the new Lender and the other Secured Parties.</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(o)    Notwithstanding anything to the contrary herein, if any Loans are assigned or any participations are purchased or otherwise acquired, without the applicable Borrower’s consent (including, without limitation, in violation of </w:t>
      </w:r>
      <w:r>
        <w:rPr>
          <w:rFonts w:ascii="Times New Roman;serif" w:hAnsi="Times New Roman;serif"/>
          <w:b w:val="false"/>
          <w:color w:val="000000"/>
          <w:sz w:val="22"/>
          <w:u w:val="single"/>
        </w:rPr>
        <w:t>Section 10.07(b)</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(d)</w:t>
      </w:r>
      <w:r>
        <w:rPr>
          <w:rFonts w:ascii="Times New Roman;serif" w:hAnsi="Times New Roman;serif"/>
          <w:b w:val="false"/>
          <w:color w:val="000000"/>
          <w:sz w:val="22"/>
        </w:rPr>
        <w:t xml:space="preserve">), to any Disqualified Institution, then: (i) such Borrower may, at its sole option, expense and effort, upon notice to the applicable Disqualified Institution and the Administrative Agent ( that the Administrative Agent shall provide appropriate cooperation to effect this </w:t>
      </w:r>
      <w:r>
        <w:rPr>
          <w:rFonts w:ascii="Times New Roman;serif" w:hAnsi="Times New Roman;serif"/>
          <w:b w:val="false"/>
          <w:color w:val="000000"/>
          <w:sz w:val="22"/>
          <w:u w:val="single"/>
        </w:rPr>
        <w:t>Section 10.07(o)</w:t>
      </w:r>
      <w:r>
        <w:rPr>
          <w:rFonts w:ascii="Times New Roman;serif" w:hAnsi="Times New Roman;serif"/>
          <w:b w:val="false"/>
          <w:color w:val="000000"/>
          <w:sz w:val="22"/>
        </w:rPr>
        <w:t xml:space="preserve">), (I) (x) terminate any commitment of such Disqualified Institution and repay any applicable outstanding Loans (in the case of Loans, at a price equal to the least of (A) par and (B) the amount that the applicable Disqualified Institution paid to acquire such Loans or participation), without premium, penalty, prepayment fee, breakage or accrued interest, and/or (y) require such Disqualified Institution to assign its rights and obligations to one or more Eligible Assignees at the price indicated in the immediately preceding </w:t>
      </w:r>
      <w:r>
        <w:rPr>
          <w:rFonts w:ascii="Times New Roman;serif" w:hAnsi="Times New Roman;serif"/>
          <w:b w:val="false"/>
          <w:color w:val="000000"/>
          <w:sz w:val="22"/>
          <w:u w:val="single"/>
        </w:rPr>
        <w:t>clause (x)</w:t>
      </w:r>
      <w:r>
        <w:rPr>
          <w:rFonts w:ascii="Times New Roman;serif" w:hAnsi="Times New Roman;serif"/>
          <w:b w:val="false"/>
          <w:color w:val="000000"/>
          <w:sz w:val="22"/>
        </w:rPr>
        <w:t xml:space="preserve">, without premium, penalty, prepayment fee, accrued interest or breakage (which assignment shall not be subject to the processing and recordation fee described in </w:t>
      </w:r>
      <w:r>
        <w:rPr>
          <w:rFonts w:ascii="Times New Roman;serif" w:hAnsi="Times New Roman;serif"/>
          <w:b w:val="false"/>
          <w:color w:val="000000"/>
          <w:sz w:val="22"/>
          <w:u w:val="single"/>
        </w:rPr>
        <w:t>Section 10.07(b)(iv)</w:t>
      </w:r>
      <w:r>
        <w:rPr>
          <w:rFonts w:ascii="Times New Roman;serif" w:hAnsi="Times New Roman;serif"/>
          <w:b w:val="false"/>
          <w:color w:val="000000"/>
          <w:sz w:val="22"/>
        </w:rPr>
        <w:t xml:space="preserve">) or (II) (x) force the termination of any participation with respect to any Participant which is a Disqualified Institution or terminate any commitment of a Lender which has sold a participation to a Participant which is a Disqualified Institution and repay any applicable outstanding Loans of such Lender (in the case of Loans, at a price equal to the least of (A) par, (B) the amount that the applicable Disqualified Institution paid to acquire such participation in such Loans and (C) the average trading price for such Loans over the immediately prior five trading days), without premium, penalty, prepayment fee, breakage or accrued interest, and/or (y) require such Participant which is a Disqualified Institution to assign its rights and obligations to one or more Eligible Assignees at the price indicated in the immediately preceding </w:t>
      </w:r>
      <w:r>
        <w:rPr>
          <w:rFonts w:ascii="Times New Roman;serif" w:hAnsi="Times New Roman;serif"/>
          <w:b w:val="false"/>
          <w:color w:val="000000"/>
          <w:sz w:val="22"/>
          <w:u w:val="single"/>
        </w:rPr>
        <w:t>clause (x)</w:t>
      </w:r>
      <w:r>
        <w:rPr>
          <w:rFonts w:ascii="Times New Roman;serif" w:hAnsi="Times New Roman;serif"/>
          <w:b w:val="false"/>
          <w:color w:val="000000"/>
          <w:sz w:val="22"/>
        </w:rPr>
        <w:t xml:space="preserve">, without premium, penalty, prepayment fee, accrued interest or breakage (which assignment shall not be subject to the processing and recordation fee described in </w:t>
      </w:r>
      <w:r>
        <w:rPr>
          <w:rFonts w:ascii="Times New Roman;serif" w:hAnsi="Times New Roman;serif"/>
          <w:b w:val="false"/>
          <w:color w:val="000000"/>
          <w:sz w:val="22"/>
          <w:u w:val="single"/>
        </w:rPr>
        <w:t>Section 10.07(b)(iv)</w:t>
      </w:r>
      <w:r>
        <w:rPr>
          <w:rFonts w:ascii="Times New Roman;serif" w:hAnsi="Times New Roman;serif"/>
          <w:b w:val="false"/>
          <w:color w:val="000000"/>
          <w:sz w:val="22"/>
        </w:rPr>
        <w:t xml:space="preserve">), (ii) no such Disqualified Institution shall (x) receive any information or reporting provided by any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(iii) for purposes of voting, any Loans, Commitments or participations held by such Disqualified Institution shall be deemed not to be outstanding and such Disqualified Institution shall have no voting or consent rights with respect to “Required Lender” or class votes or consents, in each case notwithstanding </w:t>
      </w:r>
      <w:r>
        <w:rPr>
          <w:rFonts w:ascii="Times New Roman;serif" w:hAnsi="Times New Roman;serif"/>
          <w:b w:val="false"/>
          <w:color w:val="000000"/>
          <w:sz w:val="22"/>
          <w:u w:val="single"/>
        </w:rPr>
        <w:t>Section 10.01</w:t>
      </w:r>
      <w:r>
        <w:rPr>
          <w:rFonts w:ascii="Times New Roman;serif" w:hAnsi="Times New Roman;serif"/>
          <w:b w:val="false"/>
          <w:color w:val="000000"/>
          <w:sz w:val="22"/>
        </w:rPr>
        <w:t>, (iv) for purposes of any matter requiring the vote or consent of each Lender affected by any amendment or waiver, such Disqualified Institution shall be deemed to have voted or consented to approve such amendment or waiver if a majority of the affected class so approves and (v) such Disqualified Institution shall not be entitled to any expense reimbursement or indemnification rights ordinarily afforded to Lenders or Participants hereunder or in any Loan Document and such Disqualified Institution shall be treated in all other respects as a Defaulting Lender.</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10.08    </w:t>
      </w:r>
      <w:r>
        <w:rPr>
          <w:rFonts w:ascii="Times New Roman;serif" w:hAnsi="Times New Roman;serif"/>
          <w:b w:val="false"/>
          <w:color w:val="000000"/>
          <w:sz w:val="22"/>
          <w:u w:val="single"/>
        </w:rPr>
        <w:t>Confidentiality</w:t>
      </w:r>
      <w:r>
        <w:rPr>
          <w:rFonts w:ascii="Times New Roman;serif" w:hAnsi="Times New Roman;serif"/>
          <w:b w:val="false"/>
          <w:color w:val="000000"/>
          <w:sz w:val="22"/>
        </w:rPr>
        <w:t xml:space="preserve">. Each of the Agents and the Lenders agrees to maintain the confidentiality of the Information, except that Information may be disclosed (a) to its Affiliates and to its and its Affiliates’ respective partners, limited partners, managed accounts, investors, lenders, directors, </w:t>
      </w:r>
    </w:p>
    <w:p>
      <w:pPr>
        <w:pStyle w:val="TextBody"/>
        <w:bidi w:val="0"/>
        <w:spacing w:before="0" w:after="0"/>
        <w:jc w:val="left"/>
        <w:rPr/>
      </w:pPr>
      <w:r>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6480175" cy="175260"/>
                <wp:effectExtent l="0" t="0" r="0" b="0"/>
                <wp:wrapNone/>
                <wp:docPr id="349" name="Frame3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officers, employees, trustees, representatives and agents, including accountants, legal counsel and other advisors and service providers on a need-to-know basis (it being understood that the Persons to whom such disclosure is made will be informed of the confidential nature of such Information and instructed to keep such Information confidential in accordance with customary practices); (b) to the extent requested by any regulatory authority having jurisdiction over such Agent, Lender or its respective Affiliates or in connection with any pledge or assignment permitted under </w:t>
      </w:r>
      <w:r>
        <w:rPr>
          <w:rFonts w:ascii="Times New Roman;serif" w:hAnsi="Times New Roman;serif"/>
          <w:b w:val="false"/>
          <w:color w:val="000000"/>
          <w:sz w:val="22"/>
          <w:u w:val="single"/>
        </w:rPr>
        <w:t>Section 10.07(f)</w:t>
      </w:r>
      <w:r>
        <w:rPr>
          <w:rFonts w:ascii="Times New Roman;serif" w:hAnsi="Times New Roman;serif"/>
          <w:b w:val="false"/>
          <w:color w:val="000000"/>
          <w:sz w:val="22"/>
        </w:rPr>
        <w:t xml:space="preserve">; (c) in any legal, judicial,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 Lender, as applicable, agrees (except with respect to any audit or examination conducted by bank accountants or any governmental bank regulatory authority or self-regulatory authorities exercising examination or regulatory authority), to the extent not prohibited by applicable Law, to (i) promptly notify the Company in writing prior to such disclosure, (ii) cooperate with the Company to obtain a protective order or similar confidential treatment, and (iii) only disclose that portion of the Information as counsel for the Agent or the applicable Lender advises the Agent or the applicable Lender it must disclose pursuant to such requirement); (d) to any other party to this Agreement;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(or at least as restrictive) as those of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(or as may otherwise be reasonably acceptable to the Company), to any Eligible Assignee of or Participant in, or any prospective Eligible Assignee of or Participant in, any of its rights or obligations under this Agreement; that no such disclosure shall be made by such Lender or such Agent or any of their respective Affiliates to any such Person that is a Disqualified Institution; (g) with the written consent of the Company; (h) to the extent such Information becomes publicly available other than as a result of a breach of this </w:t>
      </w:r>
      <w:r>
        <w:rPr>
          <w:rFonts w:ascii="Times New Roman;serif" w:hAnsi="Times New Roman;serif"/>
          <w:b w:val="false"/>
          <w:color w:val="000000"/>
          <w:sz w:val="22"/>
          <w:u w:val="single"/>
        </w:rPr>
        <w:t>Section 10.08</w:t>
      </w:r>
      <w:r>
        <w:rPr>
          <w:rFonts w:ascii="Times New Roman;serif" w:hAnsi="Times New Roman;serif"/>
          <w:b w:val="false"/>
          <w:color w:val="000000"/>
          <w:sz w:val="22"/>
        </w:rPr>
        <w:t xml:space="preserve">; (i) to any state, federal or foreign authority or examiner (including the National Association of Insurance Commissioners or any other similar organization) regulating any Agent or Lender or any Affiliate of any Agent or Lender; (j) to any rating agency when required by it (it being understood that, prior to any such disclosure, such rating agency shall undertake to preserve the confidentiality of any Information relating to the Loan Parties received by it from such Agent or Lender); (k) to any contractual counterparty (or prospective contractual counterparty) in any swap, hedge, or similar agreement or to any such contractual counterparty’s (or prospective contractual counterparty’s) professional advisor (other than a Disqualified Institution); (l) in connection with establishing a “due diligence” defense in connection with any legal, judicial, administrative proceeding or other process; or (m) to the extent such Information becomes available to such Person on a non-confidential basis from a source other than a Borrower or on a Borrower’s behalf and not in violation of any confidentiality agreement or obligation owed to any Borrower.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that such Person is advised and agrees to be bound by the provisions of this </w:t>
      </w:r>
      <w:r>
        <w:rPr>
          <w:rFonts w:ascii="Times New Roman;serif" w:hAnsi="Times New Roman;serif"/>
          <w:b w:val="false"/>
          <w:color w:val="000000"/>
          <w:sz w:val="22"/>
          <w:u w:val="single"/>
        </w:rPr>
        <w:t>Section 10.08</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For the purposes of this </w:t>
      </w:r>
      <w:r>
        <w:rPr>
          <w:rFonts w:ascii="Times New Roman;serif" w:hAnsi="Times New Roman;serif"/>
          <w:b w:val="false"/>
          <w:color w:val="000000"/>
          <w:sz w:val="22"/>
          <w:u w:val="single"/>
        </w:rPr>
        <w:t>Section 10.08</w:t>
      </w:r>
      <w:r>
        <w:rPr>
          <w:rFonts w:ascii="Times New Roman;serif" w:hAnsi="Times New Roman;serif"/>
          <w:b w:val="false"/>
          <w:color w:val="000000"/>
          <w:sz w:val="22"/>
        </w:rPr>
        <w:t>, “</w:t>
      </w:r>
      <w:r>
        <w:rPr>
          <w:rFonts w:ascii="Times New Roman;serif" w:hAnsi="Times New Roman;serif"/>
          <w:b/>
          <w:color w:val="000000"/>
          <w:sz w:val="22"/>
        </w:rPr>
        <w:t>Information</w:t>
      </w:r>
      <w:r>
        <w:rPr>
          <w:color w:val="000000"/>
        </w:rPr>
        <w:t xml:space="preserve">” </w:t>
      </w:r>
      <w:r>
        <w:rPr>
          <w:rFonts w:ascii="Times New Roman;serif" w:hAnsi="Times New Roman;serif"/>
          <w:b w:val="false"/>
          <w:color w:val="000000"/>
          <w:sz w:val="22"/>
        </w:rPr>
        <w:t xml:space="preserve">means all information received from any Loan Party or any Subsidiary thereof relating to any Loan Party or any Subsidiary thereof or their respective businesses, other than any such information that is publicly available to any Agent or any Lender prior to disclosure by any Loan Party other than as a result of a breach of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by such Lender or Agent. Any Person required to maintain the confidentiality of Information as provided in this </w:t>
      </w:r>
      <w:r>
        <w:rPr>
          <w:rFonts w:ascii="Times New Roman;serif" w:hAnsi="Times New Roman;serif"/>
          <w:b w:val="false"/>
          <w:color w:val="000000"/>
          <w:sz w:val="22"/>
          <w:u w:val="single"/>
        </w:rPr>
        <w:t>Section 10.08</w:t>
      </w:r>
      <w:r>
        <w:rPr>
          <w:color w:val="000000"/>
        </w:rPr>
        <w:t xml:space="preserve"> </w:t>
      </w:r>
      <w:r>
        <w:rPr>
          <w:rFonts w:ascii="Times New Roman;serif" w:hAnsi="Times New Roman;serif"/>
          <w:b w:val="false"/>
          <w:color w:val="000000"/>
          <w:sz w:val="22"/>
        </w:rPr>
        <w:t xml:space="preserve">shall be considered to have complied with its obligation to do so if such Person has </w:t>
      </w:r>
    </w:p>
    <w:p>
      <w:pPr>
        <w:pStyle w:val="TextBody"/>
        <w:bidi w:val="0"/>
        <w:spacing w:before="0" w:after="0"/>
        <w:jc w:val="left"/>
        <w:rPr/>
      </w:pPr>
      <w:r>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6480175" cy="175260"/>
                <wp:effectExtent l="0" t="0" r="0" b="0"/>
                <wp:wrapNone/>
                <wp:docPr id="350" name="Frame3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exercised the same degree of care to maintain the confidentiality of such Information as such Person would accord to its own confidential information.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Each Agent, each Lender and each L/C Issuer acknowledges that (i) the Information may include material non-public information concerning the Company or any of its Subsidiaries, (ii) it has developed compliance procedures regarding the use of material non-public information and (iii) it will handle such material non-public information in accordance with applicable Law, including United States federal and state securities Laws.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10.09    </w:t>
      </w:r>
      <w:r>
        <w:rPr>
          <w:rFonts w:ascii="Times New Roman;serif" w:hAnsi="Times New Roman;serif"/>
          <w:b w:val="false"/>
          <w:color w:val="000000"/>
          <w:sz w:val="22"/>
          <w:u w:val="single"/>
        </w:rPr>
        <w:t>Setoff</w:t>
      </w:r>
      <w:r>
        <w:rPr>
          <w:rFonts w:ascii="Times New Roman;serif" w:hAnsi="Times New Roman;serif"/>
          <w:b w:val="false"/>
          <w:color w:val="000000"/>
          <w:sz w:val="22"/>
        </w:rPr>
        <w:t xml:space="preserve">. In addition to any rights and remedies of the Secured Parties provided by Law, upon the occurrence and during the continuance of any Event of Default, each Secured Party is authorized at any time and from time to time, after obtaining the prior written consent of the Administrative Agent, without prior notice to any Borrower or any other Loan Party, any such notice being waived by the Company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 payroll or trust fund accounts, at any time held by, and other Indebtedness (in any currency) at any time owing by, such Lender to or for the credit or the account of the respective Loan Parties against any and all Obligations owing to such Secured Party hereunder or under any other Loan Document (or Security Agreement), now or hereafter existing, irrespective of whether or not such Agent or such Lender shall have made demand under this Agreement or any other Loan Document (or other Security Agreement) and although such Obligations may be contingent or unmatured or denominated in a currency different from that of the applicable deposit or Indebtedness or are owed to a branch or office of such Lender different from the branch or office holding such deposit or obligated on such Indebtedness; 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2"/>
          <w:u w:val="single"/>
        </w:rPr>
        <w:t>Section 2.17</w:t>
      </w:r>
      <w:r>
        <w:rPr>
          <w:color w:val="000000"/>
        </w:rPr>
        <w:t xml:space="preserve"> </w:t>
      </w:r>
      <w:r>
        <w:rPr>
          <w:rFonts w:ascii="Times New Roman;serif" w:hAnsi="Times New Roman;serif"/>
          <w:b w:val="false"/>
          <w:color w:val="000000"/>
          <w:sz w:val="22"/>
        </w:rPr>
        <w:t xml:space="preserve">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Secured Party agrees promptly to notify the Company and the Administrative Agent after any such set-off and application made by such Secured Party;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the failure to give such notice shall not affect the validity of such setoff and application. The rights of the Administrative Agent and each Secured Party under this </w:t>
      </w:r>
      <w:r>
        <w:rPr>
          <w:rFonts w:ascii="Times New Roman;serif" w:hAnsi="Times New Roman;serif"/>
          <w:b w:val="false"/>
          <w:color w:val="000000"/>
          <w:sz w:val="22"/>
          <w:u w:val="single"/>
        </w:rPr>
        <w:t>Section 10.09</w:t>
      </w:r>
      <w:r>
        <w:rPr>
          <w:color w:val="000000"/>
        </w:rPr>
        <w:t xml:space="preserve"> </w:t>
      </w:r>
      <w:r>
        <w:rPr>
          <w:rFonts w:ascii="Times New Roman;serif" w:hAnsi="Times New Roman;serif"/>
          <w:b w:val="false"/>
          <w:color w:val="000000"/>
          <w:sz w:val="22"/>
        </w:rPr>
        <w:t>are in addition to other rights and remedies (including other rights of setoff) that the Administrative Agent and such Secured Party may have.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10.10    </w:t>
      </w:r>
      <w:r>
        <w:rPr>
          <w:rFonts w:ascii="Times New Roman;serif" w:hAnsi="Times New Roman;serif"/>
          <w:b w:val="false"/>
          <w:color w:val="000000"/>
          <w:sz w:val="22"/>
          <w:u w:val="single"/>
        </w:rPr>
        <w:t>Interest Rate Limitation</w:t>
      </w:r>
      <w:r>
        <w:rPr>
          <w:rFonts w:ascii="Times New Roman;serif" w:hAnsi="Times New Roman;serif"/>
          <w:b w:val="false"/>
          <w:color w:val="000000"/>
          <w:sz w:val="22"/>
        </w:rPr>
        <w:t>. Notwithstanding anything to the contrary in any Loan Document, the interest paid or agreed to be paid under the Loan Documents shall not exceed the maximum rate of non-usurious interest permitted by applicable Law (the “</w:t>
      </w:r>
      <w:r>
        <w:rPr>
          <w:rFonts w:ascii="Times New Roman;serif" w:hAnsi="Times New Roman;serif"/>
          <w:b/>
          <w:color w:val="000000"/>
          <w:sz w:val="22"/>
        </w:rPr>
        <w:t>Maximum Rate</w:t>
      </w:r>
      <w:r>
        <w:rPr>
          <w:color w:val="000000"/>
        </w:rPr>
        <w:t>”</w:t>
      </w:r>
      <w:r>
        <w:rPr>
          <w:rFonts w:ascii="Times New Roman;serif" w:hAnsi="Times New Roman;serif"/>
          <w:b w:val="false"/>
          <w:color w:val="000000"/>
          <w:sz w:val="22"/>
        </w:rPr>
        <w:t>). If any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pStyle w:val="TextBody"/>
        <w:bidi w:val="0"/>
        <w:spacing w:before="0" w:after="0"/>
        <w:jc w:val="left"/>
        <w:rPr/>
      </w:pPr>
      <w:r>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6480175" cy="175260"/>
                <wp:effectExtent l="0" t="0" r="0" b="0"/>
                <wp:wrapNone/>
                <wp:docPr id="351" name="Frame3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10.11    </w:t>
      </w:r>
      <w:r>
        <w:rPr>
          <w:rFonts w:ascii="Times New Roman;serif" w:hAnsi="Times New Roman;serif"/>
          <w:b w:val="false"/>
          <w:color w:val="000000"/>
          <w:sz w:val="22"/>
          <w:u w:val="single"/>
        </w:rPr>
        <w:t>Counterparts</w:t>
      </w:r>
      <w:r>
        <w:rPr>
          <w:rFonts w:ascii="Times New Roman;serif" w:hAnsi="Times New Roman;serif"/>
          <w:b w:val="false"/>
          <w:color w:val="000000"/>
          <w:sz w:val="22"/>
        </w:rPr>
        <w:t>.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that the failure to request or deliver the same shall not limit the effectiveness of any document or signature delivered by telecopier or other electronic transmission.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10.12    </w:t>
      </w:r>
      <w:r>
        <w:rPr>
          <w:rFonts w:ascii="Times New Roman;serif" w:hAnsi="Times New Roman;serif"/>
          <w:b w:val="false"/>
          <w:color w:val="000000"/>
          <w:sz w:val="22"/>
          <w:u w:val="single"/>
        </w:rPr>
        <w:t>Integration; Effectiveness</w:t>
      </w:r>
      <w:r>
        <w:rPr>
          <w:rFonts w:ascii="Times New Roman;serif" w:hAnsi="Times New Roman;serif"/>
          <w:b w:val="false"/>
          <w:color w:val="000000"/>
          <w:sz w:val="22"/>
        </w:rPr>
        <w:t xml:space="preserve">. This Agreement and the other Loan Documents constitute the entire contract among the parties relating to the subject matter hereof and supersede any and all previous agreements and understandings, oral or written, relating to the subject matter hereof. In the event of any conflict between the provisions of this Agreement and those of any other Loan Document, the provisions of this Agreement shall control;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Except as provided in </w:t>
      </w:r>
      <w:r>
        <w:rPr>
          <w:rFonts w:ascii="Times New Roman;serif" w:hAnsi="Times New Roman;serif"/>
          <w:b w:val="false"/>
          <w:color w:val="000000"/>
          <w:sz w:val="22"/>
          <w:u w:val="single"/>
        </w:rPr>
        <w:t>Section 4.01</w:t>
      </w:r>
      <w:r>
        <w:rPr>
          <w:rFonts w:ascii="Times New Roman;serif" w:hAnsi="Times New Roman;serif"/>
          <w:b w:val="false"/>
          <w:color w:val="000000"/>
          <w:sz w:val="22"/>
        </w:rPr>
        <w:t>,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10.13    </w:t>
      </w:r>
      <w:r>
        <w:rPr>
          <w:rFonts w:ascii="Times New Roman;serif" w:hAnsi="Times New Roman;serif"/>
          <w:b w:val="false"/>
          <w:color w:val="000000"/>
          <w:sz w:val="22"/>
          <w:u w:val="single"/>
        </w:rPr>
        <w:t>Survival of Representations and Warranties</w:t>
      </w:r>
      <w:r>
        <w:rPr>
          <w:rFonts w:ascii="Times New Roman;serif" w:hAnsi="Times New Roman;serif"/>
          <w:b w:val="false"/>
          <w:color w:val="000000"/>
          <w:sz w:val="22"/>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any Remaining Obligations) hereunder shall remain unpaid or unsatisfied or any Letter of Credit shall remain outstanding (other than any Remaining Obligations).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10.14    </w:t>
      </w:r>
      <w:r>
        <w:rPr>
          <w:rFonts w:ascii="Times New Roman;serif" w:hAnsi="Times New Roman;serif"/>
          <w:b w:val="false"/>
          <w:color w:val="000000"/>
          <w:sz w:val="22"/>
          <w:u w:val="single"/>
        </w:rPr>
        <w:t>Severability</w:t>
      </w:r>
      <w:r>
        <w:rPr>
          <w:rFonts w:ascii="Times New Roman;serif" w:hAnsi="Times New Roman;serif"/>
          <w:b w:val="false"/>
          <w:color w:val="000000"/>
          <w:sz w:val="22"/>
        </w:rPr>
        <w:t xml:space="preserve">. 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serif" w:hAnsi="Times New Roman;serif"/>
          <w:b w:val="false"/>
          <w:color w:val="000000"/>
          <w:sz w:val="22"/>
          <w:u w:val="single"/>
        </w:rPr>
        <w:t>Section 10.14</w:t>
      </w:r>
      <w:r>
        <w:rPr>
          <w:rFonts w:ascii="Times New Roman;serif" w:hAnsi="Times New Roman;serif"/>
          <w:b w:val="false"/>
          <w:color w:val="000000"/>
          <w:sz w:val="22"/>
        </w:rPr>
        <w:t>, if and to the extent that the enforceability of any provisions in this Agreement relating to Defaulting Lenders shall be limited by Debtor Relief Laws then such provisions shall be deemed to be in effect only to the extent not so limited.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10.15    </w:t>
      </w:r>
      <w:r>
        <w:rPr>
          <w:rFonts w:ascii="Times New Roman;serif" w:hAnsi="Times New Roman;serif"/>
          <w:b w:val="false"/>
          <w:color w:val="000000"/>
          <w:sz w:val="22"/>
          <w:u w:val="single"/>
        </w:rPr>
        <w:t>Governing Law; Jurisdiction; Etc</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(a)    </w:t>
      </w:r>
      <w:r>
        <w:rPr>
          <w:rFonts w:ascii="Times New Roman;serif" w:hAnsi="Times New Roman;serif"/>
          <w:b w:val="false"/>
          <w:color w:val="000000"/>
          <w:sz w:val="22"/>
          <w:u w:val="single"/>
        </w:rPr>
        <w:t>Governing Law</w:t>
      </w:r>
      <w:r>
        <w:rPr>
          <w:rFonts w:ascii="Times New Roman;serif" w:hAnsi="Times New Roman;serif"/>
          <w:b w:val="false"/>
          <w:color w:val="000000"/>
          <w:sz w:val="22"/>
        </w:rPr>
        <w:t xml:space="preserve">. THIS AGREEMENT AND EACH OTHER LOAN DOCUMENT (OTHER THAN WITH RESPECT TO ANY COLLATERAL DOCUMENTS TO THE EXTENT EXPRESSLY PROVIDED OTHERWISE THEREIN) SHALL BE GOVERNED BY, AND </w:t>
      </w:r>
    </w:p>
    <w:p>
      <w:pPr>
        <w:pStyle w:val="TextBody"/>
        <w:bidi w:val="0"/>
        <w:spacing w:before="0" w:after="0"/>
        <w:jc w:val="left"/>
        <w:rPr/>
      </w:pPr>
      <w:r>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6480175" cy="175260"/>
                <wp:effectExtent l="0" t="0" r="0" b="0"/>
                <wp:wrapNone/>
                <wp:docPr id="352" name="Frame3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CONSTRUED IN ACCORDANCE WITH, THE LAW OF THE STATE OF NEW YORK WITHOUT GIVING EFFECT TO THE CONFLICTS OF LAWS PRINCIPLES THEREOF, BUT INCLUDING SECTION 5-1401 OF THE NEW YORK GENERAL OBLIGATIONS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(b)    </w:t>
      </w:r>
      <w:r>
        <w:rPr>
          <w:rFonts w:ascii="Times New Roman;serif" w:hAnsi="Times New Roman;serif"/>
          <w:b w:val="false"/>
          <w:color w:val="000000"/>
          <w:sz w:val="22"/>
          <w:u w:val="single"/>
        </w:rPr>
        <w:t>Submission to Jurisdiction</w:t>
      </w:r>
      <w:r>
        <w:rPr>
          <w:rFonts w:ascii="Times New Roman;serif" w:hAnsi="Times New Roman;serif"/>
          <w:b w:val="false"/>
          <w:color w:val="000000"/>
          <w:sz w:val="22"/>
        </w:rPr>
        <w:t>. EACH PARTY HERETO IRREVOCABLY AND UNCONDITIONALLY SUBMITS, FOR ITSELF AND ITS PROPERTY, TO THE EXCLUSIVE JURISDICTION OF THE COURTS OF THE STATE OF NEW YORK SITTING IN NEW YORK CITY IN THE BOROUGH OF MANHATTAN AND OF THE UNITED STATES DISTRICT COURT FOR THE SOUTHERN DISTRICT OF NEW YORK SITTING IN THE BOROUGH OF MANHATTAN, AND ANY APPELLATE COURT FROM ANY THEREOF, IN ANY ACTION OR PROCEEDING ARISING OUT OF OR RELATING TO THIS AGREEMENT OR ANY OTHER LOAN DOCUMENT (OTHER THAN WITH RESPECT TO ANY COLLATERAL DOCUMENT TO THE EXTENT EXPRESSLY PROVIDED OTHERWISE THEREIN),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COLLATERAL AGENT, ANY LENDER OR ANY L/C ISSUER MAY OTHERWISE HAVE TO BRING ANY ACTION OR PROCEEDING RELATING TO THIS AGREEMENT OR ANY OTHER LOAN DOCUMENT OR THE RECOGNITION OR ENFORCEMENT OF ANY JUDGMENT AGAINST ANY LOAN PARTY OR ITS PROPERTIES IN THE COURTS OF ANY JURISDICTION.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(c)    </w:t>
      </w:r>
      <w:r>
        <w:rPr>
          <w:rFonts w:ascii="Times New Roman;serif" w:hAnsi="Times New Roman;serif"/>
          <w:b w:val="false"/>
          <w:color w:val="000000"/>
          <w:sz w:val="22"/>
          <w:u w:val="single"/>
        </w:rPr>
        <w:t>Waiver of Venue</w:t>
      </w:r>
      <w:r>
        <w:rPr>
          <w:rFonts w:ascii="Times New Roman;serif" w:hAnsi="Times New Roman;serif"/>
          <w:b w:val="false"/>
          <w:color w:val="000000"/>
          <w:sz w:val="22"/>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serif" w:hAnsi="Times New Roman;serif"/>
          <w:b w:val="false"/>
          <w:color w:val="000000"/>
          <w:sz w:val="22"/>
          <w:u w:val="single"/>
        </w:rPr>
        <w:t>SECTION 10.15(b)</w:t>
      </w:r>
      <w:r>
        <w:rPr>
          <w:rFonts w:ascii="Times New Roman;serif" w:hAnsi="Times New Roman;serif"/>
          <w:b w:val="false"/>
          <w:color w:val="000000"/>
          <w:sz w:val="22"/>
        </w:rPr>
        <w:t>.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10.16    </w:t>
      </w:r>
      <w:r>
        <w:rPr>
          <w:rFonts w:ascii="Times New Roman;serif" w:hAnsi="Times New Roman;serif"/>
          <w:b w:val="false"/>
          <w:color w:val="000000"/>
          <w:sz w:val="22"/>
          <w:u w:val="single"/>
        </w:rPr>
        <w:t>Service of Process</w:t>
      </w:r>
      <w:r>
        <w:rPr>
          <w:rFonts w:ascii="Times New Roman;serif" w:hAnsi="Times New Roman;serif"/>
          <w:b w:val="false"/>
          <w:color w:val="000000"/>
          <w:sz w:val="22"/>
        </w:rPr>
        <w:t>. EACH PARTY HERETO IRREVOCABLY CONSENTS TO SERVICE OF PROCESS IN THE MANNER PROVIDED FOR NOTICES IN SECTION 10.02. NOTHING IN THIS AGREEMENT WILL AFFECT THE RIGHT OF ANY PARTY HERETO TO SERVE PROCESS IN ANY OTHER MANNER PERMITTED BY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10.17    </w:t>
      </w:r>
      <w:r>
        <w:rPr>
          <w:rFonts w:ascii="Times New Roman;serif" w:hAnsi="Times New Roman;serif"/>
          <w:b w:val="false"/>
          <w:color w:val="000000"/>
          <w:sz w:val="22"/>
          <w:u w:val="single"/>
        </w:rPr>
        <w:t>Waiver of Right to Trial by Jury</w:t>
      </w:r>
      <w:r>
        <w:rPr>
          <w:rFonts w:ascii="Times New Roman;serif" w:hAnsi="Times New Roman;serif"/>
          <w:b w:val="false"/>
          <w:color w:val="000000"/>
          <w:sz w:val="22"/>
        </w:rPr>
        <w:t xml:space="preserve">.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w:t>
      </w:r>
    </w:p>
    <w:p>
      <w:pPr>
        <w:pStyle w:val="TextBody"/>
        <w:bidi w:val="0"/>
        <w:spacing w:before="0" w:after="0"/>
        <w:jc w:val="left"/>
        <w:rPr/>
      </w:pPr>
      <w:r>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6480175" cy="175260"/>
                <wp:effectExtent l="0" t="0" r="0" b="0"/>
                <wp:wrapNone/>
                <wp:docPr id="353" name="Frame3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pPr>
      <w:r>
        <w:rPr>
          <w:rFonts w:ascii="Times New Roman;serif" w:hAnsi="Times New Roman;serif"/>
          <w:b w:val="false"/>
          <w:color w:val="000000"/>
          <w:sz w:val="22"/>
        </w:rPr>
        <w:t xml:space="preserve">AND EACH PARTY HEREBY AGREES AND CONSENTS THAT ANY SUCH CLAIM, DEMAND, ACTION OR CAUSE OF ACTION SHALL BE DECIDED BY COURT TRIAL WITHOUT A JURY, AND THAT ANY PARTY TO THIS AGREEMENT MAY FILE AN ORIGINAL COUNTERPART OR A COPY OF THIS </w:t>
      </w:r>
      <w:r>
        <w:rPr>
          <w:rFonts w:ascii="Times New Roman;serif" w:hAnsi="Times New Roman;serif"/>
          <w:b w:val="false"/>
          <w:color w:val="000000"/>
          <w:sz w:val="22"/>
          <w:u w:val="single"/>
        </w:rPr>
        <w:t>SECTION 10.17</w:t>
      </w:r>
      <w:r>
        <w:rPr>
          <w:color w:val="000000"/>
        </w:rPr>
        <w:t xml:space="preserve"> </w:t>
      </w:r>
      <w:r>
        <w:rPr>
          <w:rFonts w:ascii="Times New Roman;serif" w:hAnsi="Times New Roman;serif"/>
          <w:b w:val="false"/>
          <w:color w:val="000000"/>
          <w:sz w:val="22"/>
        </w:rPr>
        <w:t>WITH ANY COURT AS WRITTEN EVIDENCE OF THE CONSENT OF THE SIGNATORIES HERETO TO THE WAIVER OF THEIR RIGHT TO TRIAL BY JURY.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10.18    </w:t>
      </w:r>
      <w:r>
        <w:rPr>
          <w:rFonts w:ascii="Times New Roman;serif" w:hAnsi="Times New Roman;serif"/>
          <w:b w:val="false"/>
          <w:color w:val="000000"/>
          <w:sz w:val="22"/>
          <w:u w:val="single"/>
        </w:rPr>
        <w:t>Binding Effect</w:t>
      </w:r>
      <w:r>
        <w:rPr>
          <w:rFonts w:ascii="Times New Roman;serif" w:hAnsi="Times New Roman;serif"/>
          <w:b w:val="false"/>
          <w:color w:val="000000"/>
          <w:sz w:val="22"/>
        </w:rPr>
        <w:t xml:space="preserve">. When this Agreement shall have become effective in accordance with </w:t>
      </w:r>
      <w:r>
        <w:rPr>
          <w:rFonts w:ascii="Times New Roman;serif" w:hAnsi="Times New Roman;serif"/>
          <w:b w:val="false"/>
          <w:color w:val="000000"/>
          <w:sz w:val="22"/>
          <w:u w:val="single"/>
        </w:rPr>
        <w:t>Section 10.12</w:t>
      </w:r>
      <w:r>
        <w:rPr>
          <w:rFonts w:ascii="Times New Roman;serif" w:hAnsi="Times New Roman;serif"/>
          <w:b w:val="false"/>
          <w:color w:val="000000"/>
          <w:sz w:val="22"/>
        </w:rPr>
        <w:t xml:space="preserve">, it shall thereafter be binding upon and inure to the benefit of the Company, each Borrower, each Agent and each Lender and their respective successors and permitted assigns, except that no Borrower shall have the right to assign its rights hereunder or any interest herein without the prior written consent of the Lenders, except as permitted by </w:t>
      </w:r>
      <w:r>
        <w:rPr>
          <w:rFonts w:ascii="Times New Roman;serif" w:hAnsi="Times New Roman;serif"/>
          <w:b w:val="false"/>
          <w:color w:val="000000"/>
          <w:sz w:val="22"/>
          <w:u w:val="single"/>
        </w:rPr>
        <w:t>Section 7.03</w:t>
      </w:r>
      <w:r>
        <w:rPr>
          <w:rFonts w:ascii="Times New Roman;serif" w:hAnsi="Times New Roman;serif"/>
          <w:b w:val="false"/>
          <w:color w:val="000000"/>
          <w:sz w:val="22"/>
        </w:rPr>
        <w: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10.19    </w:t>
      </w:r>
      <w:r>
        <w:rPr>
          <w:rFonts w:ascii="Times New Roman;serif" w:hAnsi="Times New Roman;serif"/>
          <w:b w:val="false"/>
          <w:color w:val="000000"/>
          <w:sz w:val="22"/>
          <w:u w:val="single"/>
        </w:rPr>
        <w:t>No Advisory or Fiduciary Responsibility</w:t>
      </w:r>
      <w:r>
        <w:rPr>
          <w:rFonts w:ascii="Times New Roman;serif" w:hAnsi="Times New Roman;serif"/>
          <w:b w:val="false"/>
          <w:color w:val="000000"/>
          <w:sz w:val="22"/>
        </w:rPr>
        <w:t>. In connection with all aspects of each transaction contemplated hereby (including in connection with any amendment, waiver or other modification hereof or of any other Loan Document), each Borrower and the Company acknowledge and agree, and each of them acknowledges and agrees that it has informed its other Affiliates, that: (i) (A) no fiduciary, advisory or agency relationship between any of the Company and its Subsidiaries and any Agent or any Arranger or Lender (or their respective Affiliates) is intended to be or has been created in respect of any of the transactions contemplated hereby and by the other Loan Documents, irrespective of whether any Agent or any Arranger or any Lender (or their respective Affiliates) has advised or is advising the Company and its Subsidiaries on other matters, (B) the arranging and other services regarding this Agreement provided by the Agents and the Arrangers are arm’s-length commercial transactions between the Company and its Subsidiaries, on the one hand, and the Agents and the Arrangers on the other hand, (C) each Borrower and the Company has consulted its own legal, accounting, regulatory and tax advisors to the extent it has deemed appropriate, and (D) each Borrower and the Company is capable of evaluating, and understands and accepts, the terms, risks and conditions of the transactions contemplated hereby and by the other Loan Documents; (ii) (A) each Agent, Arranger and Lender is and has been acting solely as a principal and, except as may otherwise be expressly agreed in writing by the relevant parties, has not been, is not, and will not be acting as an advisor, agent or fiduciary for the Company or any Borrower or any of their respective Affiliates, or any other Person and (B) none of the Agents or Arrangers or Lenders has any obligation to the Company or any of its Affiliates with respect to the transactions contemplated hereby except those obligations expressly set forth herein and in the other Loan Documents; and (iii) the Agents, the Arrangers and Lenders and/or their respective Affiliates may be engaged in a broad range of transactions that involve interests that differ from those of the Company, the Borrowers and their respective Affiliates, and none of the Agents, the Arrangers or the Lenders has any obligation to disclose any of such interests and transactions to the Company, the Borrowers or their respective Affiliates. To the fullest extent permitted by law, each Borrower and the Company hereby waives and releases any claims that it may have against the Agents, the Arrangers and the Lenders with respect to any breach or alleged breach of agency or fiduciary duty in connection with any aspect of any transaction contemplated hereby.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10.20    </w:t>
      </w:r>
      <w:r>
        <w:rPr>
          <w:rFonts w:ascii="Times New Roman;serif" w:hAnsi="Times New Roman;serif"/>
          <w:b w:val="false"/>
          <w:color w:val="000000"/>
          <w:sz w:val="22"/>
          <w:u w:val="single"/>
        </w:rPr>
        <w:t>Affiliate Activities</w:t>
      </w:r>
      <w:r>
        <w:rPr>
          <w:rFonts w:ascii="Times New Roman;serif" w:hAnsi="Times New Roman;serif"/>
          <w:b w:val="false"/>
          <w:color w:val="000000"/>
          <w:sz w:val="22"/>
        </w:rPr>
        <w:t xml:space="preserve">. The Borrowers and the Company acknowledge that each Agent and each Arranger (and their respective Affiliates) are full service securities firms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w:t>
      </w:r>
    </w:p>
    <w:p>
      <w:pPr>
        <w:pStyle w:val="TextBody"/>
        <w:bidi w:val="0"/>
        <w:spacing w:before="0" w:after="0"/>
        <w:jc w:val="left"/>
        <w:rPr/>
      </w:pPr>
      <w:r>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6480175" cy="175260"/>
                <wp:effectExtent l="0" t="0" r="0" b="0"/>
                <wp:wrapNone/>
                <wp:docPr id="354" name="Frame3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(including bank loans) for their own account and for the accounts of customers and may at any time hold long and short positions in such securities and/or instruments. Such investment and other activities may involve securities and instruments of the Company and its Affiliates, as well as of other entities and persons and their Affiliates which may (i) be involved in transactions arising from or relating to the transactions contemplated hereby and by the other Loan Documents, (ii) be customers or competitors of the Company and its Affiliates or (iii) have other relationships with the Company and its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Company and its Affiliates or such other entities. The transactions contemplated hereby and by the other Loan Documents may have a direct or indirect impact on the investments, securities or instruments referred to in this clause.</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10.21    </w:t>
      </w:r>
      <w:r>
        <w:rPr>
          <w:rFonts w:ascii="Times New Roman;serif" w:hAnsi="Times New Roman;serif"/>
          <w:b w:val="false"/>
          <w:color w:val="000000"/>
          <w:sz w:val="22"/>
          <w:u w:val="single"/>
        </w:rPr>
        <w:t>Electronic Execution of Assignments and Certain Other Documents</w:t>
      </w:r>
      <w:r>
        <w:rPr>
          <w:rFonts w:ascii="Times New Roman;serif" w:hAnsi="Times New Roman;serif"/>
          <w:b w:val="false"/>
          <w:color w:val="000000"/>
          <w:sz w:val="22"/>
        </w:rPr>
        <w:t>. The words “execution,” “execute,” “signed,” “signature,” and words of like import in any Loan Document, any Assignment and Assumption, any Committed Loan Notice or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applicable,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10.22    </w:t>
      </w:r>
      <w:r>
        <w:rPr>
          <w:rFonts w:ascii="Times New Roman;serif" w:hAnsi="Times New Roman;serif"/>
          <w:b w:val="false"/>
          <w:color w:val="000000"/>
          <w:sz w:val="22"/>
          <w:u w:val="single"/>
        </w:rPr>
        <w:t>USA PATRIOT Act</w:t>
      </w:r>
      <w:r>
        <w:rPr>
          <w:rFonts w:ascii="Times New Roman;serif" w:hAnsi="Times New Roman;serif"/>
          <w:b w:val="false"/>
          <w:color w:val="000000"/>
          <w:sz w:val="22"/>
        </w:rPr>
        <w:t>. Each Lender that is subject to the PATRIOT Act and the Administrative Agent (for itself and not on behalf of any Lender) hereby notifies the Loan Parties that pursuant to the requirements of the USA PATRIOT Act (Title III of Pub. L. 107-56 (signed into law October 26, 2001, as amended from time to time)) (the “</w:t>
      </w:r>
      <w:r>
        <w:rPr>
          <w:rFonts w:ascii="Times New Roman;serif" w:hAnsi="Times New Roman;serif"/>
          <w:b/>
          <w:color w:val="000000"/>
          <w:sz w:val="22"/>
        </w:rPr>
        <w:t>PATRIOT Act</w:t>
      </w:r>
      <w:r>
        <w:rPr>
          <w:color w:val="000000"/>
        </w:rPr>
        <w:t>”</w:t>
      </w:r>
      <w:r>
        <w:rPr>
          <w:rFonts w:ascii="Times New Roman;serif" w:hAnsi="Times New Roman;serif"/>
          <w:b w:val="false"/>
          <w:color w:val="000000"/>
          <w:sz w:val="22"/>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the Collateral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Beneficial Ownership Regulation.</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10.23    </w:t>
      </w:r>
      <w:r>
        <w:rPr>
          <w:rFonts w:ascii="Times New Roman;serif" w:hAnsi="Times New Roman;serif"/>
          <w:b w:val="false"/>
          <w:color w:val="000000"/>
          <w:sz w:val="22"/>
          <w:u w:val="single"/>
        </w:rPr>
        <w:t>Judgment Currency</w:t>
      </w:r>
      <w:r>
        <w:rPr>
          <w:rFonts w:ascii="Times New Roman;serif" w:hAnsi="Times New Roman;serif"/>
          <w:b w:val="false"/>
          <w:color w:val="000000"/>
          <w:sz w:val="22"/>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 shall, notwithstanding any judgment in a currency (the “</w:t>
      </w:r>
      <w:r>
        <w:rPr>
          <w:rFonts w:ascii="Times New Roman;serif" w:hAnsi="Times New Roman;serif"/>
          <w:b/>
          <w:color w:val="000000"/>
          <w:sz w:val="22"/>
        </w:rPr>
        <w:t>Judgment Currency</w:t>
      </w:r>
      <w:r>
        <w:rPr>
          <w:color w:val="000000"/>
        </w:rPr>
        <w:t>”</w:t>
      </w:r>
      <w:r>
        <w:rPr>
          <w:rFonts w:ascii="Times New Roman;serif" w:hAnsi="Times New Roman;serif"/>
          <w:b w:val="false"/>
          <w:color w:val="000000"/>
          <w:sz w:val="22"/>
        </w:rPr>
        <w:t>) other than that in which such sum is denominated in accordance with the applicable provisions of this Agreement (the “</w:t>
      </w:r>
      <w:r>
        <w:rPr>
          <w:rFonts w:ascii="Times New Roman;serif" w:hAnsi="Times New Roman;serif"/>
          <w:b/>
          <w:color w:val="000000"/>
          <w:sz w:val="22"/>
        </w:rPr>
        <w:t>Agreement Currency</w:t>
      </w:r>
      <w:r>
        <w:rPr>
          <w:color w:val="000000"/>
        </w:rPr>
        <w:t>”</w:t>
      </w:r>
      <w:r>
        <w:rPr>
          <w:rFonts w:ascii="Times New Roman;serif" w:hAnsi="Times New Roman;serif"/>
          <w:b w:val="false"/>
          <w:color w:val="000000"/>
          <w:sz w:val="22"/>
        </w:rPr>
        <w:t xml:space="preserve">),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 Borrower in the Agreement Currency, such Borrower agrees, as a separate obligation and notwithstanding any such judgment, to indemnify the </w:t>
      </w:r>
    </w:p>
    <w:p>
      <w:pPr>
        <w:pStyle w:val="TextBody"/>
        <w:bidi w:val="0"/>
        <w:spacing w:before="0" w:after="0"/>
        <w:jc w:val="left"/>
        <w:rPr/>
      </w:pPr>
      <w:r>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6480175" cy="175260"/>
                <wp:effectExtent l="0" t="0" r="0" b="0"/>
                <wp:wrapNone/>
                <wp:docPr id="355" name="Frame3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Borrower (or to any other Person who may be entitled thereto under applicable Law).</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10.24    </w:t>
      </w:r>
      <w:r>
        <w:rPr>
          <w:rFonts w:ascii="Times New Roman;serif" w:hAnsi="Times New Roman;serif"/>
          <w:b w:val="false"/>
          <w:color w:val="000000"/>
          <w:sz w:val="22"/>
          <w:u w:val="single"/>
        </w:rPr>
        <w:t>Acknowledgement and Consent to Bail-In of Affected Financial Institutions</w:t>
      </w:r>
      <w:r>
        <w:rPr>
          <w:rFonts w:ascii="Times New Roman;serif" w:hAnsi="Times New Roman;serif"/>
          <w:b w:val="false"/>
          <w:color w:val="000000"/>
          <w:sz w:val="22"/>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application of any Write-Down and Conversion Powers by the applicable Resolution Authority to any such liabilities arising hereunder which may be payable to it by any Lender that is an Affected Financial Institution; and</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the effects of any Bail-In Action on any such liability, including, if applicable: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 reduction in full or in part or cancellation of any such liability;</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the variation of the terms of such liability in connection with the exercise of the Write-Down and Conversion Powers of the applicable Resolution Authority.</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10.25    </w:t>
      </w:r>
      <w:r>
        <w:rPr>
          <w:rFonts w:ascii="Times New Roman;serif" w:hAnsi="Times New Roman;serif"/>
          <w:b w:val="false"/>
          <w:color w:val="000000"/>
          <w:sz w:val="22"/>
          <w:u w:val="single"/>
        </w:rPr>
        <w:t>Acknowledgement Regarding Any Supported QFCs</w:t>
      </w:r>
      <w:r>
        <w:rPr>
          <w:rFonts w:ascii="Times New Roman;serif" w:hAnsi="Times New Roman;serif"/>
          <w:b w:val="false"/>
          <w:color w:val="000000"/>
          <w:sz w:val="22"/>
        </w:rPr>
        <w:t>. To the extent that the Loan Documents provide support, through a guarantee or otherwise, for Swap Contracts or any other agreement or instrument that is a QFC (such support, “</w:t>
      </w:r>
      <w:r>
        <w:rPr>
          <w:rFonts w:ascii="Times New Roman;serif" w:hAnsi="Times New Roman;serif"/>
          <w:b w:val="false"/>
          <w:color w:val="000000"/>
          <w:sz w:val="22"/>
          <w:u w:val="single"/>
        </w:rPr>
        <w:t>QFC Credit Support</w:t>
      </w:r>
      <w:r>
        <w:rPr>
          <w:color w:val="000000"/>
        </w:rPr>
        <w:t xml:space="preserve">” </w:t>
      </w:r>
      <w:r>
        <w:rPr>
          <w:rFonts w:ascii="Times New Roman;serif" w:hAnsi="Times New Roman;serif"/>
          <w:b w:val="false"/>
          <w:color w:val="000000"/>
          <w:sz w:val="22"/>
        </w:rPr>
        <w:t>and each such QFC a “</w:t>
      </w:r>
      <w:r>
        <w:rPr>
          <w:rFonts w:ascii="Times New Roman;serif" w:hAnsi="Times New Roman;serif"/>
          <w:b w:val="false"/>
          <w:color w:val="000000"/>
          <w:sz w:val="22"/>
          <w:u w:val="single"/>
        </w:rPr>
        <w:t>Supported QFC</w:t>
      </w:r>
      <w:r>
        <w:rPr>
          <w:color w:val="000000"/>
        </w:rPr>
        <w:t>”</w:t>
      </w:r>
      <w:r>
        <w:rPr>
          <w:rFonts w:ascii="Times New Roman;serif" w:hAnsi="Times New Roman;serif"/>
          <w:b w:val="false"/>
          <w:color w:val="000000"/>
          <w:sz w:val="22"/>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2"/>
          <w:u w:val="single"/>
        </w:rPr>
        <w:t>U.S. Special Resolution Regimes</w:t>
      </w:r>
      <w:r>
        <w:rPr>
          <w:color w:val="000000"/>
        </w:rPr>
        <w:t>”</w:t>
      </w:r>
      <w:r>
        <w:rPr>
          <w:rFonts w:ascii="Times New Roman;serif" w:hAnsi="Times New Roman;serif"/>
          <w:b w:val="false"/>
          <w:color w:val="000000"/>
          <w:sz w:val="22"/>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88" w:before="0" w:after="240"/>
        <w:ind w:left="0" w:right="0" w:firstLine="720"/>
        <w:jc w:val="left"/>
        <w:rPr/>
      </w:pPr>
      <w:r>
        <w:rPr>
          <w:rFonts w:ascii="Times New Roman;serif" w:hAnsi="Times New Roman;serif"/>
          <w:b w:val="false"/>
          <w:color w:val="000000"/>
          <w:sz w:val="22"/>
        </w:rPr>
        <w:t>(a)    In the event a Covered Entity that is party to a Supported QFC (each, a “</w:t>
      </w:r>
      <w:r>
        <w:rPr>
          <w:rFonts w:ascii="Times New Roman;serif" w:hAnsi="Times New Roman;serif"/>
          <w:b w:val="false"/>
          <w:color w:val="000000"/>
          <w:sz w:val="22"/>
          <w:u w:val="single"/>
        </w:rPr>
        <w:t>Covered Party</w:t>
      </w:r>
      <w:r>
        <w:rPr>
          <w:color w:val="000000"/>
        </w:rPr>
        <w:t>”</w:t>
      </w:r>
      <w:r>
        <w:rPr>
          <w:rFonts w:ascii="Times New Roman;serif" w:hAnsi="Times New Roman;serif"/>
          <w:b w:val="false"/>
          <w:color w:val="000000"/>
          <w:sz w:val="22"/>
        </w:rPr>
        <w:t xml:space="preserve">)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w:t>
      </w:r>
    </w:p>
    <w:p>
      <w:pPr>
        <w:pStyle w:val="TextBody"/>
        <w:bidi w:val="0"/>
        <w:spacing w:before="0" w:after="0"/>
        <w:jc w:val="left"/>
        <w:rPr/>
      </w:pPr>
      <w:r>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6480175" cy="175260"/>
                <wp:effectExtent l="0" t="0" r="0" b="0"/>
                <wp:wrapNone/>
                <wp:docPr id="356" name="Frame3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As used in this Section 10.25, the following terms have the following meanings:</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Covered Entity</w:t>
      </w:r>
      <w:r>
        <w:rPr>
          <w:color w:val="000000"/>
        </w:rPr>
        <w:t xml:space="preserve">” </w:t>
      </w:r>
      <w:r>
        <w:rPr>
          <w:rFonts w:ascii="Times New Roman;serif" w:hAnsi="Times New Roman;serif"/>
          <w:b w:val="false"/>
          <w:color w:val="000000"/>
          <w:sz w:val="22"/>
        </w:rPr>
        <w:t>means any of the following: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    a “covered entity” as that term is defined in, and interpreted in accordance with, 12 C.F.R. § 252.82(b);</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    a “covered bank” as that term is defined in, and interpreted in accordance with, 12 C.F.R. § 47.3(b); or</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(iii)    a “covered FSI” as that term is defined in, and interpreted in accordance with, 12 C.F.R. § 382.2(b).</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Default Right</w:t>
      </w:r>
      <w:r>
        <w:rPr>
          <w:color w:val="000000"/>
        </w:rPr>
        <w:t xml:space="preserve">” </w:t>
      </w:r>
      <w:r>
        <w:rPr>
          <w:rFonts w:ascii="Times New Roman;serif" w:hAnsi="Times New Roman;serif"/>
          <w:b w:val="false"/>
          <w:color w:val="000000"/>
          <w:sz w:val="22"/>
        </w:rPr>
        <w:t>has the meaning assigned to that term in, and shall be interpreted in accordance with, 12 C.F.R. §§ 252.81, 47.2 or 382.1, as applicable.</w:t>
      </w:r>
    </w:p>
    <w:p>
      <w:pPr>
        <w:pStyle w:val="TextBody"/>
        <w:bidi w:val="0"/>
        <w:spacing w:lineRule="auto" w:line="288" w:before="0" w:after="240"/>
        <w:ind w:left="0" w:right="0" w:firstLine="720"/>
        <w:jc w:val="left"/>
        <w:rPr/>
      </w:pPr>
      <w:r>
        <w:rPr>
          <w:color w:val="000000"/>
        </w:rPr>
        <w:t>“</w:t>
      </w:r>
      <w:r>
        <w:rPr>
          <w:rFonts w:ascii="Times New Roman;serif" w:hAnsi="Times New Roman;serif"/>
          <w:b w:val="false"/>
          <w:color w:val="000000"/>
          <w:sz w:val="22"/>
          <w:u w:val="single"/>
        </w:rPr>
        <w:t>QFC</w:t>
      </w:r>
      <w:r>
        <w:rPr>
          <w:color w:val="000000"/>
        </w:rPr>
        <w:t xml:space="preserve">” </w:t>
      </w:r>
      <w:r>
        <w:rPr>
          <w:rFonts w:ascii="Times New Roman;serif" w:hAnsi="Times New Roman;serif"/>
          <w:b w:val="false"/>
          <w:color w:val="000000"/>
          <w:sz w:val="22"/>
        </w:rPr>
        <w:t>has the meaning assigned to the term “qualified financial contract” in, and shall be interpreted in accordance with, 12 U.S.C. 5390(c)(8)(D).</w:t>
      </w:r>
    </w:p>
    <w:p>
      <w:pPr>
        <w:pStyle w:val="TextBody"/>
        <w:bidi w:val="0"/>
        <w:spacing w:lineRule="auto" w:line="288" w:before="0" w:after="240"/>
        <w:jc w:val="center"/>
        <w:rPr/>
      </w:pPr>
      <w:r>
        <w:rPr>
          <w:rFonts w:ascii="Times New Roman;serif" w:hAnsi="Times New Roman;serif"/>
          <w:b/>
          <w:color w:val="000000"/>
          <w:sz w:val="24"/>
        </w:rPr>
        <w:t>ARTICLE XI</w:t>
      </w:r>
      <w:r>
        <w:rPr>
          <w:rFonts w:ascii="Times New Roman;serif" w:hAnsi="Times New Roman;serif"/>
          <w:b/>
          <w:color w:val="000000"/>
          <w:sz w:val="22"/>
        </w:rPr>
        <w:br/>
        <w:br/>
        <w:t>CO-BORROWER ARRANGEMENTS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11.01    </w:t>
      </w:r>
      <w:r>
        <w:rPr>
          <w:rFonts w:ascii="Times New Roman;serif" w:hAnsi="Times New Roman;serif"/>
          <w:b w:val="false"/>
          <w:color w:val="000000"/>
          <w:sz w:val="22"/>
          <w:u w:val="single"/>
        </w:rPr>
        <w:t>Addition of Co-Borrowers</w:t>
      </w:r>
      <w:r>
        <w:rPr>
          <w:rFonts w:ascii="Times New Roman;serif" w:hAnsi="Times New Roman;serif"/>
          <w:b w:val="false"/>
          <w:color w:val="000000"/>
          <w:sz w:val="22"/>
        </w:rPr>
        <w:t>. From time to time on or after the Spin-Off Date, the Company may designate one or more Wholly Owned Restricted Subsidiaries as a “Co-Borrower” with respect to any designated Tranche under any Revolving Credit Facility; that such Restricted Subsidiary designated after the Spin-Off Date shall not become a Co-Borrower hereunder unless and until each of the following has occurred or is satisfied, as applicable: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the Administrative Agent, the Collateral Agent and the Revolving Credit Lenders, as applicable, shall have received a Beneficial Ownership Certification and all other documentation and other information about such Co-Borrower as has been reasonably requested in writing by the Administrative Agent, the Collateral Agent or such Lenders that they reasonably determine is required by regulatory authorities under applicable “know your customer” and anti-money laundering rules and regulations, including without limitation the PATRIOT Act and Beneficial Ownership Regulation;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(b)    such Co-Borrower shall be organized in an Applicable Jurisdiction;</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(c)    no Default or Event of Default shall exist, or would result from such proposed Restricted Subsidiary being designated as a Co-Borrower;</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(d)    the representations and warranties of each Borrower and each other Loan Party contained in </w:t>
      </w:r>
      <w:r>
        <w:rPr>
          <w:rFonts w:ascii="Times New Roman;serif" w:hAnsi="Times New Roman;serif"/>
          <w:b w:val="false"/>
          <w:color w:val="000000"/>
          <w:sz w:val="22"/>
          <w:u w:val="single"/>
        </w:rPr>
        <w:t>Article V</w:t>
      </w:r>
      <w:r>
        <w:rPr>
          <w:color w:val="000000"/>
        </w:rPr>
        <w:t xml:space="preserve"> </w:t>
      </w:r>
      <w:r>
        <w:rPr>
          <w:rFonts w:ascii="Times New Roman;serif" w:hAnsi="Times New Roman;serif"/>
          <w:b w:val="false"/>
          <w:color w:val="000000"/>
          <w:sz w:val="22"/>
        </w:rPr>
        <w:t xml:space="preserve">or any other Loan Document shall be true and correct in all material respects (and in all </w:t>
      </w:r>
    </w:p>
    <w:p>
      <w:pPr>
        <w:pStyle w:val="TextBody"/>
        <w:bidi w:val="0"/>
        <w:spacing w:before="0" w:after="0"/>
        <w:jc w:val="left"/>
        <w:rPr/>
      </w:pPr>
      <w:r>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6480175" cy="175260"/>
                <wp:effectExtent l="0" t="0" r="0" b="0"/>
                <wp:wrapNone/>
                <wp:docPr id="357" name="Frame3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respects if any such representation or warranty is already qualified by materiality) on and as of the date of designation of any Co-Borrower,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(e)    such Co-Borrower shall have delivered to the Administrative Agent a duly authorized, executed and delivered counterpart signature page to a Co-Borrower Joinder Agreement and, if applicable and to the extent not then a Subsidiary Guarantor, intercreditor arrangements, intercompany subordination agreements and a guaranty or guaranty supplement pursuant to the Guaranty;</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(f)    to the extent not then a Subsidiary Guarantor, the Co-Borrower shall have delivered to the Administrative Agent and Collateral Agent executed counterparts of a joinder or supplement to the applicable Collateral Documents pursuant to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 xml:space="preserve">or other security agreements executed and delivered pursuant to </w:t>
      </w:r>
      <w:r>
        <w:rPr>
          <w:rFonts w:ascii="Times New Roman;serif" w:hAnsi="Times New Roman;serif"/>
          <w:b w:val="false"/>
          <w:color w:val="000000"/>
          <w:sz w:val="22"/>
          <w:u w:val="single"/>
        </w:rPr>
        <w:t>Section 6.12</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Section 6.14</w:t>
      </w:r>
      <w:r>
        <w:rPr>
          <w:color w:val="000000"/>
        </w:rPr>
        <w:t xml:space="preserve"> </w:t>
      </w:r>
      <w:r>
        <w:rPr>
          <w:rFonts w:ascii="Times New Roman;serif" w:hAnsi="Times New Roman;serif"/>
          <w:b w:val="false"/>
          <w:color w:val="000000"/>
          <w:sz w:val="22"/>
        </w:rPr>
        <w:t xml:space="preserve">or </w:t>
      </w:r>
      <w:r>
        <w:rPr>
          <w:rFonts w:ascii="Times New Roman;serif" w:hAnsi="Times New Roman;serif"/>
          <w:b w:val="false"/>
          <w:color w:val="000000"/>
          <w:sz w:val="22"/>
          <w:u w:val="single"/>
        </w:rPr>
        <w:t>Section 6.16</w:t>
      </w:r>
      <w:r>
        <w:rPr>
          <w:color w:val="000000"/>
        </w:rPr>
        <w:t xml:space="preserve"> </w:t>
      </w:r>
      <w:r>
        <w:rPr>
          <w:rFonts w:ascii="Times New Roman;serif" w:hAnsi="Times New Roman;serif"/>
          <w:b w:val="false"/>
          <w:color w:val="000000"/>
          <w:sz w:val="22"/>
        </w:rPr>
        <w:t>as if such Co-Borrower was a newly formed Subsidiary, without giving effect to any grace period, together with other deliverables reasonably required pursuant to such Section as applied to such Co-Borrower (it being understood and agreed that the Administrative Agent and the Company may waive or modify any such requirements to the extent they deem in their mutual discretion such changes are necessary or appropriate under the circumstances taking into account the designated Co-Borrower’s jurisdiction of organization and applicable Laws);</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(g)    the Administrative Agent shall have received an opinion of local counsel and/or New York counsel, as applicable and depending on the circumstances and relevant market standard, in each case, addressed to the Administrative Agent, the Collateral Agent, the Lenders and if applicable, each L/C Issuer (in each case, where, and as, consistent with generally accepted market practice);</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(h)    the Administrative Agent shall have received a copy of a resolution of the Board of Directors, if required by applicable Law, of such Co-Borrower: (i) approving the terms of, and the transactions contemplated by, the Loan Documents to which it is a party and resolving that it execute, deliver and perform the Loan Documents to which it is a party; (ii) authorizing a specified person or persons to execute the Loan Documents and any related documents to which it is a party on its behalf; and (iii) authorizing a specified person or persons, on its behalf, to sign and/or dispatch all documents and notices (including, if relevant, any Committed Loan Notice or other relevant notice) to be signed and/or dispatched by it under or in connection with the Loan Documents to which it is a party;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(i)    the Administrative Agent shall have received a certificate of a Responsible Officer of the Co-Borrower certifying that (i) its Organization Documents and each copy document relating to it specified in </w:t>
      </w:r>
      <w:r>
        <w:rPr>
          <w:rFonts w:ascii="Times New Roman;serif" w:hAnsi="Times New Roman;serif"/>
          <w:b w:val="false"/>
          <w:color w:val="000000"/>
          <w:sz w:val="22"/>
          <w:u w:val="single"/>
        </w:rPr>
        <w:t>clause (h)</w:t>
      </w:r>
      <w:r>
        <w:rPr>
          <w:color w:val="000000"/>
        </w:rPr>
        <w:t xml:space="preserve"> </w:t>
      </w:r>
      <w:r>
        <w:rPr>
          <w:rFonts w:ascii="Times New Roman;serif" w:hAnsi="Times New Roman;serif"/>
          <w:b w:val="false"/>
          <w:color w:val="000000"/>
          <w:sz w:val="22"/>
        </w:rPr>
        <w:t xml:space="preserve">above, is correct, complete and in full force and effect and has not been amended or superseded as at a date no earlier than the date of such Co-Borrower Joinder Agreement and (ii) each of the conditions set forth in </w:t>
      </w:r>
      <w:r>
        <w:rPr>
          <w:rFonts w:ascii="Times New Roman;serif" w:hAnsi="Times New Roman;serif"/>
          <w:b w:val="false"/>
          <w:color w:val="000000"/>
          <w:sz w:val="22"/>
          <w:u w:val="single"/>
        </w:rPr>
        <w:t>clauses (c)</w:t>
      </w:r>
      <w:r>
        <w:rPr>
          <w:color w:val="000000"/>
        </w:rPr>
        <w:t xml:space="preserve"> </w:t>
      </w:r>
      <w:r>
        <w:rPr>
          <w:rFonts w:ascii="Times New Roman;serif" w:hAnsi="Times New Roman;serif"/>
          <w:b w:val="false"/>
          <w:color w:val="000000"/>
          <w:sz w:val="22"/>
        </w:rPr>
        <w:t xml:space="preserve">and </w:t>
      </w:r>
      <w:r>
        <w:rPr>
          <w:rFonts w:ascii="Times New Roman;serif" w:hAnsi="Times New Roman;serif"/>
          <w:b w:val="false"/>
          <w:color w:val="000000"/>
          <w:sz w:val="22"/>
          <w:u w:val="single"/>
        </w:rPr>
        <w:t>(d)</w:t>
      </w:r>
      <w:r>
        <w:rPr>
          <w:color w:val="000000"/>
        </w:rPr>
        <w:t xml:space="preserve"> </w:t>
      </w:r>
      <w:r>
        <w:rPr>
          <w:rFonts w:ascii="Times New Roman;serif" w:hAnsi="Times New Roman;serif"/>
          <w:b w:val="false"/>
          <w:color w:val="000000"/>
          <w:sz w:val="22"/>
        </w:rPr>
        <w:t>above have been satisfied.</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11.02    </w:t>
      </w:r>
      <w:r>
        <w:rPr>
          <w:rFonts w:ascii="Times New Roman;serif" w:hAnsi="Times New Roman;serif"/>
          <w:b w:val="false"/>
          <w:color w:val="000000"/>
          <w:sz w:val="22"/>
          <w:u w:val="single"/>
        </w:rPr>
        <w:t>Status of Co-Borrowers</w:t>
      </w:r>
      <w:r>
        <w:rPr>
          <w:rFonts w:ascii="Times New Roman;serif" w:hAnsi="Times New Roman;serif"/>
          <w:b w:val="false"/>
          <w:color w:val="000000"/>
          <w:sz w:val="22"/>
        </w:rPr>
        <w:t xml:space="preserve">. Once a Co-Borrower has become a Co-Borrower in accordance with </w:t>
      </w:r>
      <w:r>
        <w:rPr>
          <w:rFonts w:ascii="Times New Roman;serif" w:hAnsi="Times New Roman;serif"/>
          <w:b w:val="false"/>
          <w:color w:val="000000"/>
          <w:sz w:val="22"/>
          <w:u w:val="single"/>
        </w:rPr>
        <w:t>Section 11.01</w:t>
      </w:r>
      <w:r>
        <w:rPr>
          <w:rFonts w:ascii="Times New Roman;serif" w:hAnsi="Times New Roman;serif"/>
          <w:b w:val="false"/>
          <w:color w:val="000000"/>
          <w:sz w:val="22"/>
        </w:rPr>
        <w:t xml:space="preserve">, it shall be a “Borrower” under the Revolving Credit Facility (with respect to the applicable Tranche) and will have the right to directly request Revolving Credit Loans in accordance with </w:t>
      </w:r>
      <w:r>
        <w:rPr>
          <w:rFonts w:ascii="Times New Roman;serif" w:hAnsi="Times New Roman;serif"/>
          <w:b w:val="false"/>
          <w:color w:val="000000"/>
          <w:sz w:val="22"/>
          <w:u w:val="single"/>
        </w:rPr>
        <w:t>Article II</w:t>
      </w:r>
      <w:r>
        <w:rPr>
          <w:color w:val="000000"/>
        </w:rPr>
        <w:t xml:space="preserve"> </w:t>
      </w:r>
      <w:r>
        <w:rPr>
          <w:rFonts w:ascii="Times New Roman;serif" w:hAnsi="Times New Roman;serif"/>
          <w:b w:val="false"/>
          <w:color w:val="000000"/>
          <w:sz w:val="22"/>
        </w:rPr>
        <w:t>hereof until the Maturity Date for the Revolving Credit Facility</w:t>
      </w:r>
      <w:r>
        <w:rPr>
          <w:color w:val="0000FF"/>
          <w:u w:val="single"/>
        </w:rPr>
        <w:t xml:space="preserve"> </w:t>
      </w:r>
      <w:r>
        <w:rPr>
          <w:rFonts w:ascii="Times New Roman;serif" w:hAnsi="Times New Roman;serif"/>
          <w:b w:val="false"/>
          <w:color w:val="0000FF"/>
          <w:sz w:val="22"/>
          <w:u w:val="single"/>
        </w:rPr>
        <w:t>(with respect to the applicable Tranche)</w:t>
      </w:r>
      <w:r>
        <w:rPr>
          <w:rFonts w:ascii="Times New Roman;serif" w:hAnsi="Times New Roman;serif"/>
          <w:b w:val="false"/>
          <w:color w:val="000000"/>
          <w:sz w:val="22"/>
        </w:rPr>
        <w:t xml:space="preserve">, or the date on which such Co-Borrower terminates its obligations under this Agreement in accordance with </w:t>
      </w:r>
      <w:r>
        <w:rPr>
          <w:rFonts w:ascii="Times New Roman;serif" w:hAnsi="Times New Roman;serif"/>
          <w:b w:val="false"/>
          <w:color w:val="000000"/>
          <w:sz w:val="22"/>
          <w:u w:val="single"/>
        </w:rPr>
        <w:t>Section 11.03</w:t>
      </w:r>
      <w:r>
        <w:rPr>
          <w:color w:val="000000"/>
        </w:rPr>
        <w:t xml:space="preserve"> </w:t>
      </w:r>
      <w:r>
        <w:rPr>
          <w:rFonts w:ascii="Times New Roman;serif" w:hAnsi="Times New Roman;serif"/>
          <w:b w:val="false"/>
          <w:color w:val="000000"/>
          <w:sz w:val="22"/>
        </w:rPr>
        <w:t xml:space="preserve">or the date on which such Co-Borrower is released from its obligations under the Loan Documents in accordance with this Agreement, including </w:t>
      </w:r>
      <w:r>
        <w:rPr>
          <w:rFonts w:ascii="Times New Roman;serif" w:hAnsi="Times New Roman;serif"/>
          <w:b w:val="false"/>
          <w:color w:val="000000"/>
          <w:sz w:val="22"/>
          <w:u w:val="single"/>
        </w:rPr>
        <w:t>Section 9.11</w:t>
      </w:r>
      <w:r>
        <w:rPr>
          <w:color w:val="000000"/>
        </w:rPr>
        <w:t xml:space="preserve"> </w:t>
      </w:r>
      <w:r>
        <w:rPr>
          <w:rFonts w:ascii="Times New Roman;serif" w:hAnsi="Times New Roman;serif"/>
          <w:b w:val="false"/>
          <w:color w:val="000000"/>
          <w:sz w:val="22"/>
        </w:rPr>
        <w:t xml:space="preserve">hereof. Each of the Co-Borrowers and the applicable Borrower shall hereby accept joint and several liability </w:t>
      </w:r>
    </w:p>
    <w:p>
      <w:pPr>
        <w:pStyle w:val="TextBody"/>
        <w:bidi w:val="0"/>
        <w:spacing w:before="0" w:after="0"/>
        <w:jc w:val="left"/>
        <w:rPr/>
      </w:pPr>
      <w:r>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6480175" cy="175260"/>
                <wp:effectExtent l="0" t="0" r="0" b="0"/>
                <wp:wrapNone/>
                <wp:docPr id="358" name="Frame3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2"/>
        </w:rPr>
      </w:pPr>
      <w:r>
        <w:rPr>
          <w:rFonts w:ascii="Times New Roman;serif" w:hAnsi="Times New Roman;serif"/>
          <w:b w:val="false"/>
          <w:color w:val="000000"/>
          <w:sz w:val="22"/>
        </w:rPr>
        <w:t>hereunder with respect to the Obligations under the applicable Tranche of the applicable Facility under the Loan Documents.</w:t>
      </w:r>
    </w:p>
    <w:p>
      <w:pPr>
        <w:pStyle w:val="TextBody"/>
        <w:bidi w:val="0"/>
        <w:spacing w:lineRule="auto" w:line="288" w:before="0" w:after="240"/>
        <w:ind w:left="0" w:right="0" w:firstLine="720"/>
        <w:jc w:val="left"/>
        <w:rPr/>
      </w:pPr>
      <w:r>
        <w:rPr>
          <w:rFonts w:ascii="Times New Roman;serif" w:hAnsi="Times New Roman;serif"/>
          <w:b w:val="false"/>
          <w:color w:val="000000"/>
          <w:sz w:val="22"/>
        </w:rPr>
        <w:t>Section 11.03    </w:t>
      </w:r>
      <w:r>
        <w:rPr>
          <w:rFonts w:ascii="Times New Roman;serif" w:hAnsi="Times New Roman;serif"/>
          <w:b w:val="false"/>
          <w:color w:val="000000"/>
          <w:sz w:val="22"/>
          <w:u w:val="single"/>
        </w:rPr>
        <w:t>Resignation of Co-Borrowers</w:t>
      </w:r>
      <w:r>
        <w:rPr>
          <w:rFonts w:ascii="Times New Roman;serif" w:hAnsi="Times New Roman;serif"/>
          <w:b w:val="false"/>
          <w:color w:val="000000"/>
          <w:sz w:val="22"/>
        </w:rPr>
        <w:t>. A Co-Borrower may elect to terminate its eligibility to request Borrowings and to cease to be a Co-Borrower hereunder and shall therefore cease to be a “Borrower” under the Revolving Credit Facility (with respect to the applicable Tranche, as applicable) upon the occurrence of, and such resignation shall effective upon, all of the following:</w:t>
      </w:r>
    </w:p>
    <w:p>
      <w:pPr>
        <w:pStyle w:val="TextBody"/>
        <w:bidi w:val="0"/>
        <w:spacing w:lineRule="auto" w:line="288" w:before="0" w:after="24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such resigning Co-Borrower shall have paid in full in cash all of its direct Obligations under the Revolving Credit Facility (with respect to the applicable Tranche) or such other Co-Borrowers have assumed such amounts; and</w:t>
      </w:r>
    </w:p>
    <w:p>
      <w:pPr>
        <w:pStyle w:val="TextBody"/>
        <w:bidi w:val="0"/>
        <w:spacing w:lineRule="auto" w:line="288" w:before="0" w:after="240"/>
        <w:ind w:left="0" w:right="0" w:firstLine="720"/>
        <w:jc w:val="left"/>
        <w:rPr/>
      </w:pPr>
      <w:r>
        <w:rPr>
          <w:rFonts w:ascii="Times New Roman;serif" w:hAnsi="Times New Roman;serif"/>
          <w:b w:val="false"/>
          <w:color w:val="000000"/>
          <w:sz w:val="22"/>
        </w:rPr>
        <w:t xml:space="preserve">(b)    such resigning Co-Borrower shall have delivered to the Administrative Agent and the Collateral Agent a notice of resignation substantially in the form of Exhibit L or otherwise in form and substance reasonably satisfactory to the Administrative Agent; </w:t>
      </w:r>
      <w:r>
        <w:rPr>
          <w:rFonts w:ascii="Times New Roman;serif" w:hAnsi="Times New Roman;serif"/>
          <w:b w:val="false"/>
          <w:i/>
          <w:color w:val="000000"/>
          <w:sz w:val="22"/>
        </w:rPr>
        <w:t>provided, however</w:t>
      </w:r>
      <w:r>
        <w:rPr>
          <w:rFonts w:ascii="Times New Roman;serif" w:hAnsi="Times New Roman;serif"/>
          <w:b w:val="false"/>
          <w:color w:val="000000"/>
          <w:sz w:val="22"/>
        </w:rPr>
        <w:t xml:space="preserve">, that such resignation shall not, to the extent applicable, have any impact on such Person’s obligations as a Guarantor and such obligations, to the extent applicable, shall continue to be effective in accordance with the Guaranty and the other provisions and undertakings hereunder related thereto. For the avoidance of doubt, the Co-Borrower shall not be required to adhere to the above in connection with a release pursuant to </w:t>
      </w:r>
      <w:r>
        <w:rPr>
          <w:rFonts w:ascii="Times New Roman;serif" w:hAnsi="Times New Roman;serif"/>
          <w:b w:val="false"/>
          <w:color w:val="000000"/>
          <w:sz w:val="22"/>
          <w:u w:val="single"/>
        </w:rPr>
        <w:t>Section 9.11</w:t>
      </w:r>
      <w:r>
        <w:rPr>
          <w:rFonts w:ascii="Times New Roman;serif" w:hAnsi="Times New Roman;serif"/>
          <w:b w:val="false"/>
          <w:color w:val="000000"/>
          <w:sz w:val="22"/>
        </w:rPr>
        <w:t>.</w:t>
      </w:r>
    </w:p>
    <w:p>
      <w:pPr>
        <w:pStyle w:val="TextBody"/>
        <w:bidi w:val="0"/>
        <w:spacing w:lineRule="auto" w:line="288"/>
        <w:jc w:val="left"/>
        <w:rPr/>
      </w:pPr>
      <w:r>
        <w:rPr>
          <w:rFonts w:ascii="Times New Roman;serif" w:hAnsi="Times New Roman;serif"/>
          <w:b w:val="false"/>
          <w:i/>
          <w:color w:val="000000"/>
          <w:sz w:val="22"/>
        </w:rPr>
        <w:t>[</w:t>
      </w:r>
      <w:r>
        <w:rPr>
          <w:rFonts w:ascii="Times New Roman;serif" w:hAnsi="Times New Roman;serif"/>
          <w:b w:val="false"/>
          <w:i/>
          <w:strike/>
          <w:color w:val="FF0000"/>
          <w:sz w:val="22"/>
        </w:rPr>
        <w:t>REMAINDER OF THIS PAGE IS</w:t>
      </w:r>
      <w:r>
        <w:rPr>
          <w:rFonts w:ascii="Times New Roman;serif" w:hAnsi="Times New Roman;serif"/>
          <w:b w:val="false"/>
          <w:i/>
          <w:color w:val="0000FF"/>
          <w:sz w:val="22"/>
          <w:u w:val="single"/>
        </w:rPr>
        <w:t>SIGNATURE PAGES</w:t>
      </w:r>
      <w:r>
        <w:rPr>
          <w:color w:val="000000"/>
        </w:rPr>
        <w:t xml:space="preserve"> </w:t>
      </w:r>
      <w:r>
        <w:rPr>
          <w:rFonts w:ascii="Times New Roman;serif" w:hAnsi="Times New Roman;serif"/>
          <w:b w:val="false"/>
          <w:i/>
          <w:color w:val="000000"/>
          <w:sz w:val="22"/>
        </w:rPr>
        <w:t xml:space="preserve">INTENTIONALLY </w:t>
      </w:r>
      <w:r>
        <w:rPr>
          <w:rFonts w:ascii="Times New Roman;serif" w:hAnsi="Times New Roman;serif"/>
          <w:b w:val="false"/>
          <w:i/>
          <w:strike/>
          <w:color w:val="FF0000"/>
          <w:sz w:val="22"/>
        </w:rPr>
        <w:t>LEFT BLANK</w:t>
      </w:r>
      <w:r>
        <w:rPr>
          <w:rFonts w:ascii="Times New Roman;serif" w:hAnsi="Times New Roman;serif"/>
          <w:b w:val="false"/>
          <w:i/>
          <w:color w:val="0000FF"/>
          <w:sz w:val="22"/>
          <w:u w:val="single"/>
        </w:rPr>
        <w:t>OMITTED</w:t>
      </w:r>
      <w:r>
        <w:rPr>
          <w:rFonts w:ascii="Times New Roman;serif" w:hAnsi="Times New Roman;serif"/>
          <w:b w:val="false"/>
          <w:i/>
          <w:color w:val="000000"/>
          <w:sz w:val="22"/>
        </w:rPr>
        <w:t>]</w:t>
      </w:r>
    </w:p>
    <w:p>
      <w:pPr>
        <w:pStyle w:val="TextBody"/>
        <w:bidi w:val="0"/>
        <w:spacing w:before="0" w:after="0"/>
        <w:jc w:val="left"/>
        <w:rPr/>
      </w:pPr>
      <w:r>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6480175" cy="175260"/>
                <wp:effectExtent l="0" t="0" r="0" b="0"/>
                <wp:wrapNone/>
                <wp:docPr id="359" name="Frame3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ind w:left="0" w:right="0" w:firstLine="720"/>
        <w:jc w:val="left"/>
        <w:rPr/>
      </w:pPr>
      <w:r>
        <w:rPr>
          <w:rFonts w:ascii="Times New Roman;serif" w:hAnsi="Times New Roman;serif"/>
          <w:b w:val="false"/>
          <w:strike/>
          <w:color w:val="FF0000"/>
          <w:sz w:val="22"/>
        </w:rPr>
        <w:t xml:space="preserve">IN WITNESS WHEREOF, the parties hereto have caused </w:t>
      </w:r>
      <w:r>
        <w:rPr>
          <w:rFonts w:ascii="Times New Roman;serif" w:hAnsi="Times New Roman;serif"/>
          <w:b w:val="false"/>
          <w:strike/>
          <w:color w:val="008000"/>
          <w:sz w:val="22"/>
        </w:rPr>
        <w:t xml:space="preserve">this Agreement to </w:t>
      </w:r>
      <w:r>
        <w:rPr>
          <w:rFonts w:ascii="Times New Roman;serif" w:hAnsi="Times New Roman;serif"/>
          <w:b w:val="false"/>
          <w:strike/>
          <w:color w:val="FF0000"/>
          <w:sz w:val="22"/>
        </w:rPr>
        <w:t xml:space="preserve">be duly executed </w:t>
      </w:r>
      <w:r>
        <w:rPr>
          <w:rFonts w:ascii="Times New Roman;serif" w:hAnsi="Times New Roman;serif"/>
          <w:b w:val="false"/>
          <w:strike/>
          <w:color w:val="008000"/>
          <w:sz w:val="22"/>
        </w:rPr>
        <w:t xml:space="preserve">as of the </w:t>
      </w:r>
      <w:r>
        <w:rPr>
          <w:rFonts w:ascii="Times New Roman;serif" w:hAnsi="Times New Roman;serif"/>
          <w:b w:val="false"/>
          <w:strike/>
          <w:color w:val="FF0000"/>
          <w:sz w:val="22"/>
        </w:rPr>
        <w:t>date first written above.</w:t>
      </w:r>
    </w:p>
    <w:p>
      <w:pPr>
        <w:pStyle w:val="TextBody"/>
        <w:bidi w:val="0"/>
        <w:spacing w:lineRule="auto" w:line="288" w:before="0" w:after="0"/>
        <w:jc w:val="left"/>
        <w:rPr/>
      </w:pPr>
      <w:r>
        <w:rPr>
          <w:rFonts w:ascii="Times New Roman;serif" w:hAnsi="Times New Roman;serif"/>
          <w:b w:val="false"/>
          <w:strike/>
          <w:color w:val="FF0000"/>
          <w:sz w:val="22"/>
        </w:rPr>
        <w:t>EMBECTA CORP.</w:t>
      </w:r>
      <w:r>
        <w:rPr>
          <w:rFonts w:ascii="Times New Roman;serif" w:hAnsi="Times New Roman;serif"/>
          <w:b w:val="false"/>
          <w:strike/>
          <w:color w:val="008000"/>
          <w:sz w:val="22"/>
        </w:rPr>
        <w:t xml:space="preserve">, as the </w:t>
      </w:r>
      <w:r>
        <w:rPr>
          <w:rFonts w:ascii="Times New Roman;serif" w:hAnsi="Times New Roman;serif"/>
          <w:b w:val="false"/>
          <w:strike/>
          <w:color w:val="FF0000"/>
          <w:sz w:val="22"/>
        </w:rPr>
        <w:t>Company</w:t>
      </w:r>
    </w:p>
    <w:p>
      <w:pPr>
        <w:pStyle w:val="TextBody"/>
        <w:bidi w:val="0"/>
        <w:spacing w:before="0" w:after="240"/>
        <w:ind w:left="0" w:right="0" w:firstLine="72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Jacob Elguicze</w:t>
      </w:r>
    </w:p>
    <w:p>
      <w:pPr>
        <w:pStyle w:val="TextBody"/>
        <w:bidi w:val="0"/>
        <w:spacing w:lineRule="auto" w:line="288"/>
        <w:jc w:val="left"/>
        <w:rPr>
          <w:rFonts w:ascii="Times New Roman;serif" w:hAnsi="Times New Roman;serif"/>
          <w:b w:val="false"/>
          <w:strike/>
          <w:color w:val="FF0000"/>
          <w:sz w:val="22"/>
        </w:rPr>
      </w:pPr>
      <w:r>
        <w:rPr>
          <w:rFonts w:ascii="Times New Roman;serif" w:hAnsi="Times New Roman;serif"/>
          <w:b w:val="false"/>
          <w:strike/>
          <w:color w:val="FF0000"/>
          <w:sz w:val="22"/>
        </w:rPr>
        <w:t>Title: Chief Financial Officer</w:t>
      </w:r>
    </w:p>
    <w:p>
      <w:pPr>
        <w:pStyle w:val="TextBody"/>
        <w:bidi w:val="0"/>
        <w:spacing w:before="0" w:after="0"/>
        <w:jc w:val="left"/>
        <w:rPr/>
      </w:pPr>
      <w:r>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6480175" cy="175260"/>
                <wp:effectExtent l="0" t="0" r="0" b="0"/>
                <wp:wrapNone/>
                <wp:docPr id="360" name="Frame3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MORGAN STANLEY SENIOR FUNDING, INC.</w:t>
      </w:r>
      <w:r>
        <w:rPr>
          <w:rFonts w:ascii="Times New Roman;serif" w:hAnsi="Times New Roman;serif"/>
          <w:b w:val="false"/>
          <w:strike/>
          <w:color w:val="FF0000"/>
          <w:sz w:val="22"/>
        </w:rPr>
        <w:t>,</w:t>
      </w:r>
    </w:p>
    <w:p>
      <w:pPr>
        <w:pStyle w:val="TextBody"/>
        <w:bidi w:val="0"/>
        <w:spacing w:lineRule="auto" w:line="288" w:before="0" w:after="0"/>
        <w:jc w:val="left"/>
        <w:rPr/>
      </w:pPr>
      <w:r>
        <w:rPr>
          <w:rFonts w:ascii="Times New Roman;serif" w:hAnsi="Times New Roman;serif"/>
          <w:b w:val="false"/>
          <w:strike/>
          <w:color w:val="FF0000"/>
          <w:sz w:val="22"/>
        </w:rPr>
        <w:t xml:space="preserve">as the </w:t>
      </w:r>
      <w:r>
        <w:rPr>
          <w:rFonts w:ascii="Times New Roman;serif" w:hAnsi="Times New Roman;serif"/>
          <w:b w:val="false"/>
          <w:strike/>
          <w:color w:val="008000"/>
          <w:sz w:val="22"/>
        </w:rPr>
        <w:t xml:space="preserve">Administrative Agent, </w:t>
      </w:r>
      <w:r>
        <w:rPr>
          <w:rFonts w:ascii="Times New Roman;serif" w:hAnsi="Times New Roman;serif"/>
          <w:b w:val="false"/>
          <w:strike/>
          <w:color w:val="FF0000"/>
          <w:sz w:val="22"/>
        </w:rPr>
        <w:t xml:space="preserve">the </w:t>
      </w:r>
      <w:r>
        <w:rPr>
          <w:rFonts w:ascii="Times New Roman;serif" w:hAnsi="Times New Roman;serif"/>
          <w:b w:val="false"/>
          <w:strike/>
          <w:color w:val="008000"/>
          <w:sz w:val="22"/>
        </w:rPr>
        <w:t>Collateral Agent</w:t>
      </w:r>
      <w:r>
        <w:rPr>
          <w:rFonts w:ascii="Times New Roman;serif" w:hAnsi="Times New Roman;serif"/>
          <w:b w:val="false"/>
          <w:strike/>
          <w:color w:val="FF0000"/>
          <w:sz w:val="22"/>
        </w:rPr>
        <w:t xml:space="preserve">, a Lender </w:t>
      </w:r>
      <w:r>
        <w:rPr>
          <w:rFonts w:ascii="Times New Roman;serif" w:hAnsi="Times New Roman;serif"/>
          <w:b w:val="false"/>
          <w:strike/>
          <w:color w:val="008000"/>
          <w:sz w:val="22"/>
        </w:rPr>
        <w:t>and an L/C Issuer</w:t>
      </w:r>
    </w:p>
    <w:p>
      <w:pPr>
        <w:pStyle w:val="TextBody"/>
        <w:bidi w:val="0"/>
        <w:spacing w:lineRule="auto" w:line="288" w:before="0" w:after="0"/>
        <w:jc w:val="left"/>
        <w:rPr/>
      </w:pPr>
      <w:r>
        <w:rPr>
          <w:rFonts w:ascii="Times New Roman;serif" w:hAnsi="Times New Roman;serif"/>
          <w:b w:val="false"/>
          <w:strike/>
          <w:color w:val="FF0000"/>
          <w:sz w:val="22"/>
        </w:rPr>
        <w:t>By:</w:t>
      </w:r>
      <w:r>
        <w:rPr>
          <w:color w:val="000000"/>
        </w:rPr>
        <w:t>    </w:t>
      </w:r>
      <w:r>
        <w:rPr>
          <w:color w:val="000000"/>
          <w:u w:val="single"/>
        </w:rPr>
        <w:t>    </w:t>
      </w:r>
    </w:p>
    <w:p>
      <w:pPr>
        <w:pStyle w:val="TextBody"/>
        <w:bidi w:val="0"/>
        <w:spacing w:lineRule="auto" w:line="288" w:before="0" w:after="0"/>
        <w:jc w:val="left"/>
        <w:rPr/>
      </w:pPr>
      <w:r>
        <w:rPr>
          <w:rFonts w:ascii="Times New Roman;serif" w:hAnsi="Times New Roman;serif"/>
          <w:b w:val="false"/>
          <w:strike/>
          <w:color w:val="FF0000"/>
          <w:sz w:val="22"/>
        </w:rPr>
        <w:t>Name:</w:t>
      </w:r>
      <w:r>
        <w:rPr>
          <w:color w:val="000000"/>
        </w:rPr>
        <w:t>    </w:t>
      </w:r>
      <w:r>
        <w:rPr>
          <w:rFonts w:ascii="Times New Roman;serif" w:hAnsi="Times New Roman;serif"/>
          <w:b w:val="false"/>
          <w:strike/>
          <w:color w:val="FF0000"/>
          <w:sz w:val="22"/>
        </w:rPr>
        <w:t>Mark Scioscia</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6480175" cy="175260"/>
                <wp:effectExtent l="0" t="0" r="0" b="0"/>
                <wp:wrapNone/>
                <wp:docPr id="361" name="Frame3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MORGAN STANLEY BANK, N.A.</w:t>
      </w:r>
      <w:r>
        <w:rPr>
          <w:rFonts w:ascii="Times New Roman;serif" w:hAnsi="Times New Roman;serif"/>
          <w:b w:val="false"/>
          <w:strike/>
          <w:color w:val="FF0000"/>
          <w:sz w:val="22"/>
        </w:rPr>
        <w:t>, as a Lender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Mark Scioscia</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Authorized Signatory</w:t>
      </w:r>
    </w:p>
    <w:p>
      <w:pPr>
        <w:pStyle w:val="TextBody"/>
        <w:bidi w:val="0"/>
        <w:spacing w:before="0" w:after="0"/>
        <w:jc w:val="left"/>
        <w:rPr/>
      </w:pPr>
      <w:r>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6480175" cy="175260"/>
                <wp:effectExtent l="0" t="0" r="0" b="0"/>
                <wp:wrapNone/>
                <wp:docPr id="362" name="Frame3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strike/>
          <w:color w:val="FF0000"/>
          <w:sz w:val="22"/>
        </w:rPr>
      </w:pPr>
      <w:r>
        <w:rPr>
          <w:rFonts w:ascii="Times New Roman;serif" w:hAnsi="Times New Roman;serif"/>
          <w:b/>
          <w:strike/>
          <w:color w:val="FF0000"/>
          <w:sz w:val="22"/>
        </w:rPr>
        <w:t>BNP PARIBAS</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John Bosco</w:t>
      </w:r>
    </w:p>
    <w:p>
      <w:pPr>
        <w:pStyle w:val="TextBody"/>
        <w:bidi w:val="0"/>
        <w:spacing w:lineRule="auto" w:line="288" w:before="0" w:after="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Managing Director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Michael Pearce</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6480175" cy="175260"/>
                <wp:effectExtent l="0" t="0" r="0" b="0"/>
                <wp:wrapNone/>
                <wp:docPr id="363" name="Frame3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strike/>
          <w:color w:val="FF0000"/>
          <w:sz w:val="22"/>
        </w:rPr>
      </w:pPr>
      <w:r>
        <w:rPr>
          <w:rFonts w:ascii="Times New Roman;serif" w:hAnsi="Times New Roman;serif"/>
          <w:b/>
          <w:strike/>
          <w:color w:val="FF0000"/>
          <w:sz w:val="22"/>
        </w:rPr>
        <w:t>Citibank, N.A.</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Michael Chen</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Authorized Signer</w:t>
      </w:r>
    </w:p>
    <w:p>
      <w:pPr>
        <w:pStyle w:val="TextBody"/>
        <w:bidi w:val="0"/>
        <w:spacing w:before="0" w:after="0"/>
        <w:jc w:val="left"/>
        <w:rPr/>
      </w:pPr>
      <w:r>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6480175" cy="175260"/>
                <wp:effectExtent l="0" t="0" r="0" b="0"/>
                <wp:wrapNone/>
                <wp:docPr id="364" name="Frame3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strike/>
          <w:color w:val="FF0000"/>
          <w:sz w:val="22"/>
        </w:rPr>
      </w:pPr>
      <w:r>
        <w:rPr>
          <w:rFonts w:ascii="Times New Roman;serif" w:hAnsi="Times New Roman;serif"/>
          <w:b/>
          <w:strike/>
          <w:color w:val="FF0000"/>
          <w:sz w:val="22"/>
        </w:rPr>
        <w:t>CITIZENS BANK, N.A.</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Benjamin Sileo</w:t>
      </w:r>
    </w:p>
    <w:p>
      <w:pPr>
        <w:pStyle w:val="TextBody"/>
        <w:bidi w:val="0"/>
        <w:spacing w:lineRule="auto" w:line="288"/>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6480175" cy="175260"/>
                <wp:effectExtent l="0" t="0" r="0" b="0"/>
                <wp:wrapNone/>
                <wp:docPr id="365" name="Frame3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JPMORGAN CHASE BANK, N.A.</w:t>
      </w:r>
      <w:r>
        <w:rPr>
          <w:rFonts w:ascii="Times New Roman;serif" w:hAnsi="Times New Roman;serif"/>
          <w:b w:val="false"/>
          <w:strike/>
          <w:color w:val="FF0000"/>
          <w:sz w:val="22"/>
        </w:rPr>
        <w:t>,</w:t>
      </w:r>
    </w:p>
    <w:p>
      <w:pPr>
        <w:pStyle w:val="TextBody"/>
        <w:bidi w:val="0"/>
        <w:spacing w:lineRule="auto" w:line="288" w:before="0" w:after="0"/>
        <w:jc w:val="left"/>
        <w:rPr/>
      </w:pPr>
      <w:r>
        <w:rPr>
          <w:rFonts w:ascii="Times New Roman;serif" w:hAnsi="Times New Roman;serif"/>
          <w:b w:val="false"/>
          <w:strike/>
          <w:color w:val="FF0000"/>
          <w:sz w:val="22"/>
        </w:rPr>
        <w:t>as a Revolving Credit</w:t>
      </w:r>
      <w:r>
        <w:rPr>
          <w:color w:val="000000"/>
        </w:rPr>
        <w:t>    </w:t>
      </w:r>
      <w:r>
        <w:rPr>
          <w:rFonts w:ascii="Times New Roman;serif" w:hAnsi="Times New Roman;serif"/>
          <w:b w:val="false"/>
          <w:strike/>
          <w:color w:val="FF0000"/>
          <w:sz w:val="22"/>
        </w:rPr>
        <w:t>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Joon Hur</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Executive Direct</w:t>
      </w:r>
    </w:p>
    <w:p>
      <w:pPr>
        <w:pStyle w:val="TextBody"/>
        <w:bidi w:val="0"/>
        <w:spacing w:before="0" w:after="0"/>
        <w:jc w:val="left"/>
        <w:rPr/>
      </w:pPr>
      <w:r>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6480175" cy="175260"/>
                <wp:effectExtent l="0" t="0" r="0" b="0"/>
                <wp:wrapNone/>
                <wp:docPr id="366" name="Frame3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MUFG Bank, Ltd.</w:t>
      </w:r>
      <w:r>
        <w:rPr>
          <w:rFonts w:ascii="Times New Roman;serif" w:hAnsi="Times New Roman;serif"/>
          <w:b w:val="false"/>
          <w:strike/>
          <w:color w:val="FF0000"/>
          <w:sz w:val="22"/>
        </w:rPr>
        <w:t>,</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Kevin Wood</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480175" cy="175260"/>
                <wp:effectExtent l="0" t="0" r="0" b="0"/>
                <wp:wrapNone/>
                <wp:docPr id="367" name="Frame3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 xml:space="preserve">PNC Bank, </w:t>
      </w:r>
      <w:r>
        <w:rPr>
          <w:rFonts w:ascii="Times New Roman;serif" w:hAnsi="Times New Roman;serif"/>
          <w:b/>
          <w:strike/>
          <w:color w:val="008000"/>
          <w:sz w:val="22"/>
        </w:rPr>
        <w:t>National Association</w:t>
      </w:r>
      <w:r>
        <w:rPr>
          <w:rFonts w:ascii="Times New Roman;serif" w:hAnsi="Times New Roman;serif"/>
          <w:b w:val="false"/>
          <w:strike/>
          <w:color w:val="FF0000"/>
          <w:sz w:val="22"/>
        </w:rPr>
        <w:t>,</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Michael Richards</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SVP &amp; 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6480175" cy="175260"/>
                <wp:effectExtent l="0" t="0" r="0" b="0"/>
                <wp:wrapNone/>
                <wp:docPr id="368" name="Frame3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FF0000"/>
          <w:sz w:val="22"/>
        </w:rPr>
        <w:t>SANTANDER BANK, N.A.</w:t>
      </w:r>
      <w:r>
        <w:rPr>
          <w:rFonts w:ascii="Times New Roman;serif" w:hAnsi="Times New Roman;serif"/>
          <w:b w:val="false"/>
          <w:strike/>
          <w:color w:val="FF0000"/>
          <w:sz w:val="22"/>
        </w:rPr>
        <w:t>,</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pPr>
      <w:r>
        <w:rPr>
          <w:rFonts w:ascii="Times New Roman;serif" w:hAnsi="Times New Roman;serif"/>
          <w:b w:val="false"/>
          <w:strike/>
          <w:color w:val="FF0000"/>
          <w:sz w:val="22"/>
        </w:rPr>
        <w:t>Name:</w:t>
      </w:r>
      <w:r>
        <w:rPr>
          <w:color w:val="000000"/>
        </w:rPr>
        <w:t>    </w:t>
      </w:r>
      <w:r>
        <w:rPr>
          <w:rFonts w:ascii="Times New Roman;serif" w:hAnsi="Times New Roman;serif"/>
          <w:b w:val="false"/>
          <w:strike/>
          <w:color w:val="FF0000"/>
          <w:sz w:val="22"/>
        </w:rPr>
        <w:t>Irv Roa</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Managing Director</w:t>
      </w:r>
    </w:p>
    <w:p>
      <w:pPr>
        <w:pStyle w:val="TextBody"/>
        <w:bidi w:val="0"/>
        <w:spacing w:before="0" w:after="0"/>
        <w:jc w:val="left"/>
        <w:rPr/>
      </w:pPr>
      <w:r>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6480175" cy="175260"/>
                <wp:effectExtent l="0" t="0" r="0" b="0"/>
                <wp:wrapNone/>
                <wp:docPr id="369" name="Frame3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008000"/>
          <w:sz w:val="22"/>
        </w:rPr>
        <w:t xml:space="preserve">U.S. </w:t>
      </w:r>
      <w:r>
        <w:rPr>
          <w:rFonts w:ascii="Times New Roman;serif" w:hAnsi="Times New Roman;serif"/>
          <w:b/>
          <w:strike/>
          <w:color w:val="FF0000"/>
          <w:sz w:val="22"/>
        </w:rPr>
        <w:t>BANK NATIONAL ASSOCIATION</w:t>
      </w:r>
      <w:r>
        <w:rPr>
          <w:rFonts w:ascii="Times New Roman;serif" w:hAnsi="Times New Roman;serif"/>
          <w:b w:val="false"/>
          <w:strike/>
          <w:color w:val="FF0000"/>
          <w:sz w:val="22"/>
        </w:rPr>
        <w:t>,</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Michael West</w:t>
      </w:r>
    </w:p>
    <w:p>
      <w:pPr>
        <w:pStyle w:val="TextBody"/>
        <w:bidi w:val="0"/>
        <w:spacing w:lineRule="auto" w:line="300" w:before="0" w:after="16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Senior Vice President</w:t>
      </w:r>
    </w:p>
    <w:p>
      <w:pPr>
        <w:pStyle w:val="TextBody"/>
        <w:bidi w:val="0"/>
        <w:spacing w:before="0" w:after="0"/>
        <w:jc w:val="left"/>
        <w:rPr/>
      </w:pPr>
      <w:r>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6480175" cy="175260"/>
                <wp:effectExtent l="0" t="0" r="0" b="0"/>
                <wp:wrapNone/>
                <wp:docPr id="370" name="Frame3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strike/>
          <w:color w:val="008000"/>
          <w:sz w:val="22"/>
        </w:rPr>
        <w:t xml:space="preserve">Wells Fargo </w:t>
      </w:r>
      <w:r>
        <w:rPr>
          <w:rFonts w:ascii="Times New Roman;serif" w:hAnsi="Times New Roman;serif"/>
          <w:b/>
          <w:strike/>
          <w:color w:val="FF0000"/>
          <w:sz w:val="22"/>
        </w:rPr>
        <w:t>Bank, N.A.</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as a Revolving Credit Lender and an L/C Issuer</w:t>
      </w:r>
    </w:p>
    <w:p>
      <w:pPr>
        <w:pStyle w:val="TextBody"/>
        <w:bidi w:val="0"/>
        <w:spacing w:lineRule="auto" w:line="288" w:before="0" w:after="0"/>
        <w:jc w:val="left"/>
        <w:rPr/>
      </w:pPr>
      <w:r>
        <w:rPr>
          <w:rFonts w:ascii="Times New Roman;serif" w:hAnsi="Times New Roman;serif"/>
          <w:b w:val="false"/>
          <w:strike/>
          <w:color w:val="FF0000"/>
          <w:sz w:val="22"/>
        </w:rPr>
        <w:t xml:space="preserve">By: </w:t>
      </w:r>
      <w:r>
        <w:rPr>
          <w:color w:val="000000"/>
        </w:rPr>
        <w:t>    </w:t>
      </w:r>
      <w:r>
        <w:rPr>
          <w:color w:val="000000"/>
          <w:u w:val="single"/>
        </w:rPr>
        <w:t>    </w:t>
      </w:r>
    </w:p>
    <w:p>
      <w:pPr>
        <w:pStyle w:val="TextBody"/>
        <w:bidi w:val="0"/>
        <w:spacing w:lineRule="auto" w:line="288" w:before="0" w:after="0"/>
        <w:jc w:val="left"/>
        <w:rPr>
          <w:rFonts w:ascii="Times New Roman;serif" w:hAnsi="Times New Roman;serif"/>
          <w:b w:val="false"/>
          <w:strike/>
          <w:color w:val="FF0000"/>
          <w:sz w:val="22"/>
        </w:rPr>
      </w:pPr>
      <w:r>
        <w:rPr>
          <w:rFonts w:ascii="Times New Roman;serif" w:hAnsi="Times New Roman;serif"/>
          <w:b w:val="false"/>
          <w:strike/>
          <w:color w:val="FF0000"/>
          <w:sz w:val="22"/>
        </w:rPr>
        <w:t>Name: Andrea Chen</w:t>
      </w:r>
    </w:p>
    <w:p>
      <w:pPr>
        <w:pStyle w:val="TextBody"/>
        <w:bidi w:val="0"/>
        <w:spacing w:lineRule="auto" w:line="288" w:before="0" w:after="0"/>
        <w:jc w:val="left"/>
        <w:rPr/>
      </w:pPr>
      <w:r>
        <w:rPr>
          <w:rFonts w:ascii="Times New Roman;serif" w:hAnsi="Times New Roman;serif"/>
          <w:b w:val="false"/>
          <w:strike/>
          <w:color w:val="FF0000"/>
          <w:sz w:val="22"/>
        </w:rPr>
        <w:t>Title:</w:t>
      </w:r>
      <w:r>
        <w:rPr>
          <w:color w:val="000000"/>
        </w:rPr>
        <w:t>    </w:t>
      </w:r>
      <w:r>
        <w:rPr>
          <w:rFonts w:ascii="Times New Roman;serif" w:hAnsi="Times New Roman;serif"/>
          <w:b w:val="false"/>
          <w:strike/>
          <w:color w:val="FF0000"/>
          <w:sz w:val="22"/>
        </w:rPr>
        <w:t>Managing Director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6480175" cy="175260"/>
                <wp:effectExtent l="0" t="0" r="0" b="0"/>
                <wp:wrapNone/>
                <wp:docPr id="371" name="Frame3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ind w:left="0" w:right="0" w:hanging="360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ANNEX B</w:t>
      </w:r>
    </w:p>
    <w:p>
      <w:pPr>
        <w:pStyle w:val="TextBody"/>
        <w:bidi w:val="0"/>
        <w:spacing w:before="0" w:after="0"/>
        <w:ind w:left="0" w:right="0" w:hanging="360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C (COMPLIANCE CERTIFICATE) AND EXHIBIT D-1 (ASSIGNMENT AND ASSUMPTION) AND TO CREDIT AGREEMENT</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2"/>
        </w:rPr>
        <w:t>[</w:t>
      </w:r>
      <w:r>
        <w:rPr>
          <w:rFonts w:ascii="Times New Roman;serif" w:hAnsi="Times New Roman;serif"/>
          <w:b w:val="false"/>
          <w:i/>
          <w:color w:val="000000"/>
          <w:sz w:val="22"/>
        </w:rPr>
        <w:t>See attached</w:t>
      </w:r>
      <w:r>
        <w:rPr>
          <w:rFonts w:ascii="Times New Roman;serif" w:hAnsi="Times New Roman;serif"/>
          <w:b w:val="false"/>
          <w:color w:val="000000"/>
          <w:sz w:val="22"/>
        </w:rPr>
        <w:t>].</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6480175" cy="175260"/>
                <wp:effectExtent l="0" t="0" r="0" b="0"/>
                <wp:wrapNone/>
                <wp:docPr id="372" name="Frame3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right"/>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235" w:after="283"/>
        <w:jc w:val="center"/>
        <w:rPr/>
      </w:pPr>
      <w:r>
        <w:rPr>
          <w:rFonts w:ascii="Times New Roman;serif" w:hAnsi="Times New Roman;serif"/>
          <w:b/>
          <w:color w:val="000000"/>
          <w:sz w:val="24"/>
        </w:rPr>
        <w:t>FORM OF COMPLIANCE CERTIFICATE</w:t>
      </w:r>
      <w:hyperlink w:anchor="i3ded4e6fee5848e0851cef8a13756b7e_63">
        <w:r>
          <w:rPr>
            <w:rStyle w:val="InternetLink"/>
            <w:rFonts w:ascii="Times New Roman;serif" w:hAnsi="Times New Roman;serif"/>
            <w:b/>
            <w:strike w:val="false"/>
            <w:dstrike w:val="false"/>
            <w:color w:val="000000"/>
            <w:sz w:val="16"/>
            <w:u w:val="none"/>
            <w:effect w:val="none"/>
          </w:rPr>
          <w:t>1</w:t>
        </w:r>
      </w:hyperlink>
    </w:p>
    <w:p>
      <w:pPr>
        <w:pStyle w:val="TextBody"/>
        <w:bidi w:val="0"/>
        <w:spacing w:lineRule="auto" w:line="592" w:before="6" w:after="283"/>
        <w:ind w:left="0" w:right="0" w:firstLine="6146"/>
        <w:jc w:val="left"/>
        <w:rPr/>
      </w:pPr>
      <w:r>
        <w:rPr>
          <w:rFonts w:ascii="Times New Roman;serif" w:hAnsi="Times New Roman;serif"/>
          <w:b w:val="false"/>
          <w:color w:val="000000"/>
          <w:sz w:val="24"/>
        </w:rPr>
        <w:t xml:space="preserve">Financial Statement Date: </w:t>
      </w:r>
      <w:r>
        <w:rPr>
          <w:color w:val="000000"/>
          <w:u w:val="single"/>
        </w:rPr>
        <w:t>    </w:t>
      </w:r>
      <w:r>
        <w:rPr>
          <w:rFonts w:ascii="Times New Roman;serif" w:hAnsi="Times New Roman;serif"/>
          <w:b w:val="false"/>
          <w:color w:val="000000"/>
          <w:sz w:val="24"/>
        </w:rPr>
        <w:t>, To: Morgan Stanley Senior Funding, Inc., as Administrative Agent</w:t>
      </w:r>
    </w:p>
    <w:p>
      <w:pPr>
        <w:pStyle w:val="TextBody"/>
        <w:bidi w:val="0"/>
        <w:spacing w:lineRule="auto" w:line="288" w:before="6" w:after="283"/>
        <w:jc w:val="left"/>
        <w:rPr>
          <w:rFonts w:ascii="Times New Roman;serif" w:hAnsi="Times New Roman;serif"/>
          <w:b w:val="false"/>
          <w:color w:val="000000"/>
          <w:sz w:val="24"/>
        </w:rPr>
      </w:pPr>
      <w:r>
        <w:rPr>
          <w:rFonts w:ascii="Times New Roman;serif" w:hAnsi="Times New Roman;serif"/>
          <w:b w:val="false"/>
          <w:color w:val="000000"/>
          <w:sz w:val="24"/>
        </w:rPr>
        <w:t>1300 Thames Street, 4th Floor Thames Street Wharf Baltimore, MD, 21231</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Telephone: (917) 260-0588 AGENCY.BORROWERS@morganstanley.com</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Ladies and Gentlemen:</w:t>
      </w:r>
    </w:p>
    <w:p>
      <w:pPr>
        <w:pStyle w:val="TextBody"/>
        <w:bidi w:val="0"/>
        <w:spacing w:lineRule="auto" w:line="288" w:before="240" w:after="283"/>
        <w:ind w:left="0" w:right="0" w:firstLine="720"/>
        <w:jc w:val="both"/>
        <w:rPr/>
      </w:pPr>
      <w:r>
        <w:rPr>
          <w:rFonts w:ascii="Times New Roman;serif" w:hAnsi="Times New Roman;serif"/>
          <w:b w:val="false"/>
          <w:color w:val="000000"/>
          <w:sz w:val="24"/>
        </w:rPr>
        <w:t>Reference is made to that certain First Lien Credit Agreement, dated as of March 31, 2022 (as amended, amended and restated, supplemented or otherwise modified from time to time, the “</w:t>
      </w:r>
      <w:r>
        <w:rPr>
          <w:rFonts w:ascii="Times New Roman;serif" w:hAnsi="Times New Roman;serif"/>
          <w:b/>
          <w:color w:val="000000"/>
          <w:sz w:val="24"/>
        </w:rPr>
        <w:t>Credit Agreement</w:t>
      </w:r>
      <w:r>
        <w:rPr>
          <w:color w:val="000000"/>
        </w:rPr>
        <w:t>”</w:t>
      </w:r>
      <w:r>
        <w:rPr>
          <w:rFonts w:ascii="Times New Roman;serif" w:hAnsi="Times New Roman;serif"/>
          <w:b w:val="false"/>
          <w:color w:val="000000"/>
          <w:sz w:val="24"/>
        </w:rPr>
        <w:t>), among Embecta Corp., a Delaware corporation (the “</w:t>
      </w:r>
      <w:r>
        <w:rPr>
          <w:rFonts w:ascii="Times New Roman;serif" w:hAnsi="Times New Roman;serif"/>
          <w:b/>
          <w:color w:val="000000"/>
          <w:sz w:val="24"/>
        </w:rPr>
        <w:t>Company</w:t>
      </w:r>
      <w:r>
        <w:rPr>
          <w:color w:val="000000"/>
        </w:rPr>
        <w:t>”</w:t>
      </w:r>
      <w:r>
        <w:rPr>
          <w:rFonts w:ascii="Times New Roman;serif" w:hAnsi="Times New Roman;serif"/>
          <w:b w:val="false"/>
          <w:color w:val="000000"/>
          <w:sz w:val="24"/>
        </w:rPr>
        <w:t>), each lender from time to time party thereto, each L/C Issuer party thereto, and Morgan Stanley Senior Funding, Inc., as Administrative Agent, Collateral Agent and an L/C Issuer. Terms used herein and not otherwise defined shall have the meaning assigned thereto in the Credit Agreement.</w:t>
      </w:r>
    </w:p>
    <w:p>
      <w:pPr>
        <w:pStyle w:val="TextBody"/>
        <w:bidi w:val="0"/>
        <w:spacing w:lineRule="auto" w:line="288" w:before="240" w:after="283"/>
        <w:ind w:left="0" w:right="0" w:firstLine="720"/>
        <w:jc w:val="both"/>
        <w:rPr/>
      </w:pPr>
      <w:r>
        <w:rPr>
          <w:rFonts w:ascii="Times New Roman;serif" w:hAnsi="Times New Roman;serif"/>
          <w:b w:val="false"/>
          <w:color w:val="000000"/>
          <w:sz w:val="24"/>
        </w:rPr>
        <w:t>The undersigned Responsible Officer hereby certifies as of the date hereof that he/she is the [</w:t>
      </w:r>
      <w:r>
        <w:rPr>
          <w:color w:val="000000"/>
          <w:u w:val="single"/>
        </w:rPr>
        <w:t>    </w:t>
      </w:r>
      <w:r>
        <w:rPr>
          <w:rFonts w:ascii="Times New Roman;serif" w:hAnsi="Times New Roman;serif"/>
          <w:b w:val="false"/>
          <w:color w:val="000000"/>
          <w:sz w:val="24"/>
        </w:rPr>
        <w:t>] of the Company, and that, as such, he/she is authorized to execute and deliver this compliance certificate (this “</w:t>
      </w:r>
      <w:r>
        <w:rPr>
          <w:rFonts w:ascii="Times New Roman;serif" w:hAnsi="Times New Roman;serif"/>
          <w:b/>
          <w:color w:val="000000"/>
          <w:sz w:val="24"/>
        </w:rPr>
        <w:t>Certificate</w:t>
      </w:r>
      <w:r>
        <w:rPr>
          <w:color w:val="000000"/>
        </w:rPr>
        <w:t>”</w:t>
      </w:r>
      <w:r>
        <w:rPr>
          <w:rFonts w:ascii="Times New Roman;serif" w:hAnsi="Times New Roman;serif"/>
          <w:b w:val="false"/>
          <w:color w:val="000000"/>
          <w:sz w:val="24"/>
        </w:rPr>
        <w:t>) to the Administrative Agent on the behalf of the Company, and that:</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Use following paragraph 1 for fiscal year-end financial statements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1.    Attached hereto as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are the year-end audited consolidated balance sheet of the Company and its Subsidiaries and the related consolidated statements of income or operations, shareholders’ equity and cash flows required by </w:t>
      </w:r>
      <w:r>
        <w:rPr>
          <w:rFonts w:ascii="Times New Roman;serif" w:hAnsi="Times New Roman;serif"/>
          <w:b w:val="false"/>
          <w:color w:val="000000"/>
          <w:sz w:val="24"/>
          <w:u w:val="single"/>
        </w:rPr>
        <w:t>Section 6.01(a)</w:t>
      </w:r>
      <w:r>
        <w:rPr>
          <w:color w:val="000000"/>
        </w:rPr>
        <w:t xml:space="preserve"> </w:t>
      </w:r>
      <w:r>
        <w:rPr>
          <w:rFonts w:ascii="Times New Roman;serif" w:hAnsi="Times New Roman;serif"/>
          <w:b w:val="false"/>
          <w:color w:val="000000"/>
          <w:sz w:val="24"/>
        </w:rPr>
        <w:t>of the Credit Agreement for the fiscal year of the Company ended as of the above date[, in comparative form the figures for the previous fiscal year,]</w:t>
      </w:r>
      <w:hyperlink w:anchor="i3ded4e6fee5848e0851cef8a13756b7e_63">
        <w:r>
          <w:rPr>
            <w:rStyle w:val="InternetLink"/>
            <w:rFonts w:ascii="Times New Roman;serif" w:hAnsi="Times New Roman;serif"/>
            <w:b w:val="false"/>
            <w:strike w:val="false"/>
            <w:dstrike w:val="false"/>
            <w:color w:val="000000"/>
            <w:sz w:val="16"/>
            <w:u w:val="none"/>
            <w:effect w:val="none"/>
          </w:rPr>
          <w:t>2</w:t>
        </w:r>
      </w:hyperlink>
      <w:r>
        <w:rPr>
          <w:color w:val="000000"/>
        </w:rPr>
        <w:t xml:space="preserve"> </w:t>
      </w:r>
      <w:r>
        <w:rPr>
          <w:rFonts w:ascii="Times New Roman;serif" w:hAnsi="Times New Roman;serif"/>
          <w:b w:val="false"/>
          <w:color w:val="000000"/>
          <w:sz w:val="24"/>
        </w:rPr>
        <w:t>together with the report and opinion of an independent certified public accountant required by Section 6.01(a) of the Credit Agreement.</w:t>
      </w:r>
    </w:p>
    <w:p>
      <w:pPr>
        <w:pStyle w:val="TextBody"/>
        <w:bidi w:val="0"/>
        <w:spacing w:before="240" w:after="283"/>
        <w:jc w:val="center"/>
        <w:rPr/>
      </w:pPr>
      <w:r>
        <w:rPr/>
      </w:r>
    </w:p>
    <w:p>
      <w:pPr>
        <w:pStyle w:val="TextBody"/>
        <w:bidi w:val="0"/>
        <w:spacing w:before="3" w:after="283"/>
        <w:jc w:val="left"/>
        <w:rPr/>
      </w:pPr>
      <w:r>
        <w:rPr/>
        <w:drawing>
          <wp:inline distT="0" distB="0" distL="0" distR="0">
            <wp:extent cx="1828800" cy="14605"/>
            <wp:effectExtent l="0" t="0" r="0" b="0"/>
            <wp:docPr id="37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Image4" descr=""/>
                    <pic:cNvPicPr>
                      <a:picLocks noChangeAspect="1" noChangeArrowheads="1"/>
                    </pic:cNvPicPr>
                  </pic:nvPicPr>
                  <pic:blipFill>
                    <a:blip r:embed="rId5"/>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ind w:left="0" w:right="0" w:hanging="1"/>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To be delivered within 5 Business Days after delivery of quarterly and annual financials, which are due: (a) within 125 days at the end of each fiscal year (or 150 days after the fiscal year ending September 30, 2022) (or if such day is not a Business Day, on the next succeeding Business Day) for annual financials and (b) within 65 days at the end of each of the first three fiscal quarters (or 75 days with respect to the first three fiscal quarters ending after the Closing Date) (or if such day is not a Business Day, on the next succeeding Business Day) for quarterly financials.</w:t>
      </w:r>
    </w:p>
    <w:p>
      <w:pPr>
        <w:pStyle w:val="TextBody"/>
        <w:bidi w:val="0"/>
        <w:spacing w:lineRule="atLeast" w:line="230" w:before="0" w:after="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Comparative figures to be included starting with the fiscal year ending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6480175" cy="175260"/>
                <wp:effectExtent l="0" t="0" r="0" b="0"/>
                <wp:wrapNone/>
                <wp:docPr id="374" name="Frame3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Use following paragraph 1 for fiscal quarter-end financial statements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1.    Attached hereto as </w:t>
      </w:r>
      <w:r>
        <w:rPr>
          <w:rFonts w:ascii="Times New Roman;serif" w:hAnsi="Times New Roman;serif"/>
          <w:b w:val="false"/>
          <w:color w:val="000000"/>
          <w:sz w:val="24"/>
          <w:u w:val="single"/>
        </w:rPr>
        <w:t>Schedule 1</w:t>
      </w:r>
      <w:r>
        <w:rPr>
          <w:color w:val="000000"/>
        </w:rPr>
        <w:t xml:space="preserve"> </w:t>
      </w:r>
      <w:r>
        <w:rPr>
          <w:rFonts w:ascii="Times New Roman;serif" w:hAnsi="Times New Roman;serif"/>
          <w:b w:val="false"/>
          <w:color w:val="000000"/>
          <w:sz w:val="24"/>
        </w:rPr>
        <w:t xml:space="preserve">are the unaudited consolidated balance sheet of the Company and its Subsidiaries and the related consolidated statements of income or operations and cash flows required by </w:t>
      </w:r>
      <w:r>
        <w:rPr>
          <w:rFonts w:ascii="Times New Roman;serif" w:hAnsi="Times New Roman;serif"/>
          <w:b w:val="false"/>
          <w:color w:val="000000"/>
          <w:sz w:val="24"/>
          <w:u w:val="single"/>
        </w:rPr>
        <w:t>Section 6.01(b)</w:t>
      </w:r>
      <w:r>
        <w:rPr>
          <w:color w:val="000000"/>
        </w:rPr>
        <w:t xml:space="preserve"> </w:t>
      </w:r>
      <w:r>
        <w:rPr>
          <w:rFonts w:ascii="Times New Roman;serif" w:hAnsi="Times New Roman;serif"/>
          <w:b w:val="false"/>
          <w:color w:val="000000"/>
          <w:sz w:val="24"/>
        </w:rPr>
        <w:t>of the Credit Agreement for the fiscal quarter and for the portion of the fiscal year of the Company ended as of the above date[, in comparative form the figures for the corresponding fiscal quarter of the previous fiscal year and the corresponding portion of the previous fiscal year]</w:t>
      </w:r>
      <w:hyperlink w:anchor="i3ded4e6fee5848e0851cef8a13756b7e_66">
        <w:r>
          <w:rPr>
            <w:rStyle w:val="InternetLink"/>
            <w:rFonts w:ascii="Times New Roman;serif" w:hAnsi="Times New Roman;serif"/>
            <w:b w:val="false"/>
            <w:strike w:val="false"/>
            <w:dstrike w:val="false"/>
            <w:color w:val="000000"/>
            <w:sz w:val="16"/>
            <w:u w:val="none"/>
            <w:effect w:val="none"/>
          </w:rPr>
          <w:t>3</w:t>
        </w:r>
      </w:hyperlink>
      <w:r>
        <w:rPr>
          <w:rFonts w:ascii="Times New Roman;serif" w:hAnsi="Times New Roman;serif"/>
          <w:b w:val="false"/>
          <w:color w:val="000000"/>
          <w:sz w:val="24"/>
        </w:rPr>
        <w:t>. Such financial statements fairly present in all material respects the financial condition, results of operations and cash flows of the Company and its Subsidiaries in accordance with GAAP as at such date and for such period, subject only to normal year-end audit adjustments and the absence of footnotes.</w:t>
      </w:r>
    </w:p>
    <w:p>
      <w:pPr>
        <w:pStyle w:val="TextBody"/>
        <w:bidi w:val="0"/>
        <w:spacing w:lineRule="auto" w:line="288" w:before="0" w:after="0"/>
        <w:ind w:left="0" w:right="0" w:firstLine="720"/>
        <w:jc w:val="both"/>
        <w:rPr/>
      </w:pPr>
      <w:r>
        <w:rPr>
          <w:rFonts w:ascii="Times New Roman;serif" w:hAnsi="Times New Roman;serif"/>
          <w:b w:val="false"/>
          <w:color w:val="000000"/>
          <w:sz w:val="24"/>
        </w:rPr>
        <w:t>2.    [The financial statements attached hereto as Schedule 1 include a presentation, either on the face of such financial statements or in the footnotes thereto, to reflect the adjustments which are necessary to eliminate the accounts of Unrestricted Subsidiaries from such financial statements.]</w:t>
      </w:r>
      <w:hyperlink w:anchor="i3ded4e6fee5848e0851cef8a13756b7e_66">
        <w:r>
          <w:rPr>
            <w:rStyle w:val="InternetLink"/>
            <w:rFonts w:ascii="Times New Roman;serif" w:hAnsi="Times New Roman;serif"/>
            <w:b w:val="false"/>
            <w:strike w:val="false"/>
            <w:dstrike w:val="false"/>
            <w:color w:val="000000"/>
            <w:sz w:val="16"/>
            <w:u w:val="none"/>
            <w:effect w:val="none"/>
          </w:rPr>
          <w:t>4</w:t>
        </w:r>
      </w:hyperlink>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The undersigned has reviewed and is familiar with the terms of the Credit Agreement and has made, or has caused to be made under his/her supervision, a review of the activities of the Company during such fiscal period.</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select one:</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4.    [No Default has occurred and is continuing.] --</w:t>
      </w:r>
      <w:r>
        <w:rPr>
          <w:rFonts w:ascii="Times New Roman;serif" w:hAnsi="Times New Roman;serif"/>
          <w:b w:val="false"/>
          <w:i/>
          <w:color w:val="000000"/>
          <w:sz w:val="24"/>
        </w:rPr>
        <w:t>or</w:t>
      </w:r>
      <w:r>
        <w:rPr>
          <w:color w:val="000000"/>
        </w:rPr>
        <w:t>—</w:t>
      </w:r>
      <w:r>
        <w:rPr>
          <w:rFonts w:ascii="Times New Roman;serif" w:hAnsi="Times New Roman;serif"/>
          <w:b w:val="false"/>
          <w:color w:val="000000"/>
          <w:sz w:val="24"/>
        </w:rPr>
        <w:t>[The following Defaults have occurred and are continuing:]</w:t>
      </w:r>
      <w:hyperlink w:anchor="i3ded4e6fee5848e0851cef8a13756b7e_66">
        <w:r>
          <w:rPr>
            <w:rStyle w:val="InternetLink"/>
            <w:rFonts w:ascii="Times New Roman;serif" w:hAnsi="Times New Roman;serif"/>
            <w:b w:val="false"/>
            <w:strike w:val="false"/>
            <w:dstrike w:val="false"/>
            <w:color w:val="000000"/>
            <w:sz w:val="16"/>
            <w:u w:val="none"/>
            <w:effect w:val="none"/>
          </w:rPr>
          <w:t>5</w:t>
        </w:r>
      </w:hyperlink>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5.    The Financial Covenant analyses and information set forth on </w:t>
      </w:r>
      <w:r>
        <w:rPr>
          <w:rFonts w:ascii="Times New Roman;serif" w:hAnsi="Times New Roman;serif"/>
          <w:b w:val="false"/>
          <w:color w:val="000000"/>
          <w:sz w:val="24"/>
          <w:u w:val="single"/>
        </w:rPr>
        <w:t>Schedule 2</w:t>
      </w:r>
      <w:r>
        <w:rPr>
          <w:color w:val="000000"/>
        </w:rPr>
        <w:t xml:space="preserve"> </w:t>
      </w:r>
      <w:r>
        <w:rPr>
          <w:rFonts w:ascii="Times New Roman;serif" w:hAnsi="Times New Roman;serif"/>
          <w:b w:val="false"/>
          <w:color w:val="000000"/>
          <w:sz w:val="24"/>
        </w:rPr>
        <w:t>attached hereto are true and accurate in all material respects on and as of the date of this Certificate.</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Use following paragraphs only with delivery in connection with fiscal year-end financial statements</w:t>
      </w:r>
      <w:r>
        <w:rPr>
          <w:rFonts w:ascii="Times New Roman;serif" w:hAnsi="Times New Roman;serif"/>
          <w:b w:val="false"/>
          <w:color w:val="000000"/>
          <w:sz w:val="24"/>
        </w:rPr>
        <w:t>]</w:t>
      </w:r>
    </w:p>
    <w:p>
      <w:pPr>
        <w:pStyle w:val="TextBody"/>
        <w:bidi w:val="0"/>
        <w:spacing w:lineRule="auto" w:line="288" w:before="0" w:after="0"/>
        <w:ind w:left="0" w:right="0" w:firstLine="720"/>
        <w:jc w:val="both"/>
        <w:rPr/>
      </w:pPr>
      <w:r>
        <w:rPr>
          <w:rFonts w:ascii="Times New Roman;serif" w:hAnsi="Times New Roman;serif"/>
          <w:b w:val="false"/>
          <w:color w:val="000000"/>
          <w:sz w:val="24"/>
        </w:rPr>
        <w:t>6.    [Attached hereto as Schedule 3 are all supplements to Schedule 5.12 to the Credit Agreement to the extent necessary so that the related representation and warranty would be true and correct if made as of the date of this Certificate.]</w:t>
      </w:r>
      <w:hyperlink w:anchor="i3ded4e6fee5848e0851cef8a13756b7e_66">
        <w:r>
          <w:rPr>
            <w:rStyle w:val="InternetLink"/>
            <w:rFonts w:ascii="Times New Roman;serif" w:hAnsi="Times New Roman;serif"/>
            <w:b w:val="false"/>
            <w:strike w:val="false"/>
            <w:dstrike w:val="false"/>
            <w:color w:val="000000"/>
            <w:sz w:val="16"/>
            <w:u w:val="none"/>
            <w:effect w:val="none"/>
          </w:rPr>
          <w:t>6</w:t>
        </w:r>
      </w:hyperlink>
    </w:p>
    <w:p>
      <w:pPr>
        <w:pStyle w:val="TextBody"/>
        <w:bidi w:val="0"/>
        <w:spacing w:lineRule="auto" w:line="288" w:before="0" w:after="0"/>
        <w:ind w:left="0" w:right="0" w:hanging="719"/>
        <w:jc w:val="left"/>
        <w:rPr/>
      </w:pPr>
      <w:r>
        <w:rPr>
          <w:rFonts w:ascii="Times New Roman;serif" w:hAnsi="Times New Roman;serif"/>
          <w:b w:val="false"/>
          <w:color w:val="000000"/>
          <w:sz w:val="24"/>
        </w:rPr>
        <w:t>7.    [select one:]</w:t>
      </w:r>
      <w:hyperlink w:anchor="i3ded4e6fee5848e0851cef8a13756b7e_66">
        <w:r>
          <w:rPr>
            <w:rStyle w:val="InternetLink"/>
            <w:rFonts w:ascii="Times New Roman;serif" w:hAnsi="Times New Roman;serif"/>
            <w:b w:val="false"/>
            <w:strike w:val="false"/>
            <w:dstrike w:val="false"/>
            <w:color w:val="000000"/>
            <w:sz w:val="16"/>
            <w:u w:val="none"/>
            <w:effect w:val="none"/>
          </w:rPr>
          <w:t>7</w:t>
        </w:r>
      </w:hyperlink>
    </w:p>
    <w:p>
      <w:pPr>
        <w:pStyle w:val="TextBody"/>
        <w:bidi w:val="0"/>
        <w:spacing w:lineRule="auto" w:line="288" w:before="240" w:after="283"/>
        <w:ind w:left="0" w:right="0" w:firstLine="720"/>
        <w:jc w:val="both"/>
        <w:rPr/>
      </w:pPr>
      <w:r>
        <w:rPr>
          <w:rFonts w:ascii="Times New Roman;serif" w:hAnsi="Times New Roman;serif"/>
          <w:b w:val="false"/>
          <w:color w:val="000000"/>
          <w:sz w:val="24"/>
        </w:rPr>
        <w:t xml:space="preserve">[Attached hereto as </w:t>
      </w:r>
      <w:r>
        <w:rPr>
          <w:rFonts w:ascii="Times New Roman;serif" w:hAnsi="Times New Roman;serif"/>
          <w:b w:val="false"/>
          <w:color w:val="000000"/>
          <w:sz w:val="24"/>
          <w:u w:val="single"/>
        </w:rPr>
        <w:t>Schedule [3][4]</w:t>
      </w:r>
      <w:r>
        <w:rPr>
          <w:color w:val="000000"/>
        </w:rPr>
        <w:t xml:space="preserve"> </w:t>
      </w:r>
      <w:r>
        <w:rPr>
          <w:rFonts w:ascii="Times New Roman;serif" w:hAnsi="Times New Roman;serif"/>
          <w:b w:val="false"/>
          <w:color w:val="000000"/>
          <w:sz w:val="24"/>
        </w:rPr>
        <w:t>are all supplements to Schedules I, II, III and IV of the Security Agreement to update such schedules that were delivered [at the Closing Date][as at the most recent periodic Compliance Certificate].]</w:t>
      </w:r>
    </w:p>
    <w:p>
      <w:pPr>
        <w:pStyle w:val="TextBody"/>
        <w:bidi w:val="0"/>
        <w:spacing w:lineRule="auto" w:line="288" w:before="240" w:after="283"/>
        <w:jc w:val="center"/>
        <w:rPr/>
      </w:pPr>
      <w:r>
        <w:rPr>
          <w:rFonts w:ascii="Times New Roman;serif" w:hAnsi="Times New Roman;serif"/>
          <w:b w:val="false"/>
          <w:color w:val="000000"/>
          <w:sz w:val="24"/>
        </w:rPr>
        <w:t>--</w:t>
      </w:r>
      <w:r>
        <w:rPr>
          <w:rFonts w:ascii="Times New Roman;serif" w:hAnsi="Times New Roman;serif"/>
          <w:b w:val="false"/>
          <w:i/>
          <w:color w:val="000000"/>
          <w:sz w:val="24"/>
        </w:rPr>
        <w:t>or</w:t>
      </w:r>
      <w:r>
        <w:rPr>
          <w:rFonts w:ascii="Times New Roman;serif" w:hAnsi="Times New Roman;serif"/>
          <w:b w:val="false"/>
          <w:color w:val="000000"/>
          <w:sz w:val="24"/>
        </w:rPr>
        <w:t>--</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[There have been no changes to Schedules I, II, III and IV of the Security Agreement that were delivered [at the Closing Date][as at the most recent periodic Compliance Certificate].]</w:t>
      </w:r>
    </w:p>
    <w:p>
      <w:pPr>
        <w:pStyle w:val="TextBody"/>
        <w:bidi w:val="0"/>
        <w:spacing w:before="0" w:after="0"/>
        <w:jc w:val="left"/>
        <w:rPr/>
      </w:pPr>
      <w:r>
        <w:rPr/>
      </w:r>
    </w:p>
    <w:p>
      <w:pPr>
        <w:pStyle w:val="TextBody"/>
        <w:bidi w:val="0"/>
        <w:spacing w:before="108" w:after="283"/>
        <w:jc w:val="left"/>
        <w:rPr/>
      </w:pPr>
      <w:r>
        <w:rPr/>
        <w:drawing>
          <wp:inline distT="0" distB="0" distL="0" distR="0">
            <wp:extent cx="1828800" cy="14605"/>
            <wp:effectExtent l="0" t="0" r="0" b="0"/>
            <wp:docPr id="37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 name="Image5" descr=""/>
                    <pic:cNvPicPr>
                      <a:picLocks noChangeAspect="1" noChangeArrowheads="1"/>
                    </pic:cNvPicPr>
                  </pic:nvPicPr>
                  <pic:blipFill>
                    <a:blip r:embed="rId6"/>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Comparative figures to be included starting with the fiscal quarter ending June 30, 2023.</w:t>
      </w:r>
    </w:p>
    <w:p>
      <w:pPr>
        <w:pStyle w:val="TextBody"/>
        <w:bidi w:val="0"/>
        <w:spacing w:lineRule="auto" w:line="288" w:before="1" w:after="283"/>
        <w:ind w:left="0" w:right="0" w:hanging="1"/>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To be included only if the Company has designated any of its Subsidiaries as an Unrestricted Subsidiary, and such Unrestricted Subsidiary would, if taken as a whole with all other Unrestricted Subsidiaries, constitute a Material Subsidiary. Such presentation need not be audited.</w:t>
      </w:r>
    </w:p>
    <w:p>
      <w:pPr>
        <w:pStyle w:val="TextBody"/>
        <w:bidi w:val="0"/>
        <w:spacing w:lineRule="atLeast" w:line="229" w:before="0" w:after="0"/>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Choose appropriate statement.</w:t>
      </w:r>
    </w:p>
    <w:p>
      <w:pPr>
        <w:pStyle w:val="TextBody"/>
        <w:bidi w:val="0"/>
        <w:spacing w:lineRule="auto" w:line="288" w:before="0" w:after="0"/>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To be included only at the time of delivery of the annual financial statements.</w:t>
      </w:r>
    </w:p>
    <w:p>
      <w:pPr>
        <w:pStyle w:val="TextBody"/>
        <w:bidi w:val="0"/>
        <w:spacing w:lineRule="auto" w:line="288" w:before="1" w:after="283"/>
        <w:jc w:val="both"/>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To be delivered only at the time of delivery of the annual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6480175" cy="175260"/>
                <wp:effectExtent l="0" t="0" r="0" b="0"/>
                <wp:wrapNone/>
                <wp:docPr id="376" name="Frame3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71" w:after="283"/>
        <w:jc w:val="left"/>
        <w:rPr/>
      </w:pPr>
      <w:r>
        <w:rPr>
          <w:rFonts w:ascii="Times New Roman;serif" w:hAnsi="Times New Roman;serif"/>
          <w:b w:val="false"/>
          <w:i/>
          <w:color w:val="000000"/>
          <w:sz w:val="24"/>
        </w:rPr>
        <w:t>IN WITNESS WHEREOF</w:t>
      </w:r>
      <w:r>
        <w:rPr>
          <w:rFonts w:ascii="Times New Roman;serif" w:hAnsi="Times New Roman;serif"/>
          <w:b w:val="false"/>
          <w:color w:val="000000"/>
          <w:sz w:val="24"/>
        </w:rPr>
        <w:t>, the undersigned has executed this Certificate as of</w:t>
      </w:r>
    </w:p>
    <w:p>
      <w:pPr>
        <w:pStyle w:val="TextBody"/>
        <w:bidi w:val="0"/>
        <w:spacing w:lineRule="auto" w:line="288" w:before="0" w:after="0"/>
        <w:jc w:val="left"/>
        <w:rPr/>
      </w:pPr>
      <w:r>
        <w:rPr>
          <w:color w:val="000000"/>
          <w:u w:val="single"/>
        </w:rPr>
        <w:t>    </w:t>
      </w:r>
      <w:r>
        <w:rPr>
          <w:rFonts w:ascii="Times New Roman;serif" w:hAnsi="Times New Roman;serif"/>
          <w:b w:val="false"/>
          <w:color w:val="000000"/>
          <w:sz w:val="24"/>
        </w:rPr>
        <w:t xml:space="preserve">, </w:t>
      </w:r>
      <w:r>
        <w:rPr>
          <w:color w:val="000000"/>
          <w:u w:val="single"/>
        </w:rPr>
        <w:t>    </w:t>
      </w:r>
      <w:r>
        <w:rPr>
          <w:rFonts w:ascii="Times New Roman;serif" w:hAnsi="Times New Roman;serif"/>
          <w:b w:val="false"/>
          <w:color w:val="000000"/>
          <w:sz w:val="24"/>
        </w:rPr>
        <w:t>.</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EMBECTA CORP.</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 xml:space="preserve">Name: </w:t>
      </w:r>
      <w:r>
        <w:rPr>
          <w:color w:val="000000"/>
          <w:u w:val="single"/>
        </w:rPr>
        <w:t>    </w:t>
      </w:r>
      <w:r>
        <w:rPr>
          <w:color w:val="000000"/>
        </w:rPr>
        <w:t xml:space="preserve"> </w:t>
      </w:r>
      <w:r>
        <w:rPr>
          <w:rFonts w:ascii="Times New Roman;serif" w:hAnsi="Times New Roman;serif"/>
          <w:b w:val="false"/>
          <w:color w:val="000000"/>
          <w:sz w:val="24"/>
        </w:rPr>
        <w:t xml:space="preserve">Title: </w:t>
      </w:r>
      <w:r>
        <w:rPr>
          <w:color w:val="000000"/>
          <w:u w:val="singl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6480175" cy="175260"/>
                <wp:effectExtent l="0" t="0" r="0" b="0"/>
                <wp:wrapNone/>
                <wp:docPr id="377" name="Frame3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pPr>
      <w:r>
        <w:rPr>
          <w:rFonts w:ascii="Times New Roman;serif" w:hAnsi="Times New Roman;serif"/>
          <w:b w:val="false"/>
          <w:color w:val="000000"/>
          <w:sz w:val="24"/>
        </w:rPr>
        <w:t xml:space="preserve">For the Quarter/Year ended </w:t>
      </w:r>
      <w:r>
        <w:rPr>
          <w:color w:val="000000"/>
          <w:u w:val="single"/>
        </w:rPr>
        <w:t>    </w:t>
      </w:r>
      <w:r>
        <w:rPr>
          <w:color w:val="000000"/>
        </w:rPr>
        <w:t xml:space="preserve"> </w:t>
      </w:r>
      <w:r>
        <w:rPr>
          <w:rFonts w:ascii="Times New Roman;serif" w:hAnsi="Times New Roman;serif"/>
          <w:b w:val="false"/>
          <w:color w:val="000000"/>
          <w:sz w:val="24"/>
        </w:rPr>
        <w:t>(“</w:t>
      </w:r>
      <w:r>
        <w:rPr>
          <w:rFonts w:ascii="Times New Roman;serif" w:hAnsi="Times New Roman;serif"/>
          <w:b/>
          <w:i/>
          <w:color w:val="000000"/>
          <w:sz w:val="24"/>
        </w:rPr>
        <w:t>Statement Date</w:t>
      </w:r>
      <w:r>
        <w:rPr>
          <w:color w:val="000000"/>
        </w:rPr>
        <w:t>”</w:t>
      </w:r>
      <w:r>
        <w:rPr>
          <w:rFonts w:ascii="Times New Roman;serif" w:hAnsi="Times New Roman;serif"/>
          <w:b w:val="false"/>
          <w:color w:val="000000"/>
          <w:sz w:val="24"/>
        </w:rPr>
        <w:t>)</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SCHEDULE 2</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the Compliance Certificate ($ in 000’s)</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I.    Section 7.08(a) - Consolidated First Lien Net Leverage Ratio.</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    Consolidated EBITDA</w:t>
      </w:r>
    </w:p>
    <w:p>
      <w:pPr>
        <w:pStyle w:val="TextBody"/>
        <w:bidi w:val="0"/>
        <w:spacing w:lineRule="auto" w:line="288" w:before="0" w:after="0"/>
        <w:ind w:left="0" w:right="0" w:hanging="720"/>
        <w:jc w:val="both"/>
        <w:rPr/>
      </w:pPr>
      <w:r>
        <w:rPr>
          <w:rFonts w:ascii="Times New Roman;serif" w:hAnsi="Times New Roman;serif"/>
          <w:b w:val="false"/>
          <w:color w:val="000000"/>
          <w:sz w:val="24"/>
        </w:rPr>
        <w:t>1.    Consolidated Net Income    $</w:t>
      </w:r>
      <w:r>
        <w:rPr>
          <w:color w:val="000000"/>
          <w:u w:val="single"/>
        </w:rPr>
        <w:t xml:space="preserve"> </w:t>
      </w:r>
    </w:p>
    <w:p>
      <w:pPr>
        <w:pStyle w:val="TextBody"/>
        <w:bidi w:val="0"/>
        <w:spacing w:lineRule="auto" w:line="288" w:before="0" w:after="0"/>
        <w:ind w:left="0" w:right="0" w:hanging="720"/>
        <w:jc w:val="both"/>
        <w:rPr/>
      </w:pPr>
      <w:r>
        <w:rPr>
          <w:rFonts w:ascii="Times New Roman;serif" w:hAnsi="Times New Roman;serif"/>
          <w:b w:val="false"/>
          <w:color w:val="000000"/>
          <w:sz w:val="24"/>
        </w:rPr>
        <w:t>2.    </w:t>
      </w:r>
      <w:r>
        <w:rPr>
          <w:rFonts w:ascii="Times New Roman;serif" w:hAnsi="Times New Roman;serif"/>
          <w:b w:val="false"/>
          <w:i/>
          <w:color w:val="000000"/>
          <w:sz w:val="24"/>
        </w:rPr>
        <w:t>increased</w:t>
      </w:r>
      <w:r>
        <w:rPr>
          <w:rFonts w:ascii="Times New Roman;serif" w:hAnsi="Times New Roman;serif"/>
          <w:b w:val="false"/>
          <w:color w:val="000000"/>
          <w:sz w:val="24"/>
        </w:rPr>
        <w:t>, (without duplication) by:</w:t>
      </w:r>
    </w:p>
    <w:p>
      <w:pPr>
        <w:pStyle w:val="TextBody"/>
        <w:bidi w:val="0"/>
        <w:spacing w:lineRule="auto" w:line="288" w:before="0" w:after="0"/>
        <w:ind w:left="0" w:right="0" w:hanging="719"/>
        <w:jc w:val="both"/>
        <w:rPr/>
      </w:pPr>
      <w:r>
        <w:rPr>
          <w:rFonts w:ascii="Times New Roman;serif" w:hAnsi="Times New Roman;serif"/>
          <w:b w:val="false"/>
          <w:color w:val="000000"/>
          <w:sz w:val="24"/>
        </w:rPr>
        <w:t>a.    Fixed Charges</w:t>
      </w:r>
      <w:hyperlink w:anchor="i3ded4e6fee5848e0851cef8a13756b7e_72">
        <w:r>
          <w:rPr>
            <w:rStyle w:val="InternetLink"/>
            <w:rFonts w:ascii="Times New Roman;serif" w:hAnsi="Times New Roman;serif"/>
            <w:b w:val="false"/>
            <w:strike w:val="false"/>
            <w:dstrike w:val="false"/>
            <w:color w:val="000000"/>
            <w:sz w:val="16"/>
            <w:u w:val="none"/>
            <w:effect w:val="none"/>
          </w:rPr>
          <w:t>8</w:t>
        </w:r>
      </w:hyperlink>
      <w:r>
        <w:rPr>
          <w:color w:val="000000"/>
        </w:rPr>
        <w:t xml:space="preserve"> </w:t>
      </w:r>
      <w:r>
        <w:rPr>
          <w:rFonts w:ascii="Times New Roman;serif" w:hAnsi="Times New Roman;serif"/>
          <w:b w:val="false"/>
          <w:color w:val="000000"/>
          <w:sz w:val="24"/>
        </w:rPr>
        <w:t>of such Person for such period (including</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(w)    non-cash rent expense and the implied interest component of synthetic leases with respect to such period,</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(x)    net payments and losses or any obligations on any Swap Obligations or other derivative instruments, (y)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w:t>
      </w:r>
    </w:p>
    <w:p>
      <w:pPr>
        <w:pStyle w:val="TextBody"/>
        <w:bidi w:val="0"/>
        <w:spacing w:lineRule="auto" w:line="288" w:before="0" w:after="0"/>
        <w:jc w:val="both"/>
        <w:rPr/>
      </w:pPr>
      <w:r>
        <w:rPr>
          <w:rFonts w:ascii="Times New Roman;serif" w:hAnsi="Times New Roman;serif"/>
          <w:b w:val="false"/>
          <w:color w:val="000000"/>
          <w:sz w:val="24"/>
        </w:rPr>
        <w:t xml:space="preserve">Net Income;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b.    (x)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state taxes in lieu of business fees (including business license fees), payroll tax credits, income tax credits and similar credits, and similar taxes of such Person paid or accrued during such period (including in respect of repatriated funds), (y) any distributions made to a direct or indirect parent of the Company with respect to the foregoing and (z) the net tax expense associated with any adjustments made pursuant to the definition of “Consolidated Net Income” in each case, to the extent deducted (and not added</w:t>
      </w:r>
    </w:p>
    <w:p>
      <w:pPr>
        <w:pStyle w:val="TextBody"/>
        <w:bidi w:val="0"/>
        <w:spacing w:lineRule="auto" w:line="288" w:before="1" w:after="283"/>
        <w:jc w:val="both"/>
        <w:rPr/>
      </w:pPr>
      <w:r>
        <w:rPr>
          <w:rFonts w:ascii="Times New Roman;serif" w:hAnsi="Times New Roman;serif"/>
          <w:b w:val="false"/>
          <w:color w:val="000000"/>
          <w:sz w:val="24"/>
        </w:rPr>
        <w:t xml:space="preserve">back) in computing Consolidated Net Income;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before="0" w:after="0"/>
        <w:jc w:val="left"/>
        <w:rPr/>
      </w:pPr>
      <w:r>
        <w:rPr/>
      </w:r>
    </w:p>
    <w:p>
      <w:pPr>
        <w:pStyle w:val="TextBody"/>
        <w:bidi w:val="0"/>
        <w:spacing w:before="0" w:after="0"/>
        <w:jc w:val="left"/>
        <w:rPr/>
      </w:pPr>
      <w:r>
        <w:rPr/>
      </w:r>
    </w:p>
    <w:p>
      <w:pPr>
        <w:pStyle w:val="TextBody"/>
        <w:bidi w:val="0"/>
        <w:spacing w:before="54" w:after="283"/>
        <w:jc w:val="left"/>
        <w:rPr/>
      </w:pPr>
      <w:r>
        <w:rPr/>
        <w:drawing>
          <wp:inline distT="0" distB="0" distL="0" distR="0">
            <wp:extent cx="1828800" cy="14605"/>
            <wp:effectExtent l="0" t="0" r="0" b="0"/>
            <wp:docPr id="37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Image6" descr=""/>
                    <pic:cNvPicPr>
                      <a:picLocks noChangeAspect="1" noChangeArrowheads="1"/>
                    </pic:cNvPicPr>
                  </pic:nvPicPr>
                  <pic:blipFill>
                    <a:blip r:embed="rId7"/>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ind w:left="0" w:right="0" w:hanging="1"/>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with respect to any Person for any period, the sum of (without duplication) (1) Consolidated Interest Expense of such Person for such period, (2) [reserved] and (3)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480175" cy="175260"/>
                <wp:effectExtent l="0" t="0" r="0" b="0"/>
                <wp:wrapNone/>
                <wp:docPr id="379" name="Frame3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99" w:after="283"/>
        <w:ind w:left="0" w:right="0" w:hanging="720"/>
        <w:jc w:val="both"/>
        <w:rPr/>
      </w:pPr>
      <w:r>
        <w:rPr>
          <w:rFonts w:ascii="Times New Roman;serif" w:hAnsi="Times New Roman;serif"/>
          <w:b w:val="false"/>
          <w:color w:val="000000"/>
          <w:sz w:val="24"/>
        </w:rPr>
        <w:t>c.    Consolidated Depreciation and Amortization Expense</w:t>
      </w:r>
      <w:hyperlink w:anchor="i3ded4e6fee5848e0851cef8a13756b7e_75">
        <w:r>
          <w:rPr>
            <w:rStyle w:val="InternetLink"/>
            <w:rFonts w:ascii="Times New Roman;serif" w:hAnsi="Times New Roman;serif"/>
            <w:b w:val="false"/>
            <w:strike w:val="false"/>
            <w:dstrike w:val="false"/>
            <w:color w:val="000000"/>
            <w:sz w:val="16"/>
            <w:u w:val="none"/>
            <w:effect w:val="none"/>
          </w:rPr>
          <w:t>9</w:t>
        </w:r>
      </w:hyperlink>
      <w:r>
        <w:rPr>
          <w:color w:val="000000"/>
        </w:rPr>
        <w:t xml:space="preserve"> </w:t>
      </w:r>
      <w:r>
        <w:rPr>
          <w:rFonts w:ascii="Times New Roman;serif" w:hAnsi="Times New Roman;serif"/>
          <w:b w:val="false"/>
          <w:color w:val="000000"/>
          <w:sz w:val="24"/>
        </w:rPr>
        <w:t>of such Person for such period to the extent deducted (and not</w:t>
      </w:r>
    </w:p>
    <w:p>
      <w:pPr>
        <w:pStyle w:val="TextBody"/>
        <w:bidi w:val="0"/>
        <w:spacing w:lineRule="auto" w:line="288" w:before="0" w:after="0"/>
        <w:jc w:val="both"/>
        <w:rPr/>
      </w:pPr>
      <w:r>
        <w:rPr>
          <w:rFonts w:ascii="Times New Roman;serif" w:hAnsi="Times New Roman;serif"/>
          <w:b w:val="false"/>
          <w:color w:val="000000"/>
          <w:sz w:val="24"/>
        </w:rPr>
        <w:t xml:space="preserve">added back) in computing Consolidated Net Income;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d.    any fees, costs, expenses or charges (other than Consolidated Depreciation and Amortization Expense) related to any actual, proposed or contemplated Equity Offering (including any expense relating to enhanced accounting functions or other transaction costs associated with becoming or being a stand-alone entity or a public company, including Public Company Costs), Permitted Investment, Restricted Payment, acquisition, disposition, recapitalization or the incurrence of Indebtedness permitted to be incurred by the Credit Agreement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Senior Secured Notes, the Credit Agreement, any other credit facilities or notes, any Securitization Fees and the Transactions, including Transaction Costs, and (ii) any amendment, waiver or other modification of the Senior Secured Notes, the Credit Agreement, Receivables Facilities, any other credit facilities or notes, any Securitization Fees, any other Indebtedness or any Equity Offering, in each case, whether or not consummated, to the extent deducted (and not added back) in computing Consolidated Net Income; </w:t>
      </w:r>
      <w:r>
        <w:rPr>
          <w:rFonts w:ascii="Times New Roman;serif" w:hAnsi="Times New Roman;serif"/>
          <w:b w:val="false"/>
          <w:i/>
          <w:color w:val="000000"/>
          <w:sz w:val="24"/>
        </w:rPr>
        <w:t>provided</w:t>
      </w:r>
      <w:r>
        <w:rPr>
          <w:rFonts w:ascii="Times New Roman;serif" w:hAnsi="Times New Roman;serif"/>
          <w:b w:val="false"/>
          <w:color w:val="000000"/>
          <w:sz w:val="24"/>
        </w:rPr>
        <w:t>, that the aggregate amount of adjustments made pursuant to this clause (d) shall not exceed the greater of (x) $10,000,000 and</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(y) 3% of Consolidated EBITDA for any four fiscal quarter period (determined after giving effect thereto and all other</w:t>
      </w:r>
    </w:p>
    <w:p>
      <w:pPr>
        <w:pStyle w:val="TextBody"/>
        <w:bidi w:val="0"/>
        <w:spacing w:lineRule="auto" w:line="288" w:before="0" w:after="0"/>
        <w:jc w:val="both"/>
        <w:rPr/>
      </w:pPr>
      <w:r>
        <w:rPr>
          <w:rFonts w:ascii="Times New Roman;serif" w:hAnsi="Times New Roman;serif"/>
          <w:b w:val="false"/>
          <w:color w:val="000000"/>
          <w:sz w:val="24"/>
        </w:rPr>
        <w:t xml:space="preserve">adjustments and addbacks);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e.    (i) the amount of any restructuring charge, accrual, reserve (and adjustments to existing reserves) or expense, integration cost, inventory optimization programs or other business optimization expense or cost (including charges directly related to the implementation of operating expense reductions, platform consolidations and migrations, transitions, insourcing initiatives, operating improvements, cost-savings initiatives and tax restructurings) that is deducted (and not added back) in such period in computing Consolidated Net Income, including any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w:t>
      </w:r>
    </w:p>
    <w:p>
      <w:pPr>
        <w:pStyle w:val="TextBody"/>
        <w:bidi w:val="0"/>
        <w:spacing w:before="0" w:after="0"/>
        <w:jc w:val="left"/>
        <w:rPr/>
      </w:pPr>
      <w:r>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6480175" cy="175260"/>
                <wp:effectExtent l="0" t="0" r="0" b="0"/>
                <wp:wrapNone/>
                <wp:docPr id="380" name="Frame3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pPr>
      <w:r>
        <w:rPr>
          <w:rFonts w:ascii="Times New Roman;serif" w:hAnsi="Times New Roman;serif"/>
          <w:b w:val="false"/>
          <w:color w:val="000000"/>
          <w:sz w:val="24"/>
        </w:rPr>
        <w:t xml:space="preserve">employment benefit plans (including any settlement of pension liabilities), costs related to entry into new markets (including unused office or warehouse space costs) and new product design, development and introductions (including intellectual property development, labor costs, scrap costs and lower absorption of costs, including due to decreased productivity and greater inefficiencies), systems and/or software development and establishment costs, operational and reporting systems, technology initiatives, termination costs, costs related to customer contract disputes, distribution networks or sales channels, the implementation, replacement, development or upgrade of operational, reporting and information technology systems and technology initiatives, contract termination, retention, recruiting, severance, signing, consulting and transition services arrangements, future lease commitments, lease breakage and costs related to the pre-opening,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Times New Roman;serif" w:hAnsi="Times New Roman;serif"/>
          <w:b w:val="false"/>
          <w:i/>
          <w:color w:val="000000"/>
          <w:sz w:val="24"/>
        </w:rPr>
        <w:t>provided</w:t>
      </w:r>
      <w:r>
        <w:rPr>
          <w:rFonts w:ascii="Times New Roman;serif" w:hAnsi="Times New Roman;serif"/>
          <w:b w:val="false"/>
          <w:color w:val="000000"/>
          <w:sz w:val="24"/>
        </w:rPr>
        <w:t>, that the aggregate amount of adjustments made pursuant to this clause (e) shall not exceed (x) for the fiscal years ending December 31, 2026 and December 31, 2027, the greater of (A) $35,000,000 and (B) 10% of Consolidated EBITDA for any four fiscal quarter period and</w:t>
      </w:r>
    </w:p>
    <w:p>
      <w:pPr>
        <w:pStyle w:val="TextBody"/>
        <w:bidi w:val="0"/>
        <w:spacing w:lineRule="auto" w:line="288" w:before="1" w:after="283"/>
        <w:jc w:val="both"/>
        <w:rPr>
          <w:rFonts w:ascii="Times New Roman;serif" w:hAnsi="Times New Roman;serif"/>
          <w:b w:val="false"/>
          <w:color w:val="000000"/>
          <w:sz w:val="24"/>
        </w:rPr>
      </w:pPr>
      <w:r>
        <w:rPr>
          <w:rFonts w:ascii="Times New Roman;serif" w:hAnsi="Times New Roman;serif"/>
          <w:b w:val="false"/>
          <w:color w:val="000000"/>
          <w:sz w:val="24"/>
        </w:rPr>
        <w:t>(y) for the fiscal year ending December 31, 2028 and thereafter, the greater of (A) $50,000,000 and (B) 15% of Consolidated EBITDA for any four fiscal quarter period (in each case under this clause (e), determined after giving effect</w:t>
      </w:r>
    </w:p>
    <w:p>
      <w:pPr>
        <w:pStyle w:val="TextBody"/>
        <w:bidi w:val="0"/>
        <w:spacing w:lineRule="auto" w:line="288" w:before="0" w:after="0"/>
        <w:jc w:val="both"/>
        <w:rPr/>
      </w:pPr>
      <w:r>
        <w:rPr>
          <w:rFonts w:ascii="Times New Roman;serif" w:hAnsi="Times New Roman;serif"/>
          <w:b w:val="false"/>
          <w:color w:val="000000"/>
          <w:sz w:val="24"/>
        </w:rPr>
        <w:t xml:space="preserve">thereto and all other adjustments and addbacks);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before="2" w:after="283"/>
        <w:jc w:val="left"/>
        <w:rPr/>
      </w:pPr>
      <w:r>
        <w:rPr/>
        <w:drawing>
          <wp:inline distT="0" distB="0" distL="0" distR="0">
            <wp:extent cx="1828800" cy="14605"/>
            <wp:effectExtent l="0" t="0" r="0" b="0"/>
            <wp:docPr id="381"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1" name="Image7" descr=""/>
                    <pic:cNvPicPr>
                      <a:picLocks noChangeAspect="1" noChangeArrowheads="1"/>
                    </pic:cNvPicPr>
                  </pic:nvPicPr>
                  <pic:blipFill>
                    <a:blip r:embed="rId8"/>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jc w:val="both"/>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the total amount of depreciation and amortization expense and capitalized fees, including amortization or write-off of (i) intangible assets and non-cash organization costs, (ii) deferred financing and debt issuance fees, costs and expenses, (iii) property, plant and equipment consisting of leasehold improvements, freehold improvements, office equipment and fittings, (iv) right-of-use assets consisting of property and office equipment, (v) capitalized expenditures (including Capitalized Software Expenditures), customer acquisition costs and incentive payments and signing bonuses, upfront payments related to any contract signing, media development costs, conversion costs and contract acquisition costs, the amortization of original issue discount resulting from the issuance of Indebtedness at less than par and amortization of favorable or unfavorable lease assets or liabilities, and (vi) capitalized fees related to any Receivables Facility permitted under the Credit Agreement, of such Person and its Restricted Subsidiaries for such period on a consolidated basis and otherwise determined in accordance with GAAP and any write-down of assets or asset value carried on the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6480175" cy="175260"/>
                <wp:effectExtent l="0" t="0" r="0" b="0"/>
                <wp:wrapNone/>
                <wp:docPr id="382" name="Frame3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79" w:after="283"/>
        <w:jc w:val="both"/>
        <w:rPr/>
      </w:pPr>
      <w:r>
        <w:rPr/>
      </w:r>
    </w:p>
    <w:p>
      <w:pPr>
        <w:pStyle w:val="TextBody"/>
        <w:bidi w:val="0"/>
        <w:spacing w:before="0" w:after="0"/>
        <w:jc w:val="left"/>
        <w:rPr/>
      </w:pPr>
      <w:r>
        <w:rPr/>
      </w:r>
    </w:p>
    <w:p>
      <w:pPr>
        <w:pStyle w:val="TextBody"/>
        <w:bidi w:val="0"/>
        <w:spacing w:lineRule="auto" w:line="288" w:before="79"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f.    any other non-cash charges, write-downs, expenses, losses or items reducing Consolidated Net Income for such period including (i) 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Senior Secured Notes and the Credit Agreement) of such Person and its Subsidiaries and/or</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(iii) 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(provided that if any such non-cash charge, write-down, expense, loss or item represents an accrual or reserve for potential cash items in any future period, (A) the Company may elect not to add back such non-cash charge, expense or loss in the current period and (B) to the extent the Company elects to add back such non-cash charge, the cash payment in respect thereof in such future period shall be subtracted from Consolidated EBITDA when paid), or other items classified by the Company as special items less other non-cash items of income increasing Consolidated Net Income (excluding any amortization of a prepaid cash item that was paid in a prior period or such non-cash item of income to the extent it represents a receipt of cash in any</w:t>
      </w:r>
    </w:p>
    <w:p>
      <w:pPr>
        <w:pStyle w:val="TextBody"/>
        <w:bidi w:val="0"/>
        <w:spacing w:lineRule="auto" w:line="288" w:before="1" w:after="283"/>
        <w:jc w:val="both"/>
        <w:rPr/>
      </w:pPr>
      <w:r>
        <w:rPr>
          <w:rFonts w:ascii="Times New Roman;serif" w:hAnsi="Times New Roman;serif"/>
          <w:b w:val="false"/>
          <w:color w:val="000000"/>
          <w:sz w:val="24"/>
        </w:rPr>
        <w:t xml:space="preserve">future period);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g.    [reserved]    $</w:t>
      </w:r>
      <w:r>
        <w:rPr>
          <w:color w:val="000000"/>
          <w:u w:val="single"/>
        </w:rPr>
        <w:t>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h.    any costs or expenses incurred by the Company or a Restricted Subsidiary or a direct or indirect parent of the Company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Company or Net Cash Proceeds of an issuance</w:t>
      </w:r>
    </w:p>
    <w:p>
      <w:pPr>
        <w:pStyle w:val="TextBody"/>
        <w:bidi w:val="0"/>
        <w:spacing w:before="0" w:after="0"/>
        <w:jc w:val="left"/>
        <w:rPr/>
      </w:pPr>
      <w:r>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6480175" cy="175260"/>
                <wp:effectExtent l="0" t="0" r="0" b="0"/>
                <wp:wrapNone/>
                <wp:docPr id="383" name="Frame3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of Capital Stock (other than Disqualified Stock) of the</w:t>
      </w:r>
    </w:p>
    <w:p>
      <w:pPr>
        <w:pStyle w:val="TextBody"/>
        <w:bidi w:val="0"/>
        <w:spacing w:lineRule="auto" w:line="288" w:before="0" w:after="0"/>
        <w:jc w:val="both"/>
        <w:rPr/>
      </w:pPr>
      <w:r>
        <w:rPr>
          <w:rFonts w:ascii="Times New Roman;serif" w:hAnsi="Times New Roman;serif"/>
          <w:b w:val="false"/>
          <w:color w:val="000000"/>
          <w:sz w:val="24"/>
        </w:rPr>
        <w:t xml:space="preserve">Company;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i.    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w:t>
      </w:r>
    </w:p>
    <w:p>
      <w:pPr>
        <w:pStyle w:val="TextBody"/>
        <w:bidi w:val="0"/>
        <w:spacing w:lineRule="auto" w:line="288" w:before="0" w:after="0"/>
        <w:jc w:val="both"/>
        <w:rPr/>
      </w:pP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j.    any net loss included in the Consolidated Net Income attributable to non-controlling or minority interests pursuant to the application of Accounting Standards Codification Topic 810-10-45 (or any successor provision or other financial accounting standard having a similar result or</w:t>
      </w:r>
    </w:p>
    <w:p>
      <w:pPr>
        <w:pStyle w:val="TextBody"/>
        <w:bidi w:val="0"/>
        <w:spacing w:lineRule="auto" w:line="288" w:before="0" w:after="0"/>
        <w:jc w:val="both"/>
        <w:rPr/>
      </w:pPr>
      <w:r>
        <w:rPr>
          <w:rFonts w:ascii="Times New Roman;serif" w:hAnsi="Times New Roman;serif"/>
          <w:b w:val="false"/>
          <w:color w:val="000000"/>
          <w:sz w:val="24"/>
        </w:rPr>
        <w:t xml:space="preserve">effect);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k.    the amount of any non-controlling or minority interest expense consisting of Subsidiary income attributable to non-controlling or minority equity interests of third parties in any</w:t>
      </w:r>
    </w:p>
    <w:p>
      <w:pPr>
        <w:pStyle w:val="TextBody"/>
        <w:bidi w:val="0"/>
        <w:spacing w:lineRule="auto" w:line="288" w:before="0" w:after="0"/>
        <w:jc w:val="both"/>
        <w:rPr/>
      </w:pPr>
      <w:r>
        <w:rPr>
          <w:rFonts w:ascii="Times New Roman;serif" w:hAnsi="Times New Roman;serif"/>
          <w:b w:val="false"/>
          <w:color w:val="000000"/>
          <w:sz w:val="24"/>
        </w:rPr>
        <w:t xml:space="preserve">non-Wholly Owned Subsidiary;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l.    (i) unrealized or realized foreign exchange losses resulting from the impact of foreign currency changes and (ii) gains and losses due to fluctuations in currency values and related</w:t>
      </w:r>
    </w:p>
    <w:p>
      <w:pPr>
        <w:pStyle w:val="TextBody"/>
        <w:bidi w:val="0"/>
        <w:spacing w:lineRule="auto" w:line="288" w:before="0" w:after="0"/>
        <w:jc w:val="both"/>
        <w:rPr/>
      </w:pPr>
      <w:r>
        <w:rPr>
          <w:rFonts w:ascii="Times New Roman;serif" w:hAnsi="Times New Roman;serif"/>
          <w:b w:val="false"/>
          <w:color w:val="000000"/>
          <w:sz w:val="24"/>
        </w:rPr>
        <w:t xml:space="preserve">tax effects determined in accordance with GAAP;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m.    with respect to any joint venture, an amount equal to the proportion of those items described in clauses (a), (b) and (c) above relating to such joint venture corresponding to the Company’s and its Restricted Subsidiaries’ proportionate share of such joint venture’s Consolidated Net Income (determined as if such joint venture were a Restricted Subsidiary) to the extent deducted (and not added back) in</w:t>
      </w:r>
    </w:p>
    <w:p>
      <w:pPr>
        <w:pStyle w:val="TextBody"/>
        <w:bidi w:val="0"/>
        <w:spacing w:lineRule="auto" w:line="288" w:before="1" w:after="283"/>
        <w:jc w:val="both"/>
        <w:rPr/>
      </w:pPr>
      <w:r>
        <w:rPr>
          <w:rFonts w:ascii="Times New Roman;serif" w:hAnsi="Times New Roman;serif"/>
          <w:b w:val="false"/>
          <w:color w:val="000000"/>
          <w:sz w:val="24"/>
        </w:rPr>
        <w:t xml:space="preserve">computing Consolidated Net Income;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n.    the amount of any costs, charges or expenses relating to payments made to stock appreciation or similar rights, stock option, restricted stock, phantom equity, profits interests or other interests or rights holders of the Company or any of its Subsidiaries or any direct or indirect parent of the Company in connection with, or as a result of, any distribution being made to equityholders of such Person or any of its Subsidiaries or any direct or indirect parent thereof, which payments are being made to compensate such holders as</w:t>
      </w:r>
    </w:p>
    <w:p>
      <w:pPr>
        <w:pStyle w:val="TextBody"/>
        <w:bidi w:val="0"/>
        <w:spacing w:before="0" w:after="0"/>
        <w:jc w:val="left"/>
        <w:rPr/>
      </w:pPr>
      <w:r>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6480175" cy="175260"/>
                <wp:effectExtent l="0" t="0" r="0" b="0"/>
                <wp:wrapNone/>
                <wp:docPr id="384" name="Frame3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though they were equityholders at the time of, and entitled</w:t>
      </w:r>
    </w:p>
    <w:p>
      <w:pPr>
        <w:pStyle w:val="TextBody"/>
        <w:bidi w:val="0"/>
        <w:spacing w:lineRule="auto" w:line="288" w:before="0" w:after="0"/>
        <w:jc w:val="both"/>
        <w:rPr/>
      </w:pPr>
      <w:r>
        <w:rPr>
          <w:rFonts w:ascii="Times New Roman;serif" w:hAnsi="Times New Roman;serif"/>
          <w:b w:val="false"/>
          <w:color w:val="000000"/>
          <w:sz w:val="24"/>
        </w:rPr>
        <w:t xml:space="preserve">to share in, such distribution;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o.    [reserved]    $</w:t>
      </w:r>
      <w:r>
        <w:rPr>
          <w:color w:val="000000"/>
          <w:u w:val="single"/>
        </w:rPr>
        <w:t>    </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p.    [reserved]</w:t>
      </w:r>
    </w:p>
    <w:p>
      <w:pPr>
        <w:pStyle w:val="TextBody"/>
        <w:bidi w:val="0"/>
        <w:spacing w:lineRule="auto" w:line="288" w:before="0" w:after="0"/>
        <w:ind w:left="0" w:right="0" w:hanging="719"/>
        <w:jc w:val="left"/>
        <w:rPr/>
      </w:pPr>
      <w:r>
        <w:rPr>
          <w:rFonts w:ascii="Times New Roman;serif" w:hAnsi="Times New Roman;serif"/>
          <w:b w:val="false"/>
          <w:color w:val="000000"/>
          <w:sz w:val="24"/>
        </w:rPr>
        <w:t>q.    [reserved]    $</w:t>
      </w:r>
      <w:r>
        <w:rPr>
          <w:color w:val="000000"/>
          <w:u w:val="single"/>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r.    rent expense as determined in accordance with GAAP not actually paid in cash during such period (net of rent expense paid in case during such period over and above rent expense</w:t>
      </w:r>
    </w:p>
    <w:p>
      <w:pPr>
        <w:pStyle w:val="TextBody"/>
        <w:bidi w:val="0"/>
        <w:spacing w:lineRule="auto" w:line="288" w:before="0" w:after="0"/>
        <w:jc w:val="both"/>
        <w:rPr/>
      </w:pPr>
      <w:r>
        <w:rPr>
          <w:rFonts w:ascii="Times New Roman;serif" w:hAnsi="Times New Roman;serif"/>
          <w:b w:val="false"/>
          <w:color w:val="000000"/>
          <w:sz w:val="24"/>
        </w:rPr>
        <w:t xml:space="preserve">as determined in accordance with GAAP); </w:t>
      </w: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s.    [reserved]    $</w:t>
      </w:r>
      <w:r>
        <w:rPr>
          <w:color w:val="000000"/>
          <w:u w:val="single"/>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t.    any non-cash increase in expense resulting from the revaluation of inventory (including any impact of changes to inventory valuation policy methods including changes in capitalization of variances) or other inventory adjustments;</w:t>
      </w:r>
    </w:p>
    <w:p>
      <w:pPr>
        <w:pStyle w:val="TextBody"/>
        <w:bidi w:val="0"/>
        <w:spacing w:lineRule="auto" w:line="288" w:before="0" w:after="0"/>
        <w:jc w:val="both"/>
        <w:rPr/>
      </w:pPr>
      <w:r>
        <w:rPr>
          <w:rFonts w:ascii="Times New Roman;serif" w:hAnsi="Times New Roman;serif"/>
          <w:b w:val="false"/>
          <w:i/>
          <w:color w:val="000000"/>
          <w:sz w:val="24"/>
        </w:rPr>
        <w:t>plus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u.    [reserved]    $</w:t>
      </w:r>
      <w:r>
        <w:rPr>
          <w:color w:val="000000"/>
          <w:u w:val="single"/>
        </w:rPr>
        <w:t>    </w:t>
      </w:r>
    </w:p>
    <w:p>
      <w:pPr>
        <w:pStyle w:val="TextBody"/>
        <w:bidi w:val="0"/>
        <w:spacing w:lineRule="auto" w:line="288" w:before="0" w:after="0"/>
        <w:ind w:left="0" w:right="0" w:hanging="719"/>
        <w:jc w:val="left"/>
        <w:rPr/>
      </w:pPr>
      <w:r>
        <w:rPr>
          <w:rFonts w:ascii="Times New Roman;serif" w:hAnsi="Times New Roman;serif"/>
          <w:b w:val="false"/>
          <w:color w:val="000000"/>
          <w:sz w:val="24"/>
        </w:rPr>
        <w:t>v.    [reserved]    $</w:t>
      </w:r>
      <w:r>
        <w:rPr>
          <w:color w:val="000000"/>
          <w:u w:val="single"/>
        </w:rPr>
        <w:t>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w.    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w:t>
      </w:r>
    </w:p>
    <w:p>
      <w:pPr>
        <w:pStyle w:val="TextBody"/>
        <w:bidi w:val="0"/>
        <w:spacing w:lineRule="auto" w:line="288" w:before="0" w:after="0"/>
        <w:jc w:val="both"/>
        <w:rPr/>
      </w:pPr>
      <w:r>
        <w:rPr>
          <w:rFonts w:ascii="Times New Roman;serif" w:hAnsi="Times New Roman;serif"/>
          <w:b w:val="false"/>
          <w:color w:val="000000"/>
          <w:sz w:val="24"/>
        </w:rPr>
        <w:t>or effect);    $</w:t>
      </w:r>
      <w:r>
        <w:rPr>
          <w:color w:val="000000"/>
          <w:u w:val="single"/>
        </w:rPr>
        <w:t xml:space="preserve">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x.    any fees, costs, expenses or charges related to or recorded in cost of sales to recognize cost on a last-in-first-out basis; </w:t>
      </w:r>
      <w:r>
        <w:rPr>
          <w:rFonts w:ascii="Times New Roman;serif" w:hAnsi="Times New Roman;serif"/>
          <w:b w:val="false"/>
          <w:i/>
          <w:color w:val="000000"/>
          <w:sz w:val="24"/>
        </w:rPr>
        <w:t>plus</w:t>
      </w:r>
    </w:p>
    <w:p>
      <w:pPr>
        <w:pStyle w:val="TextBody"/>
        <w:bidi w:val="0"/>
        <w:spacing w:lineRule="auto" w:line="288" w:before="0" w:after="0"/>
        <w:ind w:left="0" w:right="0" w:firstLine="720"/>
        <w:jc w:val="both"/>
        <w:rPr/>
      </w:pP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240"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y        non-cash earn-out charges incurred in connection with any acquisition or other Investment during the applicable period, including any mark-to-market adjustments</w:t>
      </w:r>
    </w:p>
    <w:p>
      <w:pPr>
        <w:pStyle w:val="TextBody"/>
        <w:bidi w:val="0"/>
        <w:spacing w:lineRule="auto" w:line="288" w:before="240" w:after="283"/>
        <w:ind w:left="0" w:right="0" w:hanging="720"/>
        <w:jc w:val="left"/>
        <w:rPr/>
      </w:pPr>
      <w:r>
        <w:rPr>
          <w:rFonts w:ascii="Times New Roman;serif" w:hAnsi="Times New Roman;serif"/>
          <w:b w:val="false"/>
          <w:color w:val="000000"/>
          <w:sz w:val="24"/>
        </w:rPr>
        <w:t>2.1    Total                                    $</w:t>
      </w:r>
      <w:r>
        <w:rPr>
          <w:color w:val="000000"/>
          <w:u w:val="single"/>
        </w:rPr>
        <w:t>    </w:t>
      </w:r>
    </w:p>
    <w:p>
      <w:pPr>
        <w:pStyle w:val="TextBody"/>
        <w:bidi w:val="0"/>
        <w:spacing w:before="0" w:after="0"/>
        <w:jc w:val="left"/>
        <w:rPr/>
      </w:pPr>
      <w:r>
        <w:rPr/>
      </w:r>
    </w:p>
    <w:p>
      <w:pPr>
        <w:pStyle w:val="TextBody"/>
        <w:bidi w:val="0"/>
        <w:spacing w:lineRule="auto" w:line="288" w:before="79"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 xml:space="preserve">3.    decreased (without duplication) by non-cash gains increasing Consolidated Net Income of such Person for such period, excluding any non-cash gains to the extent they represent the reversal of an accrual or reserve for a </w:t>
      </w:r>
    </w:p>
    <w:p>
      <w:pPr>
        <w:pStyle w:val="TextBody"/>
        <w:bidi w:val="0"/>
        <w:spacing w:before="0" w:after="0"/>
        <w:jc w:val="left"/>
        <w:rPr/>
      </w:pPr>
      <w:r>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480175" cy="175260"/>
                <wp:effectExtent l="0" t="0" r="0" b="0"/>
                <wp:wrapNone/>
                <wp:docPr id="385" name="Frame3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potential cash item that reduced Consolidated EBITDA in any prior period (other than non-cash gains relating to the application of Accounting Standards Codification Topic 842—Leases) (or any successor provision or other financial accounting</w:t>
      </w:r>
    </w:p>
    <w:p>
      <w:pPr>
        <w:pStyle w:val="TextBody"/>
        <w:bidi w:val="0"/>
        <w:spacing w:lineRule="auto" w:line="288" w:before="0" w:after="0"/>
        <w:jc w:val="both"/>
        <w:rPr/>
      </w:pPr>
      <w:r>
        <w:rPr>
          <w:rFonts w:ascii="Times New Roman;serif" w:hAnsi="Times New Roman;serif"/>
          <w:b w:val="false"/>
          <w:color w:val="000000"/>
          <w:sz w:val="24"/>
        </w:rPr>
        <w:t>standard having a similar result or effect);    $</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4.    Total Consolidated EBITDA    $</w:t>
      </w:r>
      <w:r>
        <w:rPr>
          <w:color w:val="000000"/>
          <w:u w:val="single"/>
        </w:rPr>
        <w:t>    </w:t>
      </w:r>
      <w:hyperlink w:anchor="i3ded4e6fee5848e0851cef8a13756b7e_78">
        <w:r>
          <w:rPr>
            <w:rStyle w:val="InternetLink"/>
            <w:rFonts w:ascii="Times New Roman;serif" w:hAnsi="Times New Roman;serif"/>
            <w:b w:val="false"/>
            <w:strike w:val="false"/>
            <w:dstrike w:val="false"/>
            <w:color w:val="000000"/>
            <w:sz w:val="16"/>
            <w:u w:val="none"/>
            <w:effect w:val="none"/>
          </w:rPr>
          <w:t>10</w:t>
        </w:r>
      </w:hyperlink>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B.    Consolidated Funded First Lien Indebtedness:</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    Consolidated Funded Indebtedness of the Restricted Group that is secured by a Lien on the Collateral on an equivalent priority basis (but, in each case, without regard to control of remedies) with the Liens on the Collateral securing the Obligations. For the avoidance of doubt, Consolidated Funded First Lien Indebtedness shall not include Capitalized</w:t>
      </w:r>
    </w:p>
    <w:p>
      <w:pPr>
        <w:pStyle w:val="TextBody"/>
        <w:bidi w:val="0"/>
        <w:spacing w:lineRule="auto" w:line="288" w:before="0" w:after="0"/>
        <w:jc w:val="both"/>
        <w:rPr/>
      </w:pPr>
      <w:r>
        <w:rPr>
          <w:rFonts w:ascii="Times New Roman;serif" w:hAnsi="Times New Roman;serif"/>
          <w:b w:val="false"/>
          <w:color w:val="000000"/>
          <w:sz w:val="24"/>
        </w:rPr>
        <w:t>Lease Obligations or Purchase Money Obligations.    $</w:t>
      </w:r>
      <w:r>
        <w:rPr>
          <w:color w:val="000000"/>
          <w:u w:val="single"/>
        </w:rPr>
        <w:t xml:space="preserve"> </w:t>
      </w:r>
    </w:p>
    <w:p>
      <w:pPr>
        <w:pStyle w:val="TextBody"/>
        <w:bidi w:val="0"/>
        <w:spacing w:lineRule="auto" w:line="592" w:before="6" w:after="283"/>
        <w:ind w:left="0" w:right="0" w:hanging="720"/>
        <w:jc w:val="both"/>
        <w:rPr/>
      </w:pPr>
      <w:r>
        <w:rPr>
          <w:rFonts w:ascii="Times New Roman;serif" w:hAnsi="Times New Roman;serif"/>
          <w:b w:val="false"/>
          <w:color w:val="000000"/>
          <w:sz w:val="24"/>
        </w:rPr>
        <w:t>C.    Consolidated First Lien Net Leverage Ratio:    </w:t>
      </w:r>
      <w:r>
        <w:rPr>
          <w:color w:val="000000"/>
          <w:u w:val="single"/>
        </w:rPr>
        <w:t xml:space="preserve"> </w:t>
      </w:r>
      <w:r>
        <w:rPr>
          <w:rFonts w:ascii="Times New Roman;serif" w:hAnsi="Times New Roman;serif"/>
          <w:b w:val="false"/>
          <w:color w:val="000000"/>
          <w:sz w:val="24"/>
        </w:rPr>
        <w:t>: 1:00 Consolidated Funded First Lien Indebtedness</w:t>
      </w:r>
      <w:hyperlink w:anchor="i3ded4e6fee5848e0851cef8a13756b7e_78">
        <w:r>
          <w:rPr>
            <w:rStyle w:val="InternetLink"/>
            <w:rFonts w:ascii="Times New Roman;serif" w:hAnsi="Times New Roman;serif"/>
            <w:b w:val="false"/>
            <w:strike w:val="false"/>
            <w:dstrike w:val="false"/>
            <w:color w:val="000000"/>
            <w:sz w:val="16"/>
            <w:u w:val="none"/>
            <w:effect w:val="none"/>
          </w:rPr>
          <w:t>11</w:t>
        </w:r>
      </w:hyperlink>
      <w:r>
        <w:rPr>
          <w:color w:val="000000"/>
        </w:rPr>
        <w:t xml:space="preserve"> </w:t>
      </w:r>
      <w:r>
        <w:rPr>
          <w:rFonts w:ascii="Times New Roman;serif" w:hAnsi="Times New Roman;serif"/>
          <w:b w:val="false"/>
          <w:color w:val="000000"/>
          <w:sz w:val="24"/>
        </w:rPr>
        <w:t>of the Restricted</w:t>
      </w:r>
    </w:p>
    <w:p>
      <w:pPr>
        <w:pStyle w:val="TextBody"/>
        <w:bidi w:val="0"/>
        <w:spacing w:lineRule="auto" w:line="288" w:before="6" w:after="283"/>
        <w:jc w:val="both"/>
        <w:rPr/>
      </w:pPr>
      <w:r>
        <w:rPr>
          <w:rFonts w:ascii="Times New Roman;serif" w:hAnsi="Times New Roman;serif"/>
          <w:b w:val="false"/>
          <w:color w:val="000000"/>
          <w:sz w:val="24"/>
        </w:rPr>
        <w:t>Group as of such date of determination (line I.B.1)    $</w:t>
      </w:r>
      <w:r>
        <w:rPr>
          <w:color w:val="000000"/>
          <w:u w:val="single"/>
        </w:rPr>
        <w:t xml:space="preserve"> </w:t>
      </w:r>
    </w:p>
    <w:p>
      <w:pPr>
        <w:pStyle w:val="TextBody"/>
        <w:bidi w:val="0"/>
        <w:spacing w:before="0" w:after="0"/>
        <w:jc w:val="left"/>
        <w:rPr/>
      </w:pPr>
      <w:r>
        <w:rPr/>
      </w:r>
    </w:p>
    <w:p>
      <w:pPr>
        <w:pStyle w:val="TextBody"/>
        <w:bidi w:val="0"/>
        <w:spacing w:before="31" w:after="283"/>
        <w:jc w:val="left"/>
        <w:rPr/>
      </w:pPr>
      <w:r>
        <w:rPr/>
        <w:drawing>
          <wp:inline distT="0" distB="0" distL="0" distR="0">
            <wp:extent cx="1828800" cy="14605"/>
            <wp:effectExtent l="0" t="0" r="0" b="0"/>
            <wp:docPr id="386"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6" name="Image8" descr=""/>
                    <pic:cNvPicPr>
                      <a:picLocks noChangeAspect="1" noChangeArrowheads="1"/>
                    </pic:cNvPicPr>
                  </pic:nvPicPr>
                  <pic:blipFill>
                    <a:blip r:embed="rId9"/>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jc w:val="both"/>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Notwithstanding the foregoing, Consolidated EBITDA (a) for the fiscal quarter ended September 30, 2021, shall be deemed to be $115 million, (b) for the fiscal quarter ended June 30, 2021, shall be deemed to be $123 million and (c) for the fiscal quarter ended March 31, 2021, shall be deemed to be $126 million, in each case, as may be subject to addbacks and adjustments (without duplication) pursuant to clauses (1) and (2) above upon the occurrence of a “pro forma” event that occurs after the Closing Date and which is deemed to have occurred as of the first day of a period that includes any of the foregoing fiscal quarters.</w:t>
      </w:r>
    </w:p>
    <w:p>
      <w:pPr>
        <w:pStyle w:val="TextBody"/>
        <w:bidi w:val="0"/>
        <w:spacing w:lineRule="atLeast" w:line="266" w:before="0" w:after="0"/>
        <w:jc w:val="both"/>
        <w:rPr/>
      </w:pPr>
      <w:r>
        <w:rPr>
          <w:rFonts w:ascii="Times New Roman;serif" w:hAnsi="Times New Roman;serif"/>
          <w:b w:val="false"/>
          <w:color w:val="000000"/>
          <w:sz w:val="16"/>
        </w:rPr>
        <w:t xml:space="preserve">11 </w:t>
      </w:r>
      <w:r>
        <w:rPr>
          <w:rFonts w:ascii="Times New Roman;serif" w:hAnsi="Times New Roman;serif"/>
          <w:b w:val="false"/>
          <w:color w:val="000000"/>
          <w:sz w:val="20"/>
        </w:rPr>
        <w:t>The Consolidated Funded Indebtedness of the Restricted Group that is secured by a Lien on the Collateral on an</w:t>
      </w:r>
    </w:p>
    <w:p>
      <w:pPr>
        <w:pStyle w:val="TextBody"/>
        <w:bidi w:val="0"/>
        <w:spacing w:lineRule="auto" w:line="288" w:before="10" w:after="283"/>
        <w:jc w:val="both"/>
        <w:rPr>
          <w:rFonts w:ascii="Times New Roman;serif" w:hAnsi="Times New Roman;serif"/>
          <w:b w:val="false"/>
          <w:color w:val="000000"/>
          <w:sz w:val="20"/>
        </w:rPr>
      </w:pPr>
      <w:r>
        <w:rPr>
          <w:rFonts w:ascii="Times New Roman;serif" w:hAnsi="Times New Roman;serif"/>
          <w:b w:val="false"/>
          <w:color w:val="000000"/>
          <w:sz w:val="20"/>
        </w:rPr>
        <w:t>equivalent priority basis (but, in each case, without regard to control of remedies) with the Liens on the Collateral securing the Obligations. For the avoidance of doubt, Consolidated Funded First Lien Indebtedness shall not include Capitalized Lease Obligations or Purchase Money Obligations.</w:t>
      </w:r>
    </w:p>
    <w:p>
      <w:pPr>
        <w:pStyle w:val="TextBody"/>
        <w:bidi w:val="0"/>
        <w:spacing w:lineRule="atLeast" w:line="229" w:before="0" w:after="0"/>
        <w:jc w:val="both"/>
        <w:rPr/>
      </w:pPr>
      <w:r>
        <w:rPr>
          <w:color w:val="000000"/>
        </w:rPr>
        <w:t>“</w:t>
      </w:r>
      <w:r>
        <w:rPr>
          <w:rFonts w:ascii="Times New Roman;serif" w:hAnsi="Times New Roman;serif"/>
          <w:b/>
          <w:color w:val="000000"/>
          <w:sz w:val="20"/>
        </w:rPr>
        <w:t xml:space="preserve">Consolidated Funded Indebtedness” </w:t>
      </w:r>
      <w:r>
        <w:rPr>
          <w:rFonts w:ascii="Times New Roman;serif" w:hAnsi="Times New Roman;serif"/>
          <w:b w:val="false"/>
          <w:color w:val="000000"/>
          <w:sz w:val="20"/>
        </w:rPr>
        <w:t>means, as of any date of determination, an amount equal to:</w:t>
      </w:r>
    </w:p>
    <w:p>
      <w:pPr>
        <w:pStyle w:val="TextBody"/>
        <w:bidi w:val="0"/>
        <w:spacing w:before="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(a)    the aggregate principal amount of outstanding Indebtedness for borrowed money (excluding (i) Indebtedness with respect to obligations in respect of Cash Management Agreements, intercompany Indebtedness, Subordinated Indebtedness, Disqualified Stock and Preferred Stock of Restricted Subsidiaries and (ii) Indebtedness outstanding under this Agreement that was used to finance working capital needs of the Company and its Restricted Subsidiaries (as reasonably determined by the Company) as of such date; provided that the aggregate principal amount of Indebtedness that may be excluded pursuant to this clause (ii) shall not exceed $50,000,000), plus</w:t>
      </w:r>
    </w:p>
    <w:p>
      <w:pPr>
        <w:pStyle w:val="TextBody"/>
        <w:bidi w:val="0"/>
        <w:spacing w:before="0" w:after="0"/>
        <w:ind w:left="0" w:right="0" w:firstLine="720"/>
        <w:jc w:val="both"/>
        <w:rPr/>
      </w:pPr>
      <w:r>
        <w:rPr/>
      </w:r>
    </w:p>
    <w:p>
      <w:pPr>
        <w:pStyle w:val="TextBody"/>
        <w:bidi w:val="0"/>
        <w:spacing w:lineRule="auto" w:line="288"/>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    the aggregate principal amount of Capitalized Lease Obligations, Purchase Money Obligations and unreimbursed drawings under letters of credit of the Company and its Restricted Subsidiaries outstanding on such date (provided that any unreimbursed amount under commercial letters of credit shall not be counted as Consolidated Funded Indebtedness until five Business Days after such amount is drawn), minus</w:t>
      </w:r>
    </w:p>
    <w:p>
      <w:pPr>
        <w:pStyle w:val="TextBody"/>
        <w:bidi w:val="0"/>
        <w:spacing w:before="0" w:after="0"/>
        <w:jc w:val="left"/>
        <w:rPr/>
      </w:pPr>
      <w:r>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6480175" cy="175260"/>
                <wp:effectExtent l="0" t="0" r="0" b="0"/>
                <wp:wrapNone/>
                <wp:docPr id="387" name="Frame3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79" w:after="283"/>
        <w:jc w:val="left"/>
        <w:rPr>
          <w:rFonts w:ascii="Times New Roman;serif" w:hAnsi="Times New Roman;serif"/>
          <w:b/>
          <w:color w:val="000000"/>
          <w:sz w:val="24"/>
        </w:rPr>
      </w:pPr>
      <w:r>
        <w:rPr>
          <w:rFonts w:ascii="Times New Roman;serif" w:hAnsi="Times New Roman;serif"/>
          <w:b/>
          <w:color w:val="000000"/>
          <w:sz w:val="24"/>
        </w:rPr>
        <w:t>Divided 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LTM EBITDA</w:t>
      </w:r>
      <w:hyperlink w:anchor="i3ded4e6fee5848e0851cef8a13756b7e_78">
        <w:r>
          <w:rPr>
            <w:rStyle w:val="InternetLink"/>
            <w:rFonts w:ascii="Times New Roman;serif" w:hAnsi="Times New Roman;serif"/>
            <w:b w:val="false"/>
            <w:strike w:val="false"/>
            <w:dstrike w:val="false"/>
            <w:color w:val="000000"/>
            <w:sz w:val="16"/>
            <w:u w:val="none"/>
            <w:effect w:val="none"/>
          </w:rPr>
          <w:t>12</w:t>
        </w:r>
      </w:hyperlink>
      <w:r>
        <w:rPr>
          <w:rFonts w:ascii="Times New Roman;serif" w:hAnsi="Times New Roman;serif"/>
          <w:b w:val="false"/>
          <w:color w:val="000000"/>
          <w:sz w:val="24"/>
        </w:rPr>
        <w:t>, calculated on a pro forma basis in a manner</w:t>
      </w:r>
    </w:p>
    <w:p>
      <w:pPr>
        <w:pStyle w:val="TextBody"/>
        <w:bidi w:val="0"/>
        <w:spacing w:lineRule="auto" w:line="288" w:before="0" w:after="0"/>
        <w:jc w:val="left"/>
        <w:rPr/>
      </w:pPr>
      <w:r>
        <w:rPr>
          <w:rFonts w:ascii="Times New Roman;serif" w:hAnsi="Times New Roman;serif"/>
          <w:b w:val="false"/>
          <w:color w:val="000000"/>
          <w:sz w:val="24"/>
        </w:rPr>
        <w:t>consistent with Section 1.10 of the Credit Agreement.    $</w:t>
      </w:r>
      <w:r>
        <w:rPr>
          <w:color w:val="000000"/>
          <w:u w:val="single"/>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3" w:after="283"/>
        <w:jc w:val="left"/>
        <w:rPr/>
      </w:pPr>
      <w:r>
        <w:rPr/>
        <w:drawing>
          <wp:inline distT="0" distB="0" distL="0" distR="0">
            <wp:extent cx="1828800" cy="14605"/>
            <wp:effectExtent l="0" t="0" r="0" b="0"/>
            <wp:docPr id="38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Image9" descr=""/>
                    <pic:cNvPicPr>
                      <a:picLocks noChangeAspect="1" noChangeArrowheads="1"/>
                    </pic:cNvPicPr>
                  </pic:nvPicPr>
                  <pic:blipFill>
                    <a:blip r:embed="rId10"/>
                    <a:stretch>
                      <a:fillRect/>
                    </a:stretch>
                  </pic:blipFill>
                  <pic:spPr bwMode="auto">
                    <a:xfrm>
                      <a:off x="0" y="0"/>
                      <a:ext cx="1828800" cy="14605"/>
                    </a:xfrm>
                    <a:prstGeom prst="rect">
                      <a:avLst/>
                    </a:prstGeom>
                  </pic:spPr>
                </pic:pic>
              </a:graphicData>
            </a:graphic>
          </wp:inline>
        </w:drawing>
      </w:r>
    </w:p>
    <w:p>
      <w:pPr>
        <w:pStyle w:val="TextBody"/>
        <w:bidi w:val="0"/>
        <w:spacing w:before="101" w:after="283"/>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(c)    the aggregate amount of Unrestricted Cash and Cash Equivalents (provided that the cash proceeds of any proposed incurrence of Indebtedness shall not be included in this clause (c) for purposes of calculating the Consolidated Total Net Leverage Ratio, the Consolidated Senior Secured Net Leverage Ratio or the Consolidated First Lien Net Leverage Ratio, as applicable),</w:t>
      </w:r>
    </w:p>
    <w:p>
      <w:pPr>
        <w:pStyle w:val="TextBody"/>
        <w:bidi w:val="0"/>
        <w:spacing w:lineRule="atLeast" w:line="460" w:before="49" w:after="283"/>
        <w:jc w:val="left"/>
        <w:rPr>
          <w:rFonts w:ascii="Times New Roman;serif" w:hAnsi="Times New Roman;serif"/>
          <w:b w:val="false"/>
          <w:color w:val="000000"/>
          <w:sz w:val="20"/>
        </w:rPr>
      </w:pPr>
      <w:r>
        <w:rPr>
          <w:rFonts w:ascii="Times New Roman;serif" w:hAnsi="Times New Roman;serif"/>
          <w:b w:val="false"/>
          <w:color w:val="000000"/>
          <w:sz w:val="20"/>
        </w:rPr>
        <w:t>in each case, with such pro forma adjustments as are consistent with Section 1.10 of the Credit Agreement. For the avoidance of doubt, Consolidated Funded Indebtedness shall include Indebtedness in respect of any</w:t>
      </w:r>
    </w:p>
    <w:p>
      <w:pPr>
        <w:pStyle w:val="TextBody"/>
        <w:bidi w:val="0"/>
        <w:spacing w:lineRule="atLeast" w:line="183" w:before="0" w:after="0"/>
        <w:jc w:val="both"/>
        <w:rPr>
          <w:rFonts w:ascii="Times New Roman;serif" w:hAnsi="Times New Roman;serif"/>
          <w:b w:val="false"/>
          <w:color w:val="000000"/>
          <w:sz w:val="18"/>
        </w:rPr>
      </w:pPr>
      <w:r>
        <w:rPr>
          <w:rFonts w:ascii="Times New Roman;serif" w:hAnsi="Times New Roman;serif"/>
          <w:b w:val="false"/>
          <w:color w:val="000000"/>
          <w:sz w:val="18"/>
        </w:rPr>
        <w:t>Receivables Facility permitted under the Credit Agreement to the extent such Indebtedness would be classified as</w:t>
      </w:r>
    </w:p>
    <w:p>
      <w:pPr>
        <w:pStyle w:val="TextBody"/>
        <w:bidi w:val="0"/>
        <w:spacing w:lineRule="atLeast" w:line="230" w:before="1" w:after="283"/>
        <w:jc w:val="both"/>
        <w:rPr>
          <w:rFonts w:ascii="Times New Roman;serif" w:hAnsi="Times New Roman;serif"/>
          <w:b w:val="false"/>
          <w:color w:val="000000"/>
          <w:sz w:val="20"/>
        </w:rPr>
      </w:pPr>
      <w:r>
        <w:rPr>
          <w:rFonts w:ascii="Times New Roman;serif" w:hAnsi="Times New Roman;serif"/>
          <w:b w:val="false"/>
          <w:color w:val="000000"/>
          <w:sz w:val="20"/>
        </w:rPr>
        <w:t>indebtedness on a balance sheet prepared in accordance with GAAP.</w:t>
      </w:r>
    </w:p>
    <w:p>
      <w:pPr>
        <w:pStyle w:val="TextBody"/>
        <w:bidi w:val="0"/>
        <w:spacing w:lineRule="auto" w:line="288" w:before="0" w:after="0"/>
        <w:jc w:val="both"/>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Consolidated EBITDA of the Company measured for the period of the most recent four consecutive fiscal quarters ending prior to the date of such determination for which consolidated financial statements are available (which may, at the election of the Company, be internal financial statements), in each case with such pro forma adjustments as are consistent with the pro forma adjustments set forth in Section 1.10 of the Credit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6480175" cy="175260"/>
                <wp:effectExtent l="0" t="0" r="0" b="0"/>
                <wp:wrapNone/>
                <wp:docPr id="389" name="Frame3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5" w:after="283"/>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II.    Section 7.08(b) - Consolidated Interest Coverage Ratio.</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A.    LTM EBITDA, calculated on a pro forma basis in a manner</w:t>
      </w:r>
    </w:p>
    <w:p>
      <w:pPr>
        <w:pStyle w:val="TextBody"/>
        <w:bidi w:val="0"/>
        <w:spacing w:lineRule="auto" w:line="288" w:before="0" w:after="0"/>
        <w:jc w:val="left"/>
        <w:rPr/>
      </w:pPr>
      <w:r>
        <w:rPr>
          <w:rFonts w:ascii="Times New Roman;serif" w:hAnsi="Times New Roman;serif"/>
          <w:b w:val="false"/>
          <w:color w:val="000000"/>
          <w:sz w:val="24"/>
        </w:rPr>
        <w:t>consistent with Section 1.10 of the Credit Agreement.    $</w:t>
      </w:r>
      <w:r>
        <w:rPr>
          <w:color w:val="000000"/>
          <w:u w:val="single"/>
        </w:rPr>
        <w:t>    </w:t>
      </w:r>
    </w:p>
    <w:p>
      <w:pPr>
        <w:pStyle w:val="TextBody"/>
        <w:bidi w:val="0"/>
        <w:spacing w:lineRule="auto" w:line="288" w:before="240" w:after="283"/>
        <w:jc w:val="both"/>
        <w:rPr>
          <w:rFonts w:ascii="Times New Roman;serif" w:hAnsi="Times New Roman;serif"/>
          <w:b/>
          <w:color w:val="000000"/>
          <w:sz w:val="24"/>
        </w:rPr>
      </w:pPr>
      <w:r>
        <w:rPr>
          <w:rFonts w:ascii="Times New Roman;serif" w:hAnsi="Times New Roman;serif"/>
          <w:b/>
          <w:color w:val="000000"/>
          <w:sz w:val="24"/>
        </w:rPr>
        <w:t>Divided By</w:t>
      </w:r>
    </w:p>
    <w:p>
      <w:pPr>
        <w:pStyle w:val="TextBody"/>
        <w:bidi w:val="0"/>
        <w:spacing w:lineRule="auto" w:line="288" w:before="0" w:after="0"/>
        <w:ind w:left="0" w:right="0" w:hanging="719"/>
        <w:jc w:val="left"/>
        <w:rPr/>
      </w:pPr>
      <w:r>
        <w:rPr>
          <w:rFonts w:ascii="Times New Roman;serif" w:hAnsi="Times New Roman;serif"/>
          <w:b w:val="false"/>
          <w:color w:val="000000"/>
          <w:sz w:val="24"/>
        </w:rPr>
        <w:t>B.    Consolidated Cash Interest Expense    $</w:t>
      </w:r>
      <w:r>
        <w:rPr>
          <w:color w:val="000000"/>
          <w:u w:val="single"/>
        </w:rPr>
        <w:t>    </w:t>
      </w:r>
    </w:p>
    <w:p>
      <w:pPr>
        <w:pStyle w:val="TextBody"/>
        <w:bidi w:val="0"/>
        <w:spacing w:lineRule="auto" w:line="288" w:before="0" w:after="10"/>
        <w:ind w:left="0" w:right="0" w:hanging="719"/>
        <w:jc w:val="left"/>
        <w:rPr/>
      </w:pPr>
      <w:r>
        <w:rPr>
          <w:rFonts w:ascii="Times New Roman;serif" w:hAnsi="Times New Roman;serif"/>
          <w:b w:val="false"/>
          <w:color w:val="000000"/>
          <w:sz w:val="24"/>
        </w:rPr>
        <w:t>1.    Consolidated Cash Interest Expense</w:t>
      </w:r>
      <w:hyperlink w:anchor="i3ded4e6fee5848e0851cef8a13756b7e_81">
        <w:r>
          <w:rPr>
            <w:rStyle w:val="InternetLink"/>
            <w:rFonts w:ascii="Times New Roman;serif" w:hAnsi="Times New Roman;serif"/>
            <w:b w:val="false"/>
            <w:strike w:val="false"/>
            <w:dstrike w:val="false"/>
            <w:color w:val="000000"/>
            <w:sz w:val="16"/>
            <w:u w:val="none"/>
            <w:effect w:val="none"/>
          </w:rPr>
          <w:t>1</w:t>
        </w:r>
      </w:hyperlink>
      <w:r>
        <w:rPr>
          <w:color w:val="000000"/>
        </w:rPr>
        <w:t xml:space="preserve"> </w:t>
      </w:r>
      <w:r>
        <w:rPr>
          <w:rFonts w:ascii="Times New Roman;serif" w:hAnsi="Times New Roman;serif"/>
          <w:b w:val="false"/>
          <w:color w:val="000000"/>
          <w:sz w:val="24"/>
        </w:rPr>
        <w:t>of the Restricted</w:t>
      </w:r>
    </w:p>
    <w:tbl>
      <w:tblPr>
        <w:tblW w:w="10205" w:type="dxa"/>
        <w:jc w:val="left"/>
        <w:tblInd w:w="0" w:type="dxa"/>
        <w:tblLayout w:type="fixed"/>
        <w:tblCellMar>
          <w:top w:w="28" w:type="dxa"/>
          <w:left w:w="28" w:type="dxa"/>
          <w:bottom w:w="28" w:type="dxa"/>
          <w:right w:w="28" w:type="dxa"/>
        </w:tblCellMar>
      </w:tblPr>
      <w:tblGrid>
        <w:gridCol w:w="5616"/>
        <w:gridCol w:w="2031"/>
        <w:gridCol w:w="2045"/>
        <w:gridCol w:w="149"/>
        <w:gridCol w:w="149"/>
        <w:gridCol w:w="215"/>
      </w:tblGrid>
      <w:tr>
        <w:trPr/>
        <w:tc>
          <w:tcPr>
            <w:tcW w:w="5616" w:type="dxa"/>
            <w:tcBorders/>
            <w:vAlign w:val="center"/>
          </w:tcPr>
          <w:p>
            <w:pPr>
              <w:pStyle w:val="TableContents"/>
              <w:bidi w:val="0"/>
              <w:spacing w:before="0" w:after="283"/>
              <w:jc w:val="left"/>
              <w:rPr>
                <w:sz w:val="4"/>
                <w:szCs w:val="4"/>
              </w:rPr>
            </w:pPr>
            <w:r>
              <w:rPr>
                <w:sz w:val="4"/>
                <w:szCs w:val="4"/>
              </w:rPr>
            </w:r>
          </w:p>
        </w:tc>
        <w:tc>
          <w:tcPr>
            <w:tcW w:w="2031"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tLeast" w:line="266" w:before="0" w:after="0"/>
              <w:jc w:val="left"/>
              <w:rPr/>
            </w:pPr>
            <w:r>
              <w:rPr>
                <w:rFonts w:ascii="Times New Roman;serif" w:hAnsi="Times New Roman;serif"/>
                <w:b w:val="false"/>
                <w:color w:val="000000"/>
                <w:sz w:val="24"/>
              </w:rPr>
              <w:t xml:space="preserve">Group, </w:t>
            </w:r>
            <w:r>
              <w:rPr>
                <w:rFonts w:ascii="Times New Roman;serif" w:hAnsi="Times New Roman;serif"/>
                <w:b w:val="false"/>
                <w:i/>
                <w:color w:val="000000"/>
                <w:sz w:val="24"/>
              </w:rPr>
              <w:t>minus</w:t>
            </w:r>
          </w:p>
        </w:tc>
        <w:tc>
          <w:tcPr>
            <w:tcW w:w="513" w:type="dxa"/>
            <w:gridSpan w:val="3"/>
            <w:tcBorders/>
            <w:tcMar>
              <w:top w:w="0" w:type="dxa"/>
              <w:left w:w="0" w:type="dxa"/>
              <w:bottom w:w="0" w:type="dxa"/>
              <w:right w:w="0" w:type="dxa"/>
            </w:tcMar>
            <w:vAlign w:val="center"/>
          </w:tcPr>
          <w:p>
            <w:pPr>
              <w:pStyle w:val="TableContents"/>
              <w:bidi w:val="0"/>
              <w:spacing w:lineRule="atLeast" w:line="266" w:before="0" w:after="0"/>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115" w:after="283"/>
              <w:ind w:left="0" w:right="0" w:hanging="720"/>
              <w:jc w:val="both"/>
              <w:rPr/>
            </w:pPr>
            <w:r>
              <w:rPr>
                <w:rFonts w:ascii="Times New Roman;serif" w:hAnsi="Times New Roman;serif"/>
                <w:b w:val="false"/>
                <w:color w:val="000000"/>
                <w:sz w:val="24"/>
              </w:rPr>
              <w:t xml:space="preserve">2. amortization of deferred financing costs, debt issuance costs, commissions, fees and expenses and any other amounts of non-cash interest (including as a result of the effects of acquisition method accounting or pushdown accounting), </w:t>
            </w:r>
            <w:r>
              <w:rPr>
                <w:rFonts w:ascii="Times New Roman;serif" w:hAnsi="Times New Roman;serif"/>
                <w:b w:val="false"/>
                <w:i/>
                <w:color w:val="000000"/>
                <w:sz w:val="24"/>
              </w:rPr>
              <w:t>minus</w:t>
            </w:r>
          </w:p>
        </w:tc>
        <w:tc>
          <w:tcPr>
            <w:tcW w:w="5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15" w:after="283"/>
              <w:jc w:val="left"/>
              <w:rPr/>
            </w:pPr>
            <w:r>
              <w:rPr/>
            </w:r>
          </w:p>
          <w:p>
            <w:pPr>
              <w:pStyle w:val="TableContents"/>
              <w:bidi w:val="0"/>
              <w:spacing w:lineRule="auto" w:line="288" w:before="0" w:after="0"/>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115" w:after="283"/>
              <w:ind w:left="0" w:right="0" w:hanging="720"/>
              <w:jc w:val="both"/>
              <w:rPr/>
            </w:pPr>
            <w:r>
              <w:rPr>
                <w:rFonts w:ascii="Times New Roman;serif" w:hAnsi="Times New Roman;serif"/>
                <w:b w:val="false"/>
                <w:color w:val="000000"/>
                <w:sz w:val="24"/>
              </w:rPr>
              <w:t xml:space="preserve">3. interest expense attributable to the movement of the mark-to-market valuation of obligations under Swap Obligations or other derivative instruments, </w:t>
            </w:r>
            <w:r>
              <w:rPr>
                <w:rFonts w:ascii="Times New Roman;serif" w:hAnsi="Times New Roman;serif"/>
                <w:b w:val="false"/>
                <w:i/>
                <w:color w:val="000000"/>
                <w:sz w:val="24"/>
              </w:rPr>
              <w:t>minus</w:t>
            </w:r>
          </w:p>
        </w:tc>
        <w:tc>
          <w:tcPr>
            <w:tcW w:w="5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14" w:after="283"/>
              <w:jc w:val="left"/>
              <w:rPr/>
            </w:pPr>
            <w:r>
              <w:rPr/>
            </w:r>
          </w:p>
          <w:p>
            <w:pPr>
              <w:pStyle w:val="TableContents"/>
              <w:bidi w:val="0"/>
              <w:spacing w:lineRule="auto" w:line="288" w:before="1" w:after="283"/>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115" w:after="283"/>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 costs associated with incurring or terminating Swap Contracts and cash costs associated with breakage in respect of hedging agreements for interest rates,</w:t>
            </w:r>
          </w:p>
        </w:tc>
        <w:tc>
          <w:tcPr>
            <w:tcW w:w="5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114" w:after="283"/>
              <w:jc w:val="left"/>
              <w:rPr/>
            </w:pPr>
            <w:r>
              <w:rPr/>
            </w:r>
          </w:p>
          <w:p>
            <w:pPr>
              <w:pStyle w:val="TableContents"/>
              <w:bidi w:val="0"/>
              <w:spacing w:lineRule="auto" w:line="288" w:before="1" w:after="283"/>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115" w:after="283"/>
              <w:ind w:left="0" w:right="0" w:hanging="720"/>
              <w:jc w:val="both"/>
              <w:rPr/>
            </w:pPr>
            <w:r>
              <w:rPr>
                <w:rFonts w:ascii="Times New Roman;serif" w:hAnsi="Times New Roman;serif"/>
                <w:b w:val="false"/>
                <w:color w:val="000000"/>
                <w:sz w:val="24"/>
              </w:rPr>
              <w:t xml:space="preserve">5. commissions, discounts, yield, make-whole premium and other fees and charges (including any interest expense) incurred in connection with any non-recourse Indebtedness, </w:t>
            </w:r>
            <w:r>
              <w:rPr>
                <w:rFonts w:ascii="Times New Roman;serif" w:hAnsi="Times New Roman;serif"/>
                <w:b w:val="false"/>
                <w:i/>
                <w:color w:val="000000"/>
                <w:sz w:val="24"/>
              </w:rPr>
              <w:t>minus</w:t>
            </w:r>
          </w:p>
        </w:tc>
        <w:tc>
          <w:tcPr>
            <w:tcW w:w="51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114" w:after="283"/>
              <w:jc w:val="left"/>
              <w:rPr/>
            </w:pPr>
            <w:r>
              <w:rPr/>
            </w:r>
          </w:p>
          <w:p>
            <w:pPr>
              <w:pStyle w:val="TableContents"/>
              <w:bidi w:val="0"/>
              <w:spacing w:lineRule="auto" w:line="288" w:before="1" w:after="283"/>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88" w:before="115" w:after="283"/>
              <w:ind w:left="0" w:right="0" w:hanging="720"/>
              <w:jc w:val="left"/>
              <w:rPr/>
            </w:pPr>
            <w:r>
              <w:rPr>
                <w:rFonts w:ascii="Times New Roman;serif" w:hAnsi="Times New Roman;serif"/>
                <w:b w:val="false"/>
                <w:color w:val="000000"/>
                <w:sz w:val="24"/>
              </w:rPr>
              <w:t xml:space="preserve">6.    “additional interest” owing pursuant to a registration rights agreement with respect to any securities, </w:t>
            </w:r>
            <w:r>
              <w:rPr>
                <w:rFonts w:ascii="Times New Roman;serif" w:hAnsi="Times New Roman;serif"/>
                <w:b w:val="false"/>
                <w:i/>
                <w:color w:val="000000"/>
                <w:sz w:val="24"/>
              </w:rPr>
              <w:t>minus</w:t>
            </w:r>
          </w:p>
        </w:tc>
        <w:tc>
          <w:tcPr>
            <w:tcW w:w="513" w:type="dxa"/>
            <w:gridSpan w:val="3"/>
            <w:tcBorders/>
            <w:tcMar>
              <w:top w:w="0" w:type="dxa"/>
              <w:left w:w="0" w:type="dxa"/>
              <w:bottom w:w="0" w:type="dxa"/>
              <w:right w:w="0" w:type="dxa"/>
            </w:tcMar>
            <w:vAlign w:val="center"/>
          </w:tcPr>
          <w:p>
            <w:pPr>
              <w:pStyle w:val="TableContents"/>
              <w:bidi w:val="0"/>
              <w:spacing w:before="114" w:after="283"/>
              <w:jc w:val="left"/>
              <w:rPr/>
            </w:pPr>
            <w:r>
              <w:rPr/>
            </w:r>
          </w:p>
          <w:p>
            <w:pPr>
              <w:pStyle w:val="TableContents"/>
              <w:bidi w:val="0"/>
              <w:spacing w:lineRule="auto" w:line="288" w:before="1" w:after="283"/>
              <w:jc w:val="right"/>
              <w:rPr/>
            </w:pPr>
            <w:r>
              <w:rPr>
                <w:rFonts w:ascii="Times New Roman;serif" w:hAnsi="Times New Roman;serif"/>
                <w:b w:val="false"/>
                <w:color w:val="000000"/>
                <w:sz w:val="24"/>
              </w:rPr>
              <w:t>$</w:t>
            </w:r>
            <w:r>
              <w:rPr>
                <w:color w:val="000000"/>
                <w:u w:val="single"/>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314" w:before="95" w:after="283"/>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7.    any payments with respect to make-whole premiums or other breakage    costs    of    any    Indebtedness,    including    any</w:t>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213" w:after="283"/>
        <w:jc w:val="left"/>
        <w:rPr/>
      </w:pPr>
      <w:r>
        <w:rPr/>
        <w:drawing>
          <wp:inline distT="0" distB="0" distL="0" distR="0">
            <wp:extent cx="1828800" cy="14605"/>
            <wp:effectExtent l="0" t="0" r="0" b="0"/>
            <wp:docPr id="39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Image10" descr=""/>
                    <pic:cNvPicPr>
                      <a:picLocks noChangeAspect="1" noChangeArrowheads="1"/>
                    </pic:cNvPicPr>
                  </pic:nvPicPr>
                  <pic:blipFill>
                    <a:blip r:embed="rId11"/>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1" w:after="283"/>
        <w:ind w:left="0" w:right="0" w:hanging="1"/>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with respect to any Person for any period, without duplication, the cash interest expense (including that attributable to any Capitalized Lease Obligation),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w:t>
      </w:r>
    </w:p>
    <w:p>
      <w:pPr>
        <w:pStyle w:val="TextBody"/>
        <w:bidi w:val="0"/>
        <w:spacing w:before="0" w:after="0"/>
        <w:jc w:val="left"/>
        <w:rPr/>
      </w:pPr>
      <w:r>
        <w:rPr/>
      </w:r>
    </w:p>
    <w:p>
      <w:pPr>
        <w:pStyle w:val="TextBody"/>
        <w:bidi w:val="0"/>
        <w:spacing w:lineRule="auto" w:line="288" w:before="1" w:after="283"/>
        <w:jc w:val="both"/>
        <w:rPr>
          <w:rFonts w:ascii="Times New Roman;serif" w:hAnsi="Times New Roman;serif"/>
          <w:b w:val="false"/>
          <w:color w:val="000000"/>
          <w:sz w:val="20"/>
        </w:rPr>
      </w:pPr>
      <w:r>
        <w:rPr>
          <w:rFonts w:ascii="Times New Roman;serif" w:hAnsi="Times New Roman;serif"/>
          <w:b w:val="false"/>
          <w:color w:val="000000"/>
          <w:sz w:val="20"/>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6480175" cy="175260"/>
                <wp:effectExtent l="0" t="0" r="0" b="0"/>
                <wp:wrapNone/>
                <wp:docPr id="391" name="Frame3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both"/>
        <w:rPr>
          <w:rFonts w:ascii="Times New Roman;serif" w:hAnsi="Times New Roman;serif"/>
          <w:b w:val="false"/>
          <w:color w:val="000000"/>
          <w:sz w:val="24"/>
        </w:rPr>
      </w:pPr>
      <w:r>
        <w:rPr>
          <w:rFonts w:ascii="Times New Roman;serif" w:hAnsi="Times New Roman;serif"/>
          <w:b w:val="false"/>
          <w:color w:val="000000"/>
          <w:sz w:val="24"/>
        </w:rPr>
        <w:t>Indebtedness issued in connection with the Transactions,</w:t>
      </w:r>
    </w:p>
    <w:p>
      <w:pPr>
        <w:pStyle w:val="TextBody"/>
        <w:bidi w:val="0"/>
        <w:spacing w:lineRule="auto" w:line="288" w:before="0" w:after="0"/>
        <w:jc w:val="both"/>
        <w:rPr/>
      </w:pPr>
      <w:r>
        <w:rPr>
          <w:rFonts w:ascii="Times New Roman;serif" w:hAnsi="Times New Roman;serif"/>
          <w:b w:val="false"/>
          <w:i/>
          <w:color w:val="000000"/>
          <w:sz w:val="24"/>
        </w:rPr>
        <w:t>minus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19"/>
        <w:jc w:val="left"/>
        <w:rPr/>
      </w:pPr>
      <w:r>
        <w:rPr>
          <w:rFonts w:ascii="Times New Roman;serif" w:hAnsi="Times New Roman;serif"/>
          <w:b w:val="false"/>
          <w:color w:val="000000"/>
          <w:sz w:val="24"/>
        </w:rPr>
        <w:t xml:space="preserve">8.    penalties and interest relating to Taxes, </w:t>
      </w:r>
      <w:r>
        <w:rPr>
          <w:rFonts w:ascii="Times New Roman;serif" w:hAnsi="Times New Roman;serif"/>
          <w:b w:val="false"/>
          <w:i/>
          <w:color w:val="000000"/>
          <w:sz w:val="24"/>
        </w:rPr>
        <w:t>minus    </w:t>
      </w:r>
      <w:r>
        <w:rPr>
          <w:rFonts w:ascii="Times New Roman;serif" w:hAnsi="Times New Roman;serif"/>
          <w:b w:val="false"/>
          <w:color w:val="000000"/>
          <w:sz w:val="24"/>
        </w:rPr>
        <w:t>$</w:t>
      </w:r>
      <w:r>
        <w:rPr>
          <w:color w:val="000000"/>
          <w:u w:val="single"/>
        </w:rPr>
        <w:t>    </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9.    accretion or accrual of discounted liabilities not constituting</w:t>
      </w:r>
    </w:p>
    <w:p>
      <w:pPr>
        <w:pStyle w:val="TextBody"/>
        <w:bidi w:val="0"/>
        <w:spacing w:lineRule="auto" w:line="288" w:before="0" w:after="0"/>
        <w:jc w:val="both"/>
        <w:rPr/>
      </w:pPr>
      <w:r>
        <w:rPr>
          <w:rFonts w:ascii="Times New Roman;serif" w:hAnsi="Times New Roman;serif"/>
          <w:b w:val="false"/>
          <w:color w:val="000000"/>
          <w:sz w:val="24"/>
        </w:rPr>
        <w:t>Indebtedness,    $</w:t>
      </w:r>
      <w:r>
        <w:rPr>
          <w:color w:val="000000"/>
          <w:u w:val="single"/>
        </w:rPr>
        <w:t xml:space="preserve"> </w:t>
      </w:r>
    </w:p>
    <w:p>
      <w:pPr>
        <w:pStyle w:val="TextBody"/>
        <w:bidi w:val="0"/>
        <w:spacing w:lineRule="auto" w:line="288" w:before="0" w:after="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10.    interest expense attributable to the Company resulting from</w:t>
      </w:r>
    </w:p>
    <w:p>
      <w:pPr>
        <w:pStyle w:val="TextBody"/>
        <w:bidi w:val="0"/>
        <w:spacing w:lineRule="auto" w:line="288" w:before="0" w:after="0"/>
        <w:jc w:val="both"/>
        <w:rPr/>
      </w:pPr>
      <w:r>
        <w:rPr>
          <w:rFonts w:ascii="Times New Roman;serif" w:hAnsi="Times New Roman;serif"/>
          <w:b w:val="false"/>
          <w:color w:val="000000"/>
          <w:sz w:val="24"/>
        </w:rPr>
        <w:t xml:space="preserve">push-down accounting, </w:t>
      </w:r>
      <w:r>
        <w:rPr>
          <w:rFonts w:ascii="Times New Roman;serif" w:hAnsi="Times New Roman;serif"/>
          <w:b w:val="false"/>
          <w:i/>
          <w:color w:val="000000"/>
          <w:sz w:val="24"/>
        </w:rPr>
        <w:t>minus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11.    any expense resulting from the discounting of Indebtedness in connection with the application of recapitalization or</w:t>
      </w:r>
    </w:p>
    <w:p>
      <w:pPr>
        <w:pStyle w:val="TextBody"/>
        <w:bidi w:val="0"/>
        <w:spacing w:lineRule="auto" w:line="288" w:before="0" w:after="0"/>
        <w:jc w:val="both"/>
        <w:rPr/>
      </w:pPr>
      <w:r>
        <w:rPr>
          <w:rFonts w:ascii="Times New Roman;serif" w:hAnsi="Times New Roman;serif"/>
          <w:b w:val="false"/>
          <w:color w:val="000000"/>
          <w:sz w:val="24"/>
        </w:rPr>
        <w:t xml:space="preserve">purchase accounting, </w:t>
      </w:r>
      <w:r>
        <w:rPr>
          <w:rFonts w:ascii="Times New Roman;serif" w:hAnsi="Times New Roman;serif"/>
          <w:b w:val="false"/>
          <w:i/>
          <w:color w:val="000000"/>
          <w:sz w:val="24"/>
        </w:rPr>
        <w:t>minus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12.    any interest expense attributable to the exercise of appraisal rights and the settlement of any claims or actions (whether actual, contingent or potential) with respect thereto in connection with the Transactions or any acquisition or</w:t>
      </w:r>
    </w:p>
    <w:p>
      <w:pPr>
        <w:pStyle w:val="TextBody"/>
        <w:bidi w:val="0"/>
        <w:spacing w:lineRule="auto" w:line="288" w:before="0" w:after="0"/>
        <w:jc w:val="both"/>
        <w:rPr/>
      </w:pPr>
      <w:r>
        <w:rPr>
          <w:rFonts w:ascii="Times New Roman;serif" w:hAnsi="Times New Roman;serif"/>
          <w:b w:val="false"/>
          <w:color w:val="000000"/>
          <w:sz w:val="24"/>
        </w:rPr>
        <w:t xml:space="preserve">Investment, </w:t>
      </w:r>
      <w:r>
        <w:rPr>
          <w:rFonts w:ascii="Times New Roman;serif" w:hAnsi="Times New Roman;serif"/>
          <w:b w:val="false"/>
          <w:i/>
          <w:color w:val="000000"/>
          <w:sz w:val="24"/>
        </w:rPr>
        <w:t>minus    </w:t>
      </w:r>
      <w:r>
        <w:rPr>
          <w:rFonts w:ascii="Times New Roman;serif" w:hAnsi="Times New Roman;serif"/>
          <w:b w:val="false"/>
          <w:color w:val="000000"/>
          <w:sz w:val="24"/>
        </w:rPr>
        <w:t>$</w:t>
      </w:r>
      <w:r>
        <w:rPr>
          <w:color w:val="000000"/>
          <w:u w:val="single"/>
        </w:rPr>
        <w:t xml:space="preserve"> </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13.    annual agency fees paid to any trustees, administrative agents and collateral agents with respect to any secured or unsecured loans, debt facilities, debentures, bonds, commercial paper facilities or other forms of Indebtedness (including any security or collateral trust arrangements</w:t>
      </w:r>
    </w:p>
    <w:p>
      <w:pPr>
        <w:pStyle w:val="TextBody"/>
        <w:bidi w:val="0"/>
        <w:spacing w:lineRule="auto" w:line="520" w:before="0" w:after="0"/>
        <w:ind w:left="0" w:right="0" w:firstLine="1440"/>
        <w:jc w:val="right"/>
        <w:rPr/>
      </w:pPr>
      <w:r>
        <w:rPr>
          <w:rFonts w:ascii="Times New Roman;serif" w:hAnsi="Times New Roman;serif"/>
          <w:b w:val="false"/>
          <w:color w:val="000000"/>
          <w:sz w:val="24"/>
        </w:rPr>
        <w:t>related thereto), including the Senior Secured Notes.    $</w:t>
      </w:r>
      <w:r>
        <w:rPr>
          <w:color w:val="000000"/>
          <w:u w:val="single"/>
        </w:rPr>
        <w:t>    </w:t>
      </w:r>
      <w:r>
        <w:rPr>
          <w:color w:val="000000"/>
        </w:rPr>
        <w:t xml:space="preserve"> </w:t>
      </w:r>
      <w:r>
        <w:rPr>
          <w:rFonts w:ascii="Times New Roman;serif" w:hAnsi="Times New Roman;serif"/>
          <w:b w:val="false"/>
          <w:color w:val="000000"/>
          <w:sz w:val="24"/>
        </w:rPr>
        <w:t>Total Consolidated Cash Interest Expense    $</w:t>
      </w:r>
      <w:r>
        <w:rPr>
          <w:color w:val="000000"/>
          <w:u w:val="single"/>
        </w:rPr>
        <w:t>    </w:t>
      </w:r>
    </w:p>
    <w:p>
      <w:pPr>
        <w:pStyle w:val="TextBody"/>
        <w:bidi w:val="0"/>
        <w:spacing w:lineRule="auto" w:line="288" w:before="240" w:after="283"/>
        <w:ind w:left="0" w:right="0" w:hanging="720"/>
        <w:jc w:val="right"/>
        <w:rPr/>
      </w:pPr>
      <w:r>
        <w:rPr>
          <w:rFonts w:ascii="Times New Roman;serif" w:hAnsi="Times New Roman;serif"/>
          <w:b w:val="false"/>
          <w:color w:val="000000"/>
          <w:sz w:val="24"/>
        </w:rPr>
        <w:t>D.    Consolidated Interest Coverage Ratio    </w:t>
      </w:r>
      <w:r>
        <w:rPr>
          <w:color w:val="000000"/>
          <w:u w:val="single"/>
        </w:rPr>
        <w:t>    </w:t>
      </w:r>
      <w:r>
        <w:rPr>
          <w:rFonts w:ascii="Times New Roman;serif" w:hAnsi="Times New Roman;serif"/>
          <w:b w:val="false"/>
          <w:color w:val="000000"/>
          <w:sz w:val="24"/>
        </w:rPr>
        <w:t>: 1:00</w:t>
      </w:r>
    </w:p>
    <w:p>
      <w:pPr>
        <w:pStyle w:val="TextBody"/>
        <w:bidi w:val="0"/>
        <w:spacing w:before="0" w:after="0"/>
        <w:jc w:val="left"/>
        <w:rPr/>
      </w:pPr>
      <w:r>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480175" cy="175260"/>
                <wp:effectExtent l="0" t="0" r="0" b="0"/>
                <wp:wrapNone/>
                <wp:docPr id="392" name="Frame3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right"/>
        <w:rPr/>
      </w:pPr>
      <w:r>
        <w:rPr/>
      </w:r>
    </w:p>
    <w:p>
      <w:pPr>
        <w:pStyle w:val="TextBody"/>
        <w:bidi w:val="0"/>
        <w:spacing w:lineRule="auto" w:line="288" w:before="79" w:after="283"/>
        <w:jc w:val="center"/>
        <w:rPr>
          <w:rFonts w:ascii="Times New Roman;serif" w:hAnsi="Times New Roman;serif"/>
          <w:b w:val="false"/>
          <w:color w:val="000000"/>
          <w:sz w:val="24"/>
        </w:rPr>
      </w:pPr>
      <w:r>
        <w:rPr>
          <w:rFonts w:ascii="Times New Roman;serif" w:hAnsi="Times New Roman;serif"/>
          <w:b w:val="false"/>
          <w:color w:val="000000"/>
          <w:sz w:val="24"/>
        </w:rPr>
        <w:t>[SCHEDULE [3]]</w:t>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t>to the Compliance Certificate (Supplements to Schedule 5.12 to the Credit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6480175" cy="175260"/>
                <wp:effectExtent l="0" t="0" r="0" b="0"/>
                <wp:wrapNone/>
                <wp:docPr id="393" name="Frame3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center"/>
        <w:rPr>
          <w:rFonts w:ascii="Times New Roman;serif" w:hAnsi="Times New Roman;serif"/>
          <w:b w:val="false"/>
          <w:color w:val="000000"/>
          <w:sz w:val="24"/>
        </w:rPr>
      </w:pPr>
      <w:r>
        <w:rPr>
          <w:rFonts w:ascii="Times New Roman;serif" w:hAnsi="Times New Roman;serif"/>
          <w:b w:val="false"/>
          <w:color w:val="000000"/>
          <w:sz w:val="24"/>
        </w:rPr>
        <w:t>[SCHEDULE [3][4]]</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to the Compliance Certificate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(Supplements to Schedules I, II, III and IV of the Security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6480175" cy="175260"/>
                <wp:effectExtent l="0" t="0" r="0" b="0"/>
                <wp:wrapNone/>
                <wp:docPr id="394" name="Frame3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right"/>
        <w:rPr>
          <w:rFonts w:ascii="Times New Roman;serif" w:hAnsi="Times New Roman;serif"/>
          <w:b/>
          <w:color w:val="000000"/>
          <w:sz w:val="24"/>
        </w:rPr>
      </w:pPr>
      <w:r>
        <w:rPr>
          <w:rFonts w:ascii="Times New Roman;serif" w:hAnsi="Times New Roman;serif"/>
          <w:b/>
          <w:color w:val="000000"/>
          <w:sz w:val="24"/>
        </w:rPr>
        <w:t>EXHIBIT D-1</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FORM OF ASSIGNMENT AND ASSUMPTION</w:t>
      </w:r>
    </w:p>
    <w:p>
      <w:pPr>
        <w:pStyle w:val="TextBody"/>
        <w:bidi w:val="0"/>
        <w:spacing w:lineRule="auto" w:line="288" w:before="240" w:after="283"/>
        <w:jc w:val="both"/>
        <w:rPr/>
      </w:pPr>
      <w:r>
        <w:rPr>
          <w:rFonts w:ascii="Times New Roman;serif" w:hAnsi="Times New Roman;serif"/>
          <w:b w:val="false"/>
          <w:color w:val="000000"/>
          <w:sz w:val="24"/>
        </w:rPr>
        <w:t>This Assignment and Assumption (this “</w:t>
      </w:r>
      <w:r>
        <w:rPr>
          <w:rFonts w:ascii="Times New Roman;serif" w:hAnsi="Times New Roman;serif"/>
          <w:b/>
          <w:color w:val="000000"/>
          <w:sz w:val="24"/>
        </w:rPr>
        <w:t>Assignment and Assumption</w:t>
      </w:r>
      <w:r>
        <w:rPr>
          <w:color w:val="000000"/>
        </w:rPr>
        <w:t>”</w:t>
      </w:r>
      <w:r>
        <w:rPr>
          <w:rFonts w:ascii="Times New Roman;serif" w:hAnsi="Times New Roman;serif"/>
          <w:b w:val="false"/>
          <w:color w:val="000000"/>
          <w:sz w:val="24"/>
        </w:rPr>
        <w:t>) is dated as of the Effective Date set forth below and is entered into by and between [</w:t>
      </w:r>
      <w:r>
        <w:rPr>
          <w:rFonts w:ascii="Times New Roman;serif" w:hAnsi="Times New Roman;serif"/>
          <w:b w:val="false"/>
          <w:i/>
          <w:color w:val="000000"/>
          <w:sz w:val="24"/>
        </w:rPr>
        <w:t>Insert name of Assignor</w:t>
      </w:r>
      <w:r>
        <w:rPr>
          <w:rFonts w:ascii="Times New Roman;serif" w:hAnsi="Times New Roman;serif"/>
          <w:b w:val="false"/>
          <w:color w:val="000000"/>
          <w:sz w:val="24"/>
        </w:rPr>
        <w:t>] (the “</w:t>
      </w:r>
      <w:r>
        <w:rPr>
          <w:rFonts w:ascii="Times New Roman;serif" w:hAnsi="Times New Roman;serif"/>
          <w:b/>
          <w:color w:val="000000"/>
          <w:sz w:val="24"/>
        </w:rPr>
        <w:t>Assignor</w:t>
      </w:r>
      <w:r>
        <w:rPr>
          <w:color w:val="000000"/>
        </w:rPr>
        <w:t>”</w:t>
      </w:r>
      <w:r>
        <w:rPr>
          <w:rFonts w:ascii="Times New Roman;serif" w:hAnsi="Times New Roman;serif"/>
          <w:b w:val="false"/>
          <w:color w:val="000000"/>
          <w:sz w:val="24"/>
        </w:rPr>
        <w:t>) and [</w:t>
      </w:r>
      <w:r>
        <w:rPr>
          <w:rFonts w:ascii="Times New Roman;serif" w:hAnsi="Times New Roman;serif"/>
          <w:b w:val="false"/>
          <w:i/>
          <w:color w:val="000000"/>
          <w:sz w:val="24"/>
        </w:rPr>
        <w:t>Insert name of Assignee</w:t>
      </w:r>
      <w:r>
        <w:rPr>
          <w:rFonts w:ascii="Times New Roman;serif" w:hAnsi="Times New Roman;serif"/>
          <w:b w:val="false"/>
          <w:color w:val="000000"/>
          <w:sz w:val="24"/>
        </w:rPr>
        <w:t>] (the “</w:t>
      </w:r>
      <w:r>
        <w:rPr>
          <w:rFonts w:ascii="Times New Roman;serif" w:hAnsi="Times New Roman;serif"/>
          <w:b/>
          <w:color w:val="000000"/>
          <w:sz w:val="24"/>
        </w:rPr>
        <w:t>Assignee</w:t>
      </w:r>
      <w:r>
        <w:rPr>
          <w:color w:val="000000"/>
        </w:rPr>
        <w:t>”</w:t>
      </w:r>
      <w:r>
        <w:rPr>
          <w:rFonts w:ascii="Times New Roman;serif" w:hAnsi="Times New Roman;serif"/>
          <w:b w:val="false"/>
          <w:color w:val="000000"/>
          <w:sz w:val="24"/>
        </w:rPr>
        <w:t>). [It is understood and agreed that the rights and obligations of the [Assignors] [Assignees] hereunder are several and not joint.] Capitalized terms used but not defined herein shall have the meanings given to them in the Credit Agreement identified below (the “</w:t>
      </w:r>
      <w:r>
        <w:rPr>
          <w:rFonts w:ascii="Times New Roman;serif" w:hAnsi="Times New Roman;serif"/>
          <w:b/>
          <w:color w:val="000000"/>
          <w:sz w:val="24"/>
        </w:rPr>
        <w:t>Credit Agreement</w:t>
      </w:r>
      <w:r>
        <w:rPr>
          <w:color w:val="000000"/>
        </w:rPr>
        <w:t>”</w:t>
      </w:r>
      <w:r>
        <w:rPr>
          <w:rFonts w:ascii="Times New Roman;serif" w:hAnsi="Times New Roman;serif"/>
          <w:b w:val="false"/>
          <w:color w:val="000000"/>
          <w:sz w:val="24"/>
        </w:rPr>
        <w:t>), receipt of a copy of which is hereby acknowledged by the Assignee. The Standard Terms and Conditions for Assignment and Assumption set forth in Annex 1 attached hereto are hereby agreed to and incorporated herein by reference and made a part of this Assignment and Assumption as if set forth herein in full.</w:t>
      </w:r>
    </w:p>
    <w:p>
      <w:pPr>
        <w:pStyle w:val="TextBody"/>
        <w:bidi w:val="0"/>
        <w:spacing w:lineRule="auto" w:line="288" w:before="240" w:after="283"/>
        <w:jc w:val="both"/>
        <w:rPr/>
      </w:pPr>
      <w:r>
        <w:rPr>
          <w:rFonts w:ascii="Times New Roman;serif" w:hAnsi="Times New Roman;serif"/>
          <w:b w:val="false"/>
          <w:color w:val="000000"/>
          <w:sz w:val="24"/>
        </w:rPr>
        <w:t>For an agreed consideration, the Assignor hereby irrevocably sells and assigns to the Assignee, and the Assignee hereby irrevocably purchases and assumes from the Assignor, subject to and in accordance with the Standard Terms and Conditions for Assignment and Assumption and the Credit Agreement, as of the Effective Date inserted by the Administrative Agent as contemplated below (the “</w:t>
      </w:r>
      <w:r>
        <w:rPr>
          <w:rFonts w:ascii="Times New Roman;serif" w:hAnsi="Times New Roman;serif"/>
          <w:b/>
          <w:color w:val="000000"/>
          <w:sz w:val="24"/>
        </w:rPr>
        <w:t>Effective Date</w:t>
      </w:r>
      <w:r>
        <w:rPr>
          <w:color w:val="000000"/>
        </w:rPr>
        <w:t>”</w:t>
      </w:r>
      <w:r>
        <w:rPr>
          <w:rFonts w:ascii="Times New Roman;serif" w:hAnsi="Times New Roman;serif"/>
          <w:b w:val="false"/>
          <w:color w:val="000000"/>
          <w:sz w:val="24"/>
        </w:rPr>
        <w:t xml:space="preserve">) (i) all of the Assignor’s rights and obligations as a Lender under the Credit Agreement and any other documents or instruments delivered pursuant thereto to the extent related to the amount and percentage interest identified below of all of such outstanding rights and obligations of the Assignor under the respective facilities identified below (including, without limitation, Letters of Credit and Guarantees included in such facilities) and (ii)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above (the rights and obligations sold and assigned pursuant to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above being referred to herein collectively as, the “Assigned Interest”). Such sale and assignment is without recourse to the Assignor and, except as expressly provided in this Assignment and Assumption, without representation or warranty by the Assignor.</w:t>
      </w:r>
    </w:p>
    <w:p>
      <w:pPr>
        <w:pStyle w:val="TextBody"/>
        <w:bidi w:val="0"/>
        <w:spacing w:lineRule="auto" w:line="288" w:before="241" w:after="283"/>
        <w:ind w:left="0" w:right="0" w:hanging="719"/>
        <w:jc w:val="left"/>
        <w:rPr/>
      </w:pPr>
      <w:r>
        <w:rPr>
          <w:rFonts w:ascii="Times New Roman;serif" w:hAnsi="Times New Roman;serif"/>
          <w:b w:val="false"/>
          <w:color w:val="000000"/>
          <w:sz w:val="24"/>
        </w:rPr>
        <w:t xml:space="preserve">1.    Assignor: </w:t>
      </w:r>
      <w:r>
        <w:rPr>
          <w:color w:val="000000"/>
          <w:u w:val="single"/>
        </w:rPr>
        <w:t>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2.    Assignee: </w:t>
      </w:r>
      <w:r>
        <w:rPr>
          <w:color w:val="000000"/>
          <w:u w:val="single"/>
        </w:rPr>
        <w:t>    </w:t>
      </w:r>
      <w:r>
        <w:rPr>
          <w:color w:val="000000"/>
        </w:rPr>
        <w:t xml:space="preserve"> </w:t>
      </w:r>
      <w:r>
        <w:rPr>
          <w:rFonts w:ascii="Times New Roman;serif" w:hAnsi="Times New Roman;serif"/>
          <w:b w:val="false"/>
          <w:color w:val="000000"/>
          <w:sz w:val="24"/>
        </w:rPr>
        <w:t>[and is a Lender or an Affiliate/Approved Fund of [identify Lender]]</w:t>
      </w:r>
    </w:p>
    <w:p>
      <w:pPr>
        <w:pStyle w:val="TextBody"/>
        <w:bidi w:val="0"/>
        <w:spacing w:lineRule="auto" w:line="288" w:before="0" w:after="0"/>
        <w:ind w:left="0" w:right="0" w:hanging="719"/>
        <w:jc w:val="left"/>
        <w:rPr/>
      </w:pPr>
      <w:r>
        <w:rPr>
          <w:rFonts w:ascii="Times New Roman;serif" w:hAnsi="Times New Roman;serif"/>
          <w:b w:val="false"/>
          <w:color w:val="000000"/>
          <w:sz w:val="24"/>
        </w:rPr>
        <w:t>3.    Borrower: Embecta Corp., a Delaware corporation (the “</w:t>
      </w:r>
      <w:r>
        <w:rPr>
          <w:rFonts w:ascii="Times New Roman;serif" w:hAnsi="Times New Roman;serif"/>
          <w:b/>
          <w:color w:val="000000"/>
          <w:sz w:val="24"/>
        </w:rPr>
        <w:t>Borrower</w:t>
      </w:r>
      <w:r>
        <w:rPr>
          <w:color w:val="000000"/>
        </w:rPr>
        <w:t>”</w:t>
      </w:r>
      <w:r>
        <w:rPr>
          <w:rFonts w:ascii="Times New Roman;serif" w:hAnsi="Times New Roman;serif"/>
          <w:b w:val="false"/>
          <w:color w:val="000000"/>
          <w:sz w:val="24"/>
        </w:rPr>
        <w:t>)</w:t>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    Administrative Agent: Morgan Stanley Senior Funding, Inc., as the Administrative Agent under the Credit Agreement</w:t>
      </w:r>
    </w:p>
    <w:p>
      <w:pPr>
        <w:pStyle w:val="TextBody"/>
        <w:bidi w:val="0"/>
        <w:spacing w:lineRule="auto" w:line="288" w:before="240" w:after="283"/>
        <w:ind w:left="0" w:right="0" w:hanging="720"/>
        <w:jc w:val="both"/>
        <w:rPr/>
      </w:pPr>
      <w:r>
        <w:rPr>
          <w:rFonts w:ascii="Times New Roman;serif" w:hAnsi="Times New Roman;serif"/>
          <w:b w:val="false"/>
          <w:color w:val="000000"/>
          <w:sz w:val="24"/>
        </w:rPr>
        <w:t>5.    Credit Agreement: First Lien Credit Agreement, dated as of March 31, 2022 (as amended, amended and restated, supplemented or otherwise modified from time to time, the “</w:t>
      </w:r>
      <w:r>
        <w:rPr>
          <w:rFonts w:ascii="Times New Roman;serif" w:hAnsi="Times New Roman;serif"/>
          <w:b/>
          <w:color w:val="000000"/>
          <w:sz w:val="24"/>
        </w:rPr>
        <w:t>Credit Agreement</w:t>
      </w:r>
      <w:r>
        <w:rPr>
          <w:color w:val="000000"/>
        </w:rPr>
        <w:t>”</w:t>
      </w:r>
      <w:r>
        <w:rPr>
          <w:rFonts w:ascii="Times New Roman;serif" w:hAnsi="Times New Roman;serif"/>
          <w:b w:val="false"/>
          <w:color w:val="000000"/>
          <w:sz w:val="24"/>
        </w:rPr>
        <w:t>), among the Borrower, each lender from time to time party thereto, each L/C</w:t>
      </w:r>
    </w:p>
    <w:p>
      <w:pPr>
        <w:pStyle w:val="TextBody"/>
        <w:bidi w:val="0"/>
        <w:spacing w:before="0" w:after="0"/>
        <w:jc w:val="left"/>
        <w:rPr/>
      </w:pPr>
      <w:r>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6480175" cy="175260"/>
                <wp:effectExtent l="0" t="0" r="0" b="0"/>
                <wp:wrapNone/>
                <wp:docPr id="395" name="Frame3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hanging="720"/>
        <w:jc w:val="both"/>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Issuer party thereto, and Morgan Stanley Senior Funding, Inc., as Administrative Agent, Collateral Agent and an L/C Issuer</w:t>
      </w:r>
    </w:p>
    <w:p>
      <w:pPr>
        <w:pStyle w:val="TextBody"/>
        <w:bidi w:val="0"/>
        <w:spacing w:lineRule="auto" w:line="288" w:before="0" w:after="0"/>
        <w:ind w:left="0" w:right="0" w:hanging="719"/>
        <w:jc w:val="left"/>
        <w:rPr>
          <w:rFonts w:ascii="Times New Roman;serif" w:hAnsi="Times New Roman;serif"/>
          <w:b w:val="false"/>
          <w:color w:val="000000"/>
          <w:sz w:val="24"/>
        </w:rPr>
      </w:pPr>
      <w:r>
        <w:rPr>
          <w:rFonts w:ascii="Times New Roman;serif" w:hAnsi="Times New Roman;serif"/>
          <w:b w:val="false"/>
          <w:color w:val="000000"/>
          <w:sz w:val="24"/>
        </w:rPr>
        <w:t>6.    Assigned Interest:</w:t>
      </w:r>
    </w:p>
    <w:p>
      <w:pPr>
        <w:pStyle w:val="TextBody"/>
        <w:bidi w:val="0"/>
        <w:spacing w:before="11" w:after="283"/>
        <w:jc w:val="left"/>
        <w:rPr/>
      </w:pPr>
      <w:r>
        <w:rPr/>
      </w:r>
    </w:p>
    <w:tbl>
      <w:tblPr>
        <w:tblW w:w="10205" w:type="dxa"/>
        <w:jc w:val="left"/>
        <w:tblInd w:w="0" w:type="dxa"/>
        <w:tblLayout w:type="fixed"/>
        <w:tblCellMar>
          <w:top w:w="28" w:type="dxa"/>
          <w:left w:w="28" w:type="dxa"/>
          <w:bottom w:w="28" w:type="dxa"/>
          <w:right w:w="28" w:type="dxa"/>
        </w:tblCellMar>
      </w:tblPr>
      <w:tblGrid>
        <w:gridCol w:w="562"/>
        <w:gridCol w:w="479"/>
        <w:gridCol w:w="480"/>
        <w:gridCol w:w="540"/>
        <w:gridCol w:w="540"/>
        <w:gridCol w:w="545"/>
        <w:gridCol w:w="869"/>
        <w:gridCol w:w="869"/>
        <w:gridCol w:w="873"/>
        <w:gridCol w:w="719"/>
        <w:gridCol w:w="719"/>
        <w:gridCol w:w="722"/>
        <w:gridCol w:w="667"/>
        <w:gridCol w:w="667"/>
        <w:gridCol w:w="954"/>
      </w:tblGrid>
      <w:tr>
        <w:trPr/>
        <w:tc>
          <w:tcPr>
            <w:tcW w:w="562"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r>
      <w:tr>
        <w:trPr/>
        <w:tc>
          <w:tcPr>
            <w:tcW w:w="15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275" w:after="283"/>
              <w:ind w:left="0" w:right="0" w:firstLine="81"/>
              <w:jc w:val="left"/>
              <w:rPr>
                <w:rFonts w:ascii="Times New Roman;serif" w:hAnsi="Times New Roman;serif"/>
                <w:b w:val="false"/>
                <w:color w:val="000000"/>
                <w:sz w:val="24"/>
              </w:rPr>
            </w:pPr>
            <w:r>
              <w:rPr>
                <w:rFonts w:ascii="Times New Roman;serif" w:hAnsi="Times New Roman;serif"/>
                <w:b w:val="false"/>
                <w:color w:val="000000"/>
                <w:sz w:val="24"/>
              </w:rPr>
              <w:t>Facility Assigned</w:t>
            </w:r>
          </w:p>
        </w:tc>
        <w:tc>
          <w:tcPr>
            <w:tcW w:w="1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138" w:after="283"/>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Tranche</w:t>
            </w:r>
          </w:p>
        </w:tc>
        <w:tc>
          <w:tcPr>
            <w:tcW w:w="26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6" w:before="0" w:after="0"/>
              <w:ind w:left="0" w:right="0" w:hanging="5"/>
              <w:jc w:val="center"/>
              <w:rPr>
                <w:rFonts w:ascii="Times New Roman;serif" w:hAnsi="Times New Roman;serif"/>
                <w:b w:val="false"/>
                <w:color w:val="000000"/>
                <w:sz w:val="24"/>
              </w:rPr>
            </w:pPr>
            <w:r>
              <w:rPr>
                <w:rFonts w:ascii="Times New Roman;serif" w:hAnsi="Times New Roman;serif"/>
                <w:b w:val="false"/>
                <w:color w:val="000000"/>
                <w:sz w:val="24"/>
              </w:rPr>
              <w:t>Aggregate Amount of Commitment/Loans for all Lenders</w:t>
            </w:r>
          </w:p>
        </w:tc>
        <w:tc>
          <w:tcPr>
            <w:tcW w:w="21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138" w:after="283"/>
              <w:ind w:left="0" w:right="0" w:hanging="2"/>
              <w:jc w:val="center"/>
              <w:rPr>
                <w:rFonts w:ascii="Times New Roman;serif" w:hAnsi="Times New Roman;serif"/>
                <w:b w:val="false"/>
                <w:color w:val="000000"/>
                <w:sz w:val="24"/>
              </w:rPr>
            </w:pPr>
            <w:r>
              <w:rPr>
                <w:rFonts w:ascii="Times New Roman;serif" w:hAnsi="Times New Roman;serif"/>
                <w:b w:val="false"/>
                <w:color w:val="000000"/>
                <w:sz w:val="24"/>
              </w:rPr>
              <w:t>Amount of Commitment/Loans Assigned</w:t>
            </w:r>
          </w:p>
        </w:tc>
        <w:tc>
          <w:tcPr>
            <w:tcW w:w="2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138" w:after="283"/>
              <w:ind w:left="0" w:right="0" w:hanging="2"/>
              <w:jc w:val="center"/>
              <w:rPr>
                <w:rFonts w:ascii="Times New Roman;serif" w:hAnsi="Times New Roman;serif"/>
                <w:b w:val="false"/>
                <w:color w:val="000000"/>
                <w:sz w:val="24"/>
              </w:rPr>
            </w:pPr>
            <w:r>
              <w:rPr>
                <w:rFonts w:ascii="Times New Roman;serif" w:hAnsi="Times New Roman;serif"/>
                <w:b w:val="false"/>
                <w:color w:val="000000"/>
                <w:sz w:val="24"/>
              </w:rPr>
              <w:t>Percentage Assigned of Commitment/Loans</w:t>
            </w:r>
          </w:p>
        </w:tc>
      </w:tr>
      <w:tr>
        <w:trPr/>
        <w:tc>
          <w:tcPr>
            <w:tcW w:w="1521" w:type="dxa"/>
            <w:gridSpan w:val="3"/>
            <w:vMerge w:val="restart"/>
            <w:tcBorders>
              <w:left w:val="single" w:sz="4" w:space="0" w:color="000000"/>
            </w:tcBorders>
            <w:tcMar>
              <w:top w:w="0" w:type="dxa"/>
              <w:bottom w:w="0" w:type="dxa"/>
              <w:right w:w="0" w:type="dxa"/>
            </w:tcMar>
            <w:vAlign w:val="center"/>
          </w:tcPr>
          <w:p>
            <w:pPr>
              <w:pStyle w:val="TableContents"/>
              <w:bidi w:val="0"/>
              <w:spacing w:before="142" w:after="283"/>
              <w:jc w:val="left"/>
              <w:rPr/>
            </w:pPr>
            <w:r>
              <w:rPr/>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Revolving Credit Facility</w:t>
            </w:r>
          </w:p>
        </w:tc>
        <w:tc>
          <w:tcPr>
            <w:tcW w:w="1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6" w:before="0" w:after="0"/>
              <w:jc w:val="left"/>
              <w:rPr>
                <w:rFonts w:ascii="Times New Roman;serif" w:hAnsi="Times New Roman;serif"/>
                <w:b w:val="false"/>
                <w:color w:val="000000"/>
                <w:sz w:val="24"/>
              </w:rPr>
            </w:pPr>
            <w:r>
              <w:rPr>
                <w:rFonts w:ascii="Times New Roman;serif" w:hAnsi="Times New Roman;serif"/>
                <w:b w:val="false"/>
                <w:color w:val="000000"/>
                <w:sz w:val="24"/>
              </w:rPr>
              <w:t>Initial Revolving-1 Tranche</w:t>
            </w:r>
          </w:p>
        </w:tc>
        <w:tc>
          <w:tcPr>
            <w:tcW w:w="26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before="74" w:after="283"/>
              <w:jc w:val="left"/>
              <w:rPr/>
            </w:pPr>
            <w:r>
              <w:rPr/>
            </w:r>
          </w:p>
          <w:p>
            <w:pPr>
              <w:pStyle w:val="TableContents"/>
              <w:bidi w:val="0"/>
              <w:spacing w:lineRule="auto" w:line="288" w:before="0" w:after="0"/>
              <w:jc w:val="left"/>
              <w:rPr/>
            </w:pPr>
            <w:r>
              <w:rPr>
                <w:rFonts w:ascii="Times New Roman;serif" w:hAnsi="Times New Roman;serif"/>
                <w:b w:val="false"/>
                <w:color w:val="000000"/>
                <w:sz w:val="24"/>
              </w:rPr>
              <w:t>$</w:t>
            </w:r>
            <w:hyperlink w:anchor="i3ded4e6fee5848e0851cef8a13756b7e_87">
              <w:r>
                <w:rPr>
                  <w:rStyle w:val="InternetLink"/>
                  <w:rFonts w:ascii="Times New Roman;serif" w:hAnsi="Times New Roman;serif"/>
                  <w:b w:val="false"/>
                  <w:strike w:val="false"/>
                  <w:dstrike w:val="false"/>
                  <w:color w:val="000000"/>
                  <w:sz w:val="16"/>
                  <w:u w:val="none"/>
                  <w:effect w:val="none"/>
                </w:rPr>
                <w:t>1</w:t>
              </w:r>
            </w:hyperlink>
            <w:r>
              <w:rPr>
                <w:rFonts w:ascii="Times New Roman;serif" w:hAnsi="Times New Roman;serif"/>
                <w:b w:val="false"/>
                <w:color w:val="000000"/>
                <w:sz w:val="16"/>
              </w:rPr>
              <w:t xml:space="preserve"> </w:t>
            </w:r>
            <w:r>
              <w:rPr>
                <w:color w:val="000000"/>
                <w:u w:val="single"/>
              </w:rPr>
              <w:t>    </w:t>
            </w:r>
          </w:p>
        </w:tc>
        <w:tc>
          <w:tcPr>
            <w:tcW w:w="21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4" w:after="283"/>
              <w:jc w:val="left"/>
              <w:rPr/>
            </w:pPr>
            <w:r>
              <w:rPr>
                <w:rFonts w:ascii="Times New Roman;serif" w:hAnsi="Times New Roman;serif"/>
                <w:b w:val="false"/>
                <w:color w:val="000000"/>
                <w:sz w:val="24"/>
              </w:rPr>
              <w:t>$</w:t>
            </w:r>
            <w:r>
              <w:rPr>
                <w:color w:val="000000"/>
                <w:u w:val="single"/>
              </w:rPr>
              <w:t>    </w:t>
            </w:r>
          </w:p>
        </w:tc>
        <w:tc>
          <w:tcPr>
            <w:tcW w:w="2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74" w:after="283"/>
              <w:jc w:val="left"/>
              <w:rPr/>
            </w:pPr>
            <w:r>
              <w:rPr>
                <w:color w:val="000000"/>
                <w:u w:val="single"/>
              </w:rPr>
              <w:t>    </w:t>
            </w:r>
            <w:r>
              <w:rPr>
                <w:rFonts w:ascii="Times New Roman;serif" w:hAnsi="Times New Roman;serif"/>
                <w:b w:val="false"/>
                <w:color w:val="000000"/>
                <w:sz w:val="24"/>
              </w:rPr>
              <w:t>%</w:t>
            </w:r>
          </w:p>
        </w:tc>
      </w:tr>
      <w:tr>
        <w:trPr/>
        <w:tc>
          <w:tcPr>
            <w:tcW w:w="1521" w:type="dxa"/>
            <w:gridSpan w:val="3"/>
            <w:vMerge w:val="continue"/>
            <w:tcBorders>
              <w:left w:val="single" w:sz="4" w:space="0" w:color="000000"/>
            </w:tcBorders>
            <w:tcMar>
              <w:top w:w="0" w:type="dxa"/>
              <w:bottom w:w="0" w:type="dxa"/>
              <w:right w:w="0" w:type="dxa"/>
            </w:tcMar>
            <w:vAlign w:val="center"/>
          </w:tcPr>
          <w:p>
            <w:pPr>
              <w:pStyle w:val="Normal"/>
              <w:bidi w:val="0"/>
              <w:jc w:val="left"/>
              <w:rPr/>
            </w:pPr>
            <w:r>
              <w:rPr/>
            </w:r>
          </w:p>
        </w:tc>
        <w:tc>
          <w:tcPr>
            <w:tcW w:w="162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tLeast" w:line="276" w:before="0" w:after="0"/>
              <w:jc w:val="left"/>
              <w:rPr>
                <w:rFonts w:ascii="Times New Roman;serif" w:hAnsi="Times New Roman;serif"/>
                <w:b w:val="false"/>
                <w:color w:val="000000"/>
                <w:sz w:val="24"/>
              </w:rPr>
            </w:pPr>
            <w:r>
              <w:rPr>
                <w:rFonts w:ascii="Times New Roman;serif" w:hAnsi="Times New Roman;serif"/>
                <w:b w:val="false"/>
                <w:color w:val="000000"/>
                <w:sz w:val="24"/>
              </w:rPr>
              <w:t>Initial Revolving-2 Tranche</w:t>
            </w:r>
          </w:p>
        </w:tc>
        <w:tc>
          <w:tcPr>
            <w:tcW w:w="26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4" w:after="283"/>
              <w:jc w:val="left"/>
              <w:rPr/>
            </w:pPr>
            <w:r>
              <w:rPr>
                <w:rFonts w:ascii="Times New Roman;serif" w:hAnsi="Times New Roman;serif"/>
                <w:b w:val="false"/>
                <w:color w:val="000000"/>
                <w:sz w:val="24"/>
              </w:rPr>
              <w:t>$</w:t>
            </w:r>
            <w:hyperlink w:anchor="i3ded4e6fee5848e0851cef8a13756b7e_87">
              <w:r>
                <w:rPr>
                  <w:rStyle w:val="InternetLink"/>
                  <w:rFonts w:ascii="Times New Roman;serif" w:hAnsi="Times New Roman;serif"/>
                  <w:b w:val="false"/>
                  <w:strike w:val="false"/>
                  <w:dstrike w:val="false"/>
                  <w:color w:val="000000"/>
                  <w:sz w:val="16"/>
                  <w:u w:val="none"/>
                  <w:effect w:val="none"/>
                </w:rPr>
                <w:t>2</w:t>
              </w:r>
            </w:hyperlink>
            <w:r>
              <w:rPr>
                <w:color w:val="000000"/>
              </w:rPr>
              <w:t xml:space="preserve"> </w:t>
            </w:r>
            <w:r>
              <w:rPr>
                <w:color w:val="000000"/>
                <w:u w:val="single"/>
              </w:rPr>
              <w:t>    </w:t>
            </w:r>
          </w:p>
        </w:tc>
        <w:tc>
          <w:tcPr>
            <w:tcW w:w="2160"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88" w:before="274" w:after="283"/>
              <w:jc w:val="left"/>
              <w:rPr/>
            </w:pPr>
            <w:r>
              <w:rPr>
                <w:rFonts w:ascii="Times New Roman;serif" w:hAnsi="Times New Roman;serif"/>
                <w:b w:val="false"/>
                <w:color w:val="000000"/>
                <w:sz w:val="24"/>
              </w:rPr>
              <w:t>$</w:t>
            </w:r>
            <w:r>
              <w:rPr>
                <w:color w:val="000000"/>
                <w:u w:val="single"/>
              </w:rPr>
              <w:t>    </w:t>
            </w:r>
          </w:p>
        </w:tc>
        <w:tc>
          <w:tcPr>
            <w:tcW w:w="2288"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274" w:after="283"/>
              <w:jc w:val="left"/>
              <w:rPr/>
            </w:pPr>
            <w:r>
              <w:rPr>
                <w:color w:val="000000"/>
                <w:u w:val="single"/>
              </w:rPr>
              <w:t>    </w:t>
            </w:r>
            <w:r>
              <w:rPr>
                <w:rFonts w:ascii="Times New Roman;serif" w:hAnsi="Times New Roman;serif"/>
                <w:b w:val="false"/>
                <w:color w:val="000000"/>
                <w:sz w:val="24"/>
              </w:rPr>
              <w:t>%</w:t>
            </w:r>
          </w:p>
        </w:tc>
      </w:tr>
      <w:tr>
        <w:trPr/>
        <w:tc>
          <w:tcPr>
            <w:tcW w:w="152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314" w:before="0" w:after="0"/>
              <w:jc w:val="left"/>
              <w:rPr>
                <w:rFonts w:ascii="Times New Roman;serif" w:hAnsi="Times New Roman;serif"/>
                <w:b w:val="false"/>
                <w:color w:val="000000"/>
                <w:sz w:val="24"/>
              </w:rPr>
            </w:pPr>
            <w:r>
              <w:rPr>
                <w:rFonts w:ascii="Times New Roman;serif" w:hAnsi="Times New Roman;serif"/>
                <w:b w:val="false"/>
                <w:color w:val="000000"/>
                <w:sz w:val="24"/>
              </w:rPr>
              <w:t>Term Facility</w:t>
            </w:r>
          </w:p>
        </w:tc>
        <w:tc>
          <w:tcPr>
            <w:tcW w:w="1625" w:type="dxa"/>
            <w:gridSpan w:val="3"/>
            <w:tcBorders>
              <w:top w:val="single" w:sz="4" w:space="0" w:color="000000"/>
              <w:left w:val="single" w:sz="4" w:space="0" w:color="000000"/>
              <w:bottom w:val="single" w:sz="4" w:space="0" w:color="000000"/>
            </w:tcBorders>
            <w:tcMar>
              <w:top w:w="30" w:type="dxa"/>
              <w:left w:w="74"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w:t>
            </w:r>
          </w:p>
        </w:tc>
        <w:tc>
          <w:tcPr>
            <w:tcW w:w="26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37" w:after="283"/>
              <w:jc w:val="left"/>
              <w:rPr/>
            </w:pPr>
            <w:r>
              <w:rPr>
                <w:rFonts w:ascii="Times New Roman;serif" w:hAnsi="Times New Roman;serif"/>
                <w:b w:val="false"/>
                <w:color w:val="000000"/>
                <w:sz w:val="24"/>
              </w:rPr>
              <w:t>$</w:t>
            </w:r>
            <w:r>
              <w:rPr>
                <w:color w:val="000000"/>
                <w:u w:val="single"/>
              </w:rPr>
              <w:t>    </w:t>
            </w:r>
          </w:p>
        </w:tc>
        <w:tc>
          <w:tcPr>
            <w:tcW w:w="2160"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88" w:before="137" w:after="283"/>
              <w:jc w:val="left"/>
              <w:rPr/>
            </w:pPr>
            <w:r>
              <w:rPr>
                <w:rFonts w:ascii="Times New Roman;serif" w:hAnsi="Times New Roman;serif"/>
                <w:b w:val="false"/>
                <w:color w:val="000000"/>
                <w:sz w:val="24"/>
              </w:rPr>
              <w:t>$</w:t>
            </w:r>
            <w:r>
              <w:rPr>
                <w:color w:val="000000"/>
                <w:u w:val="single"/>
              </w:rPr>
              <w:t>    </w:t>
            </w:r>
          </w:p>
        </w:tc>
        <w:tc>
          <w:tcPr>
            <w:tcW w:w="2288"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137" w:after="283"/>
              <w:jc w:val="left"/>
              <w:rPr/>
            </w:pPr>
            <w:r>
              <w:rPr>
                <w:color w:val="000000"/>
                <w:u w:val="single"/>
              </w:rPr>
              <w:t>    </w:t>
            </w:r>
            <w:r>
              <w:rPr>
                <w:rFonts w:ascii="Times New Roman;serif" w:hAnsi="Times New Roman;serif"/>
                <w:b w:val="false"/>
                <w:color w:val="000000"/>
                <w:sz w:val="24"/>
              </w:rPr>
              <w:t>%</w:t>
            </w:r>
          </w:p>
        </w:tc>
      </w:tr>
    </w:tbl>
    <w:p>
      <w:pPr>
        <w:pStyle w:val="TextBody"/>
        <w:bidi w:val="0"/>
        <w:spacing w:before="0" w:after="0"/>
        <w:jc w:val="left"/>
        <w:rPr/>
      </w:pPr>
      <w:r>
        <w:rPr/>
      </w:r>
    </w:p>
    <w:p>
      <w:pPr>
        <w:pStyle w:val="TextBody"/>
        <w:bidi w:val="0"/>
        <w:spacing w:before="1" w:after="283"/>
        <w:jc w:val="left"/>
        <w:rPr/>
      </w:pPr>
      <w:r>
        <w:rPr/>
      </w:r>
    </w:p>
    <w:p>
      <w:pPr>
        <w:pStyle w:val="TextBody"/>
        <w:bidi w:val="0"/>
        <w:spacing w:lineRule="auto" w:line="288" w:before="0" w:after="0"/>
        <w:ind w:left="0" w:right="0" w:hanging="719"/>
        <w:jc w:val="left"/>
        <w:rPr/>
      </w:pPr>
      <w:r>
        <w:rPr>
          <w:rFonts w:ascii="Times New Roman;serif" w:hAnsi="Times New Roman;serif"/>
          <w:b w:val="false"/>
          <w:color w:val="000000"/>
          <w:sz w:val="24"/>
        </w:rPr>
        <w:t xml:space="preserve">7.    Trade Date: </w:t>
      </w:r>
      <w:r>
        <w:rPr>
          <w:color w:val="000000"/>
          <w:u w:val="single"/>
        </w:rPr>
        <w:t>    </w:t>
      </w:r>
    </w:p>
    <w:p>
      <w:pPr>
        <w:pStyle w:val="TextBody"/>
        <w:bidi w:val="0"/>
        <w:spacing w:lineRule="auto" w:line="288" w:before="0" w:after="0"/>
        <w:ind w:left="0" w:right="0" w:hanging="720"/>
        <w:jc w:val="both"/>
        <w:rPr/>
      </w:pPr>
      <w:r>
        <w:rPr>
          <w:rFonts w:ascii="Times New Roman;serif" w:hAnsi="Times New Roman;serif"/>
          <w:b w:val="false"/>
          <w:color w:val="000000"/>
          <w:sz w:val="24"/>
        </w:rPr>
        <w:t xml:space="preserve">8.    Effective Date: </w:t>
      </w:r>
      <w:r>
        <w:rPr>
          <w:color w:val="000000"/>
          <w:u w:val="single"/>
        </w:rPr>
        <w:t>    </w:t>
      </w:r>
      <w:r>
        <w:rPr>
          <w:rFonts w:ascii="Times New Roman;serif" w:hAnsi="Times New Roman;serif"/>
          <w:b w:val="false"/>
          <w:color w:val="000000"/>
          <w:sz w:val="24"/>
        </w:rPr>
        <w:t>, 20_ [TO BE INSERTED BY ADMINISTRATIVE AGENT AND WHICH SHALL BE THE EFFECTIVE DATE OF RECORDATION OF TRANSFER IN THE REGISTER THEREFOR.]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45" w:after="283"/>
        <w:jc w:val="left"/>
        <w:rPr/>
      </w:pPr>
      <w:r>
        <w:rPr/>
        <w:drawing>
          <wp:inline distT="0" distB="0" distL="0" distR="0">
            <wp:extent cx="1828800" cy="14605"/>
            <wp:effectExtent l="0" t="0" r="0" b="0"/>
            <wp:docPr id="39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 name="Image11" descr=""/>
                    <pic:cNvPicPr>
                      <a:picLocks noChangeAspect="1" noChangeArrowheads="1"/>
                    </pic:cNvPicPr>
                  </pic:nvPicPr>
                  <pic:blipFill>
                    <a:blip r:embed="rId12"/>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Applicable currency to be selected.</w:t>
      </w:r>
    </w:p>
    <w:p>
      <w:pPr>
        <w:pStyle w:val="TextBody"/>
        <w:bidi w:val="0"/>
        <w:spacing w:lineRule="auto" w:line="288"/>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Applicable currency to be selected.</w:t>
      </w:r>
    </w:p>
    <w:p>
      <w:pPr>
        <w:pStyle w:val="TextBody"/>
        <w:bidi w:val="0"/>
        <w:spacing w:before="0" w:after="0"/>
        <w:jc w:val="left"/>
        <w:rPr/>
      </w:pPr>
      <w:r>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6480175" cy="175260"/>
                <wp:effectExtent l="0" t="0" r="0" b="0"/>
                <wp:wrapNone/>
                <wp:docPr id="397" name="Frame3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The terms set forth in this Assignment and Assumption are hereby agreed to:</w:t>
      </w:r>
    </w:p>
    <w:p>
      <w:pPr>
        <w:pStyle w:val="TextBody"/>
        <w:bidi w:val="0"/>
        <w:spacing w:lineRule="auto" w:line="288" w:before="240" w:after="283"/>
        <w:jc w:val="left"/>
        <w:rPr>
          <w:rFonts w:ascii="Times New Roman;serif" w:hAnsi="Times New Roman;serif"/>
          <w:b/>
          <w:color w:val="000000"/>
          <w:sz w:val="24"/>
        </w:rPr>
      </w:pPr>
      <w:r>
        <w:rPr>
          <w:rFonts w:ascii="Times New Roman;serif" w:hAnsi="Times New Roman;serif"/>
          <w:b/>
          <w:color w:val="000000"/>
          <w:sz w:val="24"/>
        </w:rPr>
        <w:t>ASSIGNOR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ASSIGNOR]</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ASSIGNEE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[NAME OF ASSIGNEE]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Title:</w:t>
      </w:r>
    </w:p>
    <w:p>
      <w:pPr>
        <w:pStyle w:val="TextBody"/>
        <w:bidi w:val="0"/>
        <w:spacing w:before="0" w:after="0"/>
        <w:jc w:val="left"/>
        <w:rPr/>
      </w:pPr>
      <w:r>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480175" cy="175260"/>
                <wp:effectExtent l="0" t="0" r="0" b="0"/>
                <wp:wrapNone/>
                <wp:docPr id="398" name="Frame3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[Consented to and 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MORGAN STANLEY SENIOR FUNDING,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0" w:after="0"/>
        <w:jc w:val="left"/>
        <w:rPr/>
      </w:pPr>
      <w:r>
        <w:rPr>
          <w:rFonts w:ascii="Times New Roman;serif" w:hAnsi="Times New Roman;serif"/>
          <w:b w:val="false"/>
          <w:color w:val="000000"/>
          <w:sz w:val="24"/>
        </w:rPr>
        <w:t>Title:]</w:t>
      </w:r>
      <w:hyperlink w:anchor="i3ded4e6fee5848e0851cef8a13756b7e_87">
        <w:r>
          <w:rPr>
            <w:rStyle w:val="InternetLink"/>
            <w:rFonts w:ascii="Times New Roman;serif" w:hAnsi="Times New Roman;serif"/>
            <w:b w:val="false"/>
            <w:strike w:val="false"/>
            <w:dstrike w:val="false"/>
            <w:color w:val="000000"/>
            <w:sz w:val="16"/>
            <w:u w:val="none"/>
            <w:effect w:val="none"/>
          </w:rPr>
          <w:t>3</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[Consented to and 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MORGAN STANLEY SENIOR FUNDING, INC.,</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an L/C Issuer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Title:</w:t>
      </w:r>
    </w:p>
    <w:p>
      <w:pPr>
        <w:pStyle w:val="TextBody"/>
        <w:bidi w:val="0"/>
        <w:spacing w:before="0" w:after="0"/>
        <w:jc w:val="left"/>
        <w:rPr/>
      </w:pPr>
      <w:r>
        <w:rPr/>
      </w:r>
    </w:p>
    <w:p>
      <w:pPr>
        <w:pStyle w:val="TextBody"/>
        <w:bidi w:val="0"/>
        <w:spacing w:before="2" w:after="283"/>
        <w:jc w:val="left"/>
        <w:rPr/>
      </w:pPr>
      <w:r>
        <w:rPr/>
      </w:r>
    </w:p>
    <w:p>
      <w:pPr>
        <w:pStyle w:val="TextBody"/>
        <w:bidi w:val="0"/>
        <w:spacing w:lineRule="auto" w:line="638" w:before="0" w:after="0"/>
        <w:jc w:val="left"/>
        <w:rPr>
          <w:rFonts w:ascii="Times New Roman;serif" w:hAnsi="Times New Roman;serif"/>
          <w:b w:val="false"/>
          <w:color w:val="000000"/>
          <w:sz w:val="24"/>
        </w:rPr>
      </w:pPr>
      <w:r>
        <w:rPr>
          <w:rFonts w:ascii="Times New Roman;serif" w:hAnsi="Times New Roman;serif"/>
          <w:b w:val="false"/>
          <w:color w:val="000000"/>
          <w:sz w:val="24"/>
        </w:rPr>
        <w:t>Consented to and Accepted: [●]</w:t>
      </w:r>
    </w:p>
    <w:p>
      <w:pPr>
        <w:pStyle w:val="TextBody"/>
        <w:bidi w:val="0"/>
        <w:spacing w:lineRule="auto" w:line="288" w:before="2" w:after="283"/>
        <w:jc w:val="left"/>
        <w:rPr>
          <w:rFonts w:ascii="Times New Roman;serif" w:hAnsi="Times New Roman;serif"/>
          <w:b w:val="false"/>
          <w:color w:val="000000"/>
          <w:sz w:val="24"/>
        </w:rPr>
      </w:pPr>
      <w:r>
        <w:rPr>
          <w:rFonts w:ascii="Times New Roman;serif" w:hAnsi="Times New Roman;serif"/>
          <w:b w:val="false"/>
          <w:color w:val="000000"/>
          <w:sz w:val="24"/>
        </w:rPr>
        <w:t>as an L/C Issuer</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0" w:after="0"/>
        <w:jc w:val="left"/>
        <w:rPr/>
      </w:pPr>
      <w:r>
        <w:rPr>
          <w:rFonts w:ascii="Times New Roman;serif" w:hAnsi="Times New Roman;serif"/>
          <w:b w:val="false"/>
          <w:color w:val="000000"/>
          <w:sz w:val="24"/>
        </w:rPr>
        <w:t>Title:]</w:t>
      </w:r>
      <w:hyperlink w:anchor="i3ded4e6fee5848e0851cef8a13756b7e_87">
        <w:r>
          <w:rPr>
            <w:rStyle w:val="InternetLink"/>
            <w:rFonts w:ascii="Times New Roman;serif" w:hAnsi="Times New Roman;serif"/>
            <w:b w:val="false"/>
            <w:strike w:val="false"/>
            <w:dstrike w:val="false"/>
            <w:color w:val="000000"/>
            <w:sz w:val="16"/>
            <w:u w:val="none"/>
            <w:effect w:val="none"/>
          </w:rPr>
          <w:t>4</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2" w:after="283"/>
        <w:jc w:val="left"/>
        <w:rPr/>
      </w:pPr>
      <w:r>
        <w:rPr/>
        <w:drawing>
          <wp:inline distT="0" distB="0" distL="0" distR="0">
            <wp:extent cx="1828800" cy="14605"/>
            <wp:effectExtent l="0" t="0" r="0" b="0"/>
            <wp:docPr id="399"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 name="Image12" descr=""/>
                    <pic:cNvPicPr>
                      <a:picLocks noChangeAspect="1" noChangeArrowheads="1"/>
                    </pic:cNvPicPr>
                  </pic:nvPicPr>
                  <pic:blipFill>
                    <a:blip r:embed="rId13"/>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3" w:after="283"/>
        <w:ind w:left="0" w:right="0" w:hanging="1"/>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To be added unless (1) the assignment is in respect of a Term Facility and is to a Lender, an Affiliate of a Lender, or an Approved Fund, the Company or any Subsidiary of the Company or (2) such assignment is in respect of the Revolving Credit Facility and is to a Revolving Credit Lender, an Affiliate of a Revolving Credit Lender or an Approved Fund related thereto.</w:t>
      </w:r>
    </w:p>
    <w:p>
      <w:pPr>
        <w:pStyle w:val="TextBody"/>
        <w:bidi w:val="0"/>
        <w:spacing w:lineRule="auto" w:line="288"/>
        <w:jc w:val="both"/>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To be added with respect to each L/C Issuer of the applicable Revolving Tranche only if the Assignment is in respect of the Revolving Credit Facility of such Revolving Tranche.</w:t>
      </w:r>
    </w:p>
    <w:p>
      <w:pPr>
        <w:pStyle w:val="TextBody"/>
        <w:bidi w:val="0"/>
        <w:spacing w:before="0" w:after="0"/>
        <w:jc w:val="left"/>
        <w:rPr/>
      </w:pPr>
      <w:r>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6480175" cy="175260"/>
                <wp:effectExtent l="0" t="0" r="0" b="0"/>
                <wp:wrapNone/>
                <wp:docPr id="400" name="Frame3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[Consented to and Accepted: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BORROWER: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EMBECTA CORP.</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556" w:before="0" w:after="0"/>
        <w:jc w:val="left"/>
        <w:rPr/>
      </w:pPr>
      <w:r>
        <w:rPr>
          <w:rFonts w:ascii="Times New Roman;serif" w:hAnsi="Times New Roman;serif"/>
          <w:b w:val="false"/>
          <w:color w:val="000000"/>
          <w:sz w:val="24"/>
        </w:rPr>
        <w:t>Title:]</w:t>
      </w:r>
      <w:hyperlink w:anchor="i3ded4e6fee5848e0851cef8a13756b7e_87">
        <w:r>
          <w:rPr>
            <w:rStyle w:val="InternetLink"/>
            <w:rFonts w:ascii="Times New Roman;serif" w:hAnsi="Times New Roman;serif"/>
            <w:b w:val="false"/>
            <w:strike w:val="false"/>
            <w:dstrike w:val="false"/>
            <w:color w:val="000000"/>
            <w:sz w:val="16"/>
            <w:u w:val="none"/>
            <w:effect w:val="none"/>
          </w:rPr>
          <w:t>5</w:t>
        </w:r>
      </w:hyperlink>
      <w:r>
        <w:rPr>
          <w:color w:val="000000"/>
        </w:rPr>
        <w:t xml:space="preserve"> </w:t>
      </w:r>
      <w:r>
        <w:rPr>
          <w:rFonts w:ascii="Times New Roman;serif" w:hAnsi="Times New Roman;serif"/>
          <w:b w:val="false"/>
          <w:color w:val="000000"/>
          <w:sz w:val="24"/>
        </w:rPr>
        <w:t>[Acknowledged:</w:t>
      </w:r>
    </w:p>
    <w:p>
      <w:pPr>
        <w:pStyle w:val="TextBody"/>
        <w:bidi w:val="0"/>
        <w:spacing w:lineRule="auto" w:line="288" w:before="0" w:after="0"/>
        <w:jc w:val="left"/>
        <w:rPr/>
      </w:pPr>
      <w:r>
        <w:rPr>
          <w:rFonts w:ascii="Times New Roman;serif" w:hAnsi="Times New Roman;serif"/>
          <w:b/>
          <w:color w:val="000000"/>
          <w:sz w:val="24"/>
        </w:rPr>
        <w:t>MORGAN STANLEY SENIOR FUNDING, INC.</w:t>
      </w:r>
      <w:r>
        <w:rPr>
          <w:rFonts w:ascii="Times New Roman;serif" w:hAnsi="Times New Roman;serif"/>
          <w:b w:val="false"/>
          <w:color w:val="000000"/>
          <w:sz w:val="24"/>
        </w:rPr>
        <w: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as Administrative Agent</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 xml:space="preserve">By: </w:t>
      </w:r>
      <w:r>
        <w:rPr>
          <w:color w:val="000000"/>
          <w:u w:val="single"/>
        </w:rPr>
        <w:t>    </w:t>
      </w:r>
      <w:r>
        <w:rPr>
          <w:color w:val="000000"/>
        </w:rPr>
        <w:t xml:space="preserve"> </w:t>
      </w:r>
      <w:r>
        <w:rPr>
          <w:rFonts w:ascii="Times New Roman;serif" w:hAnsi="Times New Roman;serif"/>
          <w:b w:val="false"/>
          <w:color w:val="000000"/>
          <w:sz w:val="24"/>
        </w:rPr>
        <w:t>Name:</w:t>
      </w:r>
    </w:p>
    <w:p>
      <w:pPr>
        <w:pStyle w:val="TextBody"/>
        <w:bidi w:val="0"/>
        <w:spacing w:lineRule="auto" w:line="288" w:before="0" w:after="0"/>
        <w:jc w:val="left"/>
        <w:rPr/>
      </w:pPr>
      <w:r>
        <w:rPr>
          <w:rFonts w:ascii="Times New Roman;serif" w:hAnsi="Times New Roman;serif"/>
          <w:b w:val="false"/>
          <w:color w:val="000000"/>
          <w:sz w:val="24"/>
        </w:rPr>
        <w:t>Title:]</w:t>
      </w:r>
      <w:hyperlink w:anchor="i3ded4e6fee5848e0851cef8a13756b7e_87">
        <w:r>
          <w:rPr>
            <w:rStyle w:val="InternetLink"/>
            <w:rFonts w:ascii="Times New Roman;serif" w:hAnsi="Times New Roman;serif"/>
            <w:b w:val="false"/>
            <w:strike w:val="false"/>
            <w:dstrike w:val="false"/>
            <w:color w:val="000000"/>
            <w:sz w:val="16"/>
            <w:u w:val="none"/>
            <w:effect w:val="none"/>
          </w:rPr>
          <w:t>6</w:t>
        </w:r>
      </w:hyperlink>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173" w:after="283"/>
        <w:jc w:val="left"/>
        <w:rPr/>
      </w:pPr>
      <w:r>
        <w:rPr/>
        <w:drawing>
          <wp:inline distT="0" distB="0" distL="0" distR="0">
            <wp:extent cx="1828800" cy="14605"/>
            <wp:effectExtent l="0" t="0" r="0" b="0"/>
            <wp:docPr id="401"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Image13" descr=""/>
                    <pic:cNvPicPr>
                      <a:picLocks noChangeAspect="1" noChangeArrowheads="1"/>
                    </pic:cNvPicPr>
                  </pic:nvPicPr>
                  <pic:blipFill>
                    <a:blip r:embed="rId14"/>
                    <a:stretch>
                      <a:fillRect/>
                    </a:stretch>
                  </pic:blipFill>
                  <pic:spPr bwMode="auto">
                    <a:xfrm>
                      <a:off x="0" y="0"/>
                      <a:ext cx="1828800" cy="14605"/>
                    </a:xfrm>
                    <a:prstGeom prst="rect">
                      <a:avLst/>
                    </a:prstGeom>
                  </pic:spPr>
                </pic:pic>
              </a:graphicData>
            </a:graphic>
          </wp:inline>
        </w:drawing>
      </w:r>
    </w:p>
    <w:p>
      <w:pPr>
        <w:pStyle w:val="TextBody"/>
        <w:bidi w:val="0"/>
        <w:spacing w:lineRule="auto" w:line="288" w:before="101" w:after="283"/>
        <w:jc w:val="both"/>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To be added unless (1) an Event of Default under Section 8.01(a) (only with respect to principal payments), (f) or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(g) of the Credit Agreement has occurred and is continuing at the time of assignment (other than in the case of a proposed assignment to any Disqualified Institution), (2) such assignment is in respect of a Term Facility and is to a Lender, an Affiliate of a Lender or an Approved Fund (other than any Disqualified Institution) or (3) such assignment is in respect of the Revolving Credit Facility and made from a Revolving Credit Lender to an Affiliate of such Revolving Credit Lender (provided that such affiliate must be a controlled bank affiliate and not a loan syndicate affiliate) or another Revolving Credit Lender that was a Revolving Credit Lender as of the Closing Date (other than any Disqualified Institution).</w:t>
      </w:r>
    </w:p>
    <w:p>
      <w:pPr>
        <w:pStyle w:val="TextBody"/>
        <w:bidi w:val="0"/>
        <w:spacing w:lineRule="auto" w:line="288"/>
        <w:jc w:val="both"/>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To be added if consent from the Administrative Agent is not required.</w:t>
      </w:r>
    </w:p>
    <w:p>
      <w:pPr>
        <w:pStyle w:val="TextBody"/>
        <w:bidi w:val="0"/>
        <w:spacing w:before="0" w:after="0"/>
        <w:jc w:val="left"/>
        <w:rPr/>
      </w:pPr>
      <w:r>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480175" cy="175260"/>
                <wp:effectExtent l="0" t="0" r="0" b="0"/>
                <wp:wrapNone/>
                <wp:docPr id="402" name="Frame3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79" w:after="283"/>
        <w:jc w:val="left"/>
        <w:rPr>
          <w:rFonts w:ascii="Times New Roman;serif" w:hAnsi="Times New Roman;serif"/>
          <w:b w:val="false"/>
          <w:i/>
          <w:color w:val="000000"/>
          <w:sz w:val="24"/>
        </w:rPr>
      </w:pPr>
      <w:r>
        <w:rPr>
          <w:rFonts w:ascii="Times New Roman;serif" w:hAnsi="Times New Roman;serif"/>
          <w:b w:val="false"/>
          <w:i/>
          <w:color w:val="000000"/>
          <w:sz w:val="24"/>
        </w:rPr>
        <w:t>ANNEX 1 TO ASSIGNMENT AND ASSUMPTION</w:t>
      </w:r>
    </w:p>
    <w:p>
      <w:pPr>
        <w:pStyle w:val="TextBody"/>
        <w:bidi w:val="0"/>
        <w:spacing w:lineRule="auto" w:line="288" w:before="240" w:after="283"/>
        <w:ind w:left="0" w:right="0" w:hanging="540"/>
        <w:jc w:val="left"/>
        <w:rPr>
          <w:rFonts w:ascii="Times New Roman;serif" w:hAnsi="Times New Roman;serif"/>
          <w:b w:val="false"/>
          <w:color w:val="000000"/>
          <w:sz w:val="24"/>
        </w:rPr>
      </w:pPr>
      <w:r>
        <w:rPr>
          <w:rFonts w:ascii="Times New Roman;serif" w:hAnsi="Times New Roman;serif"/>
          <w:b w:val="false"/>
          <w:color w:val="000000"/>
          <w:sz w:val="24"/>
        </w:rPr>
        <w:t>STANDARD TERMS AND CONDITIONS FOR ASSIGNMENT AND ASSUMPTION</w:t>
      </w:r>
    </w:p>
    <w:p>
      <w:pPr>
        <w:pStyle w:val="TextBody"/>
        <w:bidi w:val="0"/>
        <w:spacing w:lineRule="auto" w:line="288" w:before="0" w:after="0"/>
        <w:ind w:left="0" w:right="0" w:hanging="719"/>
        <w:jc w:val="left"/>
        <w:rPr/>
      </w:pPr>
      <w:r>
        <w:rPr>
          <w:rFonts w:ascii="Times New Roman;serif" w:hAnsi="Times New Roman;serif"/>
          <w:b w:val="false"/>
          <w:color w:val="000000"/>
          <w:sz w:val="24"/>
        </w:rPr>
        <w:t>1.    </w:t>
      </w:r>
      <w:r>
        <w:rPr>
          <w:rFonts w:ascii="Times New Roman;serif" w:hAnsi="Times New Roman;serif"/>
          <w:b w:val="false"/>
          <w:color w:val="000000"/>
          <w:sz w:val="24"/>
          <w:u w:val="single"/>
        </w:rPr>
        <w:t>Representations and Warranties</w:t>
      </w:r>
      <w:r>
        <w:rPr>
          <w:rFonts w:ascii="Times New Roman;serif" w:hAnsi="Times New Roman;serif"/>
          <w:b w:val="false"/>
          <w:color w:val="000000"/>
          <w:sz w:val="24"/>
        </w:rPr>
        <w:t>.</w:t>
      </w:r>
    </w:p>
    <w:p>
      <w:pPr>
        <w:pStyle w:val="TextBody"/>
        <w:bidi w:val="0"/>
        <w:spacing w:lineRule="auto" w:line="288" w:before="0" w:after="0"/>
        <w:ind w:left="0" w:right="0" w:firstLine="720"/>
        <w:jc w:val="left"/>
        <w:rPr/>
      </w:pPr>
      <w:r>
        <w:rPr>
          <w:rFonts w:ascii="Times New Roman;serif" w:hAnsi="Times New Roman;serif"/>
          <w:b w:val="false"/>
          <w:color w:val="000000"/>
          <w:sz w:val="24"/>
        </w:rPr>
        <w:t>1.1.    </w:t>
      </w:r>
      <w:r>
        <w:rPr>
          <w:rFonts w:ascii="Times New Roman;serif" w:hAnsi="Times New Roman;serif"/>
          <w:b w:val="false"/>
          <w:color w:val="000000"/>
          <w:sz w:val="24"/>
          <w:u w:val="single"/>
        </w:rPr>
        <w:t>Assignor</w:t>
      </w:r>
      <w:r>
        <w:rPr>
          <w:rFonts w:ascii="Times New Roman;serif" w:hAnsi="Times New Roman;serif"/>
          <w:b w:val="false"/>
          <w:color w:val="000000"/>
          <w:sz w:val="24"/>
        </w:rPr>
        <w:t>. The Assignor (a) represents and warrants that (i) it is the legal and beneficial owner of the Assigned Interest, (ii) the Assigned Interest is free and clear of any lien, encumbrance or other adverse claim, (iii) it has full power and authority, and has taken all action necessary, to execute and deliver this Assignment and Assumption and to consummate the transactions contemplated hereby, (iv) it is not a “Defaulting Lender”, as such term is defined in the Credit Agreement and (v) it is sophisticated with respect to decisions to sell or assign assets of the type represented by the Assigned Interest and is experienced in selling or assigning assets of such type and;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Company, any of its Subsidiaries or Affiliates or any other Person obligated in respect of any Loan Document or (iv) the performance or observance by the Company, any of its Subsidiaries or Affiliates or any other Person of any of their respective obligations under any Loan Document.</w:t>
      </w:r>
    </w:p>
    <w:p>
      <w:pPr>
        <w:pStyle w:val="TextBody"/>
        <w:bidi w:val="0"/>
        <w:spacing w:lineRule="auto" w:line="288" w:before="0" w:after="0"/>
        <w:ind w:left="0" w:right="0" w:firstLine="720"/>
        <w:jc w:val="left"/>
        <w:rPr/>
      </w:pPr>
      <w:r>
        <w:rPr>
          <w:rFonts w:ascii="Times New Roman;serif" w:hAnsi="Times New Roman;serif"/>
          <w:b w:val="false"/>
          <w:color w:val="000000"/>
          <w:sz w:val="24"/>
        </w:rPr>
        <w:t>1.2.    </w:t>
      </w:r>
      <w:r>
        <w:rPr>
          <w:rFonts w:ascii="Times New Roman;serif" w:hAnsi="Times New Roman;serif"/>
          <w:b w:val="false"/>
          <w:color w:val="000000"/>
          <w:sz w:val="24"/>
          <w:u w:val="single"/>
        </w:rPr>
        <w:t>Assignee</w:t>
      </w:r>
      <w:r>
        <w:rPr>
          <w:rFonts w:ascii="Times New Roman;serif" w:hAnsi="Times New Roman;serif"/>
          <w:b w:val="false"/>
          <w:color w:val="000000"/>
          <w:sz w:val="24"/>
        </w:rPr>
        <w:t>. The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requirements of an Eligible Assignee under the Credit Agreement (subject to receipt of such consents as may be required under the Credit Agreement), (iii) from and after the Effective Date, it shall be bound by the provisions of the Credit Agreement as a Lender thereunder and, to the extent of the Assigned Interest, shall have the obligations of a Lender thereunder, (iv) it has received or has been accorded the opportunity to receive a copy of the Credit Agreement, together with copies of the most recent financial statements delivered pursuant to Section 6.01 thereof, as applicable,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or any other Lender, (v) it has delivered a true and complete Administrative Questionnaire substantially in the form of Exhibit D-3 to the Credit Agreement,</w:t>
      </w:r>
    </w:p>
    <w:p>
      <w:pPr>
        <w:pStyle w:val="TextBody"/>
        <w:bidi w:val="0"/>
        <w:spacing w:lineRule="auto" w:line="288" w:before="1" w:after="283"/>
        <w:jc w:val="left"/>
        <w:rPr>
          <w:rFonts w:ascii="Times New Roman;serif" w:hAnsi="Times New Roman;serif"/>
          <w:b w:val="false"/>
          <w:color w:val="000000"/>
          <w:sz w:val="24"/>
        </w:rPr>
      </w:pPr>
      <w:r>
        <w:rPr>
          <w:rFonts w:ascii="Times New Roman;serif" w:hAnsi="Times New Roman;serif"/>
          <w:b w:val="false"/>
          <w:color w:val="000000"/>
          <w:sz w:val="24"/>
        </w:rPr>
        <w:t>(vi) attached hereto is any documentation required to be delivered by it pursuant to the terms of the Credit Agreement, duly completed and executed by the Assignee, (vii) (A) it is not a “Defaulting Lender”, as such term is defined in the Credit Agreement, (B) it is not a Subsidiary of a Defaulting Lender or (C) upon becoming a Lender under the Credit Agreement, will not constitute a Defaulting Lender or a Subsidiary of a Defaulting Lender, (viii) it is not a “Natural Person,” as such term is defined in the Credit Agreement, (ix) it is not a “Disqualified Institution,” as such term is defined in the Credit Agreement, (x) it is sophisticated with respect to decisions to acquire assets of the type represented by the Assigned Interest and is experienced in acquiring assets of such type and (xi) appoints and authorizes the Administrative Agent to take such action as agent on its behalf and to exercise such powers under the Credit Agreement and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6480175" cy="175260"/>
                <wp:effectExtent l="0" t="0" r="0" b="0"/>
                <wp:wrapNone/>
                <wp:docPr id="403" name="Frame3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79" w:after="283"/>
        <w:jc w:val="left"/>
        <w:rPr>
          <w:rFonts w:ascii="Times New Roman;serif" w:hAnsi="Times New Roman;serif"/>
          <w:b w:val="false"/>
          <w:color w:val="000000"/>
          <w:sz w:val="24"/>
        </w:rPr>
      </w:pPr>
      <w:r>
        <w:rPr>
          <w:rFonts w:ascii="Times New Roman;serif" w:hAnsi="Times New Roman;serif"/>
          <w:b w:val="false"/>
          <w:color w:val="000000"/>
          <w:sz w:val="24"/>
        </w:rPr>
        <w:t>other Loan Documents as are delegated to or otherwise conferred upon the Administrative Agent, as the case may be, by the terms thereof, together with such powers as are reasonably incidental thereto; and (b) agrees that (i) it will, independently and without reliance on the Administrative Agent, the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pStyle w:val="TextBody"/>
        <w:bidi w:val="0"/>
        <w:spacing w:lineRule="auto" w:line="288" w:before="0" w:after="0"/>
        <w:ind w:left="0" w:right="0" w:firstLine="720"/>
        <w:jc w:val="left"/>
        <w:rPr/>
      </w:pPr>
      <w:r>
        <w:rPr>
          <w:rFonts w:ascii="Times New Roman;serif" w:hAnsi="Times New Roman;serif"/>
          <w:b w:val="false"/>
          <w:color w:val="000000"/>
          <w:sz w:val="24"/>
        </w:rPr>
        <w:t>2.    </w:t>
      </w:r>
      <w:r>
        <w:rPr>
          <w:rFonts w:ascii="Times New Roman;serif" w:hAnsi="Times New Roman;serif"/>
          <w:b w:val="false"/>
          <w:color w:val="000000"/>
          <w:sz w:val="24"/>
          <w:u w:val="single"/>
        </w:rPr>
        <w:t>Payments</w:t>
      </w:r>
      <w:r>
        <w:rPr>
          <w:rFonts w:ascii="Times New Roman;serif" w:hAnsi="Times New Roman;serif"/>
          <w:b w:val="false"/>
          <w:color w:val="000000"/>
          <w:sz w:val="24"/>
        </w:rPr>
        <w:t>. From and after the Effective Date, the Administrative Agent shall make all payments in respect of the Assigned Interest (including payments of principal, interest, fees and other amounts) to the Assignor for amounts which have accrued to but excluding the Effective Date and to the Assignee for amounts which have accrued from and after the Effective Date. Notwithstanding the foregoing, the Administrative Agent shall make all payments of interest, fees or other amounts paid or payable in kind from and after the Effective Date to the Assignee.</w:t>
      </w:r>
    </w:p>
    <w:p>
      <w:pPr>
        <w:pStyle w:val="TextBody"/>
        <w:bidi w:val="0"/>
        <w:spacing w:lineRule="auto" w:line="288" w:before="0" w:after="0"/>
        <w:ind w:left="0" w:right="0" w:firstLine="720"/>
        <w:jc w:val="left"/>
        <w:rPr/>
      </w:pPr>
      <w:r>
        <w:rPr>
          <w:rFonts w:ascii="Times New Roman;serif" w:hAnsi="Times New Roman;serif"/>
          <w:b w:val="false"/>
          <w:color w:val="000000"/>
          <w:sz w:val="24"/>
        </w:rPr>
        <w:t>3.    </w:t>
      </w:r>
      <w:r>
        <w:rPr>
          <w:rFonts w:ascii="Times New Roman;serif" w:hAnsi="Times New Roman;serif"/>
          <w:b w:val="false"/>
          <w:color w:val="000000"/>
          <w:sz w:val="24"/>
          <w:u w:val="single"/>
        </w:rPr>
        <w:t>General Provisions</w:t>
      </w:r>
      <w:r>
        <w:rPr>
          <w:rFonts w:ascii="Times New Roman;serif" w:hAnsi="Times New Roman;serif"/>
          <w:b w:val="false"/>
          <w:color w:val="000000"/>
          <w:sz w:val="24"/>
        </w:rPr>
        <w:t>. This Assignment and Assumption shall be binding upon, and inure to the benefit of, the parties hereto and their respective successors and assigns. This Assignment and Assumption may be executed in any number of counterparts, which together shall constitute one instrument. Delivery of an executed counterpart of a signature page of this Assignment and Assumption by telecopy or other electronic means shall be effective as delivery of a manually executed counterpart of this Assignment and Assumption. THIS ASSIGNMENT AND ASSUMPTION SHALL BE GOVERNED BY, AND CONSTRUED IN ACCORDANCE WITH, THE LAW OF THE STATE OF NEW YORK WITHOUT GIVING EFFECT TO THE CONFLICTS OF LAWS PRINCIPLES THEREOF, BUT INCLUDING SECTION 5-1401 OF THE NEW YORK GENERAL OBLIGATIONS LAW.</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6480175" cy="175260"/>
                <wp:effectExtent l="0" t="0" r="0" b="0"/>
                <wp:wrapNone/>
                <wp:docPr id="404" name="Frame3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ANNEX C</w:t>
      </w:r>
    </w:p>
    <w:p>
      <w:pPr>
        <w:pStyle w:val="TextBody"/>
        <w:bidi w:val="0"/>
        <w:spacing w:before="0" w:after="0"/>
        <w:ind w:left="0" w:right="0" w:hanging="3600"/>
        <w:jc w:val="center"/>
        <w:rPr/>
      </w:pPr>
      <w:r>
        <w:rPr/>
      </w:r>
    </w:p>
    <w:p>
      <w:pPr>
        <w:pStyle w:val="TextBody"/>
        <w:bidi w:val="0"/>
        <w:spacing w:lineRule="auto" w:line="288" w:before="0" w:after="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Schedule 2.01</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(as updated in connection with the First Amendment to First Lien Credit Agreement</w:t>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only in connection with the Initial Revolving Credit Commitments)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Initial Revolving-1 Credit Commitments (as of the Amendment Effective Date)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913"/>
        <w:gridCol w:w="803"/>
        <w:gridCol w:w="806"/>
        <w:gridCol w:w="1080"/>
        <w:gridCol w:w="1038"/>
        <w:gridCol w:w="1041"/>
        <w:gridCol w:w="1335"/>
        <w:gridCol w:w="1317"/>
        <w:gridCol w:w="1872"/>
      </w:tblGrid>
      <w:tr>
        <w:trPr/>
        <w:tc>
          <w:tcPr>
            <w:tcW w:w="91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872" w:type="dxa"/>
            <w:tcBorders/>
            <w:vAlign w:val="center"/>
          </w:tcPr>
          <w:p>
            <w:pPr>
              <w:pStyle w:val="TableContents"/>
              <w:bidi w:val="0"/>
              <w:spacing w:before="0" w:after="283"/>
              <w:jc w:val="left"/>
              <w:rPr>
                <w:sz w:val="4"/>
                <w:szCs w:val="4"/>
              </w:rPr>
            </w:pPr>
            <w:r>
              <w:rPr>
                <w:sz w:val="4"/>
                <w:szCs w:val="4"/>
              </w:rPr>
            </w:r>
          </w:p>
        </w:tc>
      </w:tr>
      <w:tr>
        <w:trPr/>
        <w:tc>
          <w:tcPr>
            <w:tcW w:w="252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Lender</w:t>
            </w:r>
          </w:p>
        </w:tc>
        <w:tc>
          <w:tcPr>
            <w:tcW w:w="3159"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Revolving-1 Credit Commitment</w:t>
            </w:r>
          </w:p>
        </w:tc>
        <w:tc>
          <w:tcPr>
            <w:tcW w:w="4524"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Rata Share of Incremental Revolving-1 Commitments</w:t>
            </w:r>
          </w:p>
        </w:tc>
      </w:tr>
      <w:tr>
        <w:trPr/>
        <w:tc>
          <w:tcPr>
            <w:tcW w:w="25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BNP Paribas</w:t>
            </w:r>
          </w:p>
        </w:tc>
        <w:tc>
          <w:tcPr>
            <w:tcW w:w="3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w:t>
            </w:r>
          </w:p>
        </w:tc>
        <w:tc>
          <w:tcPr>
            <w:tcW w:w="45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50.0000000000%</w:t>
            </w:r>
          </w:p>
        </w:tc>
      </w:tr>
      <w:tr>
        <w:trPr/>
        <w:tc>
          <w:tcPr>
            <w:tcW w:w="252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PNC Bank, National Association</w:t>
            </w:r>
          </w:p>
        </w:tc>
        <w:tc>
          <w:tcPr>
            <w:tcW w:w="31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w:t>
            </w:r>
          </w:p>
        </w:tc>
        <w:tc>
          <w:tcPr>
            <w:tcW w:w="452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50.0000000000%</w:t>
            </w:r>
          </w:p>
        </w:tc>
      </w:tr>
      <w:tr>
        <w:trPr/>
        <w:tc>
          <w:tcPr>
            <w:tcW w:w="252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1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$100,000,000.00</w:t>
            </w:r>
          </w:p>
        </w:tc>
        <w:tc>
          <w:tcPr>
            <w:tcW w:w="452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100.000000000%</w:t>
            </w:r>
          </w:p>
        </w:tc>
      </w:tr>
    </w:tbl>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Initial Revolving-2 Credit Commitments (as of the Amendment Effective Date)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67"/>
        <w:gridCol w:w="901"/>
        <w:gridCol w:w="915"/>
        <w:gridCol w:w="1051"/>
        <w:gridCol w:w="990"/>
        <w:gridCol w:w="992"/>
        <w:gridCol w:w="1272"/>
        <w:gridCol w:w="1246"/>
        <w:gridCol w:w="1771"/>
      </w:tblGrid>
      <w:tr>
        <w:trPr/>
        <w:tc>
          <w:tcPr>
            <w:tcW w:w="1067"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2883"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Lender</w:t>
            </w:r>
          </w:p>
        </w:tc>
        <w:tc>
          <w:tcPr>
            <w:tcW w:w="3033"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Revolving-2 Credit Commitment</w:t>
            </w:r>
          </w:p>
        </w:tc>
        <w:tc>
          <w:tcPr>
            <w:tcW w:w="4289"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Rata Share of Incremental Revolving-2 Commitments</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Citibank, N.A.</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Citizens Bank, N.A.</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JPMorgan Chase Bank, N.A.</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Santander Bank, N.A.</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MUFG Bank, Ltd.</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c>
          <w:tcPr>
            <w:tcW w:w="303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8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14.285714286%</w:t>
            </w:r>
          </w:p>
        </w:tc>
      </w:tr>
      <w:tr>
        <w:trPr/>
        <w:tc>
          <w:tcPr>
            <w:tcW w:w="28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303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$210,000,000.00</w:t>
            </w:r>
          </w:p>
        </w:tc>
        <w:tc>
          <w:tcPr>
            <w:tcW w:w="428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100.000000000%</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i/>
          <w:color w:val="000000"/>
          <w:sz w:val="22"/>
        </w:rPr>
      </w:pPr>
      <w:r>
        <w:rPr>
          <w:rFonts w:ascii="Times New Roman;serif" w:hAnsi="Times New Roman;serif"/>
          <w:b/>
          <w:i/>
          <w:color w:val="000000"/>
          <w:sz w:val="22"/>
        </w:rPr>
        <w:t>Initial Revolving Credit Commitments (as of the Amendment Effective Date)</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073"/>
        <w:gridCol w:w="943"/>
        <w:gridCol w:w="946"/>
        <w:gridCol w:w="1021"/>
        <w:gridCol w:w="970"/>
        <w:gridCol w:w="973"/>
        <w:gridCol w:w="1266"/>
        <w:gridCol w:w="1244"/>
        <w:gridCol w:w="1769"/>
      </w:tblGrid>
      <w:tr>
        <w:trPr/>
        <w:tc>
          <w:tcPr>
            <w:tcW w:w="107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769" w:type="dxa"/>
            <w:tcBorders/>
            <w:vAlign w:val="center"/>
          </w:tcPr>
          <w:p>
            <w:pPr>
              <w:pStyle w:val="TableContents"/>
              <w:bidi w:val="0"/>
              <w:spacing w:before="0" w:after="283"/>
              <w:jc w:val="left"/>
              <w:rPr>
                <w:sz w:val="4"/>
                <w:szCs w:val="4"/>
              </w:rPr>
            </w:pPr>
            <w:r>
              <w:rPr>
                <w:sz w:val="4"/>
                <w:szCs w:val="4"/>
              </w:rPr>
            </w:r>
          </w:p>
        </w:tc>
      </w:tr>
      <w:tr>
        <w:trPr/>
        <w:tc>
          <w:tcPr>
            <w:tcW w:w="2962" w:type="dxa"/>
            <w:gridSpan w:val="3"/>
            <w:tcBorders>
              <w:top w:val="single" w:sz="4" w:space="0" w:color="000000"/>
              <w:left w:val="single" w:sz="4" w:space="0" w:color="000000"/>
            </w:tcBorders>
            <w:shd w:fill="BFBFBF" w:val="clear"/>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Lender</w:t>
            </w:r>
          </w:p>
        </w:tc>
        <w:tc>
          <w:tcPr>
            <w:tcW w:w="2964" w:type="dxa"/>
            <w:gridSpan w:val="3"/>
            <w:tcBorders>
              <w:top w:val="single" w:sz="4" w:space="0" w:color="000000"/>
              <w:left w:val="single" w:sz="4"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Initial Revolving Credit Commitment</w:t>
            </w:r>
          </w:p>
        </w:tc>
        <w:tc>
          <w:tcPr>
            <w:tcW w:w="4279" w:type="dxa"/>
            <w:gridSpan w:val="3"/>
            <w:tcBorders>
              <w:top w:val="single" w:sz="4" w:space="0" w:color="000000"/>
              <w:left w:val="single" w:sz="4" w:space="0" w:color="000000"/>
              <w:right w:val="single" w:sz="4"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Pro Rata Share of Incremental Revolving Commitments</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BNP Paribas</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16.129032258%</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PNC Bank, National Association</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16.129032258%</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Citibank, N.A.</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Citizens Bank, N.A.</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JPMorgan Chase Bank, N.A.</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Santander Bank, N.A.</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MUFG Bank, Ltd.</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Bank National Association</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Wells Fargo Bank, National Association</w:t>
            </w:r>
          </w:p>
        </w:tc>
        <w:tc>
          <w:tcPr>
            <w:tcW w:w="296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$30,000,000.00</w:t>
            </w:r>
          </w:p>
        </w:tc>
        <w:tc>
          <w:tcPr>
            <w:tcW w:w="427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9.677419355%</w:t>
            </w:r>
          </w:p>
        </w:tc>
      </w:tr>
      <w:tr>
        <w:trPr/>
        <w:tc>
          <w:tcPr>
            <w:tcW w:w="2962"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96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$310,000,000.00</w:t>
            </w:r>
          </w:p>
        </w:tc>
        <w:tc>
          <w:tcPr>
            <w:tcW w:w="427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100.000000000%</w:t>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6480175" cy="175260"/>
                <wp:effectExtent l="0" t="0" r="0" b="0"/>
                <wp:wrapNone/>
                <wp:docPr id="405" name="Frame3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ind w:left="0" w:right="0" w:hanging="3600"/>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ANNEX D</w:t>
      </w:r>
    </w:p>
    <w:p>
      <w:pPr>
        <w:pStyle w:val="TextBody"/>
        <w:bidi w:val="0"/>
        <w:spacing w:lineRule="auto" w:line="288" w:before="0" w:after="0"/>
        <w:ind w:left="0" w:right="0" w:hanging="3600"/>
        <w:jc w:val="center"/>
        <w:rPr>
          <w:rFonts w:ascii="Times New Roman;serif" w:hAnsi="Times New Roman;serif"/>
          <w:b w:val="false"/>
          <w:color w:val="000000"/>
          <w:sz w:val="22"/>
        </w:rPr>
      </w:pPr>
      <w:r>
        <w:rPr>
          <w:rFonts w:ascii="Times New Roman;serif" w:hAnsi="Times New Roman;serif"/>
          <w:b w:val="false"/>
          <w:color w:val="000000"/>
          <w:sz w:val="22"/>
        </w:rPr>
        <w:t>(Post-Closing Matters)</w:t>
      </w:r>
    </w:p>
    <w:p>
      <w:pPr>
        <w:pStyle w:val="TextBody"/>
        <w:bidi w:val="0"/>
        <w:spacing w:before="0" w:after="0"/>
        <w:ind w:left="0" w:right="0" w:hanging="3600"/>
        <w:jc w:val="left"/>
        <w:rPr/>
      </w:pPr>
      <w:r>
        <w:rPr/>
      </w:r>
    </w:p>
    <w:p>
      <w:pPr>
        <w:pStyle w:val="TextBody"/>
        <w:bidi w:val="0"/>
        <w:spacing w:lineRule="auto" w:line="288" w:before="0" w:after="240"/>
        <w:ind w:left="0" w:right="0" w:hanging="360"/>
        <w:jc w:val="both"/>
        <w:rPr/>
      </w:pPr>
      <w:r>
        <w:rPr>
          <w:rFonts w:ascii="Times New Roman;serif" w:hAnsi="Times New Roman;serif"/>
          <w:b w:val="false"/>
          <w:color w:val="000000"/>
          <w:sz w:val="22"/>
        </w:rPr>
        <w:t xml:space="preserve">1.Within fifteen (15) days after the Amendment Effective Date (or such later date as agreed to by the Administrative Agent and the Left Lead Arranger in their sole discretion), the Company shall deliver to the Left Lead Arranger and the Administrative Agent (a) a joinder to the Guaranty Agreement and the Security Agreement and (b) such other deliverables required by entities joining the Loan Documents as Guarantors and Grantors, as applicable, in accordance with </w:t>
      </w:r>
      <w:r>
        <w:rPr>
          <w:rFonts w:ascii="Times New Roman;serif" w:hAnsi="Times New Roman;serif"/>
          <w:b w:val="false"/>
          <w:color w:val="000000"/>
          <w:sz w:val="22"/>
          <w:u w:val="single"/>
        </w:rPr>
        <w:t>Section 6.12</w:t>
      </w:r>
      <w:r>
        <w:rPr>
          <w:color w:val="000000"/>
        </w:rPr>
        <w:t xml:space="preserve"> </w:t>
      </w:r>
      <w:r>
        <w:rPr>
          <w:rFonts w:ascii="Times New Roman;serif" w:hAnsi="Times New Roman;serif"/>
          <w:b w:val="false"/>
          <w:color w:val="000000"/>
          <w:sz w:val="22"/>
        </w:rPr>
        <w:t>of the Credit Agreement, in each case, with respect to the following entities: (i) embecta International Holdings I LLC, (ii) embecta International Holdings II LLC, and (iii) embecta Global LLC.</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2.Within forty-five (45) days after the Amendment Effective Date (or such later date as agreed to by the Administrative Agent and the Left Lead Arranger in their sole discretion), the Company shall deliver to the Left Lead Arranger and the Administrative Agent such documentation necessary to evidence a pledge of 100% of the Equity Interests of embecta Luxembourg II S.a.r.l by embecta International Holdings I LLC under Luxembourg law.</w:t>
      </w:r>
    </w:p>
    <w:p>
      <w:pPr>
        <w:pStyle w:val="TextBody"/>
        <w:bidi w:val="0"/>
        <w:spacing w:lineRule="auto" w:line="288" w:before="0" w:after="24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3.Within ninety (90) days after the Amendment Effective Date (or such later date as agreed to by the Administrative Agent and the Left Lead Arranger in their sole discretion), the Loan Parties shall deliver to the Left Lead Arranger and the Administrative Agent, in form and substance reasonably satisfactory to the Administrative Agent and the Left Lead Arranger (and subject to the review of their applicable counsel in the United States, Switzerland and Ireland):</w:t>
      </w:r>
    </w:p>
    <w:p>
      <w:pPr>
        <w:pStyle w:val="TextBody"/>
        <w:bidi w:val="0"/>
        <w:spacing w:lineRule="auto" w:line="288" w:before="0" w:after="240"/>
        <w:ind w:left="0" w:right="0" w:hanging="720"/>
        <w:jc w:val="both"/>
        <w:rPr/>
      </w:pPr>
      <w:r>
        <w:rPr>
          <w:rFonts w:ascii="Times New Roman;serif" w:hAnsi="Times New Roman;serif"/>
          <w:b w:val="false"/>
          <w:color w:val="000000"/>
          <w:sz w:val="22"/>
        </w:rPr>
        <w:t>(a)    a secured intercompany demand note (the “</w:t>
      </w:r>
      <w:r>
        <w:rPr>
          <w:rFonts w:ascii="Times New Roman;serif" w:hAnsi="Times New Roman;serif"/>
          <w:b w:val="false"/>
          <w:color w:val="000000"/>
          <w:sz w:val="22"/>
          <w:u w:val="single"/>
        </w:rPr>
        <w:t>Intercompany Note</w:t>
      </w:r>
      <w:r>
        <w:rPr>
          <w:color w:val="000000"/>
        </w:rPr>
        <w:t>”</w:t>
      </w:r>
      <w:r>
        <w:rPr>
          <w:rFonts w:ascii="Times New Roman;serif" w:hAnsi="Times New Roman;serif"/>
          <w:b w:val="false"/>
          <w:color w:val="000000"/>
          <w:sz w:val="22"/>
        </w:rPr>
        <w:t>) executed by Embecta Switzerland S.a.r.l. (the “</w:t>
      </w:r>
      <w:r>
        <w:rPr>
          <w:rFonts w:ascii="Times New Roman;serif" w:hAnsi="Times New Roman;serif"/>
          <w:b w:val="false"/>
          <w:color w:val="000000"/>
          <w:sz w:val="22"/>
          <w:u w:val="single"/>
        </w:rPr>
        <w:t>Payor</w:t>
      </w:r>
      <w:r>
        <w:rPr>
          <w:color w:val="000000"/>
        </w:rPr>
        <w:t>”</w:t>
      </w:r>
      <w:r>
        <w:rPr>
          <w:rFonts w:ascii="Times New Roman;serif" w:hAnsi="Times New Roman;serif"/>
          <w:b w:val="false"/>
          <w:color w:val="000000"/>
          <w:sz w:val="22"/>
        </w:rPr>
        <w:t>) in favor of embecta International Holdings II LLC (the “</w:t>
      </w:r>
      <w:r>
        <w:rPr>
          <w:rFonts w:ascii="Times New Roman;serif" w:hAnsi="Times New Roman;serif"/>
          <w:b w:val="false"/>
          <w:color w:val="000000"/>
          <w:sz w:val="22"/>
          <w:u w:val="single"/>
        </w:rPr>
        <w:t>Creditor</w:t>
      </w:r>
      <w:r>
        <w:rPr>
          <w:color w:val="000000"/>
        </w:rPr>
        <w:t>”</w:t>
      </w:r>
      <w:r>
        <w:rPr>
          <w:rFonts w:ascii="Times New Roman;serif" w:hAnsi="Times New Roman;serif"/>
          <w:b w:val="false"/>
          <w:color w:val="000000"/>
          <w:sz w:val="22"/>
        </w:rPr>
        <w:t xml:space="preserve">), which evidences the existing intercompany loan made by the Creditor to the Payor in the principal amount of $450,000,000 and which is payable on demand by the Creditor;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Intercompany Note (i) shall be governed by New York law (subject to confirmation by US and Swiss counsel to the Administrative Agent and the Left Lead Arranger), (ii) shall be subject to any applicable Swiss law requirements (as determined in good faith by the Loan Parties, the Administrative Agent and the Left Lead Arranger) and (iii) shall be subject to arm’s length terms and conditions customary for transactions entered into under circumstances similar to those present with respect to this First Amendment (as determined in good faith by the Loan Parties, the Administrative Agent and the Left Lead Arranger);</w:t>
      </w:r>
    </w:p>
    <w:p>
      <w:pPr>
        <w:pStyle w:val="TextBody"/>
        <w:bidi w:val="0"/>
        <w:spacing w:lineRule="auto" w:line="288" w:before="0" w:after="240"/>
        <w:ind w:left="0" w:right="0" w:hanging="720"/>
        <w:jc w:val="both"/>
        <w:rPr/>
      </w:pPr>
      <w:r>
        <w:rPr>
          <w:rFonts w:ascii="Times New Roman;serif" w:hAnsi="Times New Roman;serif"/>
          <w:b w:val="false"/>
          <w:color w:val="000000"/>
          <w:sz w:val="22"/>
        </w:rPr>
        <w:t>(b)    a secured guaranty agreement (the “</w:t>
      </w:r>
      <w:r>
        <w:rPr>
          <w:rFonts w:ascii="Times New Roman;serif" w:hAnsi="Times New Roman;serif"/>
          <w:b w:val="false"/>
          <w:color w:val="000000"/>
          <w:sz w:val="22"/>
          <w:u w:val="single"/>
        </w:rPr>
        <w:t>Irish Guaranty Agreement</w:t>
      </w:r>
      <w:r>
        <w:rPr>
          <w:color w:val="000000"/>
        </w:rPr>
        <w:t>”</w:t>
      </w:r>
      <w:r>
        <w:rPr>
          <w:rFonts w:ascii="Times New Roman;serif" w:hAnsi="Times New Roman;serif"/>
          <w:b w:val="false"/>
          <w:color w:val="000000"/>
          <w:sz w:val="22"/>
        </w:rPr>
        <w:t>) executed by embecta Ireland Trading Ltd (the “</w:t>
      </w:r>
      <w:r>
        <w:rPr>
          <w:rFonts w:ascii="Times New Roman;serif" w:hAnsi="Times New Roman;serif"/>
          <w:b w:val="false"/>
          <w:color w:val="000000"/>
          <w:sz w:val="22"/>
          <w:u w:val="single"/>
        </w:rPr>
        <w:t>Irish Guarantor</w:t>
      </w:r>
      <w:r>
        <w:rPr>
          <w:color w:val="000000"/>
        </w:rPr>
        <w:t>”</w:t>
      </w:r>
      <w:r>
        <w:rPr>
          <w:rFonts w:ascii="Times New Roman;serif" w:hAnsi="Times New Roman;serif"/>
          <w:b w:val="false"/>
          <w:color w:val="000000"/>
          <w:sz w:val="22"/>
        </w:rPr>
        <w:t xml:space="preserve">) in favor of the Creditor, which provides for the guarantee by the Irish Guarantor of all obligations of the Payor under the Intercompany Note;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Irish Guaranty Agreement (i) shall be governed by New York law (subject to confirmation by US and Irish counsel to the Administrative Agent and the Left Lead Arranger), (ii) shall be subject to any applicable Irish law requirements (as determined in good faith by the Loan Parties, the Administrative Agent and the Left Lead Arranger) and (iii) shall be subject to arm’s length terms and conditions customary for transactions entered into under circumstances similar to those present with respect to this First Amendment (as determined in good faith by the Loan Parties, the Administrative Agent and the Left Lead Arranger);</w:t>
      </w:r>
    </w:p>
    <w:p>
      <w:pPr>
        <w:pStyle w:val="TextBody"/>
        <w:bidi w:val="0"/>
        <w:spacing w:before="0" w:after="0"/>
        <w:jc w:val="left"/>
        <w:rPr/>
      </w:pPr>
      <w:r>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6480175" cy="175260"/>
                <wp:effectExtent l="0" t="0" r="0" b="0"/>
                <wp:wrapNone/>
                <wp:docPr id="406" name="Frame3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hanging="720"/>
        <w:jc w:val="both"/>
        <w:rPr/>
      </w:pPr>
      <w:r>
        <w:rPr>
          <w:rFonts w:ascii="Times New Roman;serif" w:hAnsi="Times New Roman;serif"/>
          <w:b w:val="false"/>
          <w:color w:val="000000"/>
          <w:sz w:val="22"/>
        </w:rPr>
        <w:t>(c)    security documentation (the “</w:t>
      </w:r>
      <w:r>
        <w:rPr>
          <w:rFonts w:ascii="Times New Roman;serif" w:hAnsi="Times New Roman;serif"/>
          <w:b w:val="false"/>
          <w:color w:val="000000"/>
          <w:sz w:val="22"/>
          <w:u w:val="single"/>
        </w:rPr>
        <w:t>Swiss Security Documentation</w:t>
      </w:r>
      <w:r>
        <w:rPr>
          <w:color w:val="000000"/>
        </w:rPr>
        <w:t>”</w:t>
      </w:r>
      <w:r>
        <w:rPr>
          <w:rFonts w:ascii="Times New Roman;serif" w:hAnsi="Times New Roman;serif"/>
          <w:b w:val="false"/>
          <w:color w:val="000000"/>
          <w:sz w:val="22"/>
        </w:rPr>
        <w:t xml:space="preserve">) executed by the Payor in favor of the Creditor, pursuant to which the Payor grants to the Creditor a security interest in (i) all of its personal property (subject to certain customary exceptions to be mutually agreed) and (ii) all of its real property with a fair market value (as determined in good faith by the Company) in excess of $25,000,000;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Swiss Security Documentation (A) shall be governed by local law (subject to confirmation by Swiss counsel to the Administrative Agent and the Left Lead Arranger), (B) shall be subject to arm’s length terms and conditions customary for transactions entered into under circumstances similar to those present with respect to this First Amendment (as determined in good faith by the Loan Parties, the Administrative Agent and the Left Lead Arranger) and (C) shall include customary real property documentation and other deliverables for secured transactions under Swiss law (as determined in good faith by the Loan Parties, the Administrative Agent and the Left Lead Arranger);</w:t>
      </w:r>
    </w:p>
    <w:p>
      <w:pPr>
        <w:pStyle w:val="TextBody"/>
        <w:bidi w:val="0"/>
        <w:spacing w:lineRule="auto" w:line="288" w:before="0" w:after="240"/>
        <w:ind w:left="0" w:right="0" w:hanging="720"/>
        <w:jc w:val="both"/>
        <w:rPr/>
      </w:pPr>
      <w:r>
        <w:rPr>
          <w:rFonts w:ascii="Times New Roman;serif" w:hAnsi="Times New Roman;serif"/>
          <w:b w:val="false"/>
          <w:color w:val="000000"/>
          <w:sz w:val="22"/>
        </w:rPr>
        <w:t>(d)    security documentation (the “</w:t>
      </w:r>
      <w:r>
        <w:rPr>
          <w:rFonts w:ascii="Times New Roman;serif" w:hAnsi="Times New Roman;serif"/>
          <w:b w:val="false"/>
          <w:color w:val="000000"/>
          <w:sz w:val="22"/>
          <w:u w:val="single"/>
        </w:rPr>
        <w:t>Irish Security Documentation</w:t>
      </w:r>
      <w:r>
        <w:rPr>
          <w:color w:val="000000"/>
        </w:rPr>
        <w:t>”</w:t>
      </w:r>
      <w:r>
        <w:rPr>
          <w:rFonts w:ascii="Times New Roman;serif" w:hAnsi="Times New Roman;serif"/>
          <w:b w:val="false"/>
          <w:color w:val="000000"/>
          <w:sz w:val="22"/>
        </w:rPr>
        <w:t xml:space="preserve">) executed by the Irish Guarantor in favor of the Creditor, pursuant to which the Irish Guarantor grants to the Creditor a security interest in (i) all of its personal property (subject to certain customary exceptions to be mutually agreed) and (ii) all of its real property with a fair market value (as determined in good faith by the Company) in excess of $25,000,000; </w:t>
      </w:r>
      <w:r>
        <w:rPr>
          <w:rFonts w:ascii="Times New Roman;serif" w:hAnsi="Times New Roman;serif"/>
          <w:b w:val="false"/>
          <w:color w:val="000000"/>
          <w:sz w:val="22"/>
          <w:u w:val="single"/>
        </w:rPr>
        <w:t>provided</w:t>
      </w:r>
      <w:r>
        <w:rPr>
          <w:color w:val="000000"/>
        </w:rPr>
        <w:t xml:space="preserve"> </w:t>
      </w:r>
      <w:r>
        <w:rPr>
          <w:rFonts w:ascii="Times New Roman;serif" w:hAnsi="Times New Roman;serif"/>
          <w:b w:val="false"/>
          <w:color w:val="000000"/>
          <w:sz w:val="22"/>
        </w:rPr>
        <w:t>that the Irish Security Documentation (A) shall be governed by local law (subject to confirmation by Irish counsel to the Administrative Agent and the Left Lead Arranger), (B) shall be subject to arm’s length terms and conditions customary for transactions entered into under circumstances similar to those present with respect to this First Amendment (as determined in good faith by the Loan Parties, the Administrative Agent and the Left Lead Arranger) and (C) shall include customary real property documentation and other deliverables for secured transactions under Irish law (as determined in good faith by the Loan Parties, the Administrative Agent and the Left Lead Arranger); and</w:t>
      </w:r>
    </w:p>
    <w:p>
      <w:pPr>
        <w:pStyle w:val="TextBody"/>
        <w:bidi w:val="0"/>
        <w:spacing w:lineRule="auto" w:line="288" w:before="0" w:after="240"/>
        <w:ind w:left="0" w:right="0" w:hanging="720"/>
        <w:jc w:val="both"/>
        <w:rPr>
          <w:rFonts w:ascii="Times New Roman;serif" w:hAnsi="Times New Roman;serif"/>
          <w:b w:val="false"/>
          <w:color w:val="000000"/>
          <w:sz w:val="22"/>
        </w:rPr>
      </w:pPr>
      <w:r>
        <w:rPr>
          <w:rFonts w:ascii="Times New Roman;serif" w:hAnsi="Times New Roman;serif"/>
          <w:b w:val="false"/>
          <w:color w:val="000000"/>
          <w:sz w:val="22"/>
        </w:rPr>
        <w:t>(e)    the Creditor shall grant to the Collateral Agent, for the benefit of the Secured Parties, a security interest in the Intercompany Note, the Irish Guaranty Agreement, the Swiss Security Documentation and the Irish Security Documentation and, in connection therewith, (i) shall execute such documentation reasonably necessary to evidence such security interest, including, without the further consent of any Lender, any amendments or modifications to the Security Agreement to effectuate such security interest and (ii) shall deliver such documentation, including, without limitation, original copies of the Intercompany Note, the Irish Guaranty Agreement, the Swiss Security Documentation and the Irish Security Documentation, required by the Collateral Agent and the Left Lead Arranger in connection therewith.</w:t>
      </w:r>
    </w:p>
    <w:p>
      <w:pPr>
        <w:pStyle w:val="TextBody"/>
        <w:bidi w:val="0"/>
        <w:spacing w:before="0" w:after="0"/>
        <w:ind w:left="0" w:right="0" w:hanging="3600"/>
        <w:jc w:val="center"/>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6480175" cy="175260"/>
                <wp:effectExtent l="0" t="0" r="0" b="0"/>
                <wp:wrapNone/>
                <wp:docPr id="407" name="Frame3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Devdatt Kurdikar, certify that: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Embecta Corp.;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6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7, 2026 </w:t>
      </w:r>
    </w:p>
    <w:tbl>
      <w:tblPr>
        <w:tblW w:w="3552" w:type="dxa"/>
        <w:jc w:val="left"/>
        <w:tblInd w:w="0" w:type="dxa"/>
        <w:tblLayout w:type="fixed"/>
        <w:tblCellMar>
          <w:top w:w="28" w:type="dxa"/>
          <w:left w:w="28" w:type="dxa"/>
          <w:bottom w:w="28" w:type="dxa"/>
          <w:right w:w="28" w:type="dxa"/>
        </w:tblCellMar>
      </w:tblPr>
      <w:tblGrid>
        <w:gridCol w:w="124"/>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6480175" cy="146685"/>
                <wp:effectExtent l="0" t="0" r="0" b="0"/>
                <wp:wrapNone/>
                <wp:docPr id="408" name="Frame3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 Jacob Elguicze, certify that: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Embecta Corp.;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68"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76" w:before="1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351" w:type="dxa"/>
        <w:jc w:val="left"/>
        <w:tblInd w:w="0" w:type="dxa"/>
        <w:tblLayout w:type="fixed"/>
        <w:tblCellMar>
          <w:top w:w="28" w:type="dxa"/>
          <w:left w:w="28" w:type="dxa"/>
          <w:bottom w:w="28" w:type="dxa"/>
          <w:right w:w="28" w:type="dxa"/>
        </w:tblCellMar>
      </w:tblPr>
      <w:tblGrid>
        <w:gridCol w:w="124"/>
        <w:gridCol w:w="109"/>
        <w:gridCol w:w="109"/>
        <w:gridCol w:w="588"/>
        <w:gridCol w:w="588"/>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480175" cy="146685"/>
                <wp:effectExtent l="0" t="0" r="0" b="0"/>
                <wp:wrapNone/>
                <wp:docPr id="409" name="Frame3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76"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in connection with the Quarterly Report on Form 10-Q of Embecta Corp. for the quarter ended June 30, 2026 as filed with the Securities and Exchange Commission (the “Report”), I, Devdatt Kurdikar, the President and Chief Executive Officer of Embecta Corp., certify that, to the best of my knowledge: </w:t>
      </w:r>
    </w:p>
    <w:p>
      <w:pPr>
        <w:pStyle w:val="TextBody"/>
        <w:bidi w:val="0"/>
        <w:spacing w:lineRule="auto" w:line="276"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1.such Report fully complies with the requirements of Section 13(a) or 15(d) of the Securities Exchange Act of 1934; and </w:t>
      </w:r>
    </w:p>
    <w:p>
      <w:pPr>
        <w:pStyle w:val="TextBody"/>
        <w:bidi w:val="0"/>
        <w:spacing w:lineRule="auto" w:line="268"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Embecta Corp.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40"/>
        <w:gridCol w:w="940"/>
        <w:gridCol w:w="13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Devdatt Kurdikar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6480175" cy="146685"/>
                <wp:effectExtent l="0" t="0" r="0" b="0"/>
                <wp:wrapNone/>
                <wp:docPr id="410" name="Frame3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76" w:before="0" w:after="0"/>
        <w:jc w:val="right"/>
        <w:rPr>
          <w:rFonts w:ascii="Times New Roman;serif" w:hAnsi="Times New Roman;serif"/>
          <w:b/>
          <w:color w:val="000000"/>
          <w:sz w:val="20"/>
        </w:rPr>
      </w:pPr>
      <w:r>
        <w:rPr>
          <w:rFonts w:ascii="Times New Roman;serif" w:hAnsi="Times New Roman;serif"/>
          <w:b/>
          <w:color w:val="000000"/>
          <w:sz w:val="20"/>
        </w:rPr>
        <w:t xml:space="preserve">Exhibit 32.2 </w:t>
      </w:r>
    </w:p>
    <w:p>
      <w:pPr>
        <w:pStyle w:val="TextBody"/>
        <w:bidi w:val="0"/>
        <w:spacing w:before="0" w:after="0"/>
        <w:jc w:val="right"/>
        <w:rPr/>
      </w:pPr>
      <w:r>
        <w:rPr/>
      </w:r>
    </w:p>
    <w:p>
      <w:pPr>
        <w:pStyle w:val="TextBody"/>
        <w:bidi w:val="0"/>
        <w:spacing w:lineRule="auto" w:line="276" w:before="0" w:after="0"/>
        <w:jc w:val="center"/>
        <w:rPr>
          <w:rFonts w:ascii="Times New Roman;serif" w:hAnsi="Times New Roman;serif"/>
          <w:b/>
          <w:color w:val="000000"/>
          <w:sz w:val="20"/>
          <w:u w:val="single"/>
        </w:rPr>
      </w:pPr>
      <w:r>
        <w:rPr>
          <w:rFonts w:ascii="Times New Roman;serif" w:hAnsi="Times New Roman;serif"/>
          <w:b/>
          <w:color w:val="000000"/>
          <w:sz w:val="20"/>
          <w:u w:val="single"/>
        </w:rPr>
        <w:t>CERTIFICATION</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18 U.S.C. Section 1350, in connection with the Quarterly Report on Form 10-Q of Embecta Corp. for the quarter ended June 30, 2026 as filed with the Securities and Exchange Commission (the “Report”), I, Jacob Elguicze, the Chief Financial Officer of Embecta Corp., certify that, to the best of my knowledge: </w:t>
      </w:r>
    </w:p>
    <w:p>
      <w:pPr>
        <w:pStyle w:val="TextBody"/>
        <w:bidi w:val="0"/>
        <w:spacing w:lineRule="auto" w:line="276" w:before="16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1.such Report fully complies with the requirements of Section 13(a) or 15(d) of the Securities Exchange Act of 1934; and </w:t>
      </w:r>
    </w:p>
    <w:p>
      <w:pPr>
        <w:pStyle w:val="TextBody"/>
        <w:bidi w:val="0"/>
        <w:spacing w:lineRule="auto" w:line="268" w:before="120" w:after="283"/>
        <w:ind w:left="0" w:right="0" w:hanging="450"/>
        <w:jc w:val="left"/>
        <w:rPr>
          <w:rFonts w:ascii="Times New Roman;serif" w:hAnsi="Times New Roman;serif"/>
          <w:b w:val="false"/>
          <w:color w:val="000000"/>
          <w:sz w:val="20"/>
        </w:rPr>
      </w:pPr>
      <w:r>
        <w:rPr>
          <w:rFonts w:ascii="Times New Roman;serif" w:hAnsi="Times New Roman;serif"/>
          <w:b w:val="false"/>
          <w:color w:val="000000"/>
          <w:sz w:val="20"/>
        </w:rPr>
        <w:t xml:space="preserve">2.the information contained in the Report fairly presents, in all material respects, the financial condition and results of operations of Embecta Corp. </w:t>
      </w:r>
    </w:p>
    <w:p>
      <w:pPr>
        <w:pStyle w:val="TextBody"/>
        <w:bidi w:val="0"/>
        <w:spacing w:lineRule="auto" w:line="276" w:before="240" w:after="283"/>
        <w:jc w:val="left"/>
        <w:rPr>
          <w:rFonts w:ascii="Times New Roman;serif" w:hAnsi="Times New Roman;serif"/>
          <w:b w:val="false"/>
          <w:color w:val="000000"/>
          <w:sz w:val="20"/>
        </w:rPr>
      </w:pPr>
      <w:r>
        <w:rPr>
          <w:rFonts w:ascii="Times New Roman;serif" w:hAnsi="Times New Roman;serif"/>
          <w:b w:val="false"/>
          <w:color w:val="000000"/>
          <w:sz w:val="20"/>
        </w:rPr>
        <w:t>Date: August 7, 2026</w:t>
      </w:r>
    </w:p>
    <w:tbl>
      <w:tblPr>
        <w:tblW w:w="2351" w:type="dxa"/>
        <w:jc w:val="left"/>
        <w:tblInd w:w="0" w:type="dxa"/>
        <w:tblLayout w:type="fixed"/>
        <w:tblCellMar>
          <w:top w:w="28" w:type="dxa"/>
          <w:left w:w="28" w:type="dxa"/>
          <w:bottom w:w="28" w:type="dxa"/>
          <w:right w:w="28" w:type="dxa"/>
        </w:tblCellMar>
      </w:tblPr>
      <w:tblGrid>
        <w:gridCol w:w="124"/>
        <w:gridCol w:w="109"/>
        <w:gridCol w:w="109"/>
        <w:gridCol w:w="588"/>
        <w:gridCol w:w="588"/>
        <w:gridCol w:w="8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Jacob Elguicze</w:t>
            </w:r>
          </w:p>
        </w:tc>
      </w:tr>
      <w:tr>
        <w:trPr/>
        <w:tc>
          <w:tcPr>
            <w:tcW w:w="342"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480175" cy="146685"/>
                <wp:effectExtent l="0" t="0" r="0" b="0"/>
                <wp:wrapNone/>
                <wp:docPr id="411" name="Frame3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2.png"/><Relationship Id="rId5" Type="http://schemas.openxmlformats.org/officeDocument/2006/relationships/image" Target="media/image3.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3.png"/><Relationship Id="rId9" Type="http://schemas.openxmlformats.org/officeDocument/2006/relationships/image" Target="media/image3.png"/><Relationship Id="rId10" Type="http://schemas.openxmlformats.org/officeDocument/2006/relationships/image" Target="media/image3.png"/><Relationship Id="rId11" Type="http://schemas.openxmlformats.org/officeDocument/2006/relationships/image" Target="media/image3.png"/><Relationship Id="rId12" Type="http://schemas.openxmlformats.org/officeDocument/2006/relationships/image" Target="media/image3.png"/><Relationship Id="rId13" Type="http://schemas.openxmlformats.org/officeDocument/2006/relationships/image" Target="media/image3.png"/><Relationship Id="rId14" Type="http://schemas.openxmlformats.org/officeDocument/2006/relationships/image" Target="media/image3.pn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359</Pages>
  <Words>199950</Words>
  <Characters>1082597</Characters>
  <CharactersWithSpaces>1283929</CharactersWithSpaces>
  <Paragraphs>5547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