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nited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ecurities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3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 ]</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Rule 13d-1(b)</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Rule 13d-1(c)</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Rule 13d-1(d)</w:t>
            </w:r>
          </w:p>
        </w:tc>
      </w:tr>
    </w:tbl>
    <w:p>
      <w:pPr>
        <w:spacing w:after="0" w:line="200" w:lineRule="exact"/>
        <w:rPr>
          <w:sz w:val="24"/>
          <w:szCs w:val="24"/>
          <w:color w:val="auto"/>
        </w:rPr>
      </w:pP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0" w:hanging="402"/>
        <w:spacing w:after="0"/>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29" w:lineRule="exact"/>
        <w:rPr>
          <w:rFonts w:ascii="Times New Roman" w:cs="Times New Roman" w:eastAsia="Times New Roman" w:hAnsi="Times New Roman"/>
          <w:sz w:val="18"/>
          <w:szCs w:val="18"/>
          <w:b w:val="1"/>
          <w:bCs w:val="1"/>
          <w:color w:val="auto"/>
        </w:rPr>
      </w:pP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American Century Capital Portfolios, Inc.</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680" w:hanging="402"/>
        <w:spacing w:after="0"/>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60" w:hanging="393"/>
        <w:spacing w:after="0"/>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60" w:hanging="398"/>
        <w:spacing w:after="0"/>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680" w:right="7760" w:hanging="402"/>
        <w:spacing w:after="0" w:line="537" w:lineRule="auto"/>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3,850,818</w:t>
            </w:r>
          </w:p>
        </w:tc>
        <w:tc>
          <w:tcPr>
            <w:tcW w:w="0" w:type="dxa"/>
            <w:vAlign w:val="bottom"/>
          </w:tcPr>
          <w:p>
            <w:pPr>
              <w:spacing w:after="0"/>
              <w:rPr>
                <w:sz w:val="1"/>
                <w:szCs w:val="1"/>
                <w:color w:val="auto"/>
              </w:rPr>
            </w:pPr>
          </w:p>
        </w:tc>
      </w:tr>
      <w:tr>
        <w:trPr>
          <w:trHeight w:val="22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0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5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00" w:type="dxa"/>
            <w:vAlign w:val="bottom"/>
            <w:vMerge w:val="continue"/>
          </w:tcPr>
          <w:p>
            <w:pPr>
              <w:spacing w:after="0"/>
              <w:rPr>
                <w:sz w:val="18"/>
                <w:szCs w:val="18"/>
                <w:color w:val="auto"/>
              </w:rPr>
            </w:pPr>
          </w:p>
        </w:tc>
        <w:tc>
          <w:tcPr>
            <w:tcW w:w="528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70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5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00" w:type="dxa"/>
            <w:vAlign w:val="bottom"/>
            <w:vMerge w:val="continue"/>
          </w:tcPr>
          <w:p>
            <w:pPr>
              <w:spacing w:after="0"/>
              <w:rPr>
                <w:sz w:val="18"/>
                <w:szCs w:val="18"/>
                <w:color w:val="auto"/>
              </w:rPr>
            </w:pPr>
          </w:p>
        </w:tc>
        <w:tc>
          <w:tcPr>
            <w:tcW w:w="528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3,850,818</w:t>
            </w:r>
          </w:p>
        </w:tc>
        <w:tc>
          <w:tcPr>
            <w:tcW w:w="0" w:type="dxa"/>
            <w:vAlign w:val="bottom"/>
          </w:tcPr>
          <w:p>
            <w:pPr>
              <w:spacing w:after="0"/>
              <w:rPr>
                <w:sz w:val="1"/>
                <w:szCs w:val="1"/>
                <w:color w:val="auto"/>
              </w:rPr>
            </w:pPr>
          </w:p>
        </w:tc>
      </w:tr>
      <w:tr>
        <w:trPr>
          <w:trHeight w:val="24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0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w:t>
            </w: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3,850,818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80" w:hanging="447"/>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680"/>
        <w:spacing w:after="0"/>
        <w:tabs>
          <w:tab w:leader="none" w:pos="234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58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r>
      <w:tr>
        <w:trPr>
          <w:trHeight w:val="432"/>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r>
      <w:tr>
        <w:trPr>
          <w:trHeight w:val="223"/>
        </w:trPr>
        <w:tc>
          <w:tcPr>
            <w:tcW w:w="58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77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2900" w:type="dxa"/>
            <w:vAlign w:val="bottom"/>
          </w:tcPr>
          <w:p>
            <w:pPr>
              <w:spacing w:after="0"/>
              <w:rPr>
                <w:sz w:val="24"/>
                <w:szCs w:val="24"/>
                <w:color w:val="auto"/>
              </w:rPr>
            </w:pPr>
          </w:p>
        </w:tc>
      </w:tr>
      <w:tr>
        <w:trPr>
          <w:trHeight w:val="183"/>
        </w:trPr>
        <w:tc>
          <w:tcPr>
            <w:tcW w:w="58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hanging="42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2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American Century Investment Management, Inc.</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720" w:hanging="42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5,395,700</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5,842,519</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23"/>
        </w:trPr>
        <w:tc>
          <w:tcPr>
            <w:tcW w:w="60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IA</w:t>
            </w:r>
          </w:p>
        </w:tc>
      </w:tr>
      <w:tr>
        <w:trPr>
          <w:trHeight w:val="223"/>
        </w:trPr>
        <w:tc>
          <w:tcPr>
            <w:tcW w:w="60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66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298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6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980" w:hanging="429"/>
        <w:spacing w:after="0" w:line="582" w:lineRule="auto"/>
        <w:tabs>
          <w:tab w:leader="none" w:pos="7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American Century Companies, Inc.</w:t>
      </w:r>
    </w:p>
    <w:p>
      <w:pPr>
        <w:spacing w:after="0" w:line="158" w:lineRule="exact"/>
        <w:rPr>
          <w:rFonts w:ascii="Times New Roman" w:cs="Times New Roman" w:eastAsia="Times New Roman" w:hAnsi="Times New Roman"/>
          <w:sz w:val="17"/>
          <w:szCs w:val="17"/>
          <w:b w:val="1"/>
          <w:bCs w:val="1"/>
          <w:color w:val="auto"/>
        </w:rPr>
      </w:pPr>
    </w:p>
    <w:p>
      <w:pPr>
        <w:ind w:left="720" w:hanging="429"/>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5,395,700</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5,842,519</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60"/>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23"/>
        </w:trPr>
        <w:tc>
          <w:tcPr>
            <w:tcW w:w="60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66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298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6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720" w:hanging="429"/>
        <w:spacing w:after="0" w:line="582" w:lineRule="auto"/>
        <w:tabs>
          <w:tab w:leader="none" w:pos="7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Stowers Institute for Medical Research</w:t>
      </w:r>
    </w:p>
    <w:p>
      <w:pPr>
        <w:spacing w:after="0" w:line="158" w:lineRule="exact"/>
        <w:rPr>
          <w:rFonts w:ascii="Times New Roman" w:cs="Times New Roman" w:eastAsia="Times New Roman" w:hAnsi="Times New Roman"/>
          <w:sz w:val="17"/>
          <w:szCs w:val="17"/>
          <w:b w:val="1"/>
          <w:bCs w:val="1"/>
          <w:color w:val="auto"/>
        </w:rPr>
      </w:pPr>
    </w:p>
    <w:p>
      <w:pPr>
        <w:ind w:left="720" w:hanging="429"/>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5,395,700</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5,842,519</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23"/>
        </w:trPr>
        <w:tc>
          <w:tcPr>
            <w:tcW w:w="60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66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5 of 9 pages</w:t>
            </w:r>
          </w:p>
        </w:tc>
        <w:tc>
          <w:tcPr>
            <w:tcW w:w="298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6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1380" w:right="7579" w:hanging="795"/>
        <w:spacing w:after="0" w:line="582" w:lineRule="auto"/>
        <w:tabs>
          <w:tab w:leader="none" w:pos="13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Embecta Corp.</w:t>
      </w:r>
    </w:p>
    <w:p>
      <w:pPr>
        <w:spacing w:after="0" w:line="135" w:lineRule="exact"/>
        <w:rPr>
          <w:rFonts w:ascii="Times New Roman" w:cs="Times New Roman" w:eastAsia="Times New Roman" w:hAnsi="Times New Roman"/>
          <w:sz w:val="17"/>
          <w:szCs w:val="17"/>
          <w:b w:val="1"/>
          <w:bCs w:val="1"/>
          <w:color w:val="auto"/>
        </w:rPr>
      </w:pPr>
    </w:p>
    <w:p>
      <w:pPr>
        <w:ind w:left="1380" w:hanging="800"/>
        <w:spacing w:after="0"/>
        <w:tabs>
          <w:tab w:leader="none" w:pos="1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b w:val="1"/>
          <w:bCs w:val="1"/>
          <w:color w:val="auto"/>
        </w:rPr>
      </w:pPr>
    </w:p>
    <w:p>
      <w:pPr>
        <w:ind w:left="1380" w:right="65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300 Kimball Drive, Suite 300 Parsippany, New Jersey 07054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1380" w:hanging="795"/>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29" w:lineRule="exact"/>
        <w:rPr>
          <w:rFonts w:ascii="Times New Roman" w:cs="Times New Roman" w:eastAsia="Times New Roman" w:hAnsi="Times New Roman"/>
          <w:sz w:val="18"/>
          <w:szCs w:val="18"/>
          <w:b w:val="1"/>
          <w:bCs w:val="1"/>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Capital Portfolios, Inc.</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Investment Management, Inc.</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Companies, Inc.</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Stowers Institute for Medical Research</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1380" w:hanging="800"/>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4500 Main Street</w:t>
      </w:r>
    </w:p>
    <w:p>
      <w:pPr>
        <w:spacing w:after="0" w:line="23" w:lineRule="exact"/>
        <w:rPr>
          <w:rFonts w:ascii="Times New Roman" w:cs="Times New Roman" w:eastAsia="Times New Roman" w:hAnsi="Times New Roman"/>
          <w:sz w:val="18"/>
          <w:szCs w:val="18"/>
          <w:b w:val="1"/>
          <w:bCs w:val="1"/>
          <w:color w:val="auto"/>
        </w:rPr>
      </w:pPr>
    </w:p>
    <w:p>
      <w:pPr>
        <w:ind w:left="1380"/>
        <w:spacing w:after="0" w:line="1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w:t>
      </w: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Kansas City, Missouri 64111</w:t>
      </w:r>
    </w:p>
    <w:p>
      <w:pPr>
        <w:spacing w:after="0" w:line="200" w:lineRule="exact"/>
        <w:rPr>
          <w:rFonts w:ascii="Times New Roman" w:cs="Times New Roman" w:eastAsia="Times New Roman" w:hAnsi="Times New Roman"/>
          <w:sz w:val="18"/>
          <w:szCs w:val="18"/>
          <w:b w:val="1"/>
          <w:bCs w:val="1"/>
          <w:color w:val="auto"/>
        </w:rPr>
      </w:pPr>
    </w:p>
    <w:p>
      <w:pPr>
        <w:spacing w:after="0" w:line="217" w:lineRule="exact"/>
        <w:rPr>
          <w:rFonts w:ascii="Times New Roman" w:cs="Times New Roman" w:eastAsia="Times New Roman" w:hAnsi="Times New Roman"/>
          <w:sz w:val="18"/>
          <w:szCs w:val="18"/>
          <w:b w:val="1"/>
          <w:bCs w:val="1"/>
          <w:color w:val="auto"/>
        </w:rPr>
      </w:pPr>
    </w:p>
    <w:p>
      <w:pPr>
        <w:ind w:left="1380" w:hanging="790"/>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rFonts w:ascii="Times New Roman" w:cs="Times New Roman" w:eastAsia="Times New Roman" w:hAnsi="Times New Roman"/>
          <w:sz w:val="18"/>
          <w:szCs w:val="18"/>
          <w:b w:val="1"/>
          <w:bCs w:val="1"/>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Maryland</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1380" w:hanging="800"/>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 is made to the cover page of this filing.</w:t>
      </w:r>
    </w:p>
    <w:p>
      <w:pPr>
        <w:spacing w:after="0" w:line="200" w:lineRule="exact"/>
        <w:rPr>
          <w:rFonts w:ascii="Times New Roman" w:cs="Times New Roman" w:eastAsia="Times New Roman" w:hAnsi="Times New Roman"/>
          <w:sz w:val="18"/>
          <w:szCs w:val="18"/>
          <w:b w:val="1"/>
          <w:bCs w:val="1"/>
          <w:color w:val="auto"/>
        </w:rPr>
      </w:pPr>
    </w:p>
    <w:p>
      <w:pPr>
        <w:spacing w:after="0" w:line="237" w:lineRule="exact"/>
        <w:rPr>
          <w:rFonts w:ascii="Times New Roman" w:cs="Times New Roman" w:eastAsia="Times New Roman" w:hAnsi="Times New Roman"/>
          <w:sz w:val="18"/>
          <w:szCs w:val="18"/>
          <w:b w:val="1"/>
          <w:bCs w:val="1"/>
          <w:color w:val="auto"/>
        </w:rPr>
      </w:pPr>
    </w:p>
    <w:p>
      <w:pPr>
        <w:ind w:left="1380" w:hanging="790"/>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2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 is made to the cover page of this filing.</w:t>
      </w:r>
    </w:p>
    <w:p>
      <w:pPr>
        <w:spacing w:after="0" w:line="221"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b w:val="1"/>
          <w:bCs w:val="1"/>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3" w:right="1440" w:bottom="1440" w:gutter="0" w:footer="0" w:header="0"/>
        </w:sectPr>
      </w:pPr>
    </w:p>
    <w:bookmarkStart w:id="6" w:name="page7"/>
    <w:bookmarkEnd w:id="6"/>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29" w:lineRule="exact"/>
        <w:rPr>
          <w:sz w:val="20"/>
          <w:szCs w:val="20"/>
          <w:color w:val="auto"/>
        </w:rPr>
      </w:pPr>
    </w:p>
    <w:p>
      <w:pPr>
        <w:ind w:left="2040" w:right="300" w:hanging="561"/>
        <w:spacing w:after="0" w:line="282" w:lineRule="auto"/>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Capital Portfolios, Inc. is an investment company registered under Section 8 of the Investment Company Act of 1940 (15 U.S.C. 80a-8).</w:t>
      </w:r>
    </w:p>
    <w:p>
      <w:pPr>
        <w:spacing w:after="0" w:line="161"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Investment Management, Inc. is an investment adviser in accordance with §240.13d-1(b)(1)(ii)(E).</w:t>
      </w:r>
    </w:p>
    <w:p>
      <w:pPr>
        <w:spacing w:after="0" w:line="221"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Century Companies, Inc. is a parent holding company or control person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240.13d-1(b)(1)(ii)(G).</w:t>
      </w:r>
    </w:p>
    <w:p>
      <w:pPr>
        <w:spacing w:after="0" w:line="225"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Stowers Institute for Medical Research, is a parent holding company or control person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240.13d-1(b)(1)(ii)</w:t>
      </w:r>
    </w:p>
    <w:p>
      <w:pPr>
        <w:spacing w:after="0" w:line="31"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3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Reference is made to Items 5-9 and 11 on the cover page of this filing.</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14"/>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34"/>
        </w:trPr>
        <w:tc>
          <w:tcPr>
            <w:tcW w:w="1020" w:type="dxa"/>
            <w:vAlign w:val="bottom"/>
          </w:tcPr>
          <w:p>
            <w:pPr>
              <w:spacing w:after="0"/>
              <w:rPr>
                <w:sz w:val="20"/>
                <w:szCs w:val="20"/>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more than five percent of the class of securities, check the following [   ].</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14"/>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Various persons, including the investment companies and separate institutional investor accounts that American Century Investment</w:t>
            </w:r>
          </w:p>
        </w:tc>
      </w:tr>
      <w:tr>
        <w:trPr>
          <w:trHeight w:val="216"/>
        </w:trPr>
        <w:tc>
          <w:tcPr>
            <w:tcW w:w="1020" w:type="dxa"/>
            <w:vAlign w:val="bottom"/>
          </w:tcPr>
          <w:p>
            <w:pPr>
              <w:spacing w:after="0"/>
              <w:rPr>
                <w:sz w:val="18"/>
                <w:szCs w:val="18"/>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Management, Inc. (“ACIM”) serves as investment adviser, have the right to receive or the power to direct the receipt of dividends</w:t>
            </w:r>
          </w:p>
        </w:tc>
      </w:tr>
      <w:tr>
        <w:trPr>
          <w:trHeight w:val="216"/>
        </w:trPr>
        <w:tc>
          <w:tcPr>
            <w:tcW w:w="1020" w:type="dxa"/>
            <w:vAlign w:val="bottom"/>
          </w:tcPr>
          <w:p>
            <w:pPr>
              <w:spacing w:after="0"/>
              <w:rPr>
                <w:sz w:val="18"/>
                <w:szCs w:val="18"/>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from, or the proceeds from the sale of, the securities that are the subject of this schedule. Except as may be otherwise indicated if this</w:t>
            </w:r>
          </w:p>
        </w:tc>
      </w:tr>
      <w:tr>
        <w:trPr>
          <w:trHeight w:val="216"/>
        </w:trPr>
        <w:tc>
          <w:tcPr>
            <w:tcW w:w="1020" w:type="dxa"/>
            <w:vAlign w:val="bottom"/>
          </w:tcPr>
          <w:p>
            <w:pPr>
              <w:spacing w:after="0"/>
              <w:rPr>
                <w:sz w:val="18"/>
                <w:szCs w:val="18"/>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 a joint filing, not more than 5% of the class of securities that is the subject of this schedule is owned by any one client advised by</w:t>
            </w:r>
          </w:p>
        </w:tc>
      </w:tr>
      <w:tr>
        <w:trPr>
          <w:trHeight w:val="234"/>
        </w:trPr>
        <w:tc>
          <w:tcPr>
            <w:tcW w:w="1020" w:type="dxa"/>
            <w:vAlign w:val="bottom"/>
          </w:tcPr>
          <w:p>
            <w:pPr>
              <w:spacing w:after="0"/>
              <w:rPr>
                <w:sz w:val="20"/>
                <w:szCs w:val="20"/>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ACIM.</w:t>
            </w:r>
          </w:p>
        </w:tc>
      </w:tr>
      <w:tr>
        <w:trPr>
          <w:trHeight w:val="62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1020" w:type="dxa"/>
            <w:vAlign w:val="bottom"/>
          </w:tcPr>
          <w:p>
            <w:pPr>
              <w:spacing w:after="0"/>
              <w:rPr>
                <w:sz w:val="20"/>
                <w:szCs w:val="20"/>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3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See attached Exhibit A.</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20" w:type="dxa"/>
            <w:vAlign w:val="bottom"/>
          </w:tcPr>
          <w:p>
            <w:pPr>
              <w:spacing w:after="0"/>
              <w:rPr>
                <w:sz w:val="24"/>
                <w:szCs w:val="24"/>
                <w:color w:val="auto"/>
              </w:rPr>
            </w:pPr>
          </w:p>
        </w:tc>
        <w:tc>
          <w:tcPr>
            <w:tcW w:w="102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83"/>
        </w:trPr>
        <w:tc>
          <w:tcPr>
            <w:tcW w:w="1020" w:type="dxa"/>
            <w:vAlign w:val="bottom"/>
            <w:tcBorders>
              <w:bottom w:val="single" w:sz="8" w:color="auto"/>
            </w:tcBorders>
          </w:tcPr>
          <w:p>
            <w:pPr>
              <w:spacing w:after="0"/>
              <w:rPr>
                <w:sz w:val="15"/>
                <w:szCs w:val="15"/>
                <w:color w:val="auto"/>
              </w:rPr>
            </w:pPr>
          </w:p>
        </w:tc>
        <w:tc>
          <w:tcPr>
            <w:tcW w:w="102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7" w:name="page8"/>
    <w:bookmarkEnd w:id="7"/>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9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9th day of January, 2023.</w:t>
      </w:r>
    </w:p>
    <w:p>
      <w:pPr>
        <w:spacing w:after="0" w:line="24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CAPITAL PORTFOLIOS, INC. ("ACCP")</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INVESTMENT MANAGEMENT, INC. (“ACIM”)</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John Pak</w:t>
      </w:r>
    </w:p>
    <w:p>
      <w:pPr>
        <w:spacing w:after="0" w:line="2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Senior Vice President, ACCP, ACIM and ACC</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STOWERS INSTITUTE FOR MEDICAL RESEARCH, solely in its capacity as control entity of ACC</w:t>
      </w:r>
    </w:p>
    <w:p>
      <w:pPr>
        <w:spacing w:after="0" w:line="200" w:lineRule="exact"/>
        <w:rPr>
          <w:sz w:val="20"/>
          <w:szCs w:val="20"/>
          <w:color w:val="auto"/>
        </w:rPr>
      </w:pPr>
    </w:p>
    <w:p>
      <w:pPr>
        <w:spacing w:after="0" w:line="241" w:lineRule="exact"/>
        <w:rPr>
          <w:sz w:val="20"/>
          <w:szCs w:val="20"/>
          <w:color w:val="auto"/>
        </w:rPr>
      </w:pPr>
    </w:p>
    <w:tbl>
      <w:tblPr>
        <w:tblLayout w:type="fixed"/>
        <w:tblInd w:w="35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W. Brown</w:t>
            </w:r>
          </w:p>
        </w:tc>
      </w:tr>
      <w:tr>
        <w:trPr>
          <w:trHeight w:val="198"/>
        </w:trPr>
        <w:tc>
          <w:tcPr>
            <w:tcW w:w="560" w:type="dxa"/>
            <w:vAlign w:val="bottom"/>
          </w:tcPr>
          <w:p>
            <w:pPr>
              <w:spacing w:after="0"/>
              <w:rPr>
                <w:sz w:val="17"/>
                <w:szCs w:val="17"/>
                <w:color w:val="auto"/>
              </w:rPr>
            </w:pPr>
          </w:p>
        </w:tc>
        <w:tc>
          <w:tcPr>
            <w:tcW w:w="7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Richard W. Brown</w:t>
            </w:r>
          </w:p>
        </w:tc>
      </w:tr>
      <w:tr>
        <w:trPr>
          <w:trHeight w:val="234"/>
        </w:trPr>
        <w:tc>
          <w:tcPr>
            <w:tcW w:w="56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13G – To be included in statements filed pursuant to Rule 13d-1(b) or 13d-2(b).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This Exhibit has been prepared to identify each subsidiary of American Century Companies, Inc. (“ACC”), which is controlled by the Stowers Institute for Medical Research, that is a beneficial owner of securities that are the subject of this schedule (the “Subject Securities”). American Century Investment Management, Inc. (“ACIM”) is a wholly-owned subsidiary of ACC and an investment adviser registered under §203 of the Investment Advisers Act of 1940.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21"/>
          <w:szCs w:val="21"/>
          <w:color w:val="auto"/>
        </w:rPr>
        <w:t>SCHEDULE 13G – To be included in statements filed pursuant to Rule 13d-1(b) or 13d-2(b) and Rule 13d-1(f) (1) Agreement.</w:t>
      </w: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9th day of January, 2023.</w:t>
      </w:r>
    </w:p>
    <w:p>
      <w:pPr>
        <w:spacing w:after="0" w:line="24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CAPITAL PORTFOLIOS, INC. ("ACCP")</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INVESTMENT MANAGEMENT, INC. (“ACIM”)</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John Pak</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Senior Vice President, ACCP, ACIM and ACC</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STOWERS INSTITUTE FOR MEDICAL RESEARCH, solely in its capacity as control entity of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Richard W. Brown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Chairman</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Page 9 of 9 pages</w:t>
      </w:r>
    </w:p>
    <w:sectPr>
      <w:pgSz w:w="11900" w:h="16838" w:orient="portrait"/>
      <w:cols w:equalWidth="0" w:num="1">
        <w:col w:w="11120"/>
      </w:cols>
      <w:pgMar w:left="320" w:top="59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lowerLetter"/>
      <w:start w:val="1"/>
    </w:lvl>
  </w:abstractNum>
  <w:abstractNum w:abstractNumId="1">
    <w:nsid w:val="2EB141F2"/>
    <w:multiLevelType w:val="hybridMultilevel"/>
    <w:lvl w:ilvl="0">
      <w:lvlJc w:val="left"/>
      <w:lvlText w:val="%1."/>
      <w:numFmt w:val="decimal"/>
      <w:start w:val="10"/>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lvl w:ilvl="1">
      <w:lvlJc w:val="left"/>
      <w:lvlText w:val="(%2)"/>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2023-01-09T10:12:34Z</dcterms:created>
  <dcterms:modified xsi:type="dcterms:W3CDTF">2023-01-09T10:12:34Z</dcterms:modified>
</cp:coreProperties>
</file>