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6, 2022</w:t>
      </w:r>
    </w:p>
    <w:p>
      <w:pPr>
        <w:spacing w:after="0" w:line="31"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87-1583942</w:t>
      </w:r>
    </w:p>
    <w:p>
      <w:pPr>
        <w:spacing w:after="0" w:line="12" w:lineRule="exact"/>
        <w:rPr>
          <w:sz w:val="24"/>
          <w:szCs w:val="24"/>
          <w:color w:val="auto"/>
        </w:rPr>
      </w:pPr>
    </w:p>
    <w:p>
      <w:pPr>
        <w:sectPr>
          <w:pgSz w:w="11900" w:h="16838" w:orient="portrait"/>
          <w:cols w:equalWidth="0" w:num="2">
            <w:col w:w="7180" w:space="720"/>
            <w:col w:w="3120"/>
          </w:cols>
          <w:pgMar w:left="440" w:top="225" w:right="4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Kimball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Parsippany, New Jersey 07054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847-6880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020"/>
          </w:cols>
          <w:pgMar w:left="440" w:top="225" w:right="439" w:bottom="144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EMBECTA CORP. 2022 EMPLOYEE AND DIRECTOR EQUITY-BASED COMPENSATION PLAN</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Jeff Mann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SVP, General Counsel, Head of Corporate Development, and Corporate Secretary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300 Kimball Drive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Parsippany, New Jersey 07054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 847-6880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Separation and Distribution Agreement, dated April 1, 2022, among Embecta Corp. (the “Registrant”) and Becton Dickinson and Company (“BD”), BD spun-off the business of the Registrant resulting in the Registrant being a new publicly traded company that shall operate the business of the Registrant effective April 1, 2022.</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filed by the Registrant for the purpose of registering 7,000,000 shares of common stock $0.01 par value per share (“Common Stock”) of the Registrant, authorized for issuance under the Embecta Corp. 2022 Employee and Director Equity-Based Compensation Plan (the “Plan”).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Items 1 and 2 of Part I of Form S-8 is omitted from this filing in accordance with the provisions of Rule 428 under the Securities Act and the introductory note to Part I of Form S-8. The documents containing the information specified in Part I will be delivered to the participants in the plan covered by this Registration Statement and as required by Rule 428(b)(1).</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“Commission”) are incorporated herein by reference:</w:t>
      </w:r>
    </w:p>
    <w:p>
      <w:pPr>
        <w:sectPr>
          <w:pgSz w:w="11900" w:h="16838" w:orient="portrait"/>
          <w:cols w:equalWidth="0" w:num="1">
            <w:col w:w="10880"/>
          </w:cols>
          <w:pgMar w:left="440" w:top="266" w:right="579" w:bottom="1440" w:gutter="0" w:footer="0" w:header="0"/>
        </w:sectPr>
      </w:pPr>
    </w:p>
    <w:bookmarkStart w:id="2" w:name="page3"/>
    <w:bookmarkEnd w:id="2"/>
    <w:p>
      <w:pPr>
        <w:ind w:left="960" w:right="7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Registrant’s </w:t>
      </w:r>
      <w:hyperlink r:id="rId18">
        <w:r>
          <w:rPr>
            <w:rFonts w:ascii="Times New Roman" w:cs="Times New Roman" w:eastAsia="Times New Roman" w:hAnsi="Times New Roman"/>
            <w:sz w:val="18"/>
            <w:szCs w:val="18"/>
            <w:u w:val="single" w:color="auto"/>
            <w:color w:val="0000EE"/>
          </w:rPr>
          <w:t>Form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initially filed with the Commission on December 21, 2021, as amended by Amendment No. 1 filed on February 3, 2022 under the Securities Exchange Act of 1934, as amended (the “Exchange Act”);</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information statement filed as </w:t>
      </w:r>
      <w:hyperlink r:id="rId19">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Amendment No. 1 to the Registrant’s registration statement on </w:t>
      </w:r>
      <w:hyperlink r:id="rId18">
        <w:r>
          <w:rPr>
            <w:rFonts w:ascii="Times New Roman" w:cs="Times New Roman" w:eastAsia="Times New Roman" w:hAnsi="Times New Roman"/>
            <w:sz w:val="18"/>
            <w:szCs w:val="18"/>
            <w:u w:val="single" w:color="auto"/>
            <w:color w:val="0000EE"/>
          </w:rPr>
          <w:t>Form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3, 2022, including any amendment or report filed for the purpose of updating such description;</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16, 2022;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21">
        <w:r>
          <w:rPr>
            <w:rFonts w:ascii="Times New Roman" w:cs="Times New Roman" w:eastAsia="Times New Roman" w:hAnsi="Times New Roman"/>
            <w:sz w:val="18"/>
            <w:szCs w:val="18"/>
            <w:u w:val="single" w:color="auto"/>
            <w:color w:val="0000EE"/>
          </w:rPr>
          <w:t>February 11, 2022</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March 4, 2022</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March 24, 2022</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April 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subsequent to the effective date of this Registration Statement, but prior to the filing of a post-effective amendment to this Registration Statement indicating that all securities offered hereby have been sold or which deregisters all securities than remaining unsold shall be deemed to be incorporated by reference in this Registration Statement and to be a part hereof from the date of filing such documents.</w:t>
      </w:r>
    </w:p>
    <w:p>
      <w:pPr>
        <w:spacing w:after="0" w:line="180" w:lineRule="exact"/>
        <w:rPr>
          <w:rFonts w:ascii="Times New Roman" w:cs="Times New Roman" w:eastAsia="Times New Roman" w:hAnsi="Times New Roman"/>
          <w:sz w:val="18"/>
          <w:szCs w:val="18"/>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provides that, to the fullest extent permitted by Delaware General Corporation Law (the “DGCL”), no director will be personally liable to the Registrant or its shareholders for monetary damages for breach of fiduciary duty owed to the Registrant or its shareholders as a director.</w:t>
      </w:r>
    </w:p>
    <w:p>
      <w:pPr>
        <w:sectPr>
          <w:pgSz w:w="11900" w:h="16838" w:orient="portrait"/>
          <w:cols w:equalWidth="0" w:num="1">
            <w:col w:w="10960"/>
          </w:cols>
          <w:pgMar w:left="440" w:top="270" w:right="499" w:bottom="1440" w:gutter="0" w:footer="0" w:header="0"/>
        </w:sectPr>
      </w:pPr>
    </w:p>
    <w:bookmarkStart w:id="3" w:name="page4"/>
    <w:bookmarkEnd w:id="3"/>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amended and restated bylaws provide that the Registrant must indemnify and hold harmless, to the fullest extent authorized or permitted by the DGCL as it presently exists or may be amended, each person who was or is a party to, or who is threatened to be made a party to, any threatened, pending or completed action, suit or proceeding, whether civil, criminal, administrative or investigative (other than an action by or in the right of the Registrant) (a “Proceeding”) by reason of the fact that he or she is or was a director or an officer of the Registrant, or is or was serving at the request of the Registrant as a director, officer, employee, or agent of another corporation, partnership, joint venture, trust or other enterprise, against all expenses (including attorneys’ fees), judgments, fines and amounts paid in settlement actually and reasonably incurred by such person in connection with any Proceeding if such person acted in good faith and in a manner such person reasonably believed to be in or not opposed to the best interests of the Registrant, and, with respect to any criminal Proceeding, had no reasonable cause to believe such person’s conduct was unlawful. Unless ordered by a court, any indemnification under the Registrant’s amended and restated bylaws must be made by the Registrant only as authorized in the specific case upon a determination that indemnification is proper in the circumstances, because such person has met the applicable standard of conduct set forth in the DGCL. With respect to an indemnitee who is a director or officer of the Registrant at the time of such determination, such determination must be made</w:t>
      </w:r>
    </w:p>
    <w:p>
      <w:pPr>
        <w:spacing w:after="0" w:line="2" w:lineRule="exact"/>
        <w:rPr>
          <w:sz w:val="20"/>
          <w:szCs w:val="20"/>
          <w:color w:val="auto"/>
        </w:rPr>
      </w:pPr>
    </w:p>
    <w:p>
      <w:pPr>
        <w:ind w:left="4" w:right="200" w:hanging="4"/>
        <w:spacing w:after="0" w:line="253"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directors who are not parties to such proceeding, even though less than a quorum, (2) by a committee of such directors designated by majority vote of such directors, even though less than a quorum, (3) if there are no such directors, or if such directors so direct, by independent legal counsel in a written opinion of such independent legal counsel, or (4) by the shareholders. Expenses must be advanced to a covered person under certain circumstances.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Registrant maintains a standard policy of officers’ and directors’ liability insurance.</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Section 145 of the DGCL authorizes a corporation to indemnify its directors and officers under certain prescribed circumstances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if the director or officer acted in good faith and in a manner the director or officer reasonably believed to be in or not opposed to the best interests of the corporation, and, with respect to any criminal action or proceeding, had no reasonable cause to believe the director or officer’s conduct was unlawful.</w:t>
      </w:r>
    </w:p>
    <w:p>
      <w:pPr>
        <w:spacing w:after="0" w:line="18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foregoing is only a general summary of certain aspects of Delaware law and the Registrant’s restated certificate of incorporation and amended and restated bylaws dealing with indemnification of directors and officers, and does not purport to be complete. It is qualified in its entirety by reference to the detailed provisions of those Sections of the DGCL referenced above and the restated certificate of incorporation of the Registrant.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4"/>
          </w:cols>
          <w:pgMar w:left="436" w:top="270"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list of exhibits, see the Exhibit Index to this Registration Statement, which is incorporated in this item by reference.</w:t>
      </w:r>
    </w:p>
    <w:p>
      <w:pPr>
        <w:spacing w:after="0" w:line="200" w:lineRule="exact"/>
        <w:rPr>
          <w:sz w:val="20"/>
          <w:szCs w:val="20"/>
          <w:color w:val="auto"/>
        </w:rPr>
      </w:pP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40" w:type="dxa"/>
            <w:vAlign w:val="bottom"/>
            <w:gridSpan w:val="9"/>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3"/>
                <w:szCs w:val="23"/>
                <w:color w:val="auto"/>
              </w:rPr>
            </w:pPr>
          </w:p>
        </w:tc>
        <w:tc>
          <w:tcPr>
            <w:tcW w:w="9980" w:type="dxa"/>
            <w:vAlign w:val="bottom"/>
            <w:gridSpan w:val="1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Certificate of Incorporation of Embecta Corp. (incorporated by reference to Exhibit 3.1 to Amendment No. 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10 filed by the Registrant on February 3, 2022)</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Bylaws of Embecta Corp. (incorporated by reference to Exhibit 3.2 to Amendment No. 1 to Form 10 filed by the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Registrant on February 3, 2022)</w:t>
              </w:r>
            </w:hyperlink>
          </w:p>
        </w:tc>
        <w:tc>
          <w:tcPr>
            <w:tcW w:w="76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12"/>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Opinion of Holland &amp; Knight,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Consent of Independent Registered Public Accounting Firm</w:t>
              </w:r>
            </w:hyperlink>
          </w:p>
        </w:tc>
        <w:tc>
          <w:tcPr>
            <w:tcW w:w="5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44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Consent of Holland &amp; Knight, LLP (contained in Exhibit 5.1)</w:t>
              </w:r>
            </w:hyperlink>
          </w:p>
        </w:tc>
        <w:tc>
          <w:tcPr>
            <w:tcW w:w="5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24"/>
                <w:szCs w:val="24"/>
                <w:color w:val="auto"/>
              </w:rPr>
            </w:pPr>
          </w:p>
        </w:tc>
        <w:tc>
          <w:tcPr>
            <w:tcW w:w="9980" w:type="dxa"/>
            <w:vAlign w:val="bottom"/>
            <w:gridSpan w:val="1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Power of Attorney (included on the signature page of this registration statement).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1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Embecta Corp. 2022 Employee and Director Equity-Based Compensation Plan (incorporated by reference to Exhibit 10.4 to Amendment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No. 1 to Form 10 filed by the Registrant on February 3, 2022)</w:t>
              </w:r>
            </w:hyperlink>
          </w:p>
        </w:tc>
        <w:tc>
          <w:tcPr>
            <w:tcW w:w="536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18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Filing Fee Table</w:t>
              </w:r>
            </w:hyperlink>
          </w:p>
        </w:tc>
        <w:tc>
          <w:tcPr>
            <w:tcW w:w="88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64" w:right="20" w:hanging="533"/>
        <w:spacing w:after="0" w:line="254" w:lineRule="auto"/>
        <w:tabs>
          <w:tab w:leader="none" w:pos="196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97" w:lineRule="exact"/>
        <w:rPr>
          <w:rFonts w:ascii="Times New Roman" w:cs="Times New Roman" w:eastAsia="Times New Roman" w:hAnsi="Times New Roman"/>
          <w:sz w:val="18"/>
          <w:szCs w:val="18"/>
          <w:color w:val="auto"/>
        </w:rPr>
      </w:pPr>
    </w:p>
    <w:p>
      <w:pPr>
        <w:ind w:left="1964" w:right="540" w:hanging="533"/>
        <w:spacing w:after="0" w:line="282" w:lineRule="auto"/>
        <w:tabs>
          <w:tab w:leader="none" w:pos="196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1" w:lineRule="exact"/>
        <w:rPr>
          <w:sz w:val="20"/>
          <w:szCs w:val="20"/>
          <w:color w:val="auto"/>
        </w:rPr>
      </w:pPr>
    </w:p>
    <w:p>
      <w:pPr>
        <w:ind w:left="1424" w:right="200" w:hanging="439"/>
        <w:spacing w:after="0" w:line="266" w:lineRule="auto"/>
        <w:tabs>
          <w:tab w:leader="none" w:pos="1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24"/>
          </w:cols>
          <w:pgMar w:left="436" w:top="266" w:right="439" w:bottom="1440" w:gutter="0" w:footer="0" w:header="0"/>
        </w:sectPr>
      </w:pPr>
    </w:p>
    <w:bookmarkStart w:id="5" w:name="page6"/>
    <w:bookmarkEnd w:id="5"/>
    <w:p>
      <w:pPr>
        <w:ind w:left="992" w:right="180" w:hanging="439"/>
        <w:spacing w:after="0" w:line="282" w:lineRule="auto"/>
        <w:tabs>
          <w:tab w:leader="none" w:pos="9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32" w:right="100" w:hanging="532"/>
        <w:spacing w:after="0" w:line="258" w:lineRule="auto"/>
        <w:tabs>
          <w:tab w:leader="none" w:pos="5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32" w:hanging="532"/>
        <w:spacing w:after="0" w:line="254" w:lineRule="auto"/>
        <w:tabs>
          <w:tab w:leader="none" w:pos="5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72"/>
          </w:cols>
          <w:pgMar w:left="868" w:top="27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Parsippany, State of New Jersey on the 6th day of April, 2022.</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Jeff Mann his attorney-in-fact, with the full power of substitution, for him in any and all capacities, to sign this registration statement, and any amendments thereto (including post-effective amendments), and to file the same, with all exhibits thereto and other documents in connection therewith, with the Commission, hereby ratifying and confirming all that said attorney-in-fact,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4"/>
          </w:tcPr>
          <w:p>
            <w:pPr>
              <w:ind w:left="2740"/>
              <w:spacing w:after="0"/>
              <w:rPr>
                <w:sz w:val="20"/>
                <w:szCs w:val="20"/>
                <w:color w:val="auto"/>
              </w:rPr>
            </w:pPr>
            <w:r>
              <w:rPr>
                <w:rFonts w:ascii="Times New Roman" w:cs="Times New Roman" w:eastAsia="Times New Roman" w:hAnsi="Times New Roman"/>
                <w:sz w:val="18"/>
                <w:szCs w:val="18"/>
                <w:b w:val="1"/>
                <w:bCs w:val="1"/>
                <w:color w:val="auto"/>
              </w:rPr>
              <w:t>Embecta Corp.</w:t>
            </w:r>
          </w:p>
        </w:tc>
        <w:tc>
          <w:tcPr>
            <w:tcW w:w="262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4"/>
          </w:tcPr>
          <w:p>
            <w:pPr>
              <w:ind w:left="2740"/>
              <w:spacing w:after="0"/>
              <w:rPr>
                <w:sz w:val="20"/>
                <w:szCs w:val="20"/>
                <w:color w:val="auto"/>
              </w:rPr>
            </w:pPr>
            <w:r>
              <w:rPr>
                <w:rFonts w:ascii="Times New Roman" w:cs="Times New Roman" w:eastAsia="Times New Roman" w:hAnsi="Times New Roman"/>
                <w:sz w:val="18"/>
                <w:szCs w:val="18"/>
                <w:color w:val="auto"/>
              </w:rPr>
              <w:t>By: /s/ Jeff Mann</w:t>
            </w:r>
          </w:p>
        </w:tc>
        <w:tc>
          <w:tcPr>
            <w:tcW w:w="2620" w:type="dxa"/>
            <w:vAlign w:val="bottom"/>
          </w:tcPr>
          <w:p>
            <w:pPr>
              <w:spacing w:after="0"/>
              <w:rPr>
                <w:sz w:val="24"/>
                <w:szCs w:val="24"/>
                <w:color w:val="auto"/>
              </w:rPr>
            </w:pPr>
          </w:p>
        </w:tc>
      </w:tr>
      <w:tr>
        <w:trPr>
          <w:trHeight w:val="205"/>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2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Jeff Mann</w:t>
            </w:r>
          </w:p>
        </w:tc>
        <w:tc>
          <w:tcPr>
            <w:tcW w:w="2620" w:type="dxa"/>
            <w:vAlign w:val="bottom"/>
            <w:tcBorders>
              <w:top w:val="single" w:sz="8" w:color="auto"/>
            </w:tcBorders>
          </w:tcPr>
          <w:p>
            <w:pPr>
              <w:spacing w:after="0"/>
              <w:rPr>
                <w:sz w:val="17"/>
                <w:szCs w:val="17"/>
                <w:color w:val="auto"/>
              </w:rPr>
            </w:pPr>
          </w:p>
        </w:tc>
      </w:tr>
      <w:tr>
        <w:trPr>
          <w:trHeight w:val="216"/>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SVP, General Counsel, Head of Corporate</w:t>
            </w:r>
          </w:p>
        </w:tc>
      </w:tr>
      <w:tr>
        <w:trPr>
          <w:trHeight w:val="234"/>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Development, and Corporate Secretary</w:t>
            </w:r>
          </w:p>
        </w:tc>
      </w:tr>
      <w:tr>
        <w:trPr>
          <w:trHeight w:val="40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24"/>
                <w:szCs w:val="24"/>
                <w:color w:val="auto"/>
              </w:rPr>
            </w:pPr>
          </w:p>
        </w:tc>
        <w:tc>
          <w:tcPr>
            <w:tcW w:w="3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6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Devdatt Kurdikar</w:t>
            </w:r>
          </w:p>
        </w:tc>
        <w:tc>
          <w:tcPr>
            <w:tcW w:w="120" w:type="dxa"/>
            <w:vAlign w:val="bottom"/>
          </w:tcPr>
          <w:p>
            <w:pPr>
              <w:spacing w:after="0"/>
              <w:rPr>
                <w:sz w:val="24"/>
                <w:szCs w:val="24"/>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62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Devdatt Kurdikar</w:t>
            </w:r>
          </w:p>
        </w:tc>
        <w:tc>
          <w:tcPr>
            <w:tcW w:w="120" w:type="dxa"/>
            <w:vAlign w:val="bottom"/>
          </w:tcPr>
          <w:p>
            <w:pPr>
              <w:spacing w:after="0"/>
              <w:rPr>
                <w:sz w:val="19"/>
                <w:szCs w:val="19"/>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620" w:type="dxa"/>
            <w:vAlign w:val="bottom"/>
          </w:tcPr>
          <w:p>
            <w:pPr>
              <w:spacing w:after="0"/>
              <w:rPr>
                <w:sz w:val="19"/>
                <w:szCs w:val="19"/>
                <w:color w:val="auto"/>
              </w:rPr>
            </w:pPr>
          </w:p>
        </w:tc>
      </w:tr>
      <w:tr>
        <w:trPr>
          <w:trHeight w:val="427"/>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Jacob Elguicze</w:t>
            </w:r>
          </w:p>
        </w:tc>
        <w:tc>
          <w:tcPr>
            <w:tcW w:w="120" w:type="dxa"/>
            <w:vAlign w:val="bottom"/>
          </w:tcPr>
          <w:p>
            <w:pPr>
              <w:spacing w:after="0"/>
              <w:rPr>
                <w:sz w:val="24"/>
                <w:szCs w:val="24"/>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2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Jacob Elguicze</w:t>
            </w:r>
          </w:p>
        </w:tc>
        <w:tc>
          <w:tcPr>
            <w:tcW w:w="120" w:type="dxa"/>
            <w:vAlign w:val="bottom"/>
          </w:tcPr>
          <w:p>
            <w:pPr>
              <w:spacing w:after="0"/>
              <w:rPr>
                <w:sz w:val="19"/>
                <w:szCs w:val="19"/>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620" w:type="dxa"/>
            <w:vAlign w:val="bottom"/>
          </w:tcPr>
          <w:p>
            <w:pPr>
              <w:spacing w:after="0"/>
              <w:rPr>
                <w:sz w:val="19"/>
                <w:szCs w:val="19"/>
                <w:color w:val="auto"/>
              </w:rPr>
            </w:pPr>
          </w:p>
        </w:tc>
      </w:tr>
      <w:tr>
        <w:trPr>
          <w:trHeight w:val="427"/>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Capone</w:t>
            </w:r>
          </w:p>
        </w:tc>
        <w:tc>
          <w:tcPr>
            <w:tcW w:w="120" w:type="dxa"/>
            <w:vAlign w:val="bottom"/>
          </w:tcPr>
          <w:p>
            <w:pPr>
              <w:spacing w:after="0"/>
              <w:rPr>
                <w:sz w:val="24"/>
                <w:szCs w:val="24"/>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Chief Accounting Officer and Corporate Controller</w:t>
            </w:r>
          </w:p>
        </w:tc>
        <w:tc>
          <w:tcPr>
            <w:tcW w:w="262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Capone</w:t>
            </w:r>
          </w:p>
        </w:tc>
        <w:tc>
          <w:tcPr>
            <w:tcW w:w="120" w:type="dxa"/>
            <w:vAlign w:val="bottom"/>
          </w:tcPr>
          <w:p>
            <w:pPr>
              <w:spacing w:after="0"/>
              <w:rPr>
                <w:sz w:val="19"/>
                <w:szCs w:val="19"/>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620" w:type="dxa"/>
            <w:vAlign w:val="bottom"/>
          </w:tcPr>
          <w:p>
            <w:pPr>
              <w:spacing w:after="0"/>
              <w:rPr>
                <w:sz w:val="19"/>
                <w:szCs w:val="19"/>
                <w:color w:val="auto"/>
              </w:rPr>
            </w:pPr>
          </w:p>
        </w:tc>
      </w:tr>
      <w:tr>
        <w:trPr>
          <w:trHeight w:val="427"/>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F. Melcher</w:t>
            </w:r>
          </w:p>
        </w:tc>
        <w:tc>
          <w:tcPr>
            <w:tcW w:w="120" w:type="dxa"/>
            <w:vAlign w:val="bottom"/>
          </w:tcPr>
          <w:p>
            <w:pPr>
              <w:spacing w:after="0"/>
              <w:rPr>
                <w:sz w:val="24"/>
                <w:szCs w:val="24"/>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 Chairman of the Board of Directors</w:t>
            </w:r>
          </w:p>
        </w:tc>
        <w:tc>
          <w:tcPr>
            <w:tcW w:w="262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F. Melcher</w:t>
            </w: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27"/>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J. Albritton</w:t>
            </w:r>
          </w:p>
        </w:tc>
        <w:tc>
          <w:tcPr>
            <w:tcW w:w="120" w:type="dxa"/>
            <w:vAlign w:val="bottom"/>
          </w:tcPr>
          <w:p>
            <w:pPr>
              <w:spacing w:after="0"/>
              <w:rPr>
                <w:sz w:val="24"/>
                <w:szCs w:val="24"/>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62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J. Albritton</w:t>
            </w: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27"/>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Carrie L. Anderson</w:t>
            </w:r>
          </w:p>
        </w:tc>
        <w:tc>
          <w:tcPr>
            <w:tcW w:w="120" w:type="dxa"/>
            <w:vAlign w:val="bottom"/>
          </w:tcPr>
          <w:p>
            <w:pPr>
              <w:spacing w:after="0"/>
              <w:rPr>
                <w:sz w:val="24"/>
                <w:szCs w:val="24"/>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62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Carrie L. Anderson</w:t>
            </w: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27"/>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Hombach</w:t>
            </w:r>
          </w:p>
        </w:tc>
        <w:tc>
          <w:tcPr>
            <w:tcW w:w="120" w:type="dxa"/>
            <w:vAlign w:val="bottom"/>
          </w:tcPr>
          <w:p>
            <w:pPr>
              <w:spacing w:after="0"/>
              <w:rPr>
                <w:sz w:val="24"/>
                <w:szCs w:val="24"/>
                <w:color w:val="auto"/>
              </w:rPr>
            </w:pPr>
          </w:p>
        </w:tc>
        <w:tc>
          <w:tcPr>
            <w:tcW w:w="452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62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Hombach</w:t>
            </w: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Milton M. Morris, Ph.D.</w:t>
            </w: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Milton M. Morris, Ph.D.</w:t>
            </w:r>
          </w:p>
        </w:tc>
        <w:tc>
          <w:tcPr>
            <w:tcW w:w="35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Claire Pomeroy</w:t>
            </w: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Claire Pomeroy</w:t>
            </w:r>
          </w:p>
        </w:tc>
        <w:tc>
          <w:tcPr>
            <w:tcW w:w="35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N. Prange</w:t>
            </w: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Karen N. Prange</w:t>
            </w:r>
          </w:p>
        </w:tc>
        <w:tc>
          <w:tcPr>
            <w:tcW w:w="35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R. Reidy</w:t>
            </w:r>
          </w:p>
        </w:tc>
        <w:tc>
          <w:tcPr>
            <w:tcW w:w="35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April 6,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R. Reidy</w:t>
            </w:r>
          </w:p>
        </w:tc>
        <w:tc>
          <w:tcPr>
            <w:tcW w:w="358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ectPr>
          <w:pgSz w:w="11900" w:h="16838" w:orient="portrait"/>
          <w:cols w:equalWidth="0" w:num="1">
            <w:col w:w="10019"/>
          </w:cols>
          <w:pgMar w:left="440" w:top="486"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04851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0485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700"/>
        <w:spacing w:after="0" w:line="282" w:lineRule="auto"/>
        <w:rPr>
          <w:sz w:val="20"/>
          <w:szCs w:val="20"/>
          <w:color w:val="auto"/>
        </w:rPr>
      </w:pPr>
      <w:r>
        <w:rPr>
          <w:rFonts w:ascii="Times New Roman" w:cs="Times New Roman" w:eastAsia="Times New Roman" w:hAnsi="Times New Roman"/>
          <w:sz w:val="18"/>
          <w:szCs w:val="18"/>
          <w:color w:val="auto"/>
        </w:rPr>
        <w:t>Cira Centre, Suite 800 | 2929 Arch Street | Philadelphia, PA 19104 | T 215.252.9600 | F 215.867.6070 Holland &amp; Knight LLP | www.hklaw.com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36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Embecta Corp. Registration Statement on Form S-8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have acted as counsel to Embecta Corp.,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of a Registration Statement on Form S-8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pursuant to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relating to the registration under the Act by the Company of 7,000,000 shares of the Company’s common stock, par value $0.01 per share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issuable under the Company’s 2022 Employee and Director Equity-Based Compensation Plan, as approved by the Company’s stockholders on February 2, 2022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This opinion is being issued pursuant to the requirements of the Act.</w:t>
      </w:r>
    </w:p>
    <w:p>
      <w:pPr>
        <w:spacing w:after="0" w:line="1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so acting, we have examined and relied upon the original or a copy, certified or otherwise identified to our satisfaction, of: (i) the Registration Statement; (ii) the Company’s Amended and Restated Certificate of Incorporation in effect as of the date hereof; (iii) the Company’s Amended and Restated Bylaws in effect as of the date hereof; and (iv) such other documents, certificates and records as we have deemed necessary or appropriate to form the basis for the opinion set forth herein.</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rendering the opinion set forth herein, we have relied, without investigation, on each of the following assumptions: (i) the legal capacity of each natural person to take all actions required of each such person in connection with the Registration Statement and the registration, issuance and sale of the Shares; (ii) the genuineness of each signature, the completeness of each document submitted to us, the authenticity of each document reviewed by us as an original, the conformity to the original of each document reviewed by us as a duplicate or a certified or conformed copy and the authenticity of the original of each document received by us as a duplicate or a certified or conformed copy; (iii) as to matters of fact, the truthfulness, accuracy and completeness of the information, representations and warranties of the Company made in the Registration Statement and in the records, documents, instruments, certificates and statements we have reviewed; (iv) the due execution and delivery of all documents (except that no such assumption is made as to the Company) where due execution and delivery are a prerequisite to the effectiveness thereof; and (v) that there has been no undisclosed waiver of any right, remedy or provision contained in such documents. As to any facts material to the opinion expressed herein, which were not independently established or verified, we have relied, to the extent we have deemed reasonably appropriate, upon statements and representations of officers or directors of the Company.</w:t>
      </w:r>
    </w:p>
    <w:p>
      <w:pPr>
        <w:spacing w:after="0" w:line="192" w:lineRule="exact"/>
        <w:rPr>
          <w:sz w:val="20"/>
          <w:szCs w:val="20"/>
          <w:color w:val="auto"/>
        </w:rPr>
      </w:pPr>
    </w:p>
    <w:p>
      <w:pPr>
        <w:ind w:right="3560"/>
        <w:spacing w:after="0" w:line="289" w:lineRule="auto"/>
        <w:rPr>
          <w:sz w:val="20"/>
          <w:szCs w:val="20"/>
          <w:color w:val="auto"/>
        </w:rPr>
      </w:pPr>
      <w:r>
        <w:rPr>
          <w:rFonts w:ascii="Times New Roman" w:cs="Times New Roman" w:eastAsia="Times New Roman" w:hAnsi="Times New Roman"/>
          <w:sz w:val="17"/>
          <w:szCs w:val="17"/>
          <w:color w:val="auto"/>
        </w:rPr>
        <w:t>Atlanta | Austin | Boston | Charlotte | Chicago | Dallas | Denver | Fort Lauderdale | Fort Worth | Houston Jacksonville | Los Angeles | Miami | New York | Orange County | Orlando | Philadelphia | Portland San Francisco | Stamford | Tallahassee | Tampa | Tysons | Washington, D.C. | West Palm Beach</w:t>
      </w:r>
    </w:p>
    <w:p>
      <w:pPr>
        <w:sectPr>
          <w:pgSz w:w="11900" w:h="16838" w:orient="portrait"/>
          <w:cols w:equalWidth="0" w:num="1">
            <w:col w:w="11020"/>
          </w:cols>
          <w:pgMar w:left="440" w:top="117"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April 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assumptions, qualifications and limitations stated herein, we are of the opinion that the Shares have been duly authorized and, when issued and paid for in the manner described in the Plan, the Shares will be validly issued, fully paid and non-assessable.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opinion is rendered solely in connection with the filing of the Registration Statement, is limited to the matters stated herein, and no opinion may be implied or inferred beyond the matters expressly stated herein. This opinion may not be relied upon for any other purpose without our prior written consent in each instance. Further, no portion of this letter may be quoted, circulated or referred to in any other document for any other purpose without our prior written consent.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opinion expressed herein is limited to the federal securities laws of the United States of America and the corporate laws of the State of Delaware and we express no opinion as to matters governed by laws of any jurisdiction other than the federal securities laws of the United States of America and the corporate laws of the State of Delaware, as in effect on the date hereof. This opinion speaks only as of the date hereof and we assume no obligation to update or supplement such opinion to reflect any facts or circumstances that may hereafter come to our attention, whether existing before or arising after the date hereof, or any changes in law that may hereafter occur.</w:t>
      </w:r>
    </w:p>
    <w:p>
      <w:pPr>
        <w:spacing w:after="0" w:line="18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hereby consent to the filing of this opinion as Exhibit 5.1 to the Registration Statement. In giving such consent, we do not admit that we come within the category of persons whose consent is required by Section 7 of the Act or the rules and regulations of the Commission promulgated thereunder.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Holland &amp; Knight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HOLLAND &amp; KNIGHT LLP</w:t>
      </w:r>
    </w:p>
    <w:p>
      <w:pPr>
        <w:sectPr>
          <w:pgSz w:w="11900" w:h="16838" w:orient="portrait"/>
          <w:cols w:equalWidth="0" w:num="1">
            <w:col w:w="11000"/>
          </w:cols>
          <w:pgMar w:left="440" w:top="270" w:right="4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Embecta Corp. 2022 Employee and Director Equity-Based Compensation Plan of our report dated December 21, 2021, with respect to the combined financial statements of the Diabetes Care Business of Becton, Dickinson, and Company included in its Amendment No.1 to Form 10 for the year ended September 30,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114" w:type="dxa"/>
        <w:tblCellMar>
          <w:top w:w="0" w:type="dxa"/>
          <w:left w:w="0" w:type="dxa"/>
          <w:bottom w:w="0" w:type="dxa"/>
          <w:right w:w="0" w:type="dxa"/>
        </w:tblCellMar>
      </w:tblPr>
      <w:tr>
        <w:trPr>
          <w:trHeight w:val="130"/>
        </w:trPr>
        <w:tc>
          <w:tcPr>
            <w:tcW w:w="880" w:type="dxa"/>
            <w:vAlign w:val="bottom"/>
            <w:tcBorders>
              <w:top w:val="single" w:sz="8" w:color="auto"/>
              <w:left w:val="single" w:sz="8" w:color="auto"/>
              <w:right w:val="single" w:sz="8" w:color="auto"/>
            </w:tcBorders>
          </w:tcPr>
          <w:p>
            <w:pPr>
              <w:spacing w:after="0"/>
              <w:rPr>
                <w:sz w:val="11"/>
                <w:szCs w:val="11"/>
                <w:color w:val="auto"/>
              </w:rPr>
            </w:pPr>
          </w:p>
        </w:tc>
        <w:tc>
          <w:tcPr>
            <w:tcW w:w="154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Proposed</w:t>
            </w:r>
          </w:p>
        </w:tc>
        <w:tc>
          <w:tcPr>
            <w:tcW w:w="1340" w:type="dxa"/>
            <w:vAlign w:val="bottom"/>
            <w:tcBorders>
              <w:top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6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6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Rule or</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7"/>
        </w:trPr>
        <w:tc>
          <w:tcPr>
            <w:tcW w:w="8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w w:val="92"/>
              </w:rPr>
              <w:t>Security Type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Instruction</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Registered</w:t>
            </w:r>
            <w:r>
              <w:rPr>
                <w:rFonts w:ascii="Times New Roman" w:cs="Times New Roman" w:eastAsia="Times New Roman" w:hAnsi="Times New Roman"/>
                <w:sz w:val="10"/>
                <w:szCs w:val="10"/>
                <w:color w:val="auto"/>
                <w:w w:val="98"/>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191"/>
        </w:trPr>
        <w:tc>
          <w:tcPr>
            <w:tcW w:w="8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15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w:t>
            </w:r>
          </w:p>
        </w:tc>
        <w:tc>
          <w:tcPr>
            <w:tcW w:w="7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$0.01 per</w:t>
            </w:r>
          </w:p>
        </w:tc>
        <w:tc>
          <w:tcPr>
            <w:tcW w:w="7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4"/>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(2)</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7,000,000</w:t>
            </w:r>
            <w:r>
              <w:rPr>
                <w:rFonts w:ascii="Times New Roman" w:cs="Times New Roman" w:eastAsia="Times New Roman" w:hAnsi="Times New Roman"/>
                <w:sz w:val="15"/>
                <w:szCs w:val="15"/>
                <w:color w:val="auto"/>
              </w:rPr>
              <w:t>(3)</w:t>
            </w:r>
          </w:p>
        </w:tc>
        <w:tc>
          <w:tcPr>
            <w:tcW w:w="80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$30.87</w:t>
            </w:r>
            <w:r>
              <w:rPr>
                <w:rFonts w:ascii="Times New Roman" w:cs="Times New Roman" w:eastAsia="Times New Roman" w:hAnsi="Times New Roman"/>
                <w:sz w:val="15"/>
                <w:szCs w:val="15"/>
                <w:color w:val="auto"/>
              </w:rPr>
              <w:t>(2)</w:t>
            </w:r>
          </w:p>
        </w:tc>
        <w:tc>
          <w:tcPr>
            <w:tcW w:w="13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$216,090,000.00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$92.70 per $1 million</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$20,031.54</w:t>
            </w:r>
          </w:p>
        </w:tc>
      </w:tr>
      <w:tr>
        <w:trPr>
          <w:trHeight w:val="209"/>
        </w:trPr>
        <w:tc>
          <w:tcPr>
            <w:tcW w:w="880" w:type="dxa"/>
            <w:vAlign w:val="bottom"/>
            <w:tcBorders>
              <w:left w:val="single" w:sz="8" w:color="auto"/>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ind w:left="199"/>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$216,090,000.00</w:t>
            </w:r>
          </w:p>
        </w:tc>
        <w:tc>
          <w:tcPr>
            <w:tcW w:w="16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$20,031.54</w:t>
            </w:r>
          </w:p>
        </w:tc>
      </w:tr>
      <w:tr>
        <w:trPr>
          <w:trHeight w:val="210"/>
        </w:trPr>
        <w:tc>
          <w:tcPr>
            <w:tcW w:w="880" w:type="dxa"/>
            <w:vAlign w:val="bottom"/>
            <w:tcBorders>
              <w:left w:val="single" w:sz="8" w:color="auto"/>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ind w:left="199"/>
              <w:spacing w:after="0"/>
              <w:rPr>
                <w:sz w:val="20"/>
                <w:szCs w:val="20"/>
                <w:color w:val="auto"/>
              </w:rPr>
            </w:pPr>
            <w:r>
              <w:rPr>
                <w:rFonts w:ascii="Times New Roman" w:cs="Times New Roman" w:eastAsia="Times New Roman" w:hAnsi="Times New Roman"/>
                <w:sz w:val="18"/>
                <w:szCs w:val="18"/>
                <w:color w:val="auto"/>
                <w:w w:val="98"/>
              </w:rPr>
              <w:t>Total Fee Offsets</w:t>
            </w:r>
            <w:r>
              <w:rPr>
                <w:rFonts w:ascii="Times New Roman" w:cs="Times New Roman" w:eastAsia="Times New Roman" w:hAnsi="Times New Roman"/>
                <w:sz w:val="15"/>
                <w:szCs w:val="15"/>
                <w:color w:val="auto"/>
                <w:w w:val="98"/>
              </w:rPr>
              <w:t>(4)</w:t>
            </w:r>
          </w:p>
        </w:tc>
        <w:tc>
          <w:tcPr>
            <w:tcW w:w="10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80" w:type="dxa"/>
            <w:vAlign w:val="bottom"/>
            <w:tcBorders>
              <w:left w:val="single" w:sz="8" w:color="auto"/>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ind w:left="199"/>
              <w:spacing w:after="0"/>
              <w:rPr>
                <w:sz w:val="20"/>
                <w:szCs w:val="20"/>
                <w:color w:val="auto"/>
              </w:rPr>
            </w:pPr>
            <w:r>
              <w:rPr>
                <w:rFonts w:ascii="Times New Roman" w:cs="Times New Roman" w:eastAsia="Times New Roman" w:hAnsi="Times New Roman"/>
                <w:sz w:val="18"/>
                <w:szCs w:val="18"/>
                <w:color w:val="auto"/>
              </w:rPr>
              <w:t>Net Fee Due</w:t>
            </w:r>
          </w:p>
        </w:tc>
        <w:tc>
          <w:tcPr>
            <w:tcW w:w="10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$20,031.54</w:t>
            </w:r>
          </w:p>
        </w:tc>
      </w:tr>
    </w:tbl>
    <w:p>
      <w:pPr>
        <w:spacing w:after="0" w:line="225" w:lineRule="exact"/>
        <w:rPr>
          <w:sz w:val="20"/>
          <w:szCs w:val="20"/>
          <w:color w:val="auto"/>
        </w:rPr>
      </w:pPr>
    </w:p>
    <w:p>
      <w:pPr>
        <w:ind w:left="424" w:right="8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promulgated under the Securities Act of 1933, as amended (the “Securities Act”), this registration statement covers such additional and indeterminate number of shares of common stock (“Common Stock”) of Embecta Corp. (the “Registrant”) as may become issuable by reason of stock dividends, stock splits or similar transactions.</w:t>
      </w:r>
    </w:p>
    <w:p>
      <w:pPr>
        <w:spacing w:after="0" w:line="81" w:lineRule="exact"/>
        <w:rPr>
          <w:rFonts w:ascii="Times New Roman" w:cs="Times New Roman" w:eastAsia="Times New Roman" w:hAnsi="Times New Roman"/>
          <w:sz w:val="18"/>
          <w:szCs w:val="18"/>
          <w:color w:val="auto"/>
        </w:rPr>
      </w:pPr>
    </w:p>
    <w:p>
      <w:pPr>
        <w:jc w:val="both"/>
        <w:ind w:left="424" w:right="24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determining the amount of the registration fee, in accordance with Rule 457(c) and 457(h) of the Securities Act, on the basis of the average of the high ($33.15) and low ($28.59) sales prices per share of the Common Stock on the “when issued” trading market as reported on the NASDAQ Global Select Market on April 1, 2022.</w:t>
      </w:r>
    </w:p>
    <w:p>
      <w:pPr>
        <w:spacing w:after="0" w:line="81"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issuable pursuant to awards granted under the Registrant’s 2022 Employee and Director Equity-Based Compensation Plan.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lowerLetter"/>
      <w:start w:val="1"/>
    </w:lvl>
    <w:lvl w:ilvl="1">
      <w:lvlJc w:val="left"/>
      <w:lvlText w:val="%2."/>
      <w:numFmt w:val="decimal"/>
      <w:start w:val="3"/>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jpeg"/><Relationship Id="rId34" Type="http://schemas.openxmlformats.org/officeDocument/2006/relationships/image" Target="media/image17.png"/><Relationship Id="rId18" Type="http://schemas.openxmlformats.org/officeDocument/2006/relationships/hyperlink" Target="http://www.sec.gov/Archives/edgar/data/1872789/000119312522025989/d192319d1012ba.htm" TargetMode="External"/><Relationship Id="rId19" Type="http://schemas.openxmlformats.org/officeDocument/2006/relationships/hyperlink" Target="http://www.sec.gov/Archives/edgar/data/1872789/000119312522025989/d192319dex991.htm" TargetMode="External"/><Relationship Id="rId20" Type="http://schemas.openxmlformats.org/officeDocument/2006/relationships/hyperlink" Target="http://www.sec.gov/ix?doc=/Archives/edgar/data/1872789/000119312522076942/d322536d10q.htm" TargetMode="External"/><Relationship Id="rId21" Type="http://schemas.openxmlformats.org/officeDocument/2006/relationships/hyperlink" Target="http://www.sec.gov/ix?doc=/Archives/edgar/data/1872789/000119312522035814/d669833d8k.htm" TargetMode="External"/><Relationship Id="rId22" Type="http://schemas.openxmlformats.org/officeDocument/2006/relationships/hyperlink" Target="http://www.sec.gov/ix?doc=/Archives/edgar/data/1872789/000119312522066045/d283165d8k.htm" TargetMode="External"/><Relationship Id="rId23" Type="http://schemas.openxmlformats.org/officeDocument/2006/relationships/hyperlink" Target="http://www.sec.gov/ix?doc=/Archives/edgar/data/1872789/000119312522083889/d335195d8k.htm" TargetMode="External"/><Relationship Id="rId24" Type="http://schemas.openxmlformats.org/officeDocument/2006/relationships/hyperlink" Target="http://www.sec.gov/ix?doc=/Archives/edgar/data/1872789/000119312522097622/d297684d8k.htm" TargetMode="External"/><Relationship Id="rId27" Type="http://schemas.openxmlformats.org/officeDocument/2006/relationships/hyperlink" Target="http://www.sec.gov/Archives/edgar/data/1872789/000119312521363615/d192319dex31.htm" TargetMode="External"/><Relationship Id="rId28" Type="http://schemas.openxmlformats.org/officeDocument/2006/relationships/hyperlink" Target="http://www.sec.gov/Archives/edgar/data/1872789/000119312521363615/d192319dex32.htm" TargetMode="External"/><Relationship Id="rId29" Type="http://schemas.openxmlformats.org/officeDocument/2006/relationships/hyperlink" Target="http://www.sec.gov/Archives/edgar/data/1872789/000119312521363615/d19231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2022-04-06T16:33:30Z</dcterms:created>
  <dcterms:modified xsi:type="dcterms:W3CDTF">2022-04-06T16:33:30Z</dcterms:modified>
</cp:coreProperties>
</file>