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Kurdikar Devdatt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EMBC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83,233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250,863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246,435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for payment of withholding taxes in connection with the vesting of restricted stock units as previously reported on Table I.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D. Martini (Attorney-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0621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2022-11-29T16:44:21Z</dcterms:created>
  <dcterms:modified xsi:type="dcterms:W3CDTF">2022-11-29T16:44:21Z</dcterms:modified>
</cp:coreProperties>
</file>