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May 2, 2024 was 57,670,209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31"/>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04"/>
        </w:trPr>
        <w:tc>
          <w:tcPr>
            <w:tcW w:w="46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8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33"/>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$1.6 million and $1.0 million as of</w:t>
            </w:r>
          </w:p>
        </w:tc>
        <w:tc>
          <w:tcPr>
            <w:tcW w:w="26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March 31, 2024 and September 30, 2023, respectively)</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- 57,661,433 as of March 31, 2024 and 57,333,353 as of September 30, 2023</w:t>
            </w:r>
          </w:p>
        </w:tc>
        <w:tc>
          <w:tcPr>
            <w:tcW w:w="26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57,213,757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73,780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57,287,537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57,573,497</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87,936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57,287,537</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328,080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second first quarter of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 Standard Board issued Accounting Standards Update ASU 2023-07, Segment Reporting (Topic 280): Improvements to Reportable Segment Disclosures, which modifies the disclosure and presentation requirements of reportable segments. This update is effective for the Company beginning with its fiscal year 2025 reporting and for interim reporting beginning with its fiscal year 2026. As this accounting standard only impacts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to enhance the transparency and decision usefulness of income tax disclosures. This update is effective for the Company beginning with its fiscal year 2026 reporting. As this accounting standard only impacts disclosures, it will not have a material impact on the Company’s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For details on the rights and responsibilities of the parties under these agreements refer to Note 4 to the audited Consolidated Financial Statements in Embecta’s Annual Report on Form 10-K for the year ended September 30, 2023 filed with the Securities and Exchange Commission on November 29, 2023 (the “2023 Form 10-K”).</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28, 2024, we entered into (i) a second amendment (the “TSA Amendment”) to the TSA, dated as of March 31, 2022 and previously amended as of July 1, 2022 by and between Embecta and BD, and (ii) a second amendment (the “LSA Amendment”) to the LSA, dated January 1, 2022 and previously amended as of November 20, 2023, by and between Embecta and BD. Pursuant to the TSA and the LSA, originally entered into in connection with the Separation, Embecta and BD and their respective affiliates provide each other, on an interim, transitional basis, the Business Continuity Processes. Under the TSA Amendment and the LSA Amendment, BD granted Embecta, among other things, a limited extension until November 1, 2024 of certain services in a limited set of markets to support the Business Continuity Processes.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have expired and terminated as a result of the Company's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 in North America, and certain jurisdictions in Europe and Asia.</w:t>
      </w:r>
    </w:p>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$43.3 million at March 31, 2024 and is included in </w:t>
      </w:r>
      <w:r>
        <w:rPr>
          <w:rFonts w:ascii="Times New Roman" w:cs="Times New Roman" w:eastAsia="Times New Roman" w:hAnsi="Times New Roman"/>
          <w:sz w:val="18"/>
          <w:szCs w:val="18"/>
          <w:i w:val="1"/>
          <w:iCs w:val="1"/>
          <w:color w:val="auto"/>
        </w:rPr>
        <w:t>Amounts due from Becton, Dickinson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amount due to BD under these agreements was $38.5 million at March 31, 2024 and is included in</w:t>
      </w:r>
      <w:r>
        <w:rPr>
          <w:rFonts w:ascii="Times New Roman" w:cs="Times New Roman" w:eastAsia="Times New Roman" w:hAnsi="Times New Roman"/>
          <w:sz w:val="18"/>
          <w:szCs w:val="18"/>
          <w:i w:val="1"/>
          <w:iCs w:val="1"/>
          <w:color w:val="auto"/>
        </w:rPr>
        <w:t xml:space="preserve"> Amounts due to Becton, Dickinson and Company</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closing of the transfers of certain assets and liabilities related to the Diabetes Care Business in certain jurisdictions, including China, Mexico, Taiwan, India, Brazil, and Colombia as contemplated by the Separation and Distribution Agreement did not occur at Separation. The transfers of the relevant local assets and liabilities in these certain jurisdictions are expected to close at a future date. As of March 31, 2024, the Company estimates that amounts due from BD related to certain assets and liabilities in these certain jurisdictions are $18.9 million and are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As of March 31, 2024, the Company estimates that amounts due to BD related to certain assets and liabilities in these certain jurisdictions is $7.0 million and are reflected 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Collaboration Agreement</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 of $2.5 million for project costs, which was expensed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during the six month period ended March 31, 2023.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any royalty payments and continued project costs after commercialization will be included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sold </w:t>
      </w:r>
      <w:r>
        <w:rPr>
          <w:rFonts w:ascii="Times New Roman" w:cs="Times New Roman" w:eastAsia="Times New Roman" w:hAnsi="Times New Roman"/>
          <w:sz w:val="18"/>
          <w:szCs w:val="18"/>
          <w:color w:val="auto"/>
        </w:rPr>
        <w:t>as they are incurred.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of approximately $32.6 million and $59.0 million during the three and six months ended March 31, 2024, respectively, and incurred separation and stand-up costs of approximately $25.6 million and $35.5 million during the three and six months ended March 31, 2023, respectively. The costs incurred primarily consist of costs associated with accounting, auditing, legal services, marketing, supply chain, employee retention, the implementation of the Company's new ERP system, and certain other costs to</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certain Business Continuity Processes and stand-alone functions to assist with the transition to being a stand-alone entity.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March 31, 2024 or September 30, 2023,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2023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March 31, 2024 and September 30, 2023 was $177.2 million and $36.4 million, respectively. Sales deductions recorded as a reduction of gross revenues for the three months ended March 31, 2024 and 2023 were $138.5 million and $95.2 million, respectively. Sales deductions recorded as a reduction of gross revenues for the six months ended March 31, 2024 and 2023 were $265.2 million and $187.8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both March 31, 2024 and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24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62"/>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20" w:type="dxa"/>
            <w:vAlign w:val="bottom"/>
            <w:tcBorders>
              <w:bottom w:val="single" w:sz="8" w:color="auto"/>
            </w:tcBorders>
          </w:tcPr>
          <w:p>
            <w:pPr>
              <w:spacing w:after="0"/>
              <w:rPr>
                <w:sz w:val="23"/>
                <w:szCs w:val="23"/>
                <w:color w:val="auto"/>
              </w:rPr>
            </w:pPr>
          </w:p>
        </w:tc>
        <w:tc>
          <w:tcPr>
            <w:tcW w:w="3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175" w:lineRule="exact"/>
        <w:rPr>
          <w:sz w:val="20"/>
          <w:szCs w:val="20"/>
          <w:color w:val="auto"/>
        </w:rPr>
      </w:pPr>
    </w:p>
    <w:p>
      <w:pPr>
        <w:ind w:left="340" w:hanging="332"/>
        <w:spacing w:after="0" w:line="217"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March 31, 2024 and 2023, no individual country outside of the United States generated net revenues that represented more than 10.0% of total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three and six months ended March 31, 2024 and 2023 and the respective income tax benefits recognized by the Company in the Condensed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7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49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33"/>
        </w:trPr>
        <w:tc>
          <w:tcPr>
            <w:tcW w:w="4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33"/>
        </w:trPr>
        <w:tc>
          <w:tcPr>
            <w:tcW w:w="4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and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4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and six months ended March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6"/>
        </w:trPr>
        <w:tc>
          <w:tcPr>
            <w:tcW w:w="47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3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six </w:t>
      </w:r>
      <w:r>
        <w:rPr>
          <w:rFonts w:ascii="Times New Roman" w:cs="Times New Roman" w:eastAsia="Times New Roman" w:hAnsi="Times New Roman"/>
          <w:sz w:val="18"/>
          <w:szCs w:val="18"/>
          <w:color w:val="000000"/>
        </w:rPr>
        <w:t>months ended March 31, 2024</w:t>
      </w:r>
      <w:r>
        <w:rPr>
          <w:rFonts w:ascii="Times New Roman" w:cs="Times New Roman" w:eastAsia="Times New Roman" w:hAnsi="Times New Roman"/>
          <w:sz w:val="18"/>
          <w:szCs w:val="18"/>
          <w:color w:val="2B2A29"/>
        </w:rPr>
        <w:t>, Embecta granted 1,393,808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March 31, 2024 and changes during the six months ended March 31,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RSUs (in 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March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March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RSUs distributed include shares withheld for taxes that are not formally issued to the market.</w:t>
      </w: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six months ended March 31, 2024 is $17.42 and the total fair value of TVUs vested during the six months ended March 31, 2024 is $13.8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weighted average remaining vesting term of TVUs is 2.1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 March 31, 2024</w:t>
      </w:r>
      <w:r>
        <w:rPr>
          <w:rFonts w:ascii="Times New Roman" w:cs="Times New Roman" w:eastAsia="Times New Roman" w:hAnsi="Times New Roman"/>
          <w:sz w:val="18"/>
          <w:szCs w:val="18"/>
          <w:color w:val="2B2A29"/>
        </w:rPr>
        <w:t xml:space="preserve">, Embecta awarded 541,958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B2A29"/>
        </w:rPr>
        <w:t>, there were 725,912 RSUs in the form of PSUs that have been awarded, inclusive of accumulated dividend equivalents, for which a grant date has not yet been established.</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both March 31, 2024 and September 30, 2023, there were approximately 57.8 thousand nonvested PSUs for which a grant date has been established with a weighted average grant date fair value of $30.24. As of March 31, 2024, there were approximately 54.6 thousand nonvested PSUs for which a grant date has been established that are expected to vest with a weighted average grant date fair value of $30.24.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weighted average remaining vesting term of PSUs is 1.7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March 31, 2024 and changes during the six months ended March 31,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6"/>
                <w:szCs w:val="16"/>
                <w:color w:val="auto"/>
              </w:rPr>
            </w:pPr>
          </w:p>
        </w:tc>
        <w:tc>
          <w:tcPr>
            <w:tcW w:w="14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March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March 31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SARs were exercised during the six months ended March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March 31, 2024, is approximately $42.0 million which is expected to be recognized over a weighted-average remaining life of approximately 2.1 years. At March 31, 2024, 2.6 million shares were authorized for future grants under the Company's 2022 Employee and Director Equity Based Compensation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Intangible Assets, and Cloud Computing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7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Costs amortized during the three and six months ended March 31, 2024 were $1.2 million and $1.6 million, respectively, and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For the three and six months ended March 31, 2023 there were no costs recognized related to the implementation of these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arrangements due to the timing of when these projects were placed into service. As of March 31, 2024, cloud computing arrangement assets in-service have useful lives which range from approximately three to nine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47"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March 31, 2024,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931.0</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7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1,631.0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B2A29"/>
        </w:rPr>
        <w:t xml:space="preserve">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March 31, 2024 was $1,441.8 million compared with a carrying value (which includes a reduction for unamortized debt issuance costs and discounts) of $1,601.3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and six months ended March 31, 2024 and 2023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3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57,186</w:t>
            </w:r>
          </w:p>
        </w:tc>
      </w:tr>
      <w:tr>
        <w:trPr>
          <w:trHeight w:val="24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4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57,612</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bl>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three </w:t>
      </w:r>
      <w:r>
        <w:rPr>
          <w:rFonts w:ascii="Times New Roman" w:cs="Times New Roman" w:eastAsia="Times New Roman" w:hAnsi="Times New Roman"/>
          <w:sz w:val="18"/>
          <w:szCs w:val="18"/>
          <w:color w:val="2B2A29"/>
        </w:rPr>
        <w:t xml:space="preserve">months ended March 31, 2024 </w:t>
      </w:r>
      <w:r>
        <w:rPr>
          <w:rFonts w:ascii="Times New Roman" w:cs="Times New Roman" w:eastAsia="Times New Roman" w:hAnsi="Times New Roman"/>
          <w:sz w:val="18"/>
          <w:szCs w:val="18"/>
          <w:color w:val="000000"/>
        </w:rPr>
        <w:t>and 2023, 4.2 million and 2.2 million, respectively, and for the six months ended</w:t>
      </w:r>
      <w:r>
        <w:rPr>
          <w:rFonts w:ascii="Times New Roman" w:cs="Times New Roman" w:eastAsia="Times New Roman" w:hAnsi="Times New Roman"/>
          <w:sz w:val="18"/>
          <w:szCs w:val="18"/>
          <w:color w:val="2B2A29"/>
        </w:rPr>
        <w:t xml:space="preserve"> March 31, 2024 </w:t>
      </w:r>
      <w:r>
        <w:rPr>
          <w:rFonts w:ascii="Times New Roman" w:cs="Times New Roman" w:eastAsia="Times New Roman" w:hAnsi="Times New Roman"/>
          <w:sz w:val="18"/>
          <w:szCs w:val="18"/>
          <w:color w:val="000000"/>
        </w:rPr>
        <w:t>and 2023, 2.8 million and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1.8 million, respectively, of dilutive share equivalents issuable under stock-based compensation plans were excluded from the diluted shares outstanding calculation because the result would have been antidilutive.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4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effective tax rates were (191.9)% and 42.9% for the three months ended March 31, 2024 and 2023, respectively. The decrease in the Company’s effective tax rate from the prior comparative period is primarily due to lower withholding taxes on undistributed foreign earnings which includes a discrete tax benefit of approximately $18.8 million related to Swiss withholding taxes from prior years, reduced unrecognized tax benefits, and lower income in the current period which increases the variability of the effective tax rate.</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(102.5)% and 39.0% for the six months ended March 31, 2024 and 2023, respectively. The decrease in the Company’s effective tax rate from the prior comparative period is primarily due to lower withholding taxes on undistributed foreign earnings which includes a discrete tax benefit of approximately $18.8 million related to Swiss withholding taxes from prior years, a tax benefit of approximately $17.1 million for the establishment of a deferred tax asset attributed to a higher Swiss cantonal tax rate and additional tax basis that is amortizable for income tax purposes over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of seven years, reduced unrecognized tax benefits, and lower income in the current period which increases the variability of the effective tax rate.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March 31, 2024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to the total amounts shown in the Condensed 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Cash and equivalents as of March 31, 2024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$2.9 million and $2.7 million for the three months ended March 31, 2024 and 2023, respectively, and $6.3 million and $3.8 million for the six months ended March 31, 2024 and 2023, respectively, and is included as a component of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March 31, 2024 and September 30, 2023,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Undesignated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238" w:lineRule="exact"/>
        <w:rPr>
          <w:sz w:val="20"/>
          <w:szCs w:val="20"/>
          <w:color w:val="auto"/>
        </w:rPr>
      </w:pPr>
    </w:p>
    <w:p>
      <w:pPr>
        <w:jc w:val="both"/>
        <w:ind w:left="660" w:hanging="328"/>
        <w:spacing w:after="0" w:line="250"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42.0% for the three months ended March 31, 2024, and three of the Company's customers represented at least 10.0% of total gross revenues individually and, in the aggregate, represented approximately 42.0% of total revenues for the six months ended March 31, 2024.</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Four of the Company's customers represented at least 10.0% of total gross trade receivables individually and, in the aggregate, represented approximately 63.6% as of March 31, 2024.</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7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4"/>
        </w:trPr>
        <w:tc>
          <w:tcPr>
            <w:tcW w:w="6400" w:type="dxa"/>
            <w:vAlign w:val="bottom"/>
          </w:tcPr>
          <w:p>
            <w:pPr>
              <w:spacing w:after="0"/>
              <w:rPr>
                <w:sz w:val="17"/>
                <w:szCs w:val="17"/>
                <w:color w:val="auto"/>
              </w:rPr>
            </w:pP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33"/>
        </w:trPr>
        <w:tc>
          <w:tcPr>
            <w:tcW w:w="64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33"/>
        </w:trPr>
        <w:tc>
          <w:tcPr>
            <w:tcW w:w="62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8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2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33"/>
        </w:trPr>
        <w:tc>
          <w:tcPr>
            <w:tcW w:w="6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March 31, 2024 and 2023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1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Leases</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33"/>
        </w:trPr>
        <w:tc>
          <w:tcPr>
            <w:tcW w:w="63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3"/>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900" w:type="dxa"/>
            <w:vAlign w:val="bottom"/>
            <w:tcBorders>
              <w:bottom w:val="single" w:sz="8" w:color="CCEEFF"/>
            </w:tcBorders>
            <w:shd w:val="clear" w:color="auto" w:fill="CCEEFF"/>
          </w:tcPr>
          <w:p>
            <w:pPr>
              <w:jc w:val="right"/>
              <w:ind w:right="1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1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March 31, 2024 by fiscal year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our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r>
        <w:rPr>
          <w:rFonts w:ascii="Times New Roman" w:cs="Times New Roman" w:eastAsia="Times New Roman" w:hAnsi="Times New Roman"/>
          <w:sz w:val="18"/>
          <w:szCs w:val="18"/>
          <w:color w:val="70AD47"/>
        </w:rPr>
        <w:t>.</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anti-diabetic drugs (e.g., SGLT-2s), GLP-1s and GLP-1 combination products have delayed initiation of insulin therapy and contributed to less demand for our products. New drug therapies, including weekly insulin, in development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physicians and longer wait times for patients. Healthcare delivery for non-emergency diabetes care is expected to continue shifting outside of hospitals to primary care providers, which could have a material impact on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28, 2024, we entered into (i) a second amendment (the “TSA Amendment”) to the Transition Services Agreements ("TSA"), dated as of March 31, 2022 and previously amended as of July 1, 2022 by and between Embecta and BD, and (ii) a second amendment (the “LSA Amendment”) to the Logistics Services Agreements ("LSA"), dated January 1, 2022 and previously amended as of November 20, 2023, by and between Embecta and BD. Pursuant to the TSA and the LSA, originally entered into in connection with the Separation, Embecta and BD and their respective affiliates provide each other, on an interim, transitional basis, the Business Continuity Processes. Under the TSA Amendment and the LSA Amendment, BD granted Embecta, among other things, a limited extension until November 1, 2024 of certain services in a limited set of markets to support the Business Continuity Processes.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and respond to the conflict in Ukraine and the associated sanctions and other restrictions. We also are monitoring the Israel-Hamas war and Houthi attacks on commercial shipping vessels and other naval vessels. As of May 9, 2024,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92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287.2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76.8</w:t>
            </w:r>
          </w:p>
        </w:tc>
      </w:tr>
      <w:tr>
        <w:trPr>
          <w:trHeight w:val="204"/>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146.2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(41.3)</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(70.0)</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(179.0)</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3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108.3 %</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March 31, 2024 were as follows:</w:t>
      </w:r>
    </w:p>
    <w:p>
      <w:pPr>
        <w:spacing w:after="0" w:line="14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$10.1 million to $287.2 million from $277.1 million;</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$4.4 million to $185.4 million from $189.8 million. Gross profit as a percent of revenue was 64.6%, as compared to 68.5%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$16.4 million to $39.2 million from $55.6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$14.9 million to $28.9 million from $14.0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2024 Summary (on a comparative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six months ended March 31, 2024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$11.7 million to $564.5 million from $552.8 million;</w:t>
      </w:r>
    </w:p>
    <w:p>
      <w:pPr>
        <w:spacing w:after="0" w:line="14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$7.3 million to $371.3 million, compared to $378.6 million. Gross profit as a percent of revenue was 65.8%, as compared to 68.5%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$59.7 million to $84.7 million from $144.4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$0.2 million to $49.0 million from $49.2 million.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increased by $10.1 million, or 3.6%, to $287.2 million for the three months ended March 31, 2024 as compared to revenues of $277.1 million for the three months ended March 31, 2023. Changes in our revenues are driven by the volume of goods that the Company sells, the prices we negotiate with customers and changes in foreign exchange rates. The increase in revenues was driven by $15.0 million of favorable changes in volume. This was partially offset by $2.5 million associated with the negative impact of foreign currency translation primarily due to the strengthening of the U.S. dollar, $1.4 million of unfavorable changes in price, and a $1.0 million decrease in contract manufacturing revenues related to sales of non-diabetes products to BD.</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increased by $11.7 million, or 2.1%, to $564.5 million for the six months ended March 31, 2024 as compared to revenues of $552.8 million for the six months ended March 31, 2023. The increase in revenues was driven by $13.0 million of favorable changes in volume and $2.0 million of favorable changes in price. This was partially offset by a $3.1 million decrease in contract manufacturing revenues related to sales of non-diabetes products to BD and $0.2 million associated with the negative impact of foreign currency translation primarily due to the strengthening of the U.S. dollar.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products sold increased by $14.5 million, or 16.6%, to $101.8 million for the three months ended March 31, 2024 as compared to $87.3 million for the three months ended March 31, 2023. Cost of products sold as a percentage of revenues was 34.2% for the three months ended March 31, 2024 as compared to 31.5% for the three months ended March 31, 2023. Cost of products sold increased by $19.0 million, or 10.9%, to $193.2 million for the six months ended March 31, 2024 as compared to $174.2 million for the six months ended March 31, 2023. Cost of products sold as a percentage of revenues were 34.2% for the six months ended March 31, 2024 as compared to 31.5% in the six months ended March 31, 2023. The increase in cost of products sold for the three and six month comparative periods was primarily driven by the impact of inflation on the costs of certain raw materials (including freight), direct labor, and overhead, the impact of negative year-over-year manufacturing variances primarily attributable to the planned temporary shutdown of our Suzhou, China facility as it relates to production for the domestic Chinese market, and unfavorable impacts due to foreign exchange rates. We intend to continue to work to improve productivity to help partially offset these increased costs.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Selling and administrative expenses increased by $7.1 million, or 8.3%, to $92.3 million for the three months ended March 31, 2024 as compared to $85.2 million for the three months ended March 31, 2023. Selling and administrative expenses increased by $24.6 million, or 15.6%, to $182.6 million for the six months ended March 31, 2024 as compared to $158.0 million for the six months ended March 31, 2023. The increase for both the three and six month comparative periods were primarily driven by an increase in compensation and benefit costs due to increased headcount and increased outbound freight and warehousing costs. This was partially offset primarily by lower TSA and LSA costs with BD incurred in the current year periods.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Research and development expenses decreased by $3.7 million, or 16.7%, to $18.4 million for the three months ended March 31, 2024 as compared to $22.1 million for the three months ended March 31, 2023. Research and development expenses decreased by $0.4 million, or 1.0%, to $38.6 million for the six months ended March 31, 2024 as compared to $39.0 million for the six months ended March 31, 2023. The decrease for the three and six month comparative periods were primarily driven by an upfront payment made in connection with a collaboration arrangement in the prior year. This was partially offset by increased spending in the current year periods on our insulin patch pump platform. In December 2023, we submitted our first 510(k) premarket filing to the U.S. Food and Drug Administration ("FDA") for our proprietary disposable insulin delivery system.</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incurred other operating expenses of $35.5 million and $26.9 million for the three months ended March 31, 2024 and 2023, respectively, and $65.4 million and $37.2 million for the six months ended March 31, 2024 and 2023, respectively, driven by costs related to the Separation. The costs incurred primarily relate to accounting, auditing, legal services, marketing, supply chain, employee retention, increased costs associated with the implementation of our new ERP system and other Business Continuity Processes, and certain other costs to establish certain stand-alone functions to assist with the transition to being a stand-alone entity. As we continue to stand-up various corporate functions as a stand-alone publicly-traded company, we expect to incur similar costs associated with the same type of activities in the current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Interest expense, net increased by $1.0 million to $27.8 million for the three months ended March 31, 2024 as compared to $26.8 million for the three months ended March 31, 2023. Interest expense, net increased by $3.1 million to $55.5 million for the six months ended March 31, 2024 as compared to $52.4 million for the six months ended March 31, 2023. The increases for both comparative periods were primarily a result of higher interest rates on our variable rate debt which is attributable to increases in SOFR that impacted our Term Loan. This was partially offset by an increase in interest income from amounts held in interest bearing accounts and money market funds. It remains unclear whether the United States Federal Reserve will increase or reduce the benchmark interest rate during the remainder of fiscal 2024. An increase in the benchmark interest rate would result in an increase in interest expense on our variable rate debt and a reduction in the benchmark interest rate would result in a decrease in interest expense on our variable rate debt.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net, was $(1.5) million and $(4.3) million for the three months ended March 31, 2024 and 2023, respectively. Other income (expense), net, was $(5.0) million and $(11.4) million for the six months ended March 31, 2024 and 2023, respectively. The costs incurred for all periods primarily relate to amounts due to BD for income taxes payable incurred in deferred jurisdictions where BD is considered the primary obligor.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(191.9)% and 42.9% for the three months ended March 31, 2024 and 2023, respectively. The decrease in the Company’s effective tax rate from the prior comparative period is primarily due to lower withholding taxes on undistributed foreign earnings which includes a discrete tax benefit of approximately $18.8 million related to Swiss withholding taxes from prior years, reduced unrecognized tax benefits, and lower income in the current period which increases the variability of the effective tax rate.</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effective tax rates were (102.5)% and 39.0% for the six months ended March 31, 2024 and 2023, respectively. The decrease in the Company’s effective tax rate from the prior comparative period is primarily due to lower withholding taxes on undistributed foreign earnings which includes a discrete tax benefit of approximately $18.8 million related to Swiss withholding taxes from prior years, a tax benefit of approximately $17.1 million for the establishment of a deferred tax asset attributed to a higher Swiss cantonal tax rate and additional tax basis that is amortizable for income tax purposes over a period of seven years, reduced unrecognized tax benefits, and lower income in the current period which increases the variability of the effective tax rate.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believe that our credit profile should provide us with access to additional financing in order to fund normal business operations, make interest payments, fund growth opportunities and satisfy upcoming debt maturities.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931.0</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1,631.0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March 31,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1,601.3</w:t>
            </w:r>
          </w:p>
        </w:tc>
      </w:tr>
      <w:tr>
        <w:trPr>
          <w:trHeight w:val="149"/>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March 31, 2024, we were in compliance with all of such covenants. The credit agreement and the senior secured are secured by substantially all assets of Embecta and each subsidiary guarantor, subject to certain exceptions.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11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March 31, 2024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16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Agreements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owed BD a service fee calculated as 0.1% of annual revenues related to countries subject to the Factoring Agreements, in exchange for the services provided by BD pursuant to the Factoring Agreements.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have expired and terminated as a result of our implementation and onboarding of certain Business Continuity Processes in North America, and certain jurisdictions in Europe and Asia.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November 2023 and February 2024, Moody’s Investor Services and Standard &amp; Poor’s Ratings Services published updates to our credit ratings of Ba3 and B+, respectively. These ratings remain unchanged from the initial published ratings from January 2022.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$306.5 million as of March 31, 2024 as compared to $326.5 million as of September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$20.0 million decrease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2024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 related to depreciation and amortization, stock-based compensation, and deferred income taxes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9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due to timing attributable to payments to vendors in the first six months of fiscal 2024.</w:t>
      </w:r>
    </w:p>
    <w:p>
      <w:pPr>
        <w:spacing w:after="0" w:line="11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a result of the implementation of certain Business Continuity Processes, including our ERP system that went live in November 2023 for our North America business operations and in March 2024 for our EMEA and Greater Asia business operations as well as the expiration and termination of the factoring agreements between Embecta and BD, we are now responsible for the collection of any outstanding trade receivables in those respective regions. The increase in trade receivables is a direct result of this impact, and we expect to convert these outstanding trade receivables into cash during fiscal 2024 in line with contractual customer payment terms.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inventories is driven by an increase in raw material purchases in the current year offset by current year product sales of certain inventory levels that had been built up at the end of fiscal 2023 in anticipation of our ERP system and other Business Continuity Processes that went live during the first half of fiscal 2024.</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primarily relates to the expiration and termination of the Factoring Agreement between Embecta and BD as we are now responsible for the collection of any outstanding trade receivables on a global basis.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prepaid expenses and other are primarily driven by a reduction in payments during the first half of fiscal 2024 to BD for future payments made to third parties on our behalf as a result of our implementation of certain Business Continuity Processes, including our ERP system, that went live in fiscal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was primarily due to the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due to costs capitalized during fiscal 2024 associated with the implementation of our ERP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$6.1 million for the six months ended March 31, 2024 to support further expansion of our business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contractual obligations as of March 31, 2024,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2023 Form 10-K for further details. As of March 31, 2024, there have been no material changes to our contractual obligations outside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the 2023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2023 Form 10-K. There have been no changes to our critical accounting policies as of March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8" w:lineRule="exact"/>
        <w:rPr>
          <w:sz w:val="20"/>
          <w:szCs w:val="20"/>
          <w:color w:val="auto"/>
        </w:rPr>
      </w:pPr>
    </w:p>
    <w:p>
      <w:pPr>
        <w:ind w:left="660" w:right="3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technologies, lower cost producers that create pricing pressure, and consolidation resulting in companies with greater scale and market presence than Embecta.</w:t>
      </w:r>
    </w:p>
    <w:p>
      <w:pPr>
        <w:spacing w:after="0" w:line="54"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TSA, the LSA, and other transaction agreements or that BD terminates such services.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8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FDA of any product, to market and sell such products successfully, to anticipate the needs of people with diabetes, and future business decisions by Embecta and its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the COVID-19 pandemic or geopolitical instability on Embecta’s business, including disruptions in its operations and supply chains.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ERP, procedures and controls, diversion of management’s attention and the impact on relationships with customers, suppliers, employees and other business counterparties.</w:t>
      </w:r>
    </w:p>
    <w:p>
      <w:pPr>
        <w:spacing w:after="0" w:line="10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2023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2023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March 31, 2024, a 100 basis points change in interest rates would have impacted interest expense on the Term Loan by $9.3 million on an annualized basis. To the extent we borrow on our revolving credit facility, we will be subject to risks related to changes in SOFR.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March 31, 2024.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2022, the Company commenced on the process of building a new ERP system and other Business Continuity Processes to replace the existing systems provided by BD. The ERP system is designed to accurately maintain the Company's financial records used to report operating results. The implementation of the Business Continuity Processes will occur in phases. The first phase of the implementation began in the fourth quarter of fiscal year 2023. The second phase began in the first quarter of fiscal year 2024 with the remaining phases expected to commence throughout the current calendar year. A standardized internal control framework is implemented with each phase as we move away from relying on BD’s systems and controls.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until the second phase of the implementation of the Business Continuity Processes discussed previously, we relied on certain material processes and internal controls over financial reporting performed by BD. Subsequent to the second phase of this implementation, we have and will continue to rely on certain processes and internal controls over financial reporting performed by BD for China, Taiwan, India, and certain countries in Latin America.</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above, there were no changes in our internal controls over financial reporting during the fiscal quarter ended March 31, 2024 that have materially affected, or are reasonably likely to materially affect, Embecta's internal controls over financial reporting.</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2023 Form 10-K and Embecta’s Quarterly Report on Form 10-Q for the quarter ended December 31, 2023 filed with the Securities and Exchange Commission on February 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9"/>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6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Amendment No. 2 to Transition Services Agreement, dated as of March 28, 2024, by and between BD and Embecta (Incorporated by</w:t>
              </w:r>
            </w:hyperlink>
          </w:p>
        </w:tc>
        <w:tc>
          <w:tcPr>
            <w:tcW w:w="20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reference to the Company’s Current Report on Form 8-K filed on March 28, 2024)</w:t>
              </w:r>
            </w:hyperlink>
          </w:p>
        </w:tc>
        <w:tc>
          <w:tcPr>
            <w:tcW w:w="3840" w:type="dxa"/>
            <w:vAlign w:val="bottom"/>
            <w:gridSpan w:val="5"/>
          </w:tcPr>
          <w:p>
            <w:pPr>
              <w:spacing w:after="0"/>
              <w:rPr>
                <w:sz w:val="17"/>
                <w:szCs w:val="17"/>
                <w:color w:val="auto"/>
              </w:rPr>
            </w:pPr>
          </w:p>
        </w:tc>
      </w:tr>
      <w:tr>
        <w:trPr>
          <w:trHeight w:val="49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5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Amendment No. 2 to Logistics Services Agreement, dated as of March 28, 2024, by and between BD and Embecta (Incorporated by</w:t>
              </w:r>
            </w:hyperlink>
          </w:p>
        </w:tc>
        <w:tc>
          <w:tcPr>
            <w:tcW w:w="280" w:type="dxa"/>
            <w:vAlign w:val="bottom"/>
            <w:gridSpan w:val="2"/>
          </w:tcPr>
          <w:p>
            <w:pPr>
              <w:spacing w:after="0"/>
              <w:rPr>
                <w:sz w:val="24"/>
                <w:szCs w:val="24"/>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gridSpan w:val="7"/>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 to the Company’s Current Report on Form 8-K filed on March 28, 2024)</w:t>
              </w:r>
            </w:hyperlink>
          </w:p>
        </w:tc>
        <w:tc>
          <w:tcPr>
            <w:tcW w:w="280" w:type="dxa"/>
            <w:vAlign w:val="bottom"/>
            <w:gridSpan w:val="2"/>
          </w:tcPr>
          <w:p>
            <w:pPr>
              <w:spacing w:after="0"/>
              <w:rPr>
                <w:sz w:val="14"/>
                <w:szCs w:val="14"/>
                <w:color w:val="auto"/>
              </w:rPr>
            </w:pPr>
          </w:p>
        </w:tc>
      </w:tr>
      <w:tr>
        <w:trPr>
          <w:trHeight w:val="49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640" w:type="dxa"/>
            <w:vAlign w:val="bottom"/>
            <w:tcBorders>
              <w:top w:val="single" w:sz="8" w:color="0000FF"/>
            </w:tcBorders>
          </w:tcPr>
          <w:p>
            <w:pPr>
              <w:spacing w:after="0"/>
              <w:rPr>
                <w:sz w:val="24"/>
                <w:szCs w:val="24"/>
                <w:color w:val="auto"/>
              </w:rPr>
            </w:pPr>
          </w:p>
        </w:tc>
        <w:tc>
          <w:tcPr>
            <w:tcW w:w="3860" w:type="dxa"/>
            <w:vAlign w:val="bottom"/>
            <w:gridSpan w:val="6"/>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Capone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Capone</w:t>
            </w:r>
          </w:p>
        </w:tc>
      </w:tr>
      <w:tr>
        <w:trPr>
          <w:trHeight w:val="25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20" w:top="22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2024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2024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9" Type="http://schemas.openxmlformats.org/officeDocument/2006/relationships/hyperlink" Target="https://www.sec.gov/Archives/edgar/data/1872789/000187278924000010/erpserviceextensiontsaamen.htm" TargetMode="External"/><Relationship Id="rId50" Type="http://schemas.openxmlformats.org/officeDocument/2006/relationships/hyperlink" Target="https://www.sec.gov/Archives/edgar/data/1872789/000187278924000010/erpserviceextensionlsa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2024-05-09T12:50:29Z</dcterms:created>
  <dcterms:modified xsi:type="dcterms:W3CDTF">2024-05-09T12:50:29Z</dcterms:modified>
</cp:coreProperties>
</file>