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February 6, 2025, Embecta Corp. issued a press release (the “Press Release”) regarding its results for the quarter ended December 31, 2024. The Press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February 6, 2025.</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February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First Quarter Fiscal 2025 Financial Results</w:t>
      </w:r>
    </w:p>
    <w:p>
      <w:pPr>
        <w:spacing w:after="0" w:line="2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Feb 6, 2025 (GLOBE NEWSWIRE) – Embecta Corp. (“embecta” or the "Company") (Nasdaq: EMBC), 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month period ended December 31, 2024.</w:t>
      </w:r>
    </w:p>
    <w:p>
      <w:pPr>
        <w:spacing w:after="0" w:line="10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"Building on our momentum from 2024, embecta began the year with solid performance," said Devdatt (Dev) Kurdikar, Chief Executive Officer of embecta. "We remain on track to complete the restructuring plan associated with the discontinuation of the insulin patch pump program by the end of the first half of the fiscal year and are preparing to launch our brand transition plan in the second half, beginning in the U.S. and Canada. Additionally, we continue to make progress on our GLP-1 initiatives targeted to make it easier for patients to access our pen needles for use with GLP-1 pen injectors."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"Given our first-quarter performance and outlook for the remainder of the year, we are updating our guidance — adjusting our revenue outlook solely due to changes in foreign exchange assumptions but still raising expectations for certain key financial metrics. Looking ahead, we are excited to share our long-term strategy for the business, as well as a multi-year financial outlook, at our Investor and Analyst Day in late May 2025."</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2025 Financial Highlights</w:t>
      </w:r>
      <w:r>
        <w:rPr>
          <w:rFonts w:ascii="Arial" w:cs="Arial" w:eastAsia="Arial" w:hAnsi="Arial"/>
          <w:sz w:val="17"/>
          <w:szCs w:val="17"/>
          <w:b w:val="1"/>
          <w:bCs w:val="1"/>
          <w:color w:val="auto"/>
        </w:rPr>
        <w:t>:</w:t>
      </w:r>
    </w:p>
    <w:p>
      <w:pPr>
        <w:spacing w:after="0" w:line="1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$261.9 million, down 5.6% on a reported basis; down 4.8%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4.6% on both a reported and adjusted constant currency basis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6.6% on a reported basis, and 5.1% on an adjusted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$157.1 million and 60.0%, compared to $185.9 million and 67.0%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$164.2 million and 62.7%, compared to $186.3 million and 67.2%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$28.7 million and 11.0%, compared to $45.5 million and 16.4%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$80.5 million and 30.7%, compared to $77.5 million and 27.9%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$0.0 million and $0.00, compared to $20.1 million and $0.35 in the prior year period</w:t>
      </w:r>
    </w:p>
    <w:p>
      <w:pPr>
        <w:spacing w:after="0" w:line="169"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$38.3 million and $0.65, compared to $35.3 million and $0.61 in the prior year period</w:t>
      </w:r>
    </w:p>
    <w:p>
      <w:pPr>
        <w:spacing w:after="0" w:line="10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$97.3 million and 37.2%, compared to $90.4 million and 32.6%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9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7"/>
          <w:szCs w:val="17"/>
          <w:i w:val="1"/>
          <w:iCs w:val="1"/>
          <w:color w:val="auto"/>
        </w:rPr>
        <w:t>Strengthen core business</w:t>
      </w:r>
    </w:p>
    <w:p>
      <w:pPr>
        <w:spacing w:after="0" w:line="193" w:lineRule="exact"/>
        <w:rPr>
          <w:rFonts w:ascii="Arial" w:cs="Arial" w:eastAsia="Arial" w:hAnsi="Arial"/>
          <w:sz w:val="22"/>
          <w:szCs w:val="22"/>
          <w:color w:val="auto"/>
        </w:rPr>
      </w:pPr>
    </w:p>
    <w:p>
      <w:pPr>
        <w:ind w:left="1300" w:hanging="320"/>
        <w:spacing w:after="0"/>
        <w:tabs>
          <w:tab w:leader="none" w:pos="1309" w:val="left"/>
        </w:tabs>
        <w:numPr>
          <w:ilvl w:val="1"/>
          <w:numId w:val="4"/>
        </w:numPr>
        <w:rPr>
          <w:rFonts w:ascii="Arial" w:cs="Arial" w:eastAsia="Arial" w:hAnsi="Arial"/>
          <w:sz w:val="22"/>
          <w:szCs w:val="22"/>
          <w:color w:val="auto"/>
        </w:rPr>
      </w:pPr>
      <w:r>
        <w:rPr>
          <w:rFonts w:ascii="Arial" w:cs="Arial" w:eastAsia="Arial" w:hAnsi="Arial"/>
          <w:sz w:val="17"/>
          <w:szCs w:val="17"/>
          <w:color w:val="auto"/>
        </w:rPr>
        <w:t>Brand transition program progressing as planned, with U.S. and Canada expected to transition in the second half of fiscal year 2025</w:t>
      </w:r>
    </w:p>
    <w:p>
      <w:pPr>
        <w:spacing w:after="0" w:line="32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7"/>
          <w:szCs w:val="17"/>
          <w:i w:val="1"/>
          <w:iCs w:val="1"/>
          <w:color w:val="auto"/>
        </w:rPr>
        <w:t>Expand product portfolio</w:t>
      </w:r>
    </w:p>
    <w:p>
      <w:pPr>
        <w:spacing w:after="0" w:line="180" w:lineRule="exact"/>
        <w:rPr>
          <w:rFonts w:ascii="Arial" w:cs="Arial" w:eastAsia="Arial" w:hAnsi="Arial"/>
          <w:sz w:val="22"/>
          <w:szCs w:val="22"/>
          <w:color w:val="auto"/>
        </w:rPr>
      </w:pPr>
    </w:p>
    <w:p>
      <w:pPr>
        <w:ind w:left="1300" w:hanging="320"/>
        <w:spacing w:after="0" w:line="228" w:lineRule="auto"/>
        <w:tabs>
          <w:tab w:leader="none" w:pos="1296" w:val="left"/>
        </w:tabs>
        <w:numPr>
          <w:ilvl w:val="1"/>
          <w:numId w:val="4"/>
        </w:numPr>
        <w:rPr>
          <w:rFonts w:ascii="Arial" w:cs="Arial" w:eastAsia="Arial" w:hAnsi="Arial"/>
          <w:sz w:val="22"/>
          <w:szCs w:val="22"/>
          <w:color w:val="auto"/>
        </w:rPr>
      </w:pPr>
      <w:r>
        <w:rPr>
          <w:rFonts w:ascii="Arial" w:cs="Arial" w:eastAsia="Arial" w:hAnsi="Arial"/>
          <w:sz w:val="17"/>
          <w:szCs w:val="17"/>
          <w:color w:val="auto"/>
        </w:rPr>
        <w:t>Progressed in our initiatives targeted to make our pen needles available as co-packaged with potential generic GLP-1 drugs and in retail packaging</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7"/>
          <w:szCs w:val="17"/>
          <w:i w:val="1"/>
          <w:iCs w:val="1"/>
          <w:color w:val="auto"/>
        </w:rPr>
        <w:t>Increase financial flexibility</w:t>
      </w:r>
    </w:p>
    <w:p>
      <w:pPr>
        <w:spacing w:after="0" w:line="139" w:lineRule="exact"/>
        <w:rPr>
          <w:rFonts w:ascii="Arial" w:cs="Arial" w:eastAsia="Arial" w:hAnsi="Arial"/>
          <w:sz w:val="22"/>
          <w:szCs w:val="22"/>
          <w:color w:val="auto"/>
        </w:rPr>
      </w:pPr>
    </w:p>
    <w:p>
      <w:pPr>
        <w:ind w:left="1300" w:hanging="320"/>
        <w:spacing w:after="0" w:line="266" w:lineRule="auto"/>
        <w:tabs>
          <w:tab w:leader="none" w:pos="1293" w:val="left"/>
        </w:tabs>
        <w:numPr>
          <w:ilvl w:val="1"/>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Restructuring plan related to the discontinuation of the insulin patch pump program remains on track, expected to be complete by the end of the first half of fiscal year 2025</w:t>
      </w:r>
    </w:p>
    <w:p>
      <w:pPr>
        <w:spacing w:after="0" w:line="105" w:lineRule="exact"/>
        <w:rPr>
          <w:rFonts w:ascii="Times New Roman" w:cs="Times New Roman" w:eastAsia="Times New Roman" w:hAnsi="Times New Roman"/>
          <w:sz w:val="17"/>
          <w:szCs w:val="17"/>
          <w:color w:val="auto"/>
        </w:rPr>
      </w:pPr>
    </w:p>
    <w:p>
      <w:pPr>
        <w:jc w:val="both"/>
        <w:ind w:left="1300" w:hanging="320"/>
        <w:spacing w:after="0" w:line="258" w:lineRule="auto"/>
        <w:tabs>
          <w:tab w:leader="none" w:pos="1334" w:val="left"/>
        </w:tabs>
        <w:numPr>
          <w:ilvl w:val="1"/>
          <w:numId w:val="4"/>
        </w:numPr>
        <w:rPr>
          <w:rFonts w:ascii="Arial" w:cs="Arial" w:eastAsia="Arial" w:hAnsi="Arial"/>
          <w:sz w:val="17"/>
          <w:szCs w:val="17"/>
          <w:color w:val="auto"/>
        </w:rPr>
      </w:pPr>
      <w:r>
        <w:rPr>
          <w:rFonts w:ascii="Arial" w:cs="Arial" w:eastAsia="Arial" w:hAnsi="Arial"/>
          <w:sz w:val="17"/>
          <w:szCs w:val="17"/>
          <w:color w:val="auto"/>
        </w:rPr>
        <w:t>During the fiscal year 2025 first quarter, the Company paid an aggregate principal amount of approximately $32.4 million outstanding under its term loan B facility that had an interest rate of 300 basis points over the secured overnight financing rate (“SOFR”), with a 0.50% SOFR floor</w:t>
      </w:r>
    </w:p>
    <w:p>
      <w:pPr>
        <w:sectPr>
          <w:pgSz w:w="11900" w:h="16838" w:orient="portrait"/>
          <w:cols w:equalWidth="0" w:num="1">
            <w:col w:w="11240"/>
          </w:cols>
          <w:pgMar w:left="320" w:top="1076"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17"/>
          <w:szCs w:val="17"/>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revenue basis, as we present them, may not be comparable to similarly titled measures used by other companies and are not measures of performance presented in accordance with GAAP.</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2025 Results: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211"/>
        </w:trPr>
        <w:tc>
          <w:tcPr>
            <w:tcW w:w="1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8"/>
                <w:szCs w:val="18"/>
                <w:color w:val="auto"/>
              </w:rPr>
            </w:pPr>
          </w:p>
        </w:tc>
      </w:tr>
      <w:tr>
        <w:trPr>
          <w:trHeight w:val="174"/>
        </w:trPr>
        <w:tc>
          <w:tcPr>
            <w:tcW w:w="14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Reported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4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8"/>
                <w:szCs w:val="18"/>
                <w:color w:val="auto"/>
              </w:rPr>
            </w:pPr>
          </w:p>
        </w:tc>
      </w:tr>
      <w:tr>
        <w:trPr>
          <w:trHeight w:val="212"/>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8"/>
                <w:szCs w:val="18"/>
                <w:color w:val="auto"/>
              </w:rPr>
            </w:pPr>
          </w:p>
        </w:tc>
      </w:tr>
      <w:tr>
        <w:trPr>
          <w:trHeight w:val="274"/>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23"/>
                <w:szCs w:val="23"/>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1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4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 Increase/(Decrease)</w:t>
            </w: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211"/>
        </w:trPr>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8"/>
                <w:szCs w:val="18"/>
                <w:color w:val="auto"/>
              </w:rPr>
            </w:pPr>
          </w:p>
        </w:tc>
      </w:tr>
      <w:tr>
        <w:trPr>
          <w:trHeight w:val="174"/>
        </w:trPr>
        <w:tc>
          <w:tcPr>
            <w:tcW w:w="146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4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8"/>
                <w:szCs w:val="18"/>
                <w:color w:val="auto"/>
              </w:rPr>
            </w:pPr>
          </w:p>
        </w:tc>
      </w:tr>
      <w:tr>
        <w:trPr>
          <w:trHeight w:val="212"/>
        </w:trPr>
        <w:tc>
          <w:tcPr>
            <w:tcW w:w="146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8"/>
                <w:szCs w:val="18"/>
                <w:color w:val="auto"/>
              </w:rPr>
            </w:pPr>
          </w:p>
        </w:tc>
      </w:tr>
      <w:tr>
        <w:trPr>
          <w:trHeight w:val="220"/>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9"/>
                <w:szCs w:val="19"/>
                <w:color w:val="auto"/>
              </w:rPr>
            </w:pPr>
          </w:p>
        </w:tc>
      </w:tr>
      <w:tr>
        <w:trPr>
          <w:trHeight w:val="243"/>
        </w:trPr>
        <w:tc>
          <w:tcPr>
            <w:tcW w:w="146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a</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21"/>
                <w:szCs w:val="21"/>
                <w:color w:val="auto"/>
              </w:rPr>
            </w:pPr>
          </w:p>
        </w:tc>
      </w:tr>
      <w:tr>
        <w:trPr>
          <w:trHeight w:val="180"/>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1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Manufacturing</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152.6</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152.6</w:t>
            </w:r>
          </w:p>
        </w:tc>
        <w:tc>
          <w:tcPr>
            <w:tcW w:w="20" w:type="dxa"/>
            <w:vAlign w:val="bottom"/>
          </w:tcPr>
          <w:p>
            <w:pPr>
              <w:spacing w:after="0"/>
              <w:rPr>
                <w:sz w:val="18"/>
                <w:szCs w:val="18"/>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261.9</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261.9</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277.3</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277.3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revenues decreased by $15.4 million, or 5.6%, to $261.9 million for the three months ended December 31, 2024 as compared to revenues of $277.3 million for the three months ended December 31, 2023. Changes in revenues are driven by the volume of goods that the Company sells, the prices it negotiates with customers, and changes in foreign exchange rates. The decrease in revenues was driven by $17.9 million of unfavorable changes in volume and $2.0 million associated with the negative impact of foreign currency translation primarily due to the strengthening of the U.S. dollar. This was partially offset by a $2.9 million increase in contract manufacturing revenues related to sales of non-diabetes products to Becton, Dickinson and Company ("BD") and $1.6 million of favorable changes in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927" w:right="339" w:bottom="1440" w:gutter="0" w:footer="0" w:header="0"/>
        </w:sectPr>
      </w:pPr>
    </w:p>
    <w:bookmarkStart w:id="6" w:name="page7"/>
    <w:bookmarkEnd w:id="6"/>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2025 Updated Financial Guidance: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2025, the Company now expects: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ind w:left="580"/>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6"/>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Reported Revenues</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$1,092</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$1,093 - $1,110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Reported Revenue Growth (%)</w:t>
            </w: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040" w:type="dxa"/>
            <w:vAlign w:val="bottom"/>
          </w:tcPr>
          <w:p>
            <w:pPr>
              <w:ind w:left="20"/>
              <w:spacing w:after="0"/>
              <w:rPr>
                <w:sz w:val="20"/>
                <w:szCs w:val="20"/>
                <w:color w:val="auto"/>
              </w:rPr>
            </w:pPr>
            <w:r>
              <w:rPr>
                <w:rFonts w:ascii="Arial" w:cs="Arial" w:eastAsia="Arial" w:hAnsi="Arial"/>
                <w:sz w:val="16"/>
                <w:szCs w:val="16"/>
                <w:color w:val="auto"/>
              </w:rPr>
              <w:t>- (2.8)%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040" w:type="dxa"/>
            <w:vAlign w:val="bottom"/>
          </w:tcPr>
          <w:p>
            <w:pPr>
              <w:ind w:left="20"/>
              <w:spacing w:after="0"/>
              <w:rPr>
                <w:sz w:val="20"/>
                <w:szCs w:val="20"/>
                <w:color w:val="auto"/>
              </w:rPr>
            </w:pPr>
            <w:r>
              <w:rPr>
                <w:rFonts w:ascii="Arial" w:cs="Arial" w:eastAsia="Arial" w:hAnsi="Arial"/>
                <w:sz w:val="16"/>
                <w:szCs w:val="16"/>
                <w:color w:val="auto"/>
              </w:rPr>
              <w:t>- (1.2)%</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Impact of F/X (%)</w:t>
            </w:r>
          </w:p>
        </w:tc>
        <w:tc>
          <w:tcPr>
            <w:tcW w:w="200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i w:val="1"/>
                <w:iCs w:val="1"/>
                <w:color w:val="auto"/>
              </w:rPr>
              <w:t>(2.2)%</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rPr>
              <w:t>(0.6)%</w:t>
            </w:r>
          </w:p>
        </w:tc>
      </w:tr>
      <w:tr>
        <w:trPr>
          <w:trHeight w:val="216"/>
        </w:trPr>
        <w:tc>
          <w:tcPr>
            <w:tcW w:w="7080" w:type="dxa"/>
            <w:vAlign w:val="bottom"/>
            <w:gridSpan w:val="2"/>
          </w:tcPr>
          <w:p>
            <w:pPr>
              <w:ind w:left="140"/>
              <w:spacing w:after="0" w:line="216" w:lineRule="exact"/>
              <w:rPr>
                <w:sz w:val="20"/>
                <w:szCs w:val="20"/>
                <w:color w:val="auto"/>
              </w:rPr>
            </w:pPr>
            <w:r>
              <w:rPr>
                <w:rFonts w:ascii="Arial" w:cs="Arial" w:eastAsia="Arial" w:hAnsi="Arial"/>
                <w:sz w:val="16"/>
                <w:szCs w:val="16"/>
                <w:i w:val="1"/>
                <w:iCs w:val="1"/>
                <w:color w:val="auto"/>
              </w:rPr>
              <w:t xml:space="preserve">Impact of Italian Payback Measure </w:t>
            </w: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w:t>
            </w:r>
          </w:p>
        </w:tc>
        <w:tc>
          <w:tcPr>
            <w:tcW w:w="2000" w:type="dxa"/>
            <w:vAlign w:val="bottom"/>
            <w:gridSpan w:val="2"/>
          </w:tcPr>
          <w:p>
            <w:pPr>
              <w:jc w:val="right"/>
              <w:ind w:right="739"/>
              <w:spacing w:after="0"/>
              <w:rPr>
                <w:sz w:val="20"/>
                <w:szCs w:val="20"/>
                <w:color w:val="auto"/>
              </w:rPr>
            </w:pPr>
            <w:r>
              <w:rPr>
                <w:rFonts w:ascii="Arial" w:cs="Arial" w:eastAsia="Arial" w:hAnsi="Arial"/>
                <w:sz w:val="16"/>
                <w:szCs w:val="16"/>
                <w:i w:val="1"/>
                <w:iCs w:val="1"/>
                <w:color w:val="auto"/>
              </w:rPr>
              <w:t>0.4%</w:t>
            </w:r>
          </w:p>
        </w:tc>
        <w:tc>
          <w:tcPr>
            <w:tcW w:w="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8"/>
              </w:rPr>
              <w:t>0.4%</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Constant Currency Revenue Growth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960" w:type="dxa"/>
            <w:vAlign w:val="bottom"/>
          </w:tcPr>
          <w:p>
            <w:pPr>
              <w:jc w:val="right"/>
              <w:spacing w:after="0"/>
              <w:rPr>
                <w:sz w:val="20"/>
                <w:szCs w:val="20"/>
                <w:color w:val="auto"/>
              </w:rPr>
            </w:pPr>
            <w:r>
              <w:rPr>
                <w:rFonts w:ascii="Arial" w:cs="Arial" w:eastAsia="Arial" w:hAnsi="Arial"/>
                <w:sz w:val="16"/>
                <w:szCs w:val="16"/>
                <w:color w:val="auto"/>
              </w:rPr>
              <w:t>63.25%</w:t>
            </w:r>
          </w:p>
        </w:tc>
        <w:tc>
          <w:tcPr>
            <w:tcW w:w="1040" w:type="dxa"/>
            <w:vAlign w:val="bottom"/>
          </w:tcPr>
          <w:p>
            <w:pPr>
              <w:ind w:left="20"/>
              <w:spacing w:after="0"/>
              <w:rPr>
                <w:sz w:val="20"/>
                <w:szCs w:val="20"/>
                <w:color w:val="auto"/>
              </w:rPr>
            </w:pPr>
            <w:r>
              <w:rPr>
                <w:rFonts w:ascii="Arial" w:cs="Arial" w:eastAsia="Arial" w:hAnsi="Arial"/>
                <w:sz w:val="16"/>
                <w:szCs w:val="16"/>
                <w:color w:val="auto"/>
              </w:rPr>
              <w:t>- 64.25%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63.25%</w:t>
            </w:r>
          </w:p>
        </w:tc>
        <w:tc>
          <w:tcPr>
            <w:tcW w:w="1040" w:type="dxa"/>
            <w:vAlign w:val="bottom"/>
          </w:tcPr>
          <w:p>
            <w:pPr>
              <w:ind w:left="20"/>
              <w:spacing w:after="0"/>
              <w:rPr>
                <w:sz w:val="20"/>
                <w:szCs w:val="20"/>
                <w:color w:val="auto"/>
              </w:rPr>
            </w:pPr>
            <w:r>
              <w:rPr>
                <w:rFonts w:ascii="Arial" w:cs="Arial" w:eastAsia="Arial" w:hAnsi="Arial"/>
                <w:sz w:val="16"/>
                <w:szCs w:val="16"/>
                <w:color w:val="auto"/>
              </w:rPr>
              <w:t>- 64.25%</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- 30.50%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- 30.00%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40" w:type="dxa"/>
            <w:vAlign w:val="bottom"/>
          </w:tcPr>
          <w:p>
            <w:pPr>
              <w:ind w:left="20"/>
              <w:spacing w:after="0"/>
              <w:rPr>
                <w:sz w:val="20"/>
                <w:szCs w:val="20"/>
                <w:color w:val="auto"/>
              </w:rPr>
            </w:pPr>
            <w:r>
              <w:rPr>
                <w:rFonts w:ascii="Arial" w:cs="Arial" w:eastAsia="Arial" w:hAnsi="Arial"/>
                <w:sz w:val="16"/>
                <w:szCs w:val="16"/>
                <w:color w:val="auto"/>
              </w:rPr>
              <w:t>- $2.90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40" w:type="dxa"/>
            <w:vAlign w:val="bottom"/>
          </w:tcPr>
          <w:p>
            <w:pPr>
              <w:ind w:left="20"/>
              <w:spacing w:after="0"/>
              <w:rPr>
                <w:sz w:val="20"/>
                <w:szCs w:val="20"/>
                <w:color w:val="auto"/>
              </w:rPr>
            </w:pPr>
            <w:r>
              <w:rPr>
                <w:rFonts w:ascii="Arial" w:cs="Arial" w:eastAsia="Arial" w:hAnsi="Arial"/>
                <w:sz w:val="16"/>
                <w:szCs w:val="16"/>
                <w:color w:val="auto"/>
              </w:rPr>
              <w:t>- $2.90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- 37.00%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- 36.50%</w:t>
            </w:r>
          </w:p>
        </w:tc>
      </w:tr>
    </w:tbl>
    <w:p>
      <w:pPr>
        <w:spacing w:after="0" w:line="38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Previous guidance was issued on November 26, 2024.</w:t>
      </w:r>
    </w:p>
    <w:p>
      <w:pPr>
        <w:spacing w:after="0" w:line="163" w:lineRule="exact"/>
        <w:rPr>
          <w:rFonts w:ascii="Arial" w:cs="Arial" w:eastAsia="Arial" w:hAnsi="Arial"/>
          <w:sz w:val="14"/>
          <w:szCs w:val="14"/>
          <w:color w:val="auto"/>
        </w:rPr>
      </w:pPr>
    </w:p>
    <w:p>
      <w:pPr>
        <w:ind w:firstLine="8"/>
        <w:spacing w:after="0" w:line="285"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recognition of incremental Italian payback accruals resulting from the two July 22, 2024 rulings by the Constitutional Court of Italy relating to certain prior years since 2015 recorded in Revenues.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As of December 31, 2024, the Company had approximately $216.7 million in cash and equivalents and restricted cash and $1.569 billion of debt principal outstanding, and no amount drawn on its $500 million Revolving Credit Facility.</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March 14, 2025 to stockholders of record at the close of business on February 28, 2025.</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2025 Earnings Conference Call:</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Management will host a conference call at 8:00 a.m. Eastern Time (ET) on February 6, 2025 to discuss the results of the quarter, provide an update 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xml:space="preserve">, or access the 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webcast replay of the call will be available beginning at 11:00 a.m. ET on February 6, 2025, via the embecta investor relations website and archived on the website for one year.</w:t>
      </w:r>
    </w:p>
    <w:p>
      <w:pPr>
        <w:sectPr>
          <w:pgSz w:w="11900" w:h="16838" w:orient="portrait"/>
          <w:cols w:equalWidth="0" w:num="1">
            <w:col w:w="11240"/>
          </w:cols>
          <w:pgMar w:left="320" w:top="1440" w:right="339" w:bottom="1440" w:gutter="0" w:footer="0" w:header="0"/>
        </w:sectPr>
      </w:pPr>
    </w:p>
    <w:bookmarkStart w:id="7" w:name="page8"/>
    <w:bookmarkEnd w:id="7"/>
    <w:p>
      <w:pPr>
        <w:ind w:left="3540"/>
        <w:spacing w:after="0"/>
        <w:rPr>
          <w:sz w:val="20"/>
          <w:szCs w:val="20"/>
          <w:color w:val="auto"/>
        </w:rPr>
      </w:pPr>
      <w:r>
        <w:rPr>
          <w:rFonts w:ascii="Arial" w:cs="Arial" w:eastAsia="Arial" w:hAnsi="Arial"/>
          <w:sz w:val="18"/>
          <w:szCs w:val="18"/>
          <w:b w:val="1"/>
          <w:bCs w:val="1"/>
          <w:color w:val="auto"/>
        </w:rPr>
        <w:t>Condensed Consolidated Statements of Income</w:t>
      </w:r>
    </w:p>
    <w:p>
      <w:pPr>
        <w:ind w:left="494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7" w:lineRule="exact"/>
        <w:rPr>
          <w:sz w:val="20"/>
          <w:szCs w:val="20"/>
          <w:color w:val="auto"/>
        </w:rPr>
      </w:pPr>
    </w:p>
    <w:p>
      <w:pPr>
        <w:jc w:val="center"/>
        <w:ind w:left="8100"/>
        <w:spacing w:after="0"/>
        <w:rPr>
          <w:sz w:val="20"/>
          <w:szCs w:val="20"/>
          <w:color w:val="auto"/>
        </w:rPr>
      </w:pPr>
      <w:r>
        <w:rPr>
          <w:rFonts w:ascii="Arial" w:cs="Arial" w:eastAsia="Arial" w:hAnsi="Arial"/>
          <w:sz w:val="16"/>
          <w:szCs w:val="16"/>
          <w:b w:val="1"/>
          <w:bCs w:val="1"/>
          <w:color w:val="auto"/>
        </w:rPr>
        <w:t>Three Months Ended</w:t>
      </w:r>
    </w:p>
    <w:p>
      <w:pPr>
        <w:jc w:val="center"/>
        <w:ind w:left="8100"/>
        <w:spacing w:after="0"/>
        <w:rPr>
          <w:sz w:val="20"/>
          <w:szCs w:val="20"/>
          <w:color w:val="auto"/>
        </w:rPr>
      </w:pPr>
      <w:r>
        <w:rPr>
          <w:rFonts w:ascii="Arial" w:cs="Arial" w:eastAsia="Arial" w:hAnsi="Arial"/>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29"/>
        </w:trPr>
        <w:tc>
          <w:tcPr>
            <w:tcW w:w="8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8"/>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185.9</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8"/>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08"/>
        </w:trPr>
        <w:tc>
          <w:tcPr>
            <w:tcW w:w="81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w:t>
            </w:r>
          </w:p>
        </w:tc>
      </w:tr>
      <w:tr>
        <w:trPr>
          <w:trHeight w:val="28"/>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8"/>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8"/>
        </w:trPr>
        <w:tc>
          <w:tcPr>
            <w:tcW w:w="812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8"/>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8"/>
        </w:trPr>
        <w:tc>
          <w:tcPr>
            <w:tcW w:w="8120" w:type="dxa"/>
            <w:vAlign w:val="bottom"/>
          </w:tcPr>
          <w:p>
            <w:pPr>
              <w:ind w:left="106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28"/>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r>
      <w:tr>
        <w:trPr>
          <w:trHeight w:val="215"/>
        </w:trPr>
        <w:tc>
          <w:tcPr>
            <w:tcW w:w="8120" w:type="dxa"/>
            <w:vAlign w:val="bottom"/>
          </w:tcPr>
          <w:p>
            <w:pPr>
              <w:ind w:left="12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0.35</w:t>
            </w:r>
          </w:p>
        </w:tc>
      </w:tr>
    </w:tbl>
    <w:p>
      <w:pPr>
        <w:sectPr>
          <w:pgSz w:w="11900" w:h="16838" w:orient="portrait"/>
          <w:cols w:equalWidth="0" w:num="1">
            <w:col w:w="11180"/>
          </w:cols>
          <w:pgMar w:left="360" w:top="1255" w:right="359" w:bottom="1440" w:gutter="0" w:footer="0" w:header="0"/>
        </w:sectPr>
      </w:pPr>
    </w:p>
    <w:bookmarkStart w:id="8" w:name="page9"/>
    <w:bookmarkEnd w:id="8"/>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15"/>
        </w:trPr>
        <w:tc>
          <w:tcPr>
            <w:tcW w:w="7380" w:type="dxa"/>
            <w:vAlign w:val="bottom"/>
          </w:tcPr>
          <w:p>
            <w:pPr>
              <w:ind w:left="6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receivables, net (net of allowance for doubtful accounts of $2.7 million and $2.8 million</w:t>
            </w:r>
          </w:p>
        </w:tc>
        <w:tc>
          <w:tcPr>
            <w:tcW w:w="16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as of December 31, 2024 and September 30, 2024, respectively)</w:t>
            </w:r>
          </w:p>
        </w:tc>
        <w:tc>
          <w:tcPr>
            <w:tcW w:w="160" w:type="dxa"/>
            <w:vAlign w:val="bottom"/>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Materials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Finished products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Inventories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Prepaid expenses and other</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Assets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Accrued expenses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Contingencies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Authorized - 250,000,000</w:t>
            </w: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Issued and outstanding - 58,131,759 as of December 31, 2024 and 57,707,285 as of</w:t>
            </w: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September 30,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2" w:right="339" w:bottom="1440" w:gutter="0" w:footer="0" w:header="0"/>
        </w:sectPr>
      </w:pPr>
    </w:p>
    <w:bookmarkStart w:id="9" w:name="page10"/>
    <w:bookmarkEnd w:id="9"/>
    <w:p>
      <w:pPr>
        <w:ind w:left="338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6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Three Months Ended</w:t>
      </w:r>
    </w:p>
    <w:p>
      <w:pPr>
        <w:jc w:val="center"/>
        <w:ind w:left="8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10795</wp:posOffset>
            </wp:positionV>
            <wp:extent cx="19373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2"/>
        </w:trPr>
        <w:tc>
          <w:tcPr>
            <w:tcW w:w="81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of property, plant and equipment</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cloud computing arrangements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Trade receivables,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Inventories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Prepaid expenses and other</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Income and other net taxes payable</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8160" w:type="dxa"/>
            <w:vAlign w:val="bottom"/>
          </w:tcPr>
          <w:p>
            <w:pPr>
              <w:ind w:left="940"/>
              <w:spacing w:after="0"/>
              <w:rPr>
                <w:sz w:val="20"/>
                <w:szCs w:val="20"/>
                <w:color w:val="auto"/>
              </w:rPr>
            </w:pPr>
            <w:r>
              <w:rPr>
                <w:rFonts w:ascii="Arial" w:cs="Arial" w:eastAsia="Arial" w:hAnsi="Arial"/>
                <w:sz w:val="16"/>
                <w:szCs w:val="16"/>
                <w:color w:val="auto"/>
              </w:rPr>
              <w:t>Other assets and liabilities,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operating activities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Capital expenditures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long-term debt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finance lease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Dividend payments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Change in Cash and equivalents and restricted cash</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Opening Cash and equivalents and restricted cash</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Closing Cash and equivalents and restricted cash</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12"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38" w:orient="portrait"/>
          <w:cols w:equalWidth="0" w:num="1">
            <w:col w:w="11240"/>
          </w:cols>
          <w:pgMar w:left="320" w:top="1184" w:right="339" w:bottom="1440" w:gutter="0" w:footer="0" w:header="0"/>
        </w:sectPr>
      </w:pPr>
    </w:p>
    <w:bookmarkStart w:id="11" w:name="page12"/>
    <w:bookmarkEnd w:id="11"/>
    <w:p>
      <w:pPr>
        <w:ind w:right="20"/>
        <w:spacing w:after="0" w:line="251" w:lineRule="auto"/>
        <w:rPr>
          <w:sz w:val="20"/>
          <w:szCs w:val="20"/>
          <w:color w:val="auto"/>
        </w:rPr>
      </w:pPr>
      <w:r>
        <w:rPr>
          <w:rFonts w:ascii="Arial" w:cs="Arial" w:eastAsia="Arial" w:hAnsi="Arial"/>
          <w:sz w:val="17"/>
          <w:szCs w:val="17"/>
          <w:color w:val="auto"/>
        </w:rPr>
        <w:t xml:space="preserve">For the three month periods ended December 31, 2024 and 2023, the reconciliation of (1) </w:t>
      </w:r>
      <w:r>
        <w:rPr>
          <w:rFonts w:ascii="Arial" w:cs="Arial" w:eastAsia="Arial" w:hAnsi="Arial"/>
          <w:sz w:val="16"/>
          <w:szCs w:val="16"/>
          <w:color w:val="auto"/>
        </w:rPr>
        <w:t>GAAP Revenues ("Reported Revenues") to Adjusted</w:t>
      </w:r>
      <w:r>
        <w:rPr>
          <w:rFonts w:ascii="Arial" w:cs="Arial" w:eastAsia="Arial" w:hAnsi="Arial"/>
          <w:sz w:val="17"/>
          <w:szCs w:val="17"/>
          <w:color w:val="auto"/>
        </w:rPr>
        <w:t xml:space="preserve"> </w:t>
      </w:r>
      <w:r>
        <w:rPr>
          <w:rFonts w:ascii="Arial" w:cs="Arial" w:eastAsia="Arial" w:hAnsi="Arial"/>
          <w:sz w:val="16"/>
          <w:szCs w:val="16"/>
          <w:color w:val="auto"/>
        </w:rPr>
        <w:t xml:space="preserve">Revenues, and (2) </w:t>
      </w:r>
      <w:r>
        <w:rPr>
          <w:rFonts w:ascii="Arial" w:cs="Arial" w:eastAsia="Arial" w:hAnsi="Arial"/>
          <w:sz w:val="17"/>
          <w:szCs w:val="17"/>
          <w:color w:val="auto"/>
        </w:rPr>
        <w:t>GAAP Net income to EBITDA and Adjusted EBITDA was as follows (unaudited, in millions):</w:t>
      </w:r>
    </w:p>
    <w:p>
      <w:pPr>
        <w:spacing w:after="0" w:line="214"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Three Months Ended</w:t>
      </w:r>
    </w:p>
    <w:p>
      <w:pPr>
        <w:jc w:val="center"/>
        <w:ind w:left="79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10795</wp:posOffset>
            </wp:positionV>
            <wp:extent cx="20745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277.3</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3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277.3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w:t>
            </w:r>
          </w:p>
        </w:tc>
        <w:tc>
          <w:tcPr>
            <w:tcW w:w="0" w:type="dxa"/>
            <w:vAlign w:val="bottom"/>
          </w:tcPr>
          <w:p>
            <w:pPr>
              <w:spacing w:after="0"/>
              <w:rPr>
                <w:sz w:val="1"/>
                <w:szCs w:val="1"/>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8"/>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8"/>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50.8</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(5)</w:t>
            </w:r>
          </w:p>
        </w:tc>
        <w:tc>
          <w:tcPr>
            <w:tcW w:w="3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(6)</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1"/>
                <w:szCs w:val="21"/>
                <w:color w:val="auto"/>
                <w:vertAlign w:val="superscript"/>
              </w:rPr>
              <w:t>(7)</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90.4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32.6 %</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500" w:hanging="388"/>
        <w:spacing w:after="0" w:line="23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months ended December 31, 2024 and 2023, respectively. For the three months ended, December 31, 2024, $7.4 million is recorded in Selling and administrative expense, $0.9 million is recorded in Other operating expenses $0.6 million is recorded in Cost of products sold, and $0.1 million is recorded in Research and development expense. For the three months ended, December 31, 2023, $5.9 million is recorded in Selling and administrative expense, $0.9 million is recorded in Cost of products sold, and $0.6 million is recorded in Research and development expense.</w:t>
      </w:r>
    </w:p>
    <w:p>
      <w:pPr>
        <w:spacing w:after="0" w:line="14" w:lineRule="exact"/>
        <w:rPr>
          <w:rFonts w:ascii="Arial" w:cs="Arial" w:eastAsia="Arial" w:hAnsi="Arial"/>
          <w:sz w:val="14"/>
          <w:szCs w:val="14"/>
          <w:color w:val="auto"/>
        </w:rPr>
      </w:pPr>
    </w:p>
    <w:p>
      <w:pPr>
        <w:jc w:val="both"/>
        <w:ind w:left="500" w:hanging="388"/>
        <w:spacing w:after="0" w:line="225"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December 31, 2024, approximately $10.2 million is recorded in Other operating expenses and $0.2 is recorded in Cost of products sold. For the three months ended December 31, 2023, approximately $26.4 million is recorded in Other operating expenses and $1.9 million is recorded in Selling and administrative expense.</w:t>
      </w:r>
    </w:p>
    <w:p>
      <w:pPr>
        <w:spacing w:after="0" w:line="14" w:lineRule="exact"/>
        <w:rPr>
          <w:rFonts w:ascii="Arial" w:cs="Arial" w:eastAsia="Arial" w:hAnsi="Arial"/>
          <w:sz w:val="14"/>
          <w:szCs w:val="14"/>
          <w:color w:val="auto"/>
        </w:rPr>
      </w:pPr>
    </w:p>
    <w:p>
      <w:pPr>
        <w:jc w:val="both"/>
        <w:ind w:left="500" w:hanging="388"/>
        <w:spacing w:after="0" w:line="23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For the three months ended December 31, 2024, $0.3 million is recorded in Research and development expense and $0.1 million is recorded in Cost of products sold. For the three months ended December 31, 2023, $0.2 million is recorded in is Research and development expense.</w:t>
      </w:r>
    </w:p>
    <w:p>
      <w:pPr>
        <w:spacing w:after="0" w:line="14"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29"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40"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expenses.</w:t>
      </w:r>
    </w:p>
    <w:p>
      <w:pPr>
        <w:spacing w:after="0" w:line="41" w:lineRule="exact"/>
        <w:rPr>
          <w:rFonts w:ascii="Arial" w:cs="Arial" w:eastAsia="Arial" w:hAnsi="Arial"/>
          <w:sz w:val="14"/>
          <w:szCs w:val="14"/>
          <w:color w:val="auto"/>
        </w:rPr>
      </w:pPr>
    </w:p>
    <w:p>
      <w:pPr>
        <w:jc w:val="both"/>
        <w:ind w:left="500" w:hanging="388"/>
        <w:spacing w:after="0" w:line="225"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costs incurred during the three months ended December 31, 2024 associated with the discontinued patch pump program, excluding those program costs classified above within Depreciation and amortization and Stock-based compensation expense. The discontinued patch pump program costs are primarily one-time in nature and represent expenses that we do not view as normal operating expenses necessary to operate our core business. The costs primarily consist of severance-related costs, asset impairments, contract termination costs, and other operating costs. During the three months ended December 31, 2024, $18.0 million is recorded in Research and development expense, $13.4 million is recorded in Other operating expenses, $6.5 million is recorded in Cost of products sold, and $0.5 million is recorded in Selling and administrative expense.</w:t>
      </w:r>
    </w:p>
    <w:p>
      <w:pPr>
        <w:sectPr>
          <w:pgSz w:w="11900" w:h="16838" w:orient="portrait"/>
          <w:cols w:equalWidth="0" w:num="1">
            <w:col w:w="11240"/>
          </w:cols>
          <w:pgMar w:left="320" w:top="1170" w:right="3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7"/>
          <w:szCs w:val="17"/>
          <w:color w:val="auto"/>
        </w:rPr>
        <w:t xml:space="preserve">For the three month periods ended December 31, 2024 and 2023, the reconciliations of </w:t>
      </w:r>
      <w:r>
        <w:rPr>
          <w:rFonts w:ascii="Arial" w:cs="Arial" w:eastAsia="Arial" w:hAnsi="Arial"/>
          <w:sz w:val="16"/>
          <w:szCs w:val="16"/>
          <w:color w:val="auto"/>
        </w:rPr>
        <w:t>(1) GAAP Revenues ("Reported Revenues") to Adjusted</w:t>
      </w:r>
      <w:r>
        <w:rPr>
          <w:rFonts w:ascii="Arial" w:cs="Arial" w:eastAsia="Arial" w:hAnsi="Arial"/>
          <w:sz w:val="17"/>
          <w:szCs w:val="17"/>
          <w:color w:val="auto"/>
        </w:rPr>
        <w:t xml:space="preserve"> </w:t>
      </w:r>
      <w:r>
        <w:rPr>
          <w:rFonts w:ascii="Arial" w:cs="Arial" w:eastAsia="Arial" w:hAnsi="Arial"/>
          <w:sz w:val="16"/>
          <w:szCs w:val="16"/>
          <w:color w:val="auto"/>
        </w:rPr>
        <w:t>Revenues (2) GAAP Gross Profit and Gross Margin to Adjusted Gross Profit and Adjusted Gross Margin, (3) GAAP Operating Income and Operating Margin to Adjusted Operating Income and Adjusted Operating Income Margin and (4) GAAP Net Income Per Diluted Share to Adjusted Net Income Per Diluted Share are as follows (unaudited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346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77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310"/>
        </w:trPr>
        <w:tc>
          <w:tcPr>
            <w:tcW w:w="77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1"/>
        </w:trPr>
        <w:tc>
          <w:tcPr>
            <w:tcW w:w="7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277.3</w:t>
            </w: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112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2"/>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277.3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157.1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185.9</w:t>
            </w:r>
          </w:p>
        </w:tc>
      </w:tr>
      <w:tr>
        <w:trPr>
          <w:trHeight w:val="222"/>
        </w:trPr>
        <w:tc>
          <w:tcPr>
            <w:tcW w:w="77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60.0 %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67.0 %</w:t>
            </w:r>
          </w:p>
        </w:tc>
      </w:tr>
      <w:tr>
        <w:trPr>
          <w:trHeight w:val="21"/>
        </w:trPr>
        <w:tc>
          <w:tcPr>
            <w:tcW w:w="7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r>
      <w:tr>
        <w:trPr>
          <w:trHeight w:val="243"/>
        </w:trPr>
        <w:tc>
          <w:tcPr>
            <w:tcW w:w="774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120" w:type="dxa"/>
            <w:vAlign w:val="bottom"/>
          </w:tcPr>
          <w:p>
            <w:pPr>
              <w:spacing w:after="0"/>
              <w:rPr>
                <w:sz w:val="21"/>
                <w:szCs w:val="21"/>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0.3</w:t>
            </w: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774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120" w:type="dxa"/>
            <w:vAlign w:val="bottom"/>
          </w:tcPr>
          <w:p>
            <w:pPr>
              <w:spacing w:after="0"/>
              <w:rPr>
                <w:sz w:val="21"/>
                <w:szCs w:val="21"/>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1"/>
                <w:szCs w:val="21"/>
                <w:color w:val="auto"/>
                <w:vertAlign w:val="superscript"/>
              </w:rPr>
              <w:t>(4)</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120" w:type="dxa"/>
            <w:vAlign w:val="bottom"/>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119"/>
              <w:spacing w:after="0"/>
              <w:rPr>
                <w:sz w:val="20"/>
                <w:szCs w:val="20"/>
                <w:color w:val="auto"/>
              </w:rPr>
            </w:pPr>
            <w:r>
              <w:rPr>
                <w:rFonts w:ascii="Arial" w:cs="Arial" w:eastAsia="Arial" w:hAnsi="Arial"/>
                <w:sz w:val="16"/>
                <w:szCs w:val="16"/>
                <w:b w:val="1"/>
                <w:bCs w:val="1"/>
                <w:color w:val="auto"/>
              </w:rPr>
              <w:t>164.2</w:t>
            </w:r>
          </w:p>
        </w:tc>
        <w:tc>
          <w:tcPr>
            <w:tcW w:w="10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186.3</w:t>
            </w:r>
          </w:p>
        </w:tc>
      </w:tr>
      <w:tr>
        <w:trPr>
          <w:trHeight w:val="20"/>
        </w:trPr>
        <w:tc>
          <w:tcPr>
            <w:tcW w:w="7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62.7 %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67.2 %</w:t>
            </w:r>
          </w:p>
        </w:tc>
      </w:tr>
      <w:tr>
        <w:trPr>
          <w:trHeight w:val="21"/>
        </w:trPr>
        <w:tc>
          <w:tcPr>
            <w:tcW w:w="77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126" w:lineRule="exact"/>
        <w:rPr>
          <w:sz w:val="20"/>
          <w:szCs w:val="20"/>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One-time stand-up costs incurred are primarily attributed to brand transition.</w:t>
      </w:r>
    </w:p>
    <w:p>
      <w:pPr>
        <w:spacing w:after="0" w:line="29" w:lineRule="exact"/>
        <w:rPr>
          <w:rFonts w:ascii="Arial" w:cs="Arial" w:eastAsia="Arial" w:hAnsi="Arial"/>
          <w:sz w:val="14"/>
          <w:szCs w:val="14"/>
          <w:color w:val="auto"/>
        </w:rPr>
      </w:pPr>
    </w:p>
    <w:p>
      <w:pPr>
        <w:jc w:val="both"/>
        <w:ind w:left="500" w:hanging="388"/>
        <w:spacing w:after="0" w:line="243"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w:t>
      </w:r>
    </w:p>
    <w:p>
      <w:pPr>
        <w:spacing w:after="0" w:line="159" w:lineRule="exact"/>
        <w:rPr>
          <w:rFonts w:ascii="Arial" w:cs="Arial" w:eastAsia="Arial" w:hAnsi="Arial"/>
          <w:sz w:val="14"/>
          <w:szCs w:val="14"/>
          <w:color w:val="auto"/>
        </w:rPr>
      </w:pPr>
    </w:p>
    <w:p>
      <w:pPr>
        <w:jc w:val="both"/>
        <w:ind w:left="500" w:hanging="388"/>
        <w:spacing w:after="0" w:line="242"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incurred during the three months ended December 31, 2024 associated with the discontinued patch pump program. These costs are primarily one-time in nature and represent expenses that we do not view as normal operating expenses necessary to operate our core business. The costs primarily consist of asset impairments and other operating costs.</w:t>
      </w:r>
    </w:p>
    <w:p>
      <w:pPr>
        <w:sectPr>
          <w:pgSz w:w="11900" w:h="16838" w:orient="portrait"/>
          <w:cols w:equalWidth="0" w:num="1">
            <w:col w:w="11240"/>
          </w:cols>
          <w:pgMar w:left="320" w:top="107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346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7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7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45.5</w:t>
            </w:r>
          </w:p>
        </w:tc>
        <w:tc>
          <w:tcPr>
            <w:tcW w:w="0" w:type="dxa"/>
            <w:vAlign w:val="bottom"/>
          </w:tcPr>
          <w:p>
            <w:pPr>
              <w:spacing w:after="0"/>
              <w:rPr>
                <w:sz w:val="1"/>
                <w:szCs w:val="1"/>
                <w:color w:val="auto"/>
              </w:rPr>
            </w:pPr>
          </w:p>
        </w:tc>
      </w:tr>
      <w:tr>
        <w:trPr>
          <w:trHeight w:val="222"/>
        </w:trPr>
        <w:tc>
          <w:tcPr>
            <w:tcW w:w="77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16.4 %</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80" w:type="dxa"/>
            <w:vAlign w:val="bottom"/>
          </w:tcPr>
          <w:p>
            <w:pPr>
              <w:spacing w:after="0"/>
              <w:rPr>
                <w:sz w:val="21"/>
                <w:szCs w:val="21"/>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1080" w:type="dxa"/>
            <w:vAlign w:val="bottom"/>
          </w:tcPr>
          <w:p>
            <w:pPr>
              <w:spacing w:after="0"/>
              <w:rPr>
                <w:sz w:val="21"/>
                <w:szCs w:val="21"/>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1"/>
                <w:szCs w:val="21"/>
                <w:color w:val="auto"/>
                <w:vertAlign w:val="superscript"/>
              </w:rPr>
              <w:t>(7)</w:t>
            </w:r>
          </w:p>
        </w:tc>
        <w:tc>
          <w:tcPr>
            <w:tcW w:w="1080" w:type="dxa"/>
            <w:vAlign w:val="bottom"/>
          </w:tcPr>
          <w:p>
            <w:pPr>
              <w:spacing w:after="0"/>
              <w:rPr>
                <w:sz w:val="21"/>
                <w:szCs w:val="21"/>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77.5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30.7 %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27.9 %</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1080" w:type="dxa"/>
            <w:vAlign w:val="bottom"/>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0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40"/>
              <w:spacing w:after="0"/>
              <w:rPr>
                <w:sz w:val="20"/>
                <w:szCs w:val="20"/>
                <w:color w:val="auto"/>
              </w:rPr>
            </w:pPr>
            <w:r>
              <w:rPr>
                <w:rFonts w:ascii="Arial" w:cs="Arial" w:eastAsia="Arial" w:hAnsi="Arial"/>
                <w:sz w:val="16"/>
                <w:szCs w:val="16"/>
                <w:color w:val="auto"/>
              </w:rPr>
              <w:t>GAAP Income tax benefit</w:t>
            </w:r>
          </w:p>
        </w:tc>
        <w:tc>
          <w:tcPr>
            <w:tcW w:w="108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8"/>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740" w:type="dxa"/>
            <w:vAlign w:val="bottom"/>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80" w:type="dxa"/>
            <w:vAlign w:val="bottom"/>
          </w:tcPr>
          <w:p>
            <w:pPr>
              <w:spacing w:after="0"/>
              <w:rPr>
                <w:sz w:val="21"/>
                <w:szCs w:val="21"/>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7740" w:type="dxa"/>
            <w:vAlign w:val="bottom"/>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1080" w:type="dxa"/>
            <w:vAlign w:val="bottom"/>
          </w:tcPr>
          <w:p>
            <w:pPr>
              <w:spacing w:after="0"/>
              <w:rPr>
                <w:sz w:val="21"/>
                <w:szCs w:val="21"/>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7740" w:type="dxa"/>
            <w:vAlign w:val="bottom"/>
          </w:tcPr>
          <w:p>
            <w:pPr>
              <w:ind w:left="24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(6)</w:t>
            </w:r>
          </w:p>
        </w:tc>
        <w:tc>
          <w:tcPr>
            <w:tcW w:w="108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1"/>
                <w:szCs w:val="21"/>
                <w:color w:val="auto"/>
                <w:vertAlign w:val="superscript"/>
              </w:rPr>
              <w:t>(7)</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1"/>
                <w:szCs w:val="21"/>
                <w:color w:val="auto"/>
                <w:vertAlign w:val="superscript"/>
              </w:rPr>
              <w:t>(8)</w:t>
            </w:r>
          </w:p>
        </w:tc>
        <w:tc>
          <w:tcPr>
            <w:tcW w:w="10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6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35.3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i w:val="1"/>
                <w:iCs w:val="1"/>
                <w:color w:val="auto"/>
                <w:w w:val="89"/>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i w:val="1"/>
                <w:iCs w:val="1"/>
                <w:color w:val="auto"/>
              </w:rPr>
              <w:t>—</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i w:val="1"/>
                <w:i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0.35</w:t>
            </w:r>
          </w:p>
        </w:tc>
        <w:tc>
          <w:tcPr>
            <w:tcW w:w="0" w:type="dxa"/>
            <w:vAlign w:val="bottom"/>
          </w:tcPr>
          <w:p>
            <w:pPr>
              <w:spacing w:after="0"/>
              <w:rPr>
                <w:sz w:val="1"/>
                <w:szCs w:val="1"/>
                <w:color w:val="auto"/>
              </w:rPr>
            </w:pPr>
          </w:p>
        </w:tc>
      </w:tr>
      <w:tr>
        <w:trPr>
          <w:trHeight w:val="222"/>
        </w:trPr>
        <w:tc>
          <w:tcPr>
            <w:tcW w:w="77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1080" w:type="dxa"/>
            <w:vAlign w:val="bottom"/>
          </w:tcPr>
          <w:p>
            <w:pPr>
              <w:jc w:val="right"/>
              <w:ind w:right="899"/>
              <w:spacing w:after="0"/>
              <w:rPr>
                <w:sz w:val="20"/>
                <w:szCs w:val="20"/>
                <w:color w:val="auto"/>
              </w:rPr>
            </w:pPr>
            <w:r>
              <w:rPr>
                <w:rFonts w:ascii="Arial" w:cs="Arial" w:eastAsia="Arial" w:hAnsi="Arial"/>
                <w:sz w:val="16"/>
                <w:szCs w:val="16"/>
                <w:b w:val="1"/>
                <w:bCs w:val="1"/>
                <w:i w:val="1"/>
                <w:iCs w:val="1"/>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0.65</w:t>
            </w:r>
          </w:p>
        </w:tc>
        <w:tc>
          <w:tcPr>
            <w:tcW w:w="10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i w:val="1"/>
                <w:iCs w:val="1"/>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0.61</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7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Basic weighted average number of shares outstanding (in thousands)</w:t>
            </w:r>
          </w:p>
        </w:tc>
        <w:tc>
          <w:tcPr>
            <w:tcW w:w="108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57,952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57,486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10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120"/>
              <w:spacing w:after="0"/>
              <w:rPr>
                <w:sz w:val="20"/>
                <w:szCs w:val="20"/>
                <w:color w:val="auto"/>
              </w:rPr>
            </w:pPr>
            <w:r>
              <w:rPr>
                <w:rFonts w:ascii="Arial" w:cs="Arial" w:eastAsia="Arial" w:hAnsi="Arial"/>
                <w:sz w:val="16"/>
                <w:szCs w:val="16"/>
                <w:color w:val="auto"/>
              </w:rPr>
              <w:t>Stock awards and equity units (share equivalent)</w:t>
            </w:r>
          </w:p>
        </w:tc>
        <w:tc>
          <w:tcPr>
            <w:tcW w:w="108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b w:val="1"/>
                <w:bCs w:val="1"/>
                <w:color w:val="auto"/>
              </w:rPr>
              <w:t>670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146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weighted average shares outstanding (in thousands)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8"/>
              </w:rPr>
              <w:t>58,622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57,632</w:t>
            </w:r>
          </w:p>
        </w:tc>
        <w:tc>
          <w:tcPr>
            <w:tcW w:w="0" w:type="dxa"/>
            <w:vAlign w:val="bottom"/>
          </w:tcPr>
          <w:p>
            <w:pPr>
              <w:spacing w:after="0"/>
              <w:rPr>
                <w:sz w:val="1"/>
                <w:szCs w:val="1"/>
                <w:color w:val="auto"/>
              </w:rPr>
            </w:pPr>
          </w:p>
        </w:tc>
      </w:tr>
      <w:tr>
        <w:trPr>
          <w:trHeight w:val="20"/>
        </w:trPr>
        <w:tc>
          <w:tcPr>
            <w:tcW w:w="77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80" w:hanging="388"/>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jc w:val="both"/>
        <w:ind w:left="480" w:hanging="388"/>
        <w:spacing w:after="0" w:line="225"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December 31, 2024, approximately $10.2 million is recorded in Other operating expenses and $0.2 million is recorded in Cost of products sold. For the three months ended December 31, 2023, approximately $26.4 million is recorded in Other operating expenses and $1.9 million is recorded in Selling and administrative expense.</w:t>
      </w:r>
    </w:p>
    <w:p>
      <w:pPr>
        <w:spacing w:after="0" w:line="14" w:lineRule="exact"/>
        <w:rPr>
          <w:rFonts w:ascii="Arial" w:cs="Arial" w:eastAsia="Arial" w:hAnsi="Arial"/>
          <w:sz w:val="14"/>
          <w:szCs w:val="14"/>
          <w:color w:val="auto"/>
        </w:rPr>
      </w:pPr>
    </w:p>
    <w:p>
      <w:pPr>
        <w:jc w:val="both"/>
        <w:ind w:left="480" w:hanging="388"/>
        <w:spacing w:after="0" w:line="231"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For the three months ended December 31, 2024, $0.3 million is recorded in Research and development expense and $0.1 million is recorded in Cost of products sold. For the three months ended December 31, 2023, $0.2 million is recorded in Research and development expense.</w:t>
      </w:r>
    </w:p>
    <w:p>
      <w:pPr>
        <w:spacing w:after="0" w:line="2" w:lineRule="exact"/>
        <w:rPr>
          <w:rFonts w:ascii="Arial" w:cs="Arial" w:eastAsia="Arial" w:hAnsi="Arial"/>
          <w:sz w:val="14"/>
          <w:szCs w:val="14"/>
          <w:color w:val="auto"/>
        </w:rPr>
      </w:pPr>
    </w:p>
    <w:p>
      <w:pPr>
        <w:jc w:val="both"/>
        <w:ind w:left="480" w:hanging="388"/>
        <w:spacing w:after="0" w:line="231"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Company's separation from BD. For the three months ended December 31, 2024, $1.1 million is recorded in Selling and administrative expense. For the three months ended December 31, 2023, $1.3 million is recorded in Selling and administrative expense.</w:t>
      </w:r>
    </w:p>
    <w:p>
      <w:pPr>
        <w:spacing w:after="0" w:line="13" w:lineRule="exact"/>
        <w:rPr>
          <w:rFonts w:ascii="Arial" w:cs="Arial" w:eastAsia="Arial" w:hAnsi="Arial"/>
          <w:sz w:val="14"/>
          <w:szCs w:val="14"/>
          <w:color w:val="auto"/>
        </w:rPr>
      </w:pPr>
    </w:p>
    <w:p>
      <w:pPr>
        <w:ind w:left="480" w:hanging="388"/>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41" w:lineRule="exact"/>
        <w:rPr>
          <w:rFonts w:ascii="Arial" w:cs="Arial" w:eastAsia="Arial" w:hAnsi="Arial"/>
          <w:sz w:val="14"/>
          <w:szCs w:val="14"/>
          <w:color w:val="auto"/>
        </w:rPr>
      </w:pPr>
    </w:p>
    <w:p>
      <w:pPr>
        <w:ind w:left="480" w:hanging="388"/>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29" w:lineRule="exact"/>
        <w:rPr>
          <w:rFonts w:ascii="Arial" w:cs="Arial" w:eastAsia="Arial" w:hAnsi="Arial"/>
          <w:sz w:val="14"/>
          <w:szCs w:val="14"/>
          <w:color w:val="auto"/>
        </w:rPr>
      </w:pPr>
    </w:p>
    <w:p>
      <w:pPr>
        <w:jc w:val="both"/>
        <w:ind w:left="480" w:hanging="388"/>
        <w:spacing w:after="0" w:line="229"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incurred during the three months ended December 31, 2024 associated with the discontinued patch pump program. These costs are primarily one-time in nature and represent expenses that we do not view as normal operating expenses necessary to operate our core business. The costs primarily consist of severance-related costs, asset impairments, contract termination costs, and other operating costs. During the three months ended December 31, 2024, $18.3 million is recorded in Research and development expense, $14.3 million is recorded in Other operating expenses, $6.5 million is recorded in Cost of products sold, and $0.5 million is recorded in Selling and administrative expense.</w:t>
      </w:r>
    </w:p>
    <w:p>
      <w:pPr>
        <w:sectPr>
          <w:pgSz w:w="11900" w:h="16838" w:orient="portrait"/>
          <w:cols w:equalWidth="0" w:num="1">
            <w:col w:w="11220"/>
          </w:cols>
          <w:pgMar w:left="340" w:top="1265" w:right="339" w:bottom="1440" w:gutter="0" w:footer="0" w:header="0"/>
        </w:sectPr>
      </w:pPr>
    </w:p>
    <w:bookmarkStart w:id="14" w:name="page15"/>
    <w:bookmarkEnd w:id="14"/>
    <w:p>
      <w:pPr>
        <w:jc w:val="both"/>
        <w:ind w:left="388" w:hanging="388"/>
        <w:spacing w:after="0" w:line="243" w:lineRule="auto"/>
        <w:tabs>
          <w:tab w:leader="none" w:pos="384"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the three months ended December 31, 2024 was 25.0%. The non-GAAP effective tax rate for the three months ended December 31, 2023 was 26.0%.</w:t>
      </w:r>
    </w:p>
    <w:p>
      <w:pPr>
        <w:sectPr>
          <w:pgSz w:w="11900" w:h="16838" w:orient="portrait"/>
          <w:cols w:equalWidth="0" w:num="1">
            <w:col w:w="11128"/>
          </w:cols>
          <w:pgMar w:left="432" w:top="10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About Embecta</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embecta is a global diabetes care company that is leveraging its nearly 100-year legacy in insulin delivery to empower people with diabetes to live</w:t>
      </w:r>
    </w:p>
    <w:p>
      <w:pPr>
        <w:spacing w:after="0" w:line="1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 xml:space="preserve">their best life through innovative solutions, partnerships and the passion of approximately 2,000 employees around the globe. For more information, visit </w:t>
      </w:r>
      <w:r>
        <w:rPr>
          <w:rFonts w:ascii="Arial" w:cs="Arial" w:eastAsia="Arial" w:hAnsi="Arial"/>
          <w:sz w:val="17"/>
          <w:szCs w:val="17"/>
          <w:color w:val="2E008B"/>
        </w:rPr>
        <w:t>embecta.com</w:t>
      </w:r>
      <w:r>
        <w:rPr>
          <w:rFonts w:ascii="Arial" w:cs="Arial" w:eastAsia="Arial" w:hAnsi="Arial"/>
          <w:sz w:val="17"/>
          <w:szCs w:val="17"/>
          <w:color w:val="auto"/>
        </w:rPr>
        <w:t xml:space="preserve"> </w:t>
      </w:r>
      <w:r>
        <w:rPr>
          <w:rFonts w:ascii="Arial" w:cs="Arial" w:eastAsia="Arial" w:hAnsi="Arial"/>
          <w:sz w:val="17"/>
          <w:szCs w:val="17"/>
          <w:color w:val="212529"/>
        </w:rPr>
        <w:t>or follow our social channels on</w:t>
      </w:r>
      <w:r>
        <w:rPr>
          <w:rFonts w:ascii="Arial" w:cs="Arial" w:eastAsia="Arial" w:hAnsi="Arial"/>
          <w:sz w:val="17"/>
          <w:szCs w:val="17"/>
          <w:color w:val="auto"/>
        </w:rPr>
        <w:t xml:space="preserve"> </w:t>
      </w:r>
      <w:r>
        <w:rPr>
          <w:rFonts w:ascii="Arial" w:cs="Arial" w:eastAsia="Arial" w:hAnsi="Arial"/>
          <w:sz w:val="17"/>
          <w:szCs w:val="17"/>
          <w:color w:val="2E008B"/>
        </w:rPr>
        <w:t>LinkedIn</w:t>
      </w:r>
      <w:r>
        <w:rPr>
          <w:rFonts w:ascii="Arial" w:cs="Arial" w:eastAsia="Arial" w:hAnsi="Arial"/>
          <w:sz w:val="17"/>
          <w:szCs w:val="17"/>
          <w:color w:val="212529"/>
        </w:rPr>
        <w:t>,</w:t>
      </w:r>
      <w:r>
        <w:rPr>
          <w:rFonts w:ascii="Arial" w:cs="Arial" w:eastAsia="Arial" w:hAnsi="Arial"/>
          <w:sz w:val="17"/>
          <w:szCs w:val="17"/>
          <w:color w:val="auto"/>
        </w:rPr>
        <w:t xml:space="preserve"> </w:t>
      </w:r>
      <w:r>
        <w:rPr>
          <w:rFonts w:ascii="Arial" w:cs="Arial" w:eastAsia="Arial" w:hAnsi="Arial"/>
          <w:sz w:val="17"/>
          <w:szCs w:val="17"/>
          <w:color w:val="2E008B"/>
        </w:rPr>
        <w:t>Facebook</w:t>
      </w:r>
      <w:r>
        <w:rPr>
          <w:rFonts w:ascii="Arial" w:cs="Arial" w:eastAsia="Arial" w:hAnsi="Arial"/>
          <w:sz w:val="17"/>
          <w:szCs w:val="17"/>
          <w:color w:val="212529"/>
        </w:rPr>
        <w:t>, and</w:t>
      </w:r>
      <w:r>
        <w:rPr>
          <w:rFonts w:ascii="Arial" w:cs="Arial" w:eastAsia="Arial" w:hAnsi="Arial"/>
          <w:sz w:val="17"/>
          <w:szCs w:val="17"/>
          <w:color w:val="auto"/>
        </w:rPr>
        <w:t xml:space="preserve"> </w:t>
      </w:r>
      <w:r>
        <w:rPr>
          <w:rFonts w:ascii="Arial" w:cs="Arial" w:eastAsia="Arial" w:hAnsi="Arial"/>
          <w:sz w:val="17"/>
          <w:szCs w:val="17"/>
          <w:color w:val="2E008B"/>
        </w:rPr>
        <w:t>Instagram</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or similar expressions, we are making forward-looking statements. For example, embecta is using forward-looking statements when it discusses its fiscal 2025 financial guidance, timing for completion of the restructuring plan associated with the discontinuation of the insulin patch pump program, brand transition plan timing, our ability to expand in other markets, strengthening our core business, expanding our product portfolio and increasing our financial flexibility.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changes in reimbursement practices of governments or private payers or other cost containment measures; (vii) the adverse financial impact resulting from unfavorable changes in foreign currency exchange rates, as well as regional, national and foreign economic factors, including inflation, deflation, and fluctuations in interest rates; (viii) the impact of changes in U.S. federal laws and policy that could affect fiscal and tax policies, healthcare and international trade, including import and export regulation and international trade agreements; (ix) any new pandemic, or any geopolitical instability, including disruptions in its operations and supply chains; (x) new or changing laws and regulations, or changes in enforcement practices, including laws relating to healthcare, environmental protection, trade, monetary and fiscal policies, taxation and licensing and regulatory requirements for products; (xi) the expected benefits of the separation from BD; (xii) risks associated with embecta’s indebtedness; (xiii) the risk that ongoing dis-synergy costs, costs of restructuring and other costs incurred in connection with the separation from BD will exceed our estimates of these costs; (xiv) the risk that it will be more difficult than expected to effect embecta’s full separation from BD; (xv) expectations related to the costs, profitability, timing and the estimated financial impact of, and charges and savings associated with, the restructuring plan we announced; (xvi) risks associated with not completing strategic collaborative partnerships and acquisitions for innovative technologies, complementary product lines, and new markets; and (xvii)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232" w:lineRule="auto"/>
        <w:rPr>
          <w:sz w:val="20"/>
          <w:szCs w:val="20"/>
          <w:color w:val="auto"/>
        </w:rPr>
      </w:pPr>
      <w:r>
        <w:rPr>
          <w:rFonts w:ascii="Arial" w:cs="Arial" w:eastAsia="Arial" w:hAnsi="Arial"/>
          <w:sz w:val="17"/>
          <w:szCs w:val="17"/>
          <w:b w:val="1"/>
          <w:bCs w:val="1"/>
          <w:color w:val="auto"/>
        </w:rPr>
        <w:t>Investors:</w:t>
      </w:r>
    </w:p>
    <w:p>
      <w:pPr>
        <w:spacing w:after="0" w:line="232" w:lineRule="auto"/>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2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8"/>
          <w:szCs w:val="18"/>
          <w:color w:val="0000FF"/>
        </w:rPr>
        <w:t>Contact IR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22"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8"/>
          <w:szCs w:val="18"/>
          <w:color w:val="0000FF"/>
        </w:rPr>
        <w:t>Contact Media Relations</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a"/>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2025-02-06T06:09:30Z</dcterms:created>
  <dcterms:modified xsi:type="dcterms:W3CDTF">2025-02-06T06:09:30Z</dcterms:modified>
</cp:coreProperties>
</file>