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0" w:lineRule="exact"/>
        <w:rPr>
          <w:sz w:val="24"/>
          <w:szCs w:val="24"/>
          <w:color w:val="auto"/>
        </w:rPr>
      </w:pPr>
    </w:p>
    <w:tbl>
      <w:tblPr>
        <w:tblLayout w:type="fixed"/>
        <w:tblInd w:w="680" w:type="dxa"/>
        <w:tblCellMar>
          <w:top w:w="0" w:type="dxa"/>
          <w:left w:w="0" w:type="dxa"/>
          <w:bottom w:w="0" w:type="dxa"/>
          <w:right w:w="0" w:type="dxa"/>
        </w:tblCellMar>
      </w:tblPr>
      <w:tr>
        <w:trPr>
          <w:trHeight w:val="286"/>
        </w:trPr>
        <w:tc>
          <w:tcPr>
            <w:tcW w:w="3260" w:type="dxa"/>
            <w:vAlign w:val="bottom"/>
          </w:tcPr>
          <w:p>
            <w:pPr>
              <w:spacing w:after="0"/>
              <w:rPr>
                <w:sz w:val="24"/>
                <w:szCs w:val="24"/>
                <w:color w:val="auto"/>
              </w:rPr>
            </w:pPr>
          </w:p>
        </w:tc>
        <w:tc>
          <w:tcPr>
            <w:tcW w:w="4580" w:type="dxa"/>
            <w:vAlign w:val="bottom"/>
            <w:gridSpan w:val="2"/>
          </w:tcPr>
          <w:p>
            <w:pPr>
              <w:jc w:val="center"/>
              <w:ind w:right="120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1440" w:type="dxa"/>
            <w:vAlign w:val="bottom"/>
          </w:tcPr>
          <w:p>
            <w:pPr>
              <w:spacing w:after="0"/>
              <w:rPr>
                <w:sz w:val="24"/>
                <w:szCs w:val="24"/>
                <w:color w:val="auto"/>
              </w:rPr>
            </w:pPr>
          </w:p>
        </w:tc>
      </w:tr>
      <w:tr>
        <w:trPr>
          <w:trHeight w:val="96"/>
        </w:trPr>
        <w:tc>
          <w:tcPr>
            <w:tcW w:w="32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564"/>
        </w:trPr>
        <w:tc>
          <w:tcPr>
            <w:tcW w:w="3260" w:type="dxa"/>
            <w:vAlign w:val="bottom"/>
          </w:tcPr>
          <w:p>
            <w:pPr>
              <w:spacing w:after="0"/>
              <w:rPr>
                <w:sz w:val="24"/>
                <w:szCs w:val="24"/>
                <w:color w:val="auto"/>
              </w:rPr>
            </w:pPr>
          </w:p>
        </w:tc>
        <w:tc>
          <w:tcPr>
            <w:tcW w:w="4580" w:type="dxa"/>
            <w:vAlign w:val="bottom"/>
            <w:gridSpan w:val="2"/>
          </w:tcPr>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1440" w:type="dxa"/>
            <w:vAlign w:val="bottom"/>
          </w:tcPr>
          <w:p>
            <w:pPr>
              <w:spacing w:after="0"/>
              <w:rPr>
                <w:sz w:val="24"/>
                <w:szCs w:val="24"/>
                <w:color w:val="auto"/>
              </w:rPr>
            </w:pPr>
          </w:p>
        </w:tc>
      </w:tr>
      <w:tr>
        <w:trPr>
          <w:trHeight w:val="158"/>
        </w:trPr>
        <w:tc>
          <w:tcPr>
            <w:tcW w:w="3260" w:type="dxa"/>
            <w:vAlign w:val="bottom"/>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556"/>
        </w:trPr>
        <w:tc>
          <w:tcPr>
            <w:tcW w:w="3260" w:type="dxa"/>
            <w:vAlign w:val="bottom"/>
          </w:tcPr>
          <w:p>
            <w:pPr>
              <w:spacing w:after="0"/>
              <w:rPr>
                <w:sz w:val="24"/>
                <w:szCs w:val="24"/>
                <w:color w:val="auto"/>
              </w:rPr>
            </w:pPr>
          </w:p>
        </w:tc>
        <w:tc>
          <w:tcPr>
            <w:tcW w:w="4580" w:type="dxa"/>
            <w:vAlign w:val="bottom"/>
            <w:gridSpan w:val="2"/>
          </w:tcPr>
          <w:p>
            <w:pPr>
              <w:jc w:val="center"/>
              <w:ind w:right="1220"/>
              <w:spacing w:after="0"/>
              <w:rPr>
                <w:sz w:val="20"/>
                <w:szCs w:val="20"/>
                <w:color w:val="auto"/>
              </w:rPr>
            </w:pPr>
            <w:r>
              <w:rPr>
                <w:rFonts w:ascii="Times New Roman" w:cs="Times New Roman" w:eastAsia="Times New Roman" w:hAnsi="Times New Roman"/>
                <w:sz w:val="25"/>
                <w:szCs w:val="25"/>
                <w:b w:val="1"/>
                <w:bCs w:val="1"/>
                <w:color w:val="auto"/>
              </w:rPr>
              <w:t>CURRENT REPORT</w:t>
            </w:r>
          </w:p>
        </w:tc>
        <w:tc>
          <w:tcPr>
            <w:tcW w:w="1440" w:type="dxa"/>
            <w:vAlign w:val="bottom"/>
          </w:tcPr>
          <w:p>
            <w:pPr>
              <w:spacing w:after="0"/>
              <w:rPr>
                <w:sz w:val="24"/>
                <w:szCs w:val="24"/>
                <w:color w:val="auto"/>
              </w:rPr>
            </w:pPr>
          </w:p>
        </w:tc>
      </w:tr>
      <w:tr>
        <w:trPr>
          <w:trHeight w:val="243"/>
        </w:trPr>
        <w:tc>
          <w:tcPr>
            <w:tcW w:w="3260" w:type="dxa"/>
            <w:vAlign w:val="bottom"/>
          </w:tcPr>
          <w:p>
            <w:pPr>
              <w:spacing w:after="0"/>
              <w:rPr>
                <w:sz w:val="21"/>
                <w:szCs w:val="21"/>
                <w:color w:val="auto"/>
              </w:rPr>
            </w:pPr>
          </w:p>
        </w:tc>
        <w:tc>
          <w:tcPr>
            <w:tcW w:w="4580" w:type="dxa"/>
            <w:vAlign w:val="bottom"/>
            <w:gridSpan w:val="2"/>
          </w:tcPr>
          <w:p>
            <w:pPr>
              <w:jc w:val="center"/>
              <w:ind w:right="12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Pursuant to Section 13 or 15(d)</w:t>
            </w:r>
          </w:p>
        </w:tc>
        <w:tc>
          <w:tcPr>
            <w:tcW w:w="1440" w:type="dxa"/>
            <w:vAlign w:val="bottom"/>
          </w:tcPr>
          <w:p>
            <w:pPr>
              <w:spacing w:after="0"/>
              <w:rPr>
                <w:sz w:val="21"/>
                <w:szCs w:val="21"/>
                <w:color w:val="auto"/>
              </w:rPr>
            </w:pPr>
          </w:p>
        </w:tc>
      </w:tr>
      <w:tr>
        <w:trPr>
          <w:trHeight w:val="286"/>
        </w:trPr>
        <w:tc>
          <w:tcPr>
            <w:tcW w:w="7840" w:type="dxa"/>
            <w:vAlign w:val="bottom"/>
            <w:gridSpan w:val="3"/>
          </w:tcPr>
          <w:p>
            <w:pPr>
              <w:jc w:val="center"/>
              <w:ind w:left="1942"/>
              <w:spacing w:after="0"/>
              <w:rPr>
                <w:sz w:val="20"/>
                <w:szCs w:val="20"/>
                <w:color w:val="auto"/>
              </w:rPr>
            </w:pPr>
            <w:r>
              <w:rPr>
                <w:rFonts w:ascii="Times New Roman" w:cs="Times New Roman" w:eastAsia="Times New Roman" w:hAnsi="Times New Roman"/>
                <w:sz w:val="22"/>
                <w:szCs w:val="22"/>
                <w:b w:val="1"/>
                <w:bCs w:val="1"/>
                <w:color w:val="auto"/>
                <w:w w:val="97"/>
              </w:rPr>
              <w:t>of the Securities Exchange Act of 1934</w:t>
            </w:r>
          </w:p>
        </w:tc>
        <w:tc>
          <w:tcPr>
            <w:tcW w:w="1440" w:type="dxa"/>
            <w:vAlign w:val="bottom"/>
          </w:tcPr>
          <w:p>
            <w:pPr>
              <w:spacing w:after="0"/>
              <w:rPr>
                <w:sz w:val="24"/>
                <w:szCs w:val="24"/>
                <w:color w:val="auto"/>
              </w:rPr>
            </w:pPr>
          </w:p>
        </w:tc>
      </w:tr>
      <w:tr>
        <w:trPr>
          <w:trHeight w:val="312"/>
        </w:trPr>
        <w:tc>
          <w:tcPr>
            <w:tcW w:w="78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February 12, 2025</w:t>
            </w:r>
          </w:p>
        </w:tc>
        <w:tc>
          <w:tcPr>
            <w:tcW w:w="1440" w:type="dxa"/>
            <w:vAlign w:val="bottom"/>
          </w:tcPr>
          <w:p>
            <w:pPr>
              <w:spacing w:after="0"/>
              <w:rPr>
                <w:sz w:val="24"/>
                <w:szCs w:val="24"/>
                <w:color w:val="auto"/>
              </w:rPr>
            </w:pPr>
          </w:p>
        </w:tc>
      </w:tr>
      <w:tr>
        <w:trPr>
          <w:trHeight w:val="270"/>
        </w:trPr>
        <w:tc>
          <w:tcPr>
            <w:tcW w:w="3260" w:type="dxa"/>
            <w:vAlign w:val="bottom"/>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592"/>
        </w:trPr>
        <w:tc>
          <w:tcPr>
            <w:tcW w:w="7840" w:type="dxa"/>
            <w:vAlign w:val="bottom"/>
            <w:gridSpan w:val="3"/>
          </w:tcPr>
          <w:p>
            <w:pPr>
              <w:jc w:val="center"/>
              <w:ind w:left="1922"/>
              <w:spacing w:after="0"/>
              <w:rPr>
                <w:sz w:val="20"/>
                <w:szCs w:val="20"/>
                <w:color w:val="auto"/>
              </w:rPr>
            </w:pPr>
            <w:r>
              <w:rPr>
                <w:rFonts w:ascii="Times New Roman" w:cs="Times New Roman" w:eastAsia="Times New Roman" w:hAnsi="Times New Roman"/>
                <w:sz w:val="43"/>
                <w:szCs w:val="43"/>
                <w:b w:val="1"/>
                <w:bCs w:val="1"/>
                <w:color w:val="auto"/>
                <w:w w:val="98"/>
              </w:rPr>
              <w:t>EMBECTA CORP.</w:t>
            </w:r>
          </w:p>
        </w:tc>
        <w:tc>
          <w:tcPr>
            <w:tcW w:w="1440" w:type="dxa"/>
            <w:vAlign w:val="bottom"/>
          </w:tcPr>
          <w:p>
            <w:pPr>
              <w:spacing w:after="0"/>
              <w:rPr>
                <w:sz w:val="24"/>
                <w:szCs w:val="24"/>
                <w:color w:val="auto"/>
              </w:rPr>
            </w:pPr>
          </w:p>
        </w:tc>
      </w:tr>
      <w:tr>
        <w:trPr>
          <w:trHeight w:val="238"/>
        </w:trPr>
        <w:tc>
          <w:tcPr>
            <w:tcW w:w="78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40" w:type="dxa"/>
            <w:vAlign w:val="bottom"/>
          </w:tcPr>
          <w:p>
            <w:pPr>
              <w:spacing w:after="0"/>
              <w:rPr>
                <w:sz w:val="20"/>
                <w:szCs w:val="20"/>
                <w:color w:val="auto"/>
              </w:rPr>
            </w:pPr>
          </w:p>
        </w:tc>
      </w:tr>
      <w:tr>
        <w:trPr>
          <w:trHeight w:val="216"/>
        </w:trPr>
        <w:tc>
          <w:tcPr>
            <w:tcW w:w="32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68"/>
        </w:trPr>
        <w:tc>
          <w:tcPr>
            <w:tcW w:w="3260" w:type="dxa"/>
            <w:vAlign w:val="bottom"/>
          </w:tcPr>
          <w:p>
            <w:pPr>
              <w:spacing w:after="0"/>
              <w:rPr>
                <w:sz w:val="24"/>
                <w:szCs w:val="24"/>
                <w:color w:val="auto"/>
              </w:rPr>
            </w:pPr>
          </w:p>
        </w:tc>
        <w:tc>
          <w:tcPr>
            <w:tcW w:w="45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spacing w:after="0"/>
              <w:rPr>
                <w:sz w:val="24"/>
                <w:szCs w:val="24"/>
                <w:color w:val="auto"/>
              </w:rPr>
            </w:pPr>
          </w:p>
        </w:tc>
      </w:tr>
      <w:tr>
        <w:trPr>
          <w:trHeight w:val="190"/>
        </w:trPr>
        <w:tc>
          <w:tcPr>
            <w:tcW w:w="3260" w:type="dxa"/>
            <w:vAlign w:val="bottom"/>
          </w:tcPr>
          <w:p>
            <w:pPr>
              <w:spacing w:after="0"/>
              <w:rPr>
                <w:sz w:val="16"/>
                <w:szCs w:val="16"/>
                <w:color w:val="auto"/>
              </w:rPr>
            </w:pPr>
          </w:p>
        </w:tc>
        <w:tc>
          <w:tcPr>
            <w:tcW w:w="45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440" w:type="dxa"/>
            <w:vAlign w:val="bottom"/>
          </w:tcPr>
          <w:p>
            <w:pPr>
              <w:spacing w:after="0"/>
              <w:rPr>
                <w:sz w:val="16"/>
                <w:szCs w:val="16"/>
                <w:color w:val="auto"/>
              </w:rPr>
            </w:pPr>
          </w:p>
        </w:tc>
      </w:tr>
      <w:tr>
        <w:trPr>
          <w:trHeight w:val="323"/>
        </w:trPr>
        <w:tc>
          <w:tcPr>
            <w:tcW w:w="3260" w:type="dxa"/>
            <w:vAlign w:val="bottom"/>
          </w:tcPr>
          <w:p>
            <w:pPr>
              <w:jc w:val="center"/>
              <w:ind w:right="802"/>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7840" w:type="dxa"/>
            <w:vAlign w:val="bottom"/>
            <w:gridSpan w:val="3"/>
          </w:tcPr>
          <w:p>
            <w:pPr>
              <w:jc w:val="center"/>
              <w:ind w:right="5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4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7840" w:type="dxa"/>
            <w:vAlign w:val="bottom"/>
            <w:gridSpan w:val="3"/>
          </w:tcPr>
          <w:p>
            <w:pPr>
              <w:jc w:val="center"/>
              <w:ind w:right="546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16"/>
        </w:trPr>
        <w:tc>
          <w:tcPr>
            <w:tcW w:w="7840" w:type="dxa"/>
            <w:vAlign w:val="bottom"/>
            <w:gridSpan w:val="3"/>
          </w:tcPr>
          <w:p>
            <w:pPr>
              <w:jc w:val="center"/>
              <w:ind w:right="5480"/>
              <w:spacing w:after="0"/>
              <w:rPr>
                <w:sz w:val="20"/>
                <w:szCs w:val="20"/>
                <w:color w:val="auto"/>
              </w:rPr>
            </w:pPr>
            <w:r>
              <w:rPr>
                <w:rFonts w:ascii="Times New Roman" w:cs="Times New Roman" w:eastAsia="Times New Roman" w:hAnsi="Times New Roman"/>
                <w:sz w:val="18"/>
                <w:szCs w:val="18"/>
                <w:b w:val="1"/>
                <w:bCs w:val="1"/>
                <w:color w:val="auto"/>
                <w:w w:val="99"/>
              </w:rPr>
              <w:t>Parsippany, New Jersey</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7840" w:type="dxa"/>
            <w:vAlign w:val="bottom"/>
            <w:gridSpan w:val="3"/>
          </w:tcPr>
          <w:p>
            <w:pPr>
              <w:jc w:val="center"/>
              <w:ind w:right="5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r>
      <w:tr>
        <w:trPr>
          <w:trHeight w:val="348"/>
        </w:trPr>
        <w:tc>
          <w:tcPr>
            <w:tcW w:w="7840" w:type="dxa"/>
            <w:vAlign w:val="bottom"/>
            <w:gridSpan w:val="3"/>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(862) 401-0000</w:t>
            </w:r>
          </w:p>
        </w:tc>
        <w:tc>
          <w:tcPr>
            <w:tcW w:w="1440" w:type="dxa"/>
            <w:vAlign w:val="bottom"/>
          </w:tcPr>
          <w:p>
            <w:pPr>
              <w:spacing w:after="0"/>
              <w:rPr>
                <w:sz w:val="24"/>
                <w:szCs w:val="24"/>
                <w:color w:val="auto"/>
              </w:rPr>
            </w:pPr>
          </w:p>
        </w:tc>
      </w:tr>
      <w:tr>
        <w:trPr>
          <w:trHeight w:val="407"/>
        </w:trPr>
        <w:tc>
          <w:tcPr>
            <w:tcW w:w="3260" w:type="dxa"/>
            <w:vAlign w:val="bottom"/>
          </w:tcPr>
          <w:p>
            <w:pPr>
              <w:spacing w:after="0"/>
              <w:rPr>
                <w:sz w:val="24"/>
                <w:szCs w:val="24"/>
                <w:color w:val="auto"/>
              </w:rPr>
            </w:pPr>
          </w:p>
        </w:tc>
        <w:tc>
          <w:tcPr>
            <w:tcW w:w="45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4"/>
                <w:szCs w:val="24"/>
                <w:color w:val="auto"/>
              </w:rPr>
            </w:pPr>
          </w:p>
        </w:tc>
      </w:tr>
      <w:tr>
        <w:trPr>
          <w:trHeight w:val="190"/>
        </w:trPr>
        <w:tc>
          <w:tcPr>
            <w:tcW w:w="7840" w:type="dxa"/>
            <w:vAlign w:val="bottom"/>
            <w:gridSpan w:val="3"/>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160655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bl>
    <w:p>
      <w:pPr>
        <w:spacing w:after="0" w:line="9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Embecta Corp. (“embecta”) held its Annual Meeting of Stockholders on February 12, 2025 (the “2025 Annual Meeting”). The final voting results for each of the matters submitted to a vote of stockholders at the 2025 Annual Meeting are as follows: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 All of the Board of Directors’ Class III nominees for director were elected to serve for a term of one year (until the 2026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1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3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Robert J. Hombach</w:t>
            </w:r>
          </w:p>
        </w:tc>
        <w:tc>
          <w:tcPr>
            <w:tcW w:w="216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48,685,580</w:t>
            </w:r>
          </w:p>
        </w:tc>
        <w:tc>
          <w:tcPr>
            <w:tcW w:w="1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520,342</w:t>
            </w:r>
          </w:p>
        </w:tc>
        <w:tc>
          <w:tcPr>
            <w:tcW w:w="17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32,024</w:t>
            </w:r>
          </w:p>
        </w:tc>
        <w:tc>
          <w:tcPr>
            <w:tcW w:w="21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3,705,024</w:t>
            </w:r>
          </w:p>
        </w:tc>
      </w:tr>
      <w:tr>
        <w:trPr>
          <w:trHeight w:val="243"/>
        </w:trPr>
        <w:tc>
          <w:tcPr>
            <w:tcW w:w="34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Devdatt Kurdikar</w:t>
            </w:r>
          </w:p>
        </w:tc>
        <w:tc>
          <w:tcPr>
            <w:tcW w:w="21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48,918,594</w:t>
            </w:r>
          </w:p>
        </w:tc>
        <w:tc>
          <w:tcPr>
            <w:tcW w:w="1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288,949</w:t>
            </w: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30,403</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3,705,024</w:t>
            </w:r>
          </w:p>
        </w:tc>
      </w:tr>
      <w:tr>
        <w:trPr>
          <w:trHeight w:val="27"/>
        </w:trPr>
        <w:tc>
          <w:tcPr>
            <w:tcW w:w="3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34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David F. Melcher</w:t>
            </w:r>
          </w:p>
        </w:tc>
        <w:tc>
          <w:tcPr>
            <w:tcW w:w="21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48,231,412</w:t>
            </w:r>
          </w:p>
        </w:tc>
        <w:tc>
          <w:tcPr>
            <w:tcW w:w="1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972,241</w:t>
            </w:r>
          </w:p>
        </w:tc>
        <w:tc>
          <w:tcPr>
            <w:tcW w:w="1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34,293</w:t>
            </w:r>
          </w:p>
        </w:tc>
        <w:tc>
          <w:tcPr>
            <w:tcW w:w="21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3,705,024</w:t>
            </w:r>
          </w:p>
        </w:tc>
      </w:tr>
      <w:tr>
        <w:trPr>
          <w:trHeight w:val="27"/>
        </w:trPr>
        <w:tc>
          <w:tcPr>
            <w:tcW w:w="3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appointment of Ernst &amp; Young LLP as embecta’s independent registered public accounting firm for fiscal year 2025 was ratified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by the votes set forth in the table below.</w:t>
      </w:r>
    </w:p>
    <w:p>
      <w:pPr>
        <w:sectPr>
          <w:pgSz w:w="11900" w:h="16838" w:orient="portrait"/>
          <w:cols w:equalWidth="0" w:num="1">
            <w:col w:w="11240"/>
          </w:cols>
          <w:pgMar w:left="320" w:top="792" w:right="339" w:bottom="1440" w:gutter="0" w:footer="0" w:header="0"/>
        </w:sectPr>
      </w:pP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51" w:lineRule="exact"/>
        <w:rPr>
          <w:sz w:val="20"/>
          <w:szCs w:val="20"/>
          <w:color w:val="auto"/>
        </w:rPr>
      </w:pPr>
    </w:p>
    <w:p>
      <w:pPr>
        <w:sectPr>
          <w:pgSz w:w="11900" w:h="16838" w:orient="portrait"/>
          <w:cols w:equalWidth="0" w:num="4">
            <w:col w:w="3160" w:space="720"/>
            <w:col w:w="2120" w:space="720"/>
            <w:col w:w="1700" w:space="720"/>
            <w:col w:w="2100"/>
          </w:cols>
          <w:pgMar w:left="320" w:top="792"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52,811,690</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Times New Roman" w:cs="Times New Roman" w:eastAsia="Times New Roman" w:hAnsi="Times New Roman"/>
          <w:sz w:val="18"/>
          <w:szCs w:val="18"/>
          <w:color w:val="auto"/>
        </w:rPr>
        <w:t>90,619</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8"/>
          <w:szCs w:val="18"/>
          <w:color w:val="auto"/>
        </w:rPr>
        <w:t>40,661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ectPr>
          <w:pgSz w:w="11900" w:h="16838" w:orient="portrait"/>
          <w:cols w:equalWidth="0" w:num="4">
            <w:col w:w="3200" w:space="720"/>
            <w:col w:w="2140" w:space="720"/>
            <w:col w:w="2180" w:space="720"/>
            <w:col w:w="1560"/>
          </w:cols>
          <w:pgMar w:left="320" w:top="792" w:right="339" w:bottom="1440" w:gutter="0" w:footer="0" w:header="0"/>
          <w:type w:val="continuous"/>
        </w:sectPr>
      </w:pPr>
    </w:p>
    <w:p>
      <w:pPr>
        <w:spacing w:after="0" w:line="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approved, on an advisory, non-binding basis, the compensation of embecta’s named executive officers by the votes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0"/>
        </w:trPr>
        <w:tc>
          <w:tcPr>
            <w:tcW w:w="27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47,859,210</w:t>
            </w:r>
          </w:p>
        </w:tc>
        <w:tc>
          <w:tcPr>
            <w:tcW w:w="28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1,318,677</w:t>
            </w:r>
          </w:p>
        </w:tc>
        <w:tc>
          <w:tcPr>
            <w:tcW w:w="26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60,059</w:t>
            </w:r>
          </w:p>
        </w:tc>
        <w:tc>
          <w:tcPr>
            <w:tcW w:w="3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3,705,024</w:t>
            </w:r>
          </w:p>
        </w:tc>
      </w:tr>
      <w:tr>
        <w:trPr>
          <w:trHeight w:val="4907"/>
        </w:trPr>
        <w:tc>
          <w:tcPr>
            <w:tcW w:w="2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454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43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Jeff Mann</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General Counsel &amp; Product</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3023235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79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2025-02-14T15:53:18Z</dcterms:created>
  <dcterms:modified xsi:type="dcterms:W3CDTF">2025-02-14T15:53:18Z</dcterms:modified>
</cp:coreProperties>
</file>