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29082K105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85" w:lineRule="exact"/>
        <w:rPr>
          <w:sz w:val="24"/>
          <w:szCs w:val="24"/>
          <w:color w:val="auto"/>
        </w:rPr>
      </w:pPr>
    </w:p>
    <w:p>
      <w:pPr>
        <w:ind w:left="22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13d-1(b)</w:t>
      </w:r>
    </w:p>
    <w:p>
      <w:pPr>
        <w:spacing w:after="0" w:line="198" w:lineRule="exact"/>
        <w:rPr>
          <w:sz w:val="24"/>
          <w:szCs w:val="24"/>
          <w:color w:val="auto"/>
        </w:rPr>
      </w:pPr>
    </w:p>
    <w:p>
      <w:pPr>
        <w:ind w:left="440" w:hanging="213"/>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85" w:lineRule="exact"/>
        <w:rPr>
          <w:sz w:val="24"/>
          <w:szCs w:val="24"/>
          <w:color w:val="auto"/>
        </w:rPr>
      </w:pPr>
    </w:p>
    <w:p>
      <w:pPr>
        <w:ind w:left="22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13d-1(d)</w:t>
      </w:r>
    </w:p>
    <w:p>
      <w:pPr>
        <w:spacing w:after="0" w:line="198"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3" w:lineRule="exact"/>
        <w:rPr>
          <w:sz w:val="24"/>
          <w:szCs w:val="24"/>
          <w:color w:val="auto"/>
        </w:rPr>
      </w:pPr>
    </w:p>
    <w:p>
      <w:pPr>
        <w:ind w:right="20"/>
        <w:spacing w:after="0" w:line="357" w:lineRule="auto"/>
        <w:rPr>
          <w:sz w:val="20"/>
          <w:szCs w:val="20"/>
          <w:color w:val="auto"/>
        </w:rPr>
      </w:pPr>
      <w:r>
        <w:rPr>
          <w:rFonts w:ascii="Times New Roman" w:cs="Times New Roman" w:eastAsia="Times New Roman" w:hAnsi="Times New Roman"/>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23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29082K105</w:t>
            </w:r>
          </w:p>
        </w:tc>
        <w:tc>
          <w:tcPr>
            <w:tcW w:w="4540" w:type="dxa"/>
            <w:vAlign w:val="bottom"/>
          </w:tcPr>
          <w:p>
            <w:pPr>
              <w:ind w:left="214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104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3" w:lineRule="exact"/>
        <w:rPr>
          <w:sz w:val="20"/>
          <w:szCs w:val="20"/>
          <w:color w:val="auto"/>
        </w:rPr>
      </w:pPr>
    </w:p>
    <w:p>
      <w:pPr>
        <w:ind w:left="680" w:hanging="405"/>
        <w:spacing w:after="0"/>
        <w:tabs>
          <w:tab w:leader="none" w:pos="6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21" w:lineRule="exact"/>
        <w:rPr>
          <w:rFonts w:ascii="Times New Roman" w:cs="Times New Roman" w:eastAsia="Times New Roman" w:hAnsi="Times New Roman"/>
          <w:sz w:val="18"/>
          <w:szCs w:val="18"/>
          <w:b w:val="1"/>
          <w:bCs w:val="1"/>
          <w:color w:val="auto"/>
        </w:rPr>
      </w:pPr>
    </w:p>
    <w:p>
      <w:pPr>
        <w:ind w:left="1000" w:hanging="327"/>
        <w:spacing w:after="0" w:line="231" w:lineRule="auto"/>
        <w:tabs>
          <w:tab w:leader="none" w:pos="1000" w:val="left"/>
        </w:tabs>
        <w:numPr>
          <w:ilvl w:val="1"/>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31" w:lineRule="exact"/>
        <w:rPr>
          <w:sz w:val="20"/>
          <w:szCs w:val="20"/>
          <w:color w:val="auto"/>
        </w:rPr>
      </w:pPr>
    </w:p>
    <w:p>
      <w:pPr>
        <w:ind w:left="680" w:hanging="405"/>
        <w:spacing w:after="0"/>
        <w:tabs>
          <w:tab w:leader="none" w:pos="6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196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60" w:type="dxa"/>
            <w:vAlign w:val="bottom"/>
            <w:tcBorders>
              <w:top w:val="single" w:sz="8" w:color="auto"/>
              <w:bottom w:val="single" w:sz="8" w:color="auto"/>
            </w:tcBorders>
          </w:tcPr>
          <w:p>
            <w:pPr>
              <w:spacing w:after="0"/>
              <w:rPr>
                <w:sz w:val="6"/>
                <w:szCs w:val="6"/>
                <w:color w:val="auto"/>
              </w:rPr>
            </w:pPr>
          </w:p>
        </w:tc>
        <w:tc>
          <w:tcPr>
            <w:tcW w:w="850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196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5</w:t>
            </w:r>
          </w:p>
        </w:tc>
        <w:tc>
          <w:tcPr>
            <w:tcW w:w="8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NUMBER OF</w:t>
            </w:r>
          </w:p>
        </w:tc>
        <w:tc>
          <w:tcPr>
            <w:tcW w:w="760" w:type="dxa"/>
            <w:vAlign w:val="bottom"/>
            <w:tcBorders>
              <w:bottom w:val="single" w:sz="8" w:color="auto"/>
              <w:right w:val="single" w:sz="8" w:color="auto"/>
            </w:tcBorders>
          </w:tcPr>
          <w:p>
            <w:pPr>
              <w:spacing w:after="0"/>
              <w:rPr>
                <w:sz w:val="21"/>
                <w:szCs w:val="21"/>
                <w:color w:val="auto"/>
              </w:rPr>
            </w:pPr>
          </w:p>
        </w:tc>
        <w:tc>
          <w:tcPr>
            <w:tcW w:w="85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196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60" w:type="dxa"/>
            <w:vAlign w:val="bottom"/>
            <w:tcBorders>
              <w:right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6</w:t>
            </w:r>
          </w:p>
        </w:tc>
        <w:tc>
          <w:tcPr>
            <w:tcW w:w="850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9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85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60" w:type="dxa"/>
            <w:vAlign w:val="bottom"/>
            <w:tcBorders>
              <w:right w:val="single" w:sz="8" w:color="auto"/>
            </w:tcBorders>
            <w:vMerge w:val="continue"/>
          </w:tcPr>
          <w:p>
            <w:pPr>
              <w:spacing w:after="0"/>
              <w:rPr>
                <w:sz w:val="8"/>
                <w:szCs w:val="8"/>
                <w:color w:val="auto"/>
              </w:rPr>
            </w:pPr>
          </w:p>
        </w:tc>
        <w:tc>
          <w:tcPr>
            <w:tcW w:w="850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96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3,621,084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760" w:type="dxa"/>
            <w:vAlign w:val="bottom"/>
            <w:tcBorders>
              <w:bottom w:val="single" w:sz="8" w:color="auto"/>
              <w:right w:val="single" w:sz="8" w:color="auto"/>
            </w:tcBorders>
          </w:tcPr>
          <w:p>
            <w:pPr>
              <w:spacing w:after="0"/>
              <w:rPr>
                <w:sz w:val="10"/>
                <w:szCs w:val="10"/>
                <w:color w:val="auto"/>
              </w:rPr>
            </w:pPr>
          </w:p>
        </w:tc>
        <w:tc>
          <w:tcPr>
            <w:tcW w:w="850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96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60" w:type="dxa"/>
            <w:vAlign w:val="bottom"/>
            <w:tcBorders>
              <w:right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7</w:t>
            </w:r>
          </w:p>
        </w:tc>
        <w:tc>
          <w:tcPr>
            <w:tcW w:w="850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196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85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REPORTING</w:t>
            </w:r>
          </w:p>
        </w:tc>
        <w:tc>
          <w:tcPr>
            <w:tcW w:w="760" w:type="dxa"/>
            <w:vAlign w:val="bottom"/>
            <w:tcBorders>
              <w:right w:val="single" w:sz="8" w:color="auto"/>
            </w:tcBorders>
            <w:vMerge w:val="continue"/>
          </w:tcPr>
          <w:p>
            <w:pPr>
              <w:spacing w:after="0"/>
              <w:rPr>
                <w:sz w:val="10"/>
                <w:szCs w:val="10"/>
                <w:color w:val="auto"/>
              </w:rPr>
            </w:pPr>
          </w:p>
        </w:tc>
        <w:tc>
          <w:tcPr>
            <w:tcW w:w="85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960" w:type="dxa"/>
            <w:vAlign w:val="bottom"/>
            <w:tcBorders>
              <w:right w:val="single" w:sz="8" w:color="auto"/>
            </w:tcBorders>
            <w:vMerge w:val="continue"/>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PERSON WITH</w:t>
            </w:r>
          </w:p>
        </w:tc>
        <w:tc>
          <w:tcPr>
            <w:tcW w:w="760" w:type="dxa"/>
            <w:vAlign w:val="bottom"/>
            <w:tcBorders>
              <w:bottom w:val="single" w:sz="8" w:color="auto"/>
              <w:right w:val="single" w:sz="8" w:color="auto"/>
            </w:tcBorders>
          </w:tcPr>
          <w:p>
            <w:pPr>
              <w:spacing w:after="0"/>
              <w:rPr>
                <w:sz w:val="12"/>
                <w:szCs w:val="12"/>
                <w:color w:val="auto"/>
              </w:rPr>
            </w:pPr>
          </w:p>
        </w:tc>
        <w:tc>
          <w:tcPr>
            <w:tcW w:w="850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196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8</w:t>
            </w: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196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vMerge w:val="continue"/>
          </w:tcPr>
          <w:p>
            <w:pPr>
              <w:spacing w:after="0"/>
              <w:rPr>
                <w:sz w:val="14"/>
                <w:szCs w:val="14"/>
                <w:color w:val="auto"/>
              </w:rPr>
            </w:pPr>
          </w:p>
        </w:tc>
        <w:tc>
          <w:tcPr>
            <w:tcW w:w="850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960" w:type="dxa"/>
            <w:vAlign w:val="bottom"/>
            <w:tcBorders>
              <w:bottom w:val="single" w:sz="8" w:color="auto"/>
              <w:right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85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3,621,084</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3,621,084</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Wingdings" w:cs="Wingdings" w:eastAsia="Wingdings" w:hAnsi="Wingdings"/>
          <w:sz w:val="18"/>
          <w:szCs w:val="18"/>
          <w:b w:val="1"/>
          <w:bCs w:val="1"/>
          <w:color w:val="auto"/>
        </w:rPr>
        <w:t>o</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6.3%</w:t>
      </w:r>
    </w:p>
    <w:p>
      <w:pPr>
        <w:spacing w:after="0" w:line="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240"/>
          </w:cols>
          <w:pgMar w:left="320" w:top="54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29082K105</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510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31" w:lineRule="auto"/>
        <w:tabs>
          <w:tab w:leader="none" w:pos="1000" w:val="left"/>
        </w:tabs>
        <w:numPr>
          <w:ilvl w:val="1"/>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45" w:lineRule="exact"/>
        <w:rPr>
          <w:sz w:val="20"/>
          <w:szCs w:val="20"/>
          <w:color w:val="auto"/>
        </w:rPr>
      </w:pPr>
    </w:p>
    <w:p>
      <w:pPr>
        <w:ind w:left="680" w:hanging="405"/>
        <w:spacing w:after="0"/>
        <w:tabs>
          <w:tab w:leader="none" w:pos="6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2680" w:type="dxa"/>
            <w:vAlign w:val="bottom"/>
            <w:tcBorders>
              <w:top w:val="single" w:sz="8" w:color="auto"/>
              <w:bottom w:val="single" w:sz="8" w:color="auto"/>
              <w:right w:val="single" w:sz="8" w:color="auto"/>
            </w:tcBorders>
            <w:shd w:val="clear" w:color="auto" w:fill="000000"/>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78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3,635,948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1"/>
                <w:szCs w:val="11"/>
                <w:color w:val="auto"/>
              </w:rPr>
            </w:pPr>
          </w:p>
        </w:tc>
        <w:tc>
          <w:tcPr>
            <w:tcW w:w="78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3"/>
                <w:szCs w:val="13"/>
                <w:color w:val="auto"/>
              </w:rPr>
            </w:pPr>
          </w:p>
        </w:tc>
        <w:tc>
          <w:tcPr>
            <w:tcW w:w="7840" w:type="dxa"/>
            <w:vAlign w:val="bottom"/>
            <w:tcBorders>
              <w:bottom w:val="single" w:sz="8" w:color="auto"/>
              <w:right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3,635,948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3,635,948</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Wingdings" w:cs="Wingdings" w:eastAsia="Wingdings" w:hAnsi="Wingdings"/>
          <w:sz w:val="18"/>
          <w:szCs w:val="18"/>
          <w:b w:val="1"/>
          <w:bCs w:val="1"/>
          <w:color w:val="auto"/>
        </w:rPr>
        <w:t>o</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6.3%</w:t>
      </w:r>
    </w:p>
    <w:p>
      <w:pPr>
        <w:spacing w:after="0" w:line="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240"/>
          </w:cols>
          <w:pgMar w:left="320" w:top="54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29082K105</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510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31" w:lineRule="auto"/>
        <w:tabs>
          <w:tab w:leader="none" w:pos="1000" w:val="left"/>
        </w:tabs>
        <w:numPr>
          <w:ilvl w:val="1"/>
          <w:numId w:val="6"/>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45" w:lineRule="exact"/>
        <w:rPr>
          <w:sz w:val="20"/>
          <w:szCs w:val="20"/>
          <w:color w:val="auto"/>
        </w:rPr>
      </w:pPr>
    </w:p>
    <w:p>
      <w:pPr>
        <w:ind w:left="680" w:hanging="405"/>
        <w:spacing w:after="0"/>
        <w:tabs>
          <w:tab w:leader="none" w:pos="6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2680" w:type="dxa"/>
            <w:vAlign w:val="bottom"/>
            <w:tcBorders>
              <w:top w:val="single" w:sz="8" w:color="auto"/>
              <w:bottom w:val="single" w:sz="8" w:color="auto"/>
              <w:right w:val="single" w:sz="8" w:color="auto"/>
            </w:tcBorders>
            <w:shd w:val="clear" w:color="auto" w:fill="000000"/>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78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3,635,948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1"/>
                <w:szCs w:val="11"/>
                <w:color w:val="auto"/>
              </w:rPr>
            </w:pPr>
          </w:p>
        </w:tc>
        <w:tc>
          <w:tcPr>
            <w:tcW w:w="78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3"/>
                <w:szCs w:val="13"/>
                <w:color w:val="auto"/>
              </w:rPr>
            </w:pPr>
          </w:p>
        </w:tc>
        <w:tc>
          <w:tcPr>
            <w:tcW w:w="7840" w:type="dxa"/>
            <w:vAlign w:val="bottom"/>
            <w:tcBorders>
              <w:bottom w:val="single" w:sz="8" w:color="auto"/>
              <w:right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3,635,948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3,635,948</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Wingdings" w:cs="Wingdings" w:eastAsia="Wingdings" w:hAnsi="Wingdings"/>
          <w:sz w:val="18"/>
          <w:szCs w:val="18"/>
          <w:b w:val="1"/>
          <w:bCs w:val="1"/>
          <w:color w:val="auto"/>
        </w:rPr>
        <w:t>o</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6.3%</w:t>
      </w:r>
    </w:p>
    <w:p>
      <w:pPr>
        <w:spacing w:after="0" w:line="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240"/>
          </w:cols>
          <w:pgMar w:left="320" w:top="54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29082K105</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512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5121910"/>
                    </a:xfrm>
                    <a:prstGeom prst="rect">
                      <a:avLst/>
                    </a:prstGeom>
                    <a:noFill/>
                  </pic:spPr>
                </pic:pic>
              </a:graphicData>
            </a:graphic>
          </wp:anchor>
        </w:drawing>
      </w:r>
    </w:p>
    <w:p>
      <w:pPr>
        <w:spacing w:after="0" w:line="2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31" w:lineRule="auto"/>
        <w:tabs>
          <w:tab w:leader="none" w:pos="1000" w:val="left"/>
        </w:tabs>
        <w:numPr>
          <w:ilvl w:val="1"/>
          <w:numId w:val="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45" w:lineRule="exact"/>
        <w:rPr>
          <w:sz w:val="20"/>
          <w:szCs w:val="20"/>
          <w:color w:val="auto"/>
        </w:rPr>
      </w:pPr>
    </w:p>
    <w:p>
      <w:pPr>
        <w:ind w:left="680" w:hanging="405"/>
        <w:spacing w:after="0"/>
        <w:tabs>
          <w:tab w:leader="none" w:pos="6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United States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2680" w:type="dxa"/>
            <w:vAlign w:val="bottom"/>
            <w:tcBorders>
              <w:top w:val="single" w:sz="8" w:color="auto"/>
              <w:bottom w:val="single" w:sz="8" w:color="auto"/>
              <w:right w:val="single" w:sz="8" w:color="auto"/>
            </w:tcBorders>
            <w:shd w:val="clear" w:color="auto" w:fill="000000"/>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78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3,635,948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1"/>
                <w:szCs w:val="11"/>
                <w:color w:val="auto"/>
              </w:rPr>
            </w:pPr>
          </w:p>
        </w:tc>
        <w:tc>
          <w:tcPr>
            <w:tcW w:w="78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3"/>
                <w:szCs w:val="13"/>
                <w:color w:val="auto"/>
              </w:rPr>
            </w:pPr>
          </w:p>
        </w:tc>
        <w:tc>
          <w:tcPr>
            <w:tcW w:w="7840" w:type="dxa"/>
            <w:vAlign w:val="bottom"/>
            <w:tcBorders>
              <w:bottom w:val="single" w:sz="8" w:color="auto"/>
              <w:right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3,635,948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3,635,948</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Wingdings" w:cs="Wingdings" w:eastAsia="Wingdings" w:hAnsi="Wingdings"/>
          <w:sz w:val="18"/>
          <w:szCs w:val="18"/>
          <w:b w:val="1"/>
          <w:bCs w:val="1"/>
          <w:color w:val="auto"/>
        </w:rPr>
        <w:t>o</w:t>
      </w:r>
    </w:p>
    <w:p>
      <w:pPr>
        <w:spacing w:after="0" w:line="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6.3%</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w:t>
      </w:r>
    </w:p>
    <w:p>
      <w:pPr>
        <w:sectPr>
          <w:pgSz w:w="11900" w:h="16838" w:orient="portrait"/>
          <w:cols w:equalWidth="0" w:num="1">
            <w:col w:w="11240"/>
          </w:cols>
          <w:pgMar w:left="320" w:top="54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29082K105</w:t>
            </w:r>
          </w:p>
        </w:tc>
        <w:tc>
          <w:tcPr>
            <w:tcW w:w="45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w:t>
      </w:r>
    </w:p>
    <w:p>
      <w:pPr>
        <w:spacing w:after="0" w:line="21" w:lineRule="exact"/>
        <w:rPr>
          <w:sz w:val="20"/>
          <w:szCs w:val="20"/>
          <w:color w:val="auto"/>
        </w:rPr>
      </w:pPr>
    </w:p>
    <w:p>
      <w:pPr>
        <w:jc w:val="both"/>
        <w:ind w:left="1580" w:right="8540" w:hanging="465"/>
        <w:spacing w:after="0" w:line="531" w:lineRule="auto"/>
        <w:tabs>
          <w:tab w:leader="none" w:pos="15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Name of Issuer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6"/>
          <w:szCs w:val="16"/>
          <w:color w:val="auto"/>
        </w:rPr>
        <w:t>Embecta Corp.</w:t>
      </w:r>
    </w:p>
    <w:p>
      <w:pPr>
        <w:ind w:left="1580" w:hanging="465"/>
        <w:spacing w:after="0"/>
        <w:tabs>
          <w:tab w:leader="none" w:pos="1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Issuer’s Principal Executive Offices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300 Kimball Drive, Suite 300</w:t>
      </w:r>
    </w:p>
    <w:p>
      <w:pPr>
        <w:spacing w:after="0" w:line="2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Parsippany, New Jersey 07054</w:t>
      </w:r>
    </w:p>
    <w:p>
      <w:pPr>
        <w:spacing w:after="0" w:line="211" w:lineRule="exact"/>
        <w:rPr>
          <w:sz w:val="20"/>
          <w:szCs w:val="20"/>
          <w:color w:val="auto"/>
        </w:rPr>
      </w:pPr>
    </w:p>
    <w:p>
      <w:pPr>
        <w:spacing w:after="0"/>
        <w:tabs>
          <w:tab w:leader="none" w:pos="1100" w:val="left"/>
          <w:tab w:leader="none" w:pos="1560" w:val="left"/>
        </w:tabs>
        <w:rPr>
          <w:sz w:val="20"/>
          <w:szCs w:val="20"/>
          <w:color w:val="auto"/>
        </w:rPr>
      </w:pPr>
      <w:r>
        <w:rPr>
          <w:rFonts w:ascii="Times New Roman" w:cs="Times New Roman" w:eastAsia="Times New Roman" w:hAnsi="Times New Roman"/>
          <w:sz w:val="18"/>
          <w:szCs w:val="18"/>
          <w:u w:val="single" w:color="auto"/>
          <w:color w:val="auto"/>
        </w:rPr>
        <w:t>Item 2.</w:t>
      </w:r>
      <w:r>
        <w:rPr>
          <w:sz w:val="20"/>
          <w:szCs w:val="20"/>
          <w:color w:val="auto"/>
        </w:rPr>
        <w:tab/>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6"/>
          <w:szCs w:val="16"/>
          <w:u w:val="single" w:color="auto"/>
          <w:color w:val="auto"/>
        </w:rPr>
        <w:t>Name of Person Filing</w:t>
      </w:r>
      <w:r>
        <w:rPr>
          <w:rFonts w:ascii="Times New Roman" w:cs="Times New Roman" w:eastAsia="Times New Roman" w:hAnsi="Times New Roman"/>
          <w:sz w:val="16"/>
          <w:szCs w:val="16"/>
          <w:color w:val="auto"/>
        </w:rPr>
        <w:t>:</w:t>
      </w:r>
    </w:p>
    <w:p>
      <w:pPr>
        <w:spacing w:after="0" w:line="21" w:lineRule="exact"/>
        <w:rPr>
          <w:sz w:val="20"/>
          <w:szCs w:val="20"/>
          <w:color w:val="auto"/>
        </w:rPr>
      </w:pPr>
    </w:p>
    <w:p>
      <w:pPr>
        <w:ind w:left="1580" w:hanging="465"/>
        <w:spacing w:after="0"/>
        <w:tabs>
          <w:tab w:leader="none" w:pos="1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Principal Business Office</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580" w:hanging="465"/>
        <w:spacing w:after="0"/>
        <w:tabs>
          <w:tab w:leader="none" w:pos="1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w:t>
      </w:r>
    </w:p>
    <w:p>
      <w:pPr>
        <w:spacing w:after="0" w:line="212" w:lineRule="exact"/>
        <w:rPr>
          <w:rFonts w:ascii="Times New Roman" w:cs="Times New Roman" w:eastAsia="Times New Roman" w:hAnsi="Times New Roman"/>
          <w:sz w:val="18"/>
          <w:szCs w:val="18"/>
          <w:color w:val="auto"/>
        </w:rPr>
      </w:pPr>
    </w:p>
    <w:p>
      <w:pPr>
        <w:ind w:left="1580" w:right="70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Core Strategies (US) LLC c/o Millennium Management LLC 399 Park Avenue</w:t>
      </w:r>
    </w:p>
    <w:p>
      <w:pPr>
        <w:ind w:left="1580" w:right="764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10022 Citizenship: Delaware</w:t>
      </w:r>
    </w:p>
    <w:p>
      <w:pPr>
        <w:spacing w:after="0" w:line="140" w:lineRule="exact"/>
        <w:rPr>
          <w:rFonts w:ascii="Times New Roman" w:cs="Times New Roman" w:eastAsia="Times New Roman" w:hAnsi="Times New Roman"/>
          <w:sz w:val="18"/>
          <w:szCs w:val="18"/>
          <w:color w:val="auto"/>
        </w:rPr>
      </w:pPr>
    </w:p>
    <w:p>
      <w:pPr>
        <w:ind w:left="1580" w:right="748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Millennium Management LLC 399 Park Avenue</w:t>
      </w:r>
    </w:p>
    <w:p>
      <w:pPr>
        <w:spacing w:after="0" w:line="1" w:lineRule="exact"/>
        <w:rPr>
          <w:rFonts w:ascii="Times New Roman" w:cs="Times New Roman" w:eastAsia="Times New Roman" w:hAnsi="Times New Roman"/>
          <w:sz w:val="18"/>
          <w:szCs w:val="18"/>
          <w:color w:val="auto"/>
        </w:rPr>
      </w:pPr>
    </w:p>
    <w:p>
      <w:pPr>
        <w:ind w:left="1580" w:right="764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10022 Citizenship: Delaware</w:t>
      </w:r>
    </w:p>
    <w:p>
      <w:pPr>
        <w:spacing w:after="0" w:line="140" w:lineRule="exact"/>
        <w:rPr>
          <w:rFonts w:ascii="Times New Roman" w:cs="Times New Roman" w:eastAsia="Times New Roman" w:hAnsi="Times New Roman"/>
          <w:sz w:val="18"/>
          <w:szCs w:val="18"/>
          <w:color w:val="auto"/>
        </w:rPr>
      </w:pPr>
    </w:p>
    <w:p>
      <w:pPr>
        <w:ind w:left="1580" w:right="700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Millennium Group Management LLC 399 Park Avenue</w:t>
      </w:r>
    </w:p>
    <w:p>
      <w:pPr>
        <w:spacing w:after="0" w:line="1" w:lineRule="exact"/>
        <w:rPr>
          <w:rFonts w:ascii="Times New Roman" w:cs="Times New Roman" w:eastAsia="Times New Roman" w:hAnsi="Times New Roman"/>
          <w:sz w:val="18"/>
          <w:szCs w:val="18"/>
          <w:color w:val="auto"/>
        </w:rPr>
      </w:pPr>
    </w:p>
    <w:p>
      <w:pPr>
        <w:ind w:left="1580" w:right="764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10022 Citizenship: Delaware</w:t>
      </w:r>
    </w:p>
    <w:p>
      <w:pPr>
        <w:spacing w:after="0" w:line="140"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 A. Englander</w:t>
      </w:r>
    </w:p>
    <w:p>
      <w:pPr>
        <w:spacing w:after="0" w:line="21" w:lineRule="exact"/>
        <w:rPr>
          <w:rFonts w:ascii="Times New Roman" w:cs="Times New Roman" w:eastAsia="Times New Roman" w:hAnsi="Times New Roman"/>
          <w:sz w:val="18"/>
          <w:szCs w:val="18"/>
          <w:color w:val="auto"/>
        </w:rPr>
      </w:pPr>
    </w:p>
    <w:p>
      <w:pPr>
        <w:ind w:left="1580" w:right="72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Millennium Management LLC 399 Park Avenue</w:t>
      </w:r>
    </w:p>
    <w:p>
      <w:pPr>
        <w:ind w:left="1580" w:right="764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10022 Citizenship: United States</w:t>
      </w:r>
    </w:p>
    <w:p>
      <w:pPr>
        <w:spacing w:after="0" w:line="140" w:lineRule="exact"/>
        <w:rPr>
          <w:rFonts w:ascii="Times New Roman" w:cs="Times New Roman" w:eastAsia="Times New Roman" w:hAnsi="Times New Roman"/>
          <w:sz w:val="18"/>
          <w:szCs w:val="18"/>
          <w:color w:val="auto"/>
        </w:rPr>
      </w:pPr>
    </w:p>
    <w:p>
      <w:pPr>
        <w:ind w:left="1580" w:hanging="465"/>
        <w:spacing w:after="0"/>
        <w:tabs>
          <w:tab w:leader="none" w:pos="1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of Class of Securities</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par value $0.01 per share ("Common Stock")</w:t>
      </w:r>
    </w:p>
    <w:p>
      <w:pPr>
        <w:spacing w:after="0" w:line="252" w:lineRule="exact"/>
        <w:rPr>
          <w:rFonts w:ascii="Times New Roman" w:cs="Times New Roman" w:eastAsia="Times New Roman" w:hAnsi="Times New Roman"/>
          <w:sz w:val="18"/>
          <w:szCs w:val="18"/>
          <w:color w:val="auto"/>
        </w:rPr>
      </w:pPr>
    </w:p>
    <w:p>
      <w:pPr>
        <w:ind w:left="1580" w:right="8480" w:hanging="465"/>
        <w:spacing w:after="0" w:line="639" w:lineRule="auto"/>
        <w:tabs>
          <w:tab w:leader="none" w:pos="1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 xml:space="preserve">CUSIP Number: </w:t>
      </w:r>
      <w:r>
        <w:rPr>
          <w:rFonts w:ascii="Times New Roman" w:cs="Times New Roman" w:eastAsia="Times New Roman" w:hAnsi="Times New Roman"/>
          <w:sz w:val="16"/>
          <w:szCs w:val="16"/>
          <w:color w:val="auto"/>
        </w:rPr>
        <w:t>29082K105</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If this statement is filed pursuant to Rule 13d-1(b), or 13d-2(b), check whether the person filing is a:</w:t>
      </w:r>
    </w:p>
    <w:p>
      <w:pPr>
        <w:spacing w:after="0" w:line="198" w:lineRule="exact"/>
        <w:rPr>
          <w:sz w:val="20"/>
          <w:szCs w:val="20"/>
          <w:color w:val="auto"/>
        </w:rPr>
      </w:pPr>
    </w:p>
    <w:p>
      <w:pPr>
        <w:ind w:left="920" w:hanging="453"/>
        <w:spacing w:after="0"/>
        <w:tabs>
          <w:tab w:leader="none" w:pos="920" w:val="left"/>
        </w:tabs>
        <w:numPr>
          <w:ilvl w:val="0"/>
          <w:numId w:val="1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employee benefit plan or endowment fund in accordance with §240.13d-1(b)(1)(ii)(F);</w:t>
      </w:r>
    </w:p>
    <w:p>
      <w:pPr>
        <w:sectPr>
          <w:pgSz w:w="11900" w:h="16838" w:orient="portrait"/>
          <w:cols w:equalWidth="0" w:num="1">
            <w:col w:w="11240"/>
          </w:cols>
          <w:pgMar w:left="320" w:top="33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29082K105</w:t>
            </w:r>
          </w:p>
        </w:tc>
        <w:tc>
          <w:tcPr>
            <w:tcW w:w="45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98" w:lineRule="exact"/>
        <w:rPr>
          <w:sz w:val="20"/>
          <w:szCs w:val="20"/>
          <w:color w:val="auto"/>
        </w:rPr>
      </w:pPr>
    </w:p>
    <w:p>
      <w:pPr>
        <w:ind w:left="920" w:hanging="453"/>
        <w:spacing w:after="0"/>
        <w:tabs>
          <w:tab w:leader="none" w:pos="92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savings association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360" w:right="380" w:hanging="893"/>
        <w:spacing w:after="0" w:line="275" w:lineRule="auto"/>
        <w:tabs>
          <w:tab w:leader="none" w:pos="928"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1940 (15 U.S.C. 80a-3);</w:t>
      </w:r>
    </w:p>
    <w:p>
      <w:pPr>
        <w:spacing w:after="0" w:line="173"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Group, in accordance with §240.13d-1(b)(1)(ii)(J).</w:t>
      </w: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See response to Item 9 on each cover page.</w:t>
      </w: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See response to Item 11 on each cover page.</w:t>
      </w:r>
    </w:p>
    <w:p>
      <w:pPr>
        <w:spacing w:after="0" w:line="198" w:lineRule="exact"/>
        <w:rPr>
          <w:sz w:val="20"/>
          <w:szCs w:val="20"/>
          <w:color w:val="auto"/>
        </w:rPr>
      </w:pPr>
    </w:p>
    <w:p>
      <w:pPr>
        <w:ind w:left="300" w:hanging="248"/>
        <w:spacing w:after="0"/>
        <w:tabs>
          <w:tab w:leader="none" w:pos="300" w:val="left"/>
        </w:tabs>
        <w:numPr>
          <w:ilvl w:val="0"/>
          <w:numId w:val="1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Number of shares as to which such person has:</w:t>
      </w:r>
    </w:p>
    <w:p>
      <w:pPr>
        <w:spacing w:after="0" w:line="184" w:lineRule="exact"/>
        <w:rPr>
          <w:rFonts w:ascii="Times New Roman" w:cs="Times New Roman" w:eastAsia="Times New Roman" w:hAnsi="Times New Roman"/>
          <w:sz w:val="18"/>
          <w:szCs w:val="18"/>
          <w:u w:val="single" w:color="auto"/>
          <w:color w:val="auto"/>
        </w:rPr>
      </w:pPr>
    </w:p>
    <w:p>
      <w:pPr>
        <w:ind w:left="680" w:right="7540" w:hanging="132"/>
        <w:spacing w:after="0" w:line="568" w:lineRule="auto"/>
        <w:tabs>
          <w:tab w:leader="none" w:pos="758"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vote or to direct the vote See response to Item 5 on each cover page.</w:t>
      </w:r>
    </w:p>
    <w:p>
      <w:pPr>
        <w:sectPr>
          <w:pgSz w:w="11900" w:h="16838" w:orient="portrait"/>
          <w:cols w:equalWidth="0" w:num="1">
            <w:col w:w="11240"/>
          </w:cols>
          <w:pgMar w:left="320" w:top="33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29082K105</w:t>
            </w:r>
          </w:p>
        </w:tc>
        <w:tc>
          <w:tcPr>
            <w:tcW w:w="45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58" w:lineRule="exact"/>
        <w:rPr>
          <w:sz w:val="20"/>
          <w:szCs w:val="20"/>
          <w:color w:val="auto"/>
        </w:rPr>
      </w:pPr>
    </w:p>
    <w:p>
      <w:pPr>
        <w:jc w:val="both"/>
        <w:ind w:left="680" w:right="7520" w:hanging="132"/>
        <w:spacing w:after="0" w:line="519" w:lineRule="auto"/>
        <w:tabs>
          <w:tab w:leader="none" w:pos="80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vote or to direct the vote See response to Item 6 on each cover page.</w:t>
      </w:r>
    </w:p>
    <w:p>
      <w:pPr>
        <w:ind w:left="680" w:right="6760" w:hanging="132"/>
        <w:spacing w:after="0" w:line="453" w:lineRule="auto"/>
        <w:tabs>
          <w:tab w:leader="none" w:pos="8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18"/>
          <w:szCs w:val="18"/>
          <w:color w:val="auto"/>
        </w:rPr>
      </w:pPr>
    </w:p>
    <w:p>
      <w:pPr>
        <w:ind w:left="680" w:right="6600" w:hanging="132"/>
        <w:spacing w:after="0" w:line="461" w:lineRule="auto"/>
        <w:tabs>
          <w:tab w:leader="none" w:pos="8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response to Item 8 on each cover page.</w:t>
      </w:r>
    </w:p>
    <w:p>
      <w:pPr>
        <w:spacing w:after="0" w:line="1" w:lineRule="exact"/>
        <w:rPr>
          <w:sz w:val="20"/>
          <w:szCs w:val="20"/>
          <w:color w:val="auto"/>
        </w:rPr>
      </w:pPr>
    </w:p>
    <w:p>
      <w:pPr>
        <w:jc w:val="both"/>
        <w:ind w:firstLine="134"/>
        <w:spacing w:after="0" w:line="260" w:lineRule="auto"/>
        <w:rPr>
          <w:sz w:val="20"/>
          <w:szCs w:val="20"/>
          <w:color w:val="auto"/>
        </w:rPr>
      </w:pPr>
      <w:r>
        <w:rPr>
          <w:rFonts w:ascii="Times New Roman" w:cs="Times New Roman" w:eastAsia="Times New Roman" w:hAnsi="Times New Roman"/>
          <w:sz w:val="18"/>
          <w:szCs w:val="18"/>
          <w:color w:val="auto"/>
        </w:rPr>
        <w:t>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Ownership of Five Percent or Less of a Class</w:t>
      </w:r>
    </w:p>
    <w:p>
      <w:pPr>
        <w:spacing w:after="0" w:line="185" w:lineRule="exact"/>
        <w:rPr>
          <w:sz w:val="20"/>
          <w:szCs w:val="20"/>
          <w:color w:val="auto"/>
        </w:rPr>
      </w:pPr>
    </w:p>
    <w:p>
      <w:pPr>
        <w:ind w:right="100" w:firstLine="132"/>
        <w:spacing w:after="0" w:line="275"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Ownership of More than Five Percent on Behalf of Another Person.</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7. Identification and Classification of the Subsidiary Which Acquired the Security Being Reported on By the Parent Holding Company.</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8. Identification and Classification of Members of the Group</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See Exhibit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 Notice of Dissolution of Group</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10. Certification</w:t>
      </w:r>
    </w:p>
    <w:p>
      <w:pPr>
        <w:spacing w:after="0" w:line="185" w:lineRule="exact"/>
        <w:rPr>
          <w:sz w:val="20"/>
          <w:szCs w:val="20"/>
          <w:color w:val="auto"/>
        </w:rPr>
      </w:pPr>
    </w:p>
    <w:p>
      <w:pPr>
        <w:jc w:val="both"/>
        <w:ind w:right="20" w:firstLine="140"/>
        <w:spacing w:after="0" w:line="262" w:lineRule="auto"/>
        <w:rPr>
          <w:sz w:val="20"/>
          <w:szCs w:val="20"/>
          <w:color w:val="auto"/>
        </w:rPr>
      </w:pPr>
      <w:r>
        <w:rPr>
          <w:rFonts w:ascii="Times New Roman" w:cs="Times New Roman" w:eastAsia="Times New Roman" w:hAnsi="Times New Roman"/>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33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29082K105</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185" w:lineRule="exact"/>
        <w:rPr>
          <w:sz w:val="20"/>
          <w:szCs w:val="20"/>
          <w:color w:val="auto"/>
        </w:rPr>
      </w:pPr>
    </w:p>
    <w:p>
      <w:pPr>
        <w:ind w:right="740"/>
        <w:spacing w:after="0" w:line="290" w:lineRule="auto"/>
        <w:rPr>
          <w:sz w:val="20"/>
          <w:szCs w:val="20"/>
          <w:color w:val="auto"/>
        </w:rPr>
      </w:pPr>
      <w:r>
        <w:rPr>
          <w:rFonts w:ascii="Times New Roman" w:cs="Times New Roman" w:eastAsia="Times New Roman" w:hAnsi="Times New Roman"/>
          <w:sz w:val="18"/>
          <w:szCs w:val="18"/>
          <w:color w:val="auto"/>
        </w:rPr>
        <w:t>Exhibit I: Joint Filing Agreement, dated as of January 19, 2024, by and among Integrated Core Strategies (US) LLC, Millennium Management LLC, Millennium Group Management LLC and Israel A. Englander.</w:t>
      </w:r>
    </w:p>
    <w:p>
      <w:pPr>
        <w:sectPr>
          <w:pgSz w:w="11900" w:h="16838" w:orient="portrait"/>
          <w:cols w:equalWidth="0" w:num="1">
            <w:col w:w="11240"/>
          </w:cols>
          <w:pgMar w:left="320" w:top="332"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29082K105</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w:t>
            </w:r>
          </w:p>
        </w:tc>
        <w:tc>
          <w:tcPr>
            <w:tcW w:w="86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9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19, 2024</w:t>
      </w:r>
    </w:p>
    <w:p>
      <w:pPr>
        <w:spacing w:after="0" w:line="21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29082K105</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w:t>
            </w:r>
          </w:p>
        </w:tc>
        <w:tc>
          <w:tcPr>
            <w:tcW w:w="86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$0.01 per share, of Embecta Corp.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19, 2024</w:t>
      </w:r>
    </w:p>
    <w:p>
      <w:pPr>
        <w:spacing w:after="0" w:line="2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sectPr>
      <w:pgSz w:w="11900" w:h="16838" w:orient="portrait"/>
      <w:cols w:equalWidth="0" w:num="1">
        <w:col w:w="11240"/>
      </w:cols>
      <w:pgMar w:left="320" w:top="3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2"/>
      <w:numFmt w:val="bullet"/>
      <w:start w:val="1"/>
    </w:lvl>
    <w:lvl w:ilvl="1">
      <w:lvlJc w:val="left"/>
      <w:lvlText w:val="(%2)"/>
      <w:numFmt w:val="lowerLetter"/>
      <w:start w:val="2"/>
    </w:lvl>
  </w:abstractNum>
  <w:abstractNum w:abstractNumId="2">
    <w:nsid w:val="5BD062C2"/>
    <w:multiLevelType w:val="hybridMultilevel"/>
    <w:lvl w:ilvl="0">
      <w:lvlJc w:val="left"/>
      <w:lvlText w:val="3"/>
      <w:numFmt w:val="bullet"/>
      <w:start w:val="1"/>
    </w:lvl>
  </w:abstractNum>
  <w:abstractNum w:abstractNumId="3">
    <w:nsid w:val="12200854"/>
    <w:multiLevelType w:val="hybridMultilevel"/>
    <w:lvl w:ilvl="0">
      <w:lvlJc w:val="left"/>
      <w:lvlText w:val="2"/>
      <w:numFmt w:val="bullet"/>
      <w:start w:val="1"/>
    </w:lvl>
    <w:lvl w:ilvl="1">
      <w:lvlJc w:val="left"/>
      <w:lvlText w:val="(%2)"/>
      <w:numFmt w:val="lowerLetter"/>
      <w:start w:val="2"/>
    </w:lvl>
  </w:abstractNum>
  <w:abstractNum w:abstractNumId="4">
    <w:nsid w:val="4DB127F8"/>
    <w:multiLevelType w:val="hybridMultilevel"/>
    <w:lvl w:ilvl="0">
      <w:lvlJc w:val="left"/>
      <w:lvlText w:val="3"/>
      <w:numFmt w:val="bullet"/>
      <w:start w:val="1"/>
    </w:lvl>
  </w:abstractNum>
  <w:abstractNum w:abstractNumId="5">
    <w:nsid w:val="216231B"/>
    <w:multiLevelType w:val="hybridMultilevel"/>
    <w:lvl w:ilvl="0">
      <w:lvlJc w:val="left"/>
      <w:lvlText w:val="2"/>
      <w:numFmt w:val="bullet"/>
      <w:start w:val="1"/>
    </w:lvl>
    <w:lvl w:ilvl="1">
      <w:lvlJc w:val="left"/>
      <w:lvlText w:val="(%2)"/>
      <w:numFmt w:val="lowerLetter"/>
      <w:start w:val="2"/>
    </w:lvl>
  </w:abstractNum>
  <w:abstractNum w:abstractNumId="6">
    <w:nsid w:val="1F16E9E8"/>
    <w:multiLevelType w:val="hybridMultilevel"/>
    <w:lvl w:ilvl="0">
      <w:lvlJc w:val="left"/>
      <w:lvlText w:val="3"/>
      <w:numFmt w:val="bullet"/>
      <w:start w:val="1"/>
    </w:lvl>
  </w:abstractNum>
  <w:abstractNum w:abstractNumId="7">
    <w:nsid w:val="1190CDE7"/>
    <w:multiLevelType w:val="hybridMultilevel"/>
    <w:lvl w:ilvl="0">
      <w:lvlJc w:val="left"/>
      <w:lvlText w:val="2"/>
      <w:numFmt w:val="bullet"/>
      <w:start w:val="1"/>
    </w:lvl>
    <w:lvl w:ilvl="1">
      <w:lvlJc w:val="left"/>
      <w:lvlText w:val="(%2)"/>
      <w:numFmt w:val="lowerLetter"/>
      <w:start w:val="2"/>
    </w:lvl>
  </w:abstractNum>
  <w:abstractNum w:abstractNumId="8">
    <w:nsid w:val="66EF438D"/>
    <w:multiLevelType w:val="hybridMultilevel"/>
    <w:lvl w:ilvl="0">
      <w:lvlJc w:val="left"/>
      <w:lvlText w:val="3"/>
      <w:numFmt w:val="bullet"/>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2"/>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7"/>
    </w:lvl>
  </w:abstractNum>
  <w:abstractNum w:abstractNumId="13">
    <w:nsid w:val="7FDCC233"/>
    <w:multiLevelType w:val="hybridMultilevel"/>
    <w:lvl w:ilvl="0">
      <w:lvlJc w:val="left"/>
      <w:lvlText w:val="(%1)"/>
      <w:numFmt w:val="lowerLetter"/>
      <w:start w:val="3"/>
    </w:lvl>
    <w:lvl w:ilvl="1">
      <w:lvlJc w:val="left"/>
      <w:lvlText w:val="(%2)"/>
      <w:numFmt w:val="lowerLetter"/>
      <w:start w:val="9"/>
    </w:lvl>
  </w:abstractNum>
  <w:abstractNum w:abstractNumId="14">
    <w:nsid w:val="1BEFD79F"/>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2024-01-22T15:10:15Z</dcterms:created>
  <dcterms:modified xsi:type="dcterms:W3CDTF">2024-01-22T15:10:15Z</dcterms:modified>
</cp:coreProperties>
</file>