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4"/>
          <w:szCs w:val="24"/>
          <w:color w:val="auto"/>
        </w:rPr>
      </w:pPr>
    </w:p>
    <w:p>
      <w:pPr>
        <w:jc w:val="center"/>
        <w:ind w:left="480" w:right="20"/>
        <w:spacing w:after="0" w:line="266" w:lineRule="auto"/>
        <w:rPr>
          <w:sz w:val="20"/>
          <w:szCs w:val="20"/>
          <w:color w:val="auto"/>
        </w:rPr>
      </w:pPr>
      <w:r>
        <w:rPr>
          <w:rFonts w:ascii="Arial" w:cs="Arial" w:eastAsia="Arial" w:hAnsi="Arial"/>
          <w:sz w:val="18"/>
          <w:szCs w:val="18"/>
          <w:b w:val="1"/>
          <w:bCs w:val="1"/>
          <w:color w:val="auto"/>
        </w:rPr>
        <w:t>As confidentially submitted to the Securities and Exchange Commission on September 3, 2021. This draft registration statement has not been publicly filed with the Securities and Exchange Commission and all information herein remains strictly confidential.</w:t>
      </w:r>
    </w:p>
    <w:p>
      <w:pPr>
        <w:spacing w:after="0" w:line="180" w:lineRule="exact"/>
        <w:rPr>
          <w:sz w:val="24"/>
          <w:szCs w:val="24"/>
          <w:color w:val="auto"/>
        </w:rPr>
      </w:pPr>
    </w:p>
    <w:p>
      <w:pPr>
        <w:ind w:left="9500"/>
        <w:spacing w:after="0"/>
        <w:rPr>
          <w:sz w:val="20"/>
          <w:szCs w:val="20"/>
          <w:color w:val="auto"/>
        </w:rPr>
      </w:pPr>
      <w:r>
        <w:rPr>
          <w:rFonts w:ascii="Arial" w:cs="Arial" w:eastAsia="Arial" w:hAnsi="Arial"/>
          <w:sz w:val="18"/>
          <w:szCs w:val="18"/>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 12(b) or (g) of</w:t>
      </w:r>
    </w:p>
    <w:p>
      <w:pPr>
        <w:ind w:left="38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Berra Newco,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87-1583942</w:t>
            </w:r>
          </w:p>
        </w:tc>
      </w:tr>
      <w:tr>
        <w:trPr>
          <w:trHeight w:val="149"/>
        </w:trPr>
        <w:tc>
          <w:tcPr>
            <w:tcW w:w="288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920" w:type="dxa"/>
            <w:vAlign w:val="bottom"/>
          </w:tcPr>
          <w:p>
            <w:pPr>
              <w:jc w:val="center"/>
              <w:ind w:left="27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4"/>
              </w:rPr>
              <w:t>incorporation or organization)</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1, Becton Drive,</w:t>
            </w:r>
          </w:p>
        </w:tc>
        <w:tc>
          <w:tcPr>
            <w:tcW w:w="4920" w:type="dxa"/>
            <w:vAlign w:val="bottom"/>
          </w:tcPr>
          <w:p>
            <w:pPr>
              <w:spacing w:after="0"/>
              <w:rPr>
                <w:sz w:val="24"/>
                <w:szCs w:val="24"/>
                <w:color w:val="auto"/>
              </w:rPr>
            </w:pPr>
          </w:p>
        </w:tc>
      </w:tr>
      <w:tr>
        <w:trPr>
          <w:trHeight w:val="225"/>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Franklin Lakes, New Jersey</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2880" w:type="dxa"/>
            <w:vAlign w:val="bottom"/>
          </w:tcPr>
          <w:p>
            <w:pPr>
              <w:jc w:val="center"/>
              <w:ind w:right="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(Zip code)</w:t>
            </w:r>
          </w:p>
        </w:tc>
      </w:tr>
      <w:tr>
        <w:trPr>
          <w:trHeight w:val="403"/>
        </w:trPr>
        <w:tc>
          <w:tcPr>
            <w:tcW w:w="2880" w:type="dxa"/>
            <w:vAlign w:val="bottom"/>
          </w:tcPr>
          <w:p>
            <w:pPr>
              <w:spacing w:after="0"/>
              <w:rPr>
                <w:sz w:val="24"/>
                <w:szCs w:val="24"/>
                <w:color w:val="auto"/>
              </w:rPr>
            </w:pPr>
          </w:p>
        </w:tc>
        <w:tc>
          <w:tcPr>
            <w:tcW w:w="4920" w:type="dxa"/>
            <w:vAlign w:val="bottom"/>
          </w:tcPr>
          <w:p>
            <w:pPr>
              <w:jc w:val="center"/>
              <w:ind w:right="2761"/>
              <w:spacing w:after="0"/>
              <w:rPr>
                <w:sz w:val="20"/>
                <w:szCs w:val="20"/>
                <w:color w:val="auto"/>
              </w:rPr>
            </w:pPr>
            <w:r>
              <w:rPr>
                <w:rFonts w:ascii="Arial" w:cs="Arial" w:eastAsia="Arial" w:hAnsi="Arial"/>
                <w:sz w:val="18"/>
                <w:szCs w:val="18"/>
                <w:b w:val="1"/>
                <w:bCs w:val="1"/>
                <w:color w:val="auto"/>
                <w:w w:val="90"/>
              </w:rPr>
              <w:t>(201) 847-6800</w:t>
            </w:r>
          </w:p>
        </w:tc>
      </w:tr>
      <w:tr>
        <w:trPr>
          <w:trHeight w:val="230"/>
        </w:trPr>
        <w:tc>
          <w:tcPr>
            <w:tcW w:w="7800" w:type="dxa"/>
            <w:vAlign w:val="bottom"/>
            <w:gridSpan w:val="2"/>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3"/>
              </w:rPr>
              <w:t>Title of Each Class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89"/>
              </w:rPr>
              <w:t>to be so Registered</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0"/>
              </w:rPr>
              <w:t>Each Class is to be 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b w:val="1"/>
          <w:bCs w:val="1"/>
          <w:color w:val="auto"/>
        </w:rPr>
        <w:t>Common Stock</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2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BERRA NEWCO,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r>
        <w:rPr>
          <w:rFonts w:ascii="Arial" w:cs="Arial" w:eastAsia="Arial" w:hAnsi="Arial"/>
          <w:sz w:val="13"/>
          <w:szCs w:val="13"/>
          <w:b w:val="1"/>
          <w:bCs w:val="1"/>
          <w:color w:val="auto"/>
        </w:rPr>
        <w:t>.</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“Management’s Discussion and Analysis of Financial Condition and Results of Operations,” “Business,” “Certain Relationships and Related Party Transactions” and “Where You Can Find More Information.”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“Capitalization,” “Unaudited Pro Forma Condensed Combined Financial Information,” “Selected Historical Combined Financial Data of the Diabetes Care Business” and “Management’s Discussion and Analysis of Financial Condition and Results of Operations,” and “Index to Financial Statements” and the financial statements referenced therein.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r>
        <w:rPr>
          <w:rFonts w:ascii="Arial" w:cs="Arial" w:eastAsia="Arial" w:hAnsi="Arial"/>
          <w:sz w:val="15"/>
          <w:szCs w:val="15"/>
          <w:b w:val="1"/>
          <w:bCs w:val="1"/>
          <w:color w:val="auto"/>
        </w:rPr>
        <w:t>.</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r>
        <w:rPr>
          <w:rFonts w:ascii="Arial" w:cs="Arial" w:eastAsia="Arial" w:hAnsi="Arial"/>
          <w:sz w:val="15"/>
          <w:szCs w:val="15"/>
          <w:b w:val="1"/>
          <w:bCs w:val="1"/>
          <w:color w:val="auto"/>
        </w:rPr>
        <w:t>.</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“Compensation Discussion and Analysis” and “Executive Compensation.” Those sections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r>
        <w:rPr>
          <w:rFonts w:ascii="Arial" w:cs="Arial" w:eastAsia="Arial" w:hAnsi="Arial"/>
          <w:sz w:val="15"/>
          <w:szCs w:val="15"/>
          <w:b w:val="1"/>
          <w:bCs w:val="1"/>
          <w:color w:val="auto"/>
        </w:rPr>
        <w:t>.</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“Dividend Policy,” “Capitalization,” “The Separation and Distribution,” and “Description of Newco Capital Stock.”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Material Indebtedness” and “Description of Newco Capital Stock—Sale of Unregistered Securities.” Those sections are incorporated herein by reference.</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“The Separation and Distribution” and “Description of Newco Capital Stock.”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Newco Capital Stock— Charter and Bylaw Provisions.”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ectPr>
          <w:pgSz w:w="11900" w:h="16838" w:orient="portrait"/>
          <w:cols w:equalWidth="0" w:num="1">
            <w:col w:w="10960"/>
          </w:cols>
          <w:pgMar w:left="440" w:top="270" w:right="49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 Exhibits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Separation and Distribution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Bylaws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Transition Services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Tax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Employee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Berra Newco, Inc. Stock Incentive Plan*</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Form of Employment Agreement with executive officers relating to employment following a change of control of the registrant (with tax</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reimbursement provisions)*</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Form of Employment Agreement with executive officers relating to employment following a change of control of the registrant (without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reimbursement provisions)*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Cannula Supply Agreement by and between Becton, Dickinson and Company and Berra Newco, Inc.*</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Contract Manufacturing Agreement by and between Becton, Dickinson and Company and Berra Newco, Inc. (for Dun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Laoghaire, Ireland, and Suzhou, China)*</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Form of Contract Manufacturing Agreement by and between Becton, Dickinson and Company and Berra Newco, Inc. (for Drogheda,</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Contract Manufacturing Agreement by and between Becton, Dickinson and Company and Berra Newco, Inc. (for BD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SafetyGlide</w:t>
            </w:r>
            <w:r>
              <w:rPr>
                <w:rFonts w:ascii="Arial" w:cs="Arial" w:eastAsia="Arial" w:hAnsi="Arial"/>
                <w:sz w:val="15"/>
                <w:szCs w:val="15"/>
                <w:color w:val="auto"/>
              </w:rPr>
              <w:t>™</w:t>
            </w:r>
            <w:r>
              <w:rPr>
                <w:rFonts w:ascii="Arial" w:cs="Arial" w:eastAsia="Arial" w:hAnsi="Arial"/>
                <w:sz w:val="18"/>
                <w:szCs w:val="18"/>
                <w:color w:val="auto"/>
              </w:rPr>
              <w:t xml:space="preserve"> products)*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Lease Agreement for Holdrege, Nebraska*</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Intellectual Property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List of Subsidiaries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Information Statement of Berra Newco, Inc., preliminary and subject to completion, dated July 15,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024"/>
          </w:cols>
          <w:pgMar w:left="436" w:top="270"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BERRA NEWCO,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Devdatt (Dev) Kurdikar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2021</w:t>
      </w:r>
    </w:p>
    <w:p>
      <w:pPr>
        <w:sectPr>
          <w:pgSz w:w="11900" w:h="16838" w:orient="portrait"/>
          <w:cols w:equalWidth="0" w:num="1">
            <w:col w:w="10900"/>
          </w:cols>
          <w:pgMar w:left="440" w:top="270"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Becton, Dickinson and Company (“BD”) Shareholder:</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May 2021, BD announced its plan to separate its diabetes care business into an independent public company. The separation will occur through a distribution by BD of all of the outstanding shares of a newly formed company, Berra Newco, Inc. (“Newco”), which will hold BD’s diabetes care business.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separation will better position the diabetes care business and BD’s remaining businesses for long-term growth and success. The diabetes care business and BD’s remaining businesses have distinct business profiles, and the separation will allow Newco and BD to better allocate resources and deploy capital in line with the distinct growth and cash flow profiles of these businesses. BD’s decision to pursue the separation demonstrates its strong ongoing commitment to the BD 2025 strategy, which includes its three strategic pillars of Grow, Simplify and Empower. We expect the separation will allow BD to strengthen its growth profile, enables a greater investment focus on its other core businesses and high-growth opportunities, and make a greater impact for its customers and patients.</w:t>
      </w:r>
    </w:p>
    <w:p>
      <w:pPr>
        <w:spacing w:after="0" w:line="1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Upon completion of the separation, each BD shareholder as of , the record date for the distribution, will receive shares of Newco common stock for every share of BD common stock held as of the close of business on the record date. Newco common stock will be issued in book-entry form only, which means that no physical share certificates will be issued. For U.S. federal income tax purposes, the distribution is intended to be tax-free to BD shareholders (other than any cash that BD shareholders receive in lieu of fractional shares).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You do not need to take any action to receive shares of Newco common stock to which you are entitled as a BD shareholder, and you do not need to pay any consideration or surrender or exchange your BD common stock or take any other action to receive your shares of Newco common stock.</w:t>
      </w:r>
    </w:p>
    <w:p>
      <w:pPr>
        <w:spacing w:after="0" w:line="184"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Newco intends to apply to have its common stock authorized for listing on the under the symbol “ .” Following the distribution, BD common stock will continue to trade on the New York Stock Exchange under the symbol “BDX”</w:t>
      </w:r>
    </w:p>
    <w:p>
      <w:pPr>
        <w:spacing w:after="0" w:line="170"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We encourage you to read the attached information statement, which is being made available to BD shareholders as of the record date for the distribution. The information statement describes the distribution in detail and contains important business and financial information about Newco.</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the separation provides tremendous opportunities for our businesses, as we work to continue to build long-term value. We appreciate your continuing support of BD and look forward to your future support of BD and Newco.</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Becton, Dickinson and Company</w:t>
      </w:r>
    </w:p>
    <w:p>
      <w:pPr>
        <w:sectPr>
          <w:pgSz w:w="11900" w:h="16838" w:orient="portrait"/>
          <w:cols w:equalWidth="0" w:num="1">
            <w:col w:w="11140"/>
          </w:cols>
          <w:pgMar w:left="320" w:top="122"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[Berra Newco, Inc. Logo]</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Future Shareholder of Berra Newco, Inc.:</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 am excited to welcome you as a future shareholder of Berra Newco, Inc. (“Newco”). Newco will hold BD’s diabetes care business, which includes the manufacturing and sale of syringes, pen needles and other products related to the injection or infusion of insulin and other drugs used in the treatment of diabetes.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pure-play company, we believe we will be attractively positioned to:</w:t>
      </w:r>
    </w:p>
    <w:p>
      <w:pPr>
        <w:spacing w:after="0" w:line="131" w:lineRule="exact"/>
        <w:rPr>
          <w:sz w:val="20"/>
          <w:szCs w:val="20"/>
          <w:color w:val="auto"/>
        </w:rPr>
      </w:pPr>
    </w:p>
    <w:p>
      <w:pPr>
        <w:ind w:left="1080" w:right="54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 our proven success and global reach as one of the most well-known franchises in pen needles, insulin syringes and insulin injection safety products among people with diabetes and healthcare professionals around the world;</w:t>
      </w:r>
    </w:p>
    <w:p>
      <w:pPr>
        <w:spacing w:after="0" w:line="51"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our manufacturing proficiency, distribution network and global commercial team to provide reliable and consistent supply of our products to our end-user customers, including in high-growth regions;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 in next-generation products to be used in the treatment and management of diabetes;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pursue strategic innovation and acquisition opportunities that will enable us to accelerate our growth;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 and retain key talent and create a strong culture focused on best serving the needs of people with diabetes globally.</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Although Newco will be a new, publicly traded company, its diabetes care business has an over 95-year history, starting when BD introduced the world’s first specialized insulin syringe in 1924. Since then, the diabetes care business has played a significant role in driving the adoption of insulin syringes and insulin pens combined with pen needles as the leading modality for insulin administration. Today, the diabetes care business is the leading producer of diabetes injection devices, producing approximately 7.5 billion units of injection devices annually and serving an estimated 30 million patients worldwide—more than any other company in the world.</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vision for the future is clear. We intend to build innovative solutions and focus on improving care for people with diabetes. We plan to generate strong cash flow and maintain a capital structure that would allow for organic and inorganic growth opportunities, providing the best outcomes for our shareholders. We will strive to attract and retain superior talent to ensure operational excellence and accelerate growth. We look forward to our future as an independent, publicly traded company and to your support as a holder of Newco common stock.</w:t>
      </w:r>
    </w:p>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Devdatt (Dev) Kurdikar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Berra Newco, Inc.</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FF4338"/>
        </w:rPr>
        <w:t>Information contained herein is subject to completion or amendment. A Registration Statement on Form 10 relating to these securities has been confidentially submitted to the U.S. Securities and Exchange Commission under the U.S. Securities Exchange Act of 1934, as amended.</w:t>
      </w:r>
    </w:p>
    <w:p>
      <w:pPr>
        <w:spacing w:after="0" w:line="3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Preliminary and Subject to Completion, Dated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Berra Newco,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254635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This information statement is being furnished in connection with the distribution by Becton, Dickinson and Company (“BD”) to its shareholders of all of the outstanding shares of common stock of Berra Newco, Inc. (“Newco”), a wholly owned subsidiary of BD that will hold BD’s diabetes care business. To implement the separation, BD will contribute to Newco certain of the assets and liabilities associated with BD’s diabetes care business and then distribute all of the shares of Newco common stock on a pro rata basis to BD shareholders in a distribution that is intended to qualify as tax-free to the BD shareholders for U.S. federal income tax purposes (other than any cash that BD shareholders receive in lieu of fractional shares). Following the distribution, Newco will be an independent public company.</w:t>
      </w:r>
    </w:p>
    <w:p>
      <w:pPr>
        <w:spacing w:after="0" w:line="178"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For every share of common stock of BD held of record by you as of the close of business on , which is the record date for the distribution, you will receive shares of Newco common stock. You will receive cash in lieu of any fractional shares of Newco common stock</w:t>
      </w:r>
    </w:p>
    <w:p>
      <w:pPr>
        <w:jc w:val="both"/>
        <w:ind w:left="120" w:right="220"/>
        <w:spacing w:after="0" w:line="187" w:lineRule="auto"/>
        <w:rPr>
          <w:sz w:val="20"/>
          <w:szCs w:val="20"/>
          <w:color w:val="auto"/>
        </w:rPr>
      </w:pPr>
      <w:r>
        <w:rPr>
          <w:rFonts w:ascii="Arial" w:cs="Arial" w:eastAsia="Arial" w:hAnsi="Arial"/>
          <w:sz w:val="16"/>
          <w:szCs w:val="16"/>
          <w:color w:val="auto"/>
        </w:rPr>
        <w:t>that you would have received after application of the above ratio. As discussed under “The Separation and Distribution—Trading Between the Record Date and Distribution Date,” if you sell your shares of BD common stock in the “regular-way” market after the record date and before the distribution date, you also will be selling your right to receive shares of Newco common stock in connection with the distribution. We expect the shares of Newco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common stock to be distributed by BD to you at 12:01 a.m., Eastern Time, on . We refer to the date of the distribution of the Newco common stock as the “distribution date.”</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Until the separation and distribution occur, Newco will be a wholly owned subsidiary of BD, and consequently, BD will have the sole and absolute discretion to determine and change the terms of the separation (or to terminate the separation).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Therefore, you are not being asked for a proxy, and you are requested not to send BD a proxy, in connection with the distribution. You do not need to pay any consideration, exchange or surrender your existing shares of BD common stock or take any other action to receive your shares of Newco common stock.</w:t>
      </w:r>
    </w:p>
    <w:p>
      <w:pPr>
        <w:spacing w:after="0" w:line="184"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There is no current trading market for Newco common stock, although we expect that a limited market, commonly known as a “when-issued” trading market, will develop on or shortly before the record date for the distribution, and we expect “regular-way” trading of Newco common stock to</w:t>
      </w:r>
    </w:p>
    <w:p>
      <w:pPr>
        <w:ind w:left="120" w:right="20"/>
        <w:spacing w:after="0" w:line="255" w:lineRule="auto"/>
        <w:rPr>
          <w:sz w:val="20"/>
          <w:szCs w:val="20"/>
          <w:color w:val="auto"/>
        </w:rPr>
      </w:pPr>
      <w:r>
        <w:rPr>
          <w:rFonts w:ascii="Arial" w:cs="Arial" w:eastAsia="Arial" w:hAnsi="Arial"/>
          <w:sz w:val="18"/>
          <w:szCs w:val="18"/>
          <w:color w:val="auto"/>
        </w:rPr>
        <w:t>begin on the first trading day following the completion of the distribution. Newco intends to apply to have its common stock listed on under the symbol “ .” Following the distribution, BD common stock will continue to trade on the New York Stock Exchange (“NYSE”) under the symbol “BDX.”</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reviewing this information statement, you should carefully consider the matters described under the section entitled “Risk Factors.”</w:t>
      </w:r>
    </w:p>
    <w:p>
      <w:pPr>
        <w:spacing w:after="0" w:line="248" w:lineRule="exact"/>
        <w:rPr>
          <w:sz w:val="20"/>
          <w:szCs w:val="20"/>
          <w:color w:val="auto"/>
        </w:rPr>
      </w:pPr>
    </w:p>
    <w:p>
      <w:pPr>
        <w:ind w:left="120" w:right="20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The date of this information statement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34" w:lineRule="exact"/>
        <w:rPr>
          <w:sz w:val="20"/>
          <w:szCs w:val="20"/>
          <w:color w:val="auto"/>
        </w:rPr>
      </w:pPr>
    </w:p>
    <w:p>
      <w:pPr>
        <w:sectPr>
          <w:pgSz w:w="11900" w:h="16838" w:orient="portrait"/>
          <w:cols w:equalWidth="0" w:num="2">
            <w:col w:w="6800" w:space="720"/>
            <w:col w:w="3620"/>
          </w:cols>
          <w:pgMar w:left="320" w:top="459" w:right="439" w:bottom="1440" w:gutter="0" w:footer="0" w:header="0"/>
          <w:type w:val="continuous"/>
        </w:sectPr>
      </w:pPr>
    </w:p>
    <w:p>
      <w:pPr>
        <w:spacing w:after="0" w:line="52" w:lineRule="exact"/>
        <w:rPr>
          <w:sz w:val="20"/>
          <w:szCs w:val="20"/>
          <w:color w:val="auto"/>
        </w:rPr>
      </w:pPr>
    </w:p>
    <w:p>
      <w:pPr>
        <w:jc w:val="center"/>
        <w:ind w:left="180" w:right="60"/>
        <w:spacing w:after="0" w:line="277" w:lineRule="auto"/>
        <w:rPr>
          <w:sz w:val="20"/>
          <w:szCs w:val="20"/>
          <w:color w:val="auto"/>
        </w:rPr>
      </w:pPr>
      <w:r>
        <w:rPr>
          <w:rFonts w:ascii="Arial" w:cs="Arial" w:eastAsia="Arial" w:hAnsi="Arial"/>
          <w:sz w:val="18"/>
          <w:szCs w:val="18"/>
          <w:color w:val="auto"/>
        </w:rPr>
        <w:t>This information statement will be made publicly available on or about        . Notice of this information statement’s availability will be first sent to BD shareholders on or about        .</w:t>
      </w:r>
    </w:p>
    <w:p>
      <w:pPr>
        <w:sectPr>
          <w:pgSz w:w="11900" w:h="16838" w:orient="portrait"/>
          <w:cols w:equalWidth="0" w:num="1">
            <w:col w:w="11140"/>
          </w:cols>
          <w:pgMar w:left="320" w:top="459"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700" w:type="dxa"/>
            <w:vAlign w:val="bottom"/>
            <w:gridSpan w:val="2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4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w w:val="90"/>
              </w:rPr>
              <w:t>Confidential Treatment Requested by Berra Newco, Inc.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4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89"/>
              </w:rPr>
              <w:t>pursuant to 17 C.F.R. Section 200.83</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0580" w:type="dxa"/>
            <w:vAlign w:val="bottom"/>
            <w:gridSpan w:val="21"/>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Separation and Distribution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580" w:type="dxa"/>
            <w:vAlign w:val="bottom"/>
            <w:gridSpan w:val="21"/>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Information Statement Summary</w:t>
              </w:r>
            </w:hyperlink>
          </w:p>
        </w:tc>
        <w:tc>
          <w:tcPr>
            <w:tcW w:w="610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220" w:type="dxa"/>
            <w:vAlign w:val="bottom"/>
            <w:gridSpan w:val="1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Cautionary Note Regarding 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The Separation and Distribution</w:t>
              </w:r>
            </w:hyperlink>
          </w:p>
        </w:tc>
        <w:tc>
          <w:tcPr>
            <w:tcW w:w="644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Dividend Policy</w:t>
              </w:r>
            </w:hyperlink>
          </w:p>
        </w:tc>
        <w:tc>
          <w:tcPr>
            <w:tcW w:w="1120" w:type="dxa"/>
            <w:vAlign w:val="bottom"/>
            <w:tcBorders>
              <w:top w:val="single" w:sz="8" w:color="0000EE"/>
            </w:tcBorders>
            <w:gridSpan w:val="3"/>
          </w:tcPr>
          <w:p>
            <w:pPr>
              <w:spacing w:after="0"/>
              <w:rPr>
                <w:sz w:val="17"/>
                <w:szCs w:val="17"/>
                <w:color w:val="auto"/>
              </w:rPr>
            </w:pPr>
          </w:p>
        </w:tc>
        <w:tc>
          <w:tcPr>
            <w:tcW w:w="828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Selected Historical Combined Financial Data of the Diabetes Care Business</w:t>
              </w:r>
            </w:hyperlink>
          </w:p>
        </w:tc>
        <w:tc>
          <w:tcPr>
            <w:tcW w:w="51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Unaudited Pro Forma Condensed Combined Financial Information</w:t>
              </w:r>
            </w:hyperlink>
          </w:p>
        </w:tc>
        <w:tc>
          <w:tcPr>
            <w:tcW w:w="576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Our Business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Management</w:t>
              </w:r>
            </w:hyperlink>
          </w:p>
        </w:tc>
        <w:tc>
          <w:tcPr>
            <w:tcW w:w="962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Compensation Discussion and Analysis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Newco Stock Incentive Plan</w:t>
              </w:r>
            </w:hyperlink>
          </w:p>
        </w:tc>
        <w:tc>
          <w:tcPr>
            <w:tcW w:w="800" w:type="dxa"/>
            <w:vAlign w:val="bottom"/>
            <w:tcBorders>
              <w:top w:val="single" w:sz="8" w:color="0000EE"/>
            </w:tcBorders>
            <w:gridSpan w:val="4"/>
          </w:tcPr>
          <w:p>
            <w:pPr>
              <w:spacing w:after="0"/>
              <w:rPr>
                <w:sz w:val="17"/>
                <w:szCs w:val="17"/>
                <w:color w:val="auto"/>
              </w:rPr>
            </w:pPr>
          </w:p>
        </w:tc>
        <w:tc>
          <w:tcPr>
            <w:tcW w:w="774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Certain Relationships and Related Party Transactions</w:t>
              </w:r>
            </w:hyperlink>
          </w:p>
        </w:tc>
        <w:tc>
          <w:tcPr>
            <w:tcW w:w="67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Material U.S. Federal Income Tax Consequences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Description of Material Indebtedness</w:t>
              </w:r>
            </w:hyperlink>
          </w:p>
        </w:tc>
        <w:tc>
          <w:tcPr>
            <w:tcW w:w="7060" w:type="dxa"/>
            <w:vAlign w:val="bottom"/>
            <w:gridSpan w:val="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Security Ownership of Certain Beneficial Owners and Management</w:t>
              </w:r>
            </w:hyperlink>
          </w:p>
        </w:tc>
        <w:tc>
          <w:tcPr>
            <w:tcW w:w="57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Description of Newco Capital Stock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Where You Can Find More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Index to Combined Financial Statements</w:t>
              </w:r>
            </w:hyperlink>
          </w:p>
        </w:tc>
        <w:tc>
          <w:tcPr>
            <w:tcW w:w="764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540" w:right="4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included in this information statement about Newco, including the Combined Financial Statements of the Diabetes Care Business (as defined in the historical combined financial statements included in this information statement), assumes the completion of all of the transactions referred to in this information statement in connection with the separation and distribution.</w:t>
      </w:r>
    </w:p>
    <w:p>
      <w:pPr>
        <w:spacing w:after="0" w:line="89" w:lineRule="exact"/>
        <w:rPr>
          <w:rFonts w:ascii="Arial" w:cs="Arial" w:eastAsia="Arial" w:hAnsi="Arial"/>
          <w:sz w:val="18"/>
          <w:szCs w:val="18"/>
          <w:color w:val="auto"/>
        </w:rPr>
      </w:pPr>
    </w:p>
    <w:p>
      <w:pPr>
        <w:ind w:left="540" w:right="68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“Newco,” “we,” “us,” “our,” “our company” and “the company” refer to Berra Newco, Inc., a Delaware corporation, and its subsidiaries.</w:t>
      </w:r>
    </w:p>
    <w:p>
      <w:pPr>
        <w:spacing w:after="0" w:line="75" w:lineRule="exact"/>
        <w:rPr>
          <w:rFonts w:ascii="Arial" w:cs="Arial" w:eastAsia="Arial" w:hAnsi="Arial"/>
          <w:sz w:val="18"/>
          <w:szCs w:val="18"/>
          <w:color w:val="auto"/>
        </w:rPr>
      </w:pPr>
    </w:p>
    <w:p>
      <w:pPr>
        <w:ind w:left="540" w:right="20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“BD” refer to Becton, Dickinson and Company, a New Jersey corporation, and its consolidated subsidiaries, including the diabetes care business prior to completion of the separation, unless the context otherwise requires or unless otherwise specified.</w:t>
      </w:r>
    </w:p>
    <w:p>
      <w:pPr>
        <w:spacing w:after="0" w:line="89"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“diabetes care business” refer to the diabetes care business of BD that will be contributed to Newco in connection with the separation.</w:t>
      </w:r>
    </w:p>
    <w:p>
      <w:pPr>
        <w:spacing w:after="0" w:line="75" w:lineRule="exact"/>
        <w:rPr>
          <w:rFonts w:ascii="Arial" w:cs="Arial" w:eastAsia="Arial" w:hAnsi="Arial"/>
          <w:sz w:val="18"/>
          <w:szCs w:val="18"/>
          <w:color w:val="auto"/>
        </w:rPr>
      </w:pPr>
    </w:p>
    <w:p>
      <w:pPr>
        <w:ind w:left="540" w:right="160" w:hanging="424"/>
        <w:spacing w:after="0" w:line="31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References in this information statement to the “BD Business” refer to BD’s businesses other than the diabetes care business, which includes the development, manufacture and sale of a broad range of medical supplies, devices, laboratory equipment and diagnostic products used by healthcare institutions, physicians, life science researchers, clinical laboratories, the pharmaceutical industry and the general public.</w:t>
      </w:r>
    </w:p>
    <w:p>
      <w:pPr>
        <w:spacing w:after="0" w:line="54" w:lineRule="exact"/>
        <w:rPr>
          <w:rFonts w:ascii="Arial" w:cs="Arial" w:eastAsia="Arial" w:hAnsi="Arial"/>
          <w:sz w:val="16"/>
          <w:szCs w:val="16"/>
          <w:color w:val="auto"/>
        </w:rPr>
      </w:pPr>
    </w:p>
    <w:p>
      <w:pPr>
        <w:jc w:val="both"/>
        <w:ind w:left="540" w:right="22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diabetes care business from BD’s other businesses and the creation, as a result of the distribution, of an independent, publicly traded company, Newco, to hold the assets and liabilities associated with the diabetes care business after the distribution.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4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References in this information statement to the “distribution” refer to the distribution by BD of all of Newco’s issued and outstanding shares of</w:t>
      </w:r>
    </w:p>
    <w:p>
      <w:pPr>
        <w:sectPr>
          <w:pgSz w:w="11900" w:h="16838" w:orient="portrait"/>
          <w:cols w:equalWidth="0" w:num="1">
            <w:col w:w="11080"/>
          </w:cols>
          <w:pgMar w:left="320" w:top="459" w:right="499" w:bottom="1440" w:gutter="0" w:footer="0" w:header="0"/>
        </w:sectPr>
      </w:pPr>
    </w:p>
    <w:p>
      <w:pPr>
        <w:spacing w:after="0" w:line="46" w:lineRule="exact"/>
        <w:rPr>
          <w:sz w:val="20"/>
          <w:szCs w:val="20"/>
          <w:color w:val="auto"/>
        </w:rPr>
      </w:pPr>
    </w:p>
    <w:p>
      <w:pPr>
        <w:ind w:left="540"/>
        <w:spacing w:after="0"/>
        <w:tabs>
          <w:tab w:leader="none" w:pos="5880" w:val="left"/>
        </w:tabs>
        <w:rPr>
          <w:sz w:val="20"/>
          <w:szCs w:val="20"/>
          <w:color w:val="auto"/>
        </w:rPr>
      </w:pPr>
      <w:r>
        <w:rPr>
          <w:rFonts w:ascii="Arial" w:cs="Arial" w:eastAsia="Arial" w:hAnsi="Arial"/>
          <w:sz w:val="18"/>
          <w:szCs w:val="18"/>
          <w:color w:val="auto"/>
        </w:rPr>
        <w:t>common stock to BD shareholders as of the close of business on</w:t>
      </w:r>
      <w:r>
        <w:rPr>
          <w:sz w:val="20"/>
          <w:szCs w:val="20"/>
          <w:color w:val="auto"/>
        </w:rPr>
        <w:tab/>
      </w:r>
      <w:r>
        <w:rPr>
          <w:rFonts w:ascii="Arial" w:cs="Arial" w:eastAsia="Arial" w:hAnsi="Arial"/>
          <w:sz w:val="16"/>
          <w:szCs w:val="16"/>
          <w:color w:val="auto"/>
        </w:rPr>
        <w:t>, which is the record date for the distribution.</w:t>
      </w:r>
    </w:p>
    <w:p>
      <w:pPr>
        <w:sectPr>
          <w:pgSz w:w="11900" w:h="16838" w:orient="portrait"/>
          <w:cols w:equalWidth="0" w:num="1">
            <w:col w:w="11080"/>
          </w:cols>
          <w:pgMar w:left="320" w:top="459" w:right="499" w:bottom="1440" w:gutter="0" w:footer="0" w:header="0"/>
          <w:type w:val="continuous"/>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in this information statement to Newco’s per share data assume a distribution ratio of every share of BD common stock.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Newco common stock for</w:t>
      </w:r>
    </w:p>
    <w:p>
      <w:pPr>
        <w:spacing w:after="0" w:line="369" w:lineRule="exact"/>
        <w:rPr>
          <w:sz w:val="20"/>
          <w:szCs w:val="20"/>
          <w:color w:val="auto"/>
        </w:rPr>
      </w:pPr>
    </w:p>
    <w:p>
      <w:pPr>
        <w:sectPr>
          <w:pgSz w:w="11900" w:h="16838" w:orient="portrait"/>
          <w:cols w:equalWidth="0" w:num="3">
            <w:col w:w="180" w:space="360"/>
            <w:col w:w="6980" w:space="720"/>
            <w:col w:w="2840"/>
          </w:cols>
          <w:pgMar w:left="320" w:top="459" w:right="499" w:bottom="1440" w:gutter="0" w:footer="0" w:header="0"/>
          <w:type w:val="continuous"/>
        </w:sectPr>
      </w:pPr>
    </w:p>
    <w:p>
      <w:pPr>
        <w:ind w:left="540" w:right="100" w:hanging="424"/>
        <w:spacing w:after="0" w:line="342"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in this information statement to Newco’s historical assets, liabilities, products, businesses or activities generally refer to the historical assets, liabilities, products, businesses or activities of the diabetes care business as conducted by BD prior to the completion of the separation.</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Information</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Unless indicated otherwise, the information concerning the industries in which Newco participates contained in this information statement is based on Newco’s general knowledge of and expectations concerning the industry. Newco’s competitive position and industry size are based on estimates using Newco’s internal data and estimates, data from various industry analyses, our internal research and adjustments and assumptions that we believe to be reasonable. In addition, Newco believes that data regarding industry size and its competitive position within such industry provide general guidance but are inherently imprecise. Further, Newco’s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11120"/>
          </w:cols>
          <w:pgMar w:left="320" w:top="459" w:right="459" w:bottom="1440" w:gutter="0" w:footer="0" w:header="0"/>
        </w:sectPr>
      </w:pPr>
    </w:p>
    <w:p>
      <w:pPr>
        <w:spacing w:after="0" w:line="268"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b w:val="1"/>
          <w:bCs w:val="1"/>
          <w:i w:val="1"/>
          <w:iCs w:val="1"/>
          <w:color w:val="auto"/>
        </w:rPr>
        <w:t>What is Newco and why is BD separating the diabetes care business and distributing Newco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am I receiving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How will the separation of Newco from BD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Why is the separation of Newco structured as a distribution?</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What is the record date for the distribution?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will the distribution occur?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distribution?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Newco, which is currently a wholly owned subsidiary of BD, was formed to hold the diabetes care business. BD intends to separate Newco from the rest of BD by distributing all of the outstanding Newco common stock to BD shareholders as of the record date for the distribution. The separation of Newco from BD is intended, among other things, to enable the management of the two companies to pursue opportunities for long-term growth and profitability unique to each company’s businesses and to allow each company to more effectively implement the distinct capital allocation strategies of these businesses. BD expects that the separation will result in enhanced long-term performance of the businesses held by both BD and Newco for the reasons discussed in the section entitled “The Separation and Distribution—Reasons for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BD is delivering this document to you because you are a holder of shares of BD common stock. If</w:t>
      </w:r>
    </w:p>
    <w:p>
      <w:pPr>
        <w:spacing w:after="0" w:line="46"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you are a holder of shares of BD common stock as of the close of business on</w:t>
      </w:r>
      <w:r>
        <w:rPr>
          <w:sz w:val="20"/>
          <w:szCs w:val="20"/>
          <w:color w:val="auto"/>
        </w:rPr>
        <w:tab/>
      </w:r>
      <w:r>
        <w:rPr>
          <w:rFonts w:ascii="Arial" w:cs="Arial" w:eastAsia="Arial" w:hAnsi="Arial"/>
          <w:sz w:val="16"/>
          <w:szCs w:val="16"/>
          <w:color w:val="auto"/>
        </w:rPr>
        <w:t>, the</w:t>
      </w:r>
    </w:p>
    <w:p>
      <w:pPr>
        <w:spacing w:after="0" w:line="9"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record date of the distribution, you will be entitled to receive</w:t>
      </w:r>
      <w:r>
        <w:rPr>
          <w:sz w:val="20"/>
          <w:szCs w:val="20"/>
          <w:color w:val="auto"/>
        </w:rPr>
        <w:tab/>
      </w:r>
      <w:r>
        <w:rPr>
          <w:rFonts w:ascii="Arial" w:cs="Arial" w:eastAsia="Arial" w:hAnsi="Arial"/>
          <w:sz w:val="16"/>
          <w:szCs w:val="16"/>
          <w:color w:val="auto"/>
        </w:rPr>
        <w:t>shares of Newco common</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for every share of BD common stock that you hold at the close of business on such date. This document will help you understand how the separation and distribution will affect your post-separation ownership in BD and Newco.</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the separation, BD and its subsidiaries expect to conduct an internal reorganization (which this information statement refers to as the “internal reorganization”) in order to transfer BD’s diabetes care business to Newco. BD will then distribute all of the outstanding shares of Newco common stock to BD shareholders as of the record date on a pro rata basis. The distribution is intended to be tax-free to BD and BD shareholders for U.S. federal income tax purposes (other than any cash that BD shareholders receive in lieu of fractional shares). Following the separation, the number of shares of BD common stock you own will not change as a result of the separation.</w:t>
      </w:r>
    </w:p>
    <w:p>
      <w:pPr>
        <w:spacing w:after="0" w:line="166"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BD believes that a distribution of shares of Newco common stock to BD shareholders that is tax-free for U.S. federal income tax purposes is an efficient way to separate the diabetes care business in a manner that will create long-term value for BD shareholders.</w:t>
      </w:r>
    </w:p>
    <w:p>
      <w:pPr>
        <w:spacing w:after="0" w:line="165"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The record date for the distribution will be</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distribution is subject to a number of conditions, but subject to the satisfaction or waiver of such conditions, it is expected that the distribution will occur at 12:01 a.m., Eastern Time, on</w:t>
      </w:r>
    </w:p>
    <w:p>
      <w:pPr>
        <w:ind w:left="800" w:hanging="8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holders of record of shares of BD common stock at the close of business on</w:t>
      </w:r>
    </w:p>
    <w:p>
      <w:pPr>
        <w:spacing w:after="0" w:line="9" w:lineRule="exact"/>
        <w:rPr>
          <w:rFonts w:ascii="Arial" w:cs="Arial" w:eastAsia="Arial" w:hAnsi="Arial"/>
          <w:sz w:val="18"/>
          <w:szCs w:val="18"/>
          <w:color w:val="auto"/>
        </w:rPr>
      </w:pPr>
    </w:p>
    <w:p>
      <w:pPr>
        <w:ind w:left="800" w:hanging="8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record date for the distribution.</w:t>
      </w:r>
    </w:p>
    <w:p>
      <w:pPr>
        <w:spacing w:after="0" w:line="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Shareholders of BD as of the record date for the distribution are not required to take any action to receive Newco common stock in the distribution, but you are urged to read this entire information statement</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3600" w:space="380"/>
            <w:col w:w="7140"/>
          </w:cols>
          <w:pgMar w:left="32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How will shares of Newco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How many shares of Newco common stock will I receive in the distribution?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carefully. No BD shareholder approval is required for the distribution, and you are not being asked for a proxy. You do not need to pay any consideration, exchange or surrender your existing shares of BD common stock or take any other action to receive your shares of Newco common stock.</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Please do not send in your BD stock certificates. The distribution will not affect the number of outstanding shares of BD common stock or any rights of BD shareholders, although it will affect the market value of each outstanding share of BD common stock.</w:t>
      </w:r>
    </w:p>
    <w:p>
      <w:pPr>
        <w:spacing w:after="0" w:line="190"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You will receive shares of Newco common stock through the same channels that you currently use to hold or trade shares of BD common stock, whether through a brokerage account, 401(k) plan or other channels. Receipt of Newco shares will be documented for you in the same manner that you typically receive shareholder updates, such as monthly broker statements and 401(k) statements.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you own shares of BD common stock as of the close of business on the record date for the distribution, including shares owned in certificate form, BD, with the assistance of Computershare Trust Company, N.A., the distribution agent for the distribution (the “distribution agent” or “Computershare”), will electronically distribute shares of Newco common stock to you or to your brokerage firm on your behalf in book-entry form. Computershare will mail you a book-entry account statement that reflects your shares of Newco common stock, or your bank or brokerage firm will credit your account for the shares.</w:t>
      </w:r>
    </w:p>
    <w:p>
      <w:pPr>
        <w:spacing w:after="0" w:line="17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You are entitled to receive shares of Newco common stock for every share of BD common stock held by you as of close of business on the record date for the distribution. Based on</w:t>
      </w:r>
    </w:p>
    <w:p>
      <w:pPr>
        <w:spacing w:after="0"/>
        <w:tabs>
          <w:tab w:leader="none" w:pos="1780" w:val="left"/>
          <w:tab w:leader="none" w:pos="5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BD common stock outstanding as of</w:t>
      </w:r>
      <w:r>
        <w:rPr>
          <w:sz w:val="20"/>
          <w:szCs w:val="20"/>
          <w:color w:val="auto"/>
        </w:rPr>
        <w:tab/>
      </w:r>
      <w:r>
        <w:rPr>
          <w:rFonts w:ascii="Arial" w:cs="Arial" w:eastAsia="Arial" w:hAnsi="Arial"/>
          <w:sz w:val="16"/>
          <w:szCs w:val="16"/>
          <w:color w:val="auto"/>
        </w:rPr>
        <w:t>, a total of</w:t>
      </w:r>
    </w:p>
    <w:p>
      <w:pPr>
        <w:spacing w:after="0" w:line="9" w:lineRule="exact"/>
        <w:rPr>
          <w:sz w:val="20"/>
          <w:szCs w:val="20"/>
          <w:color w:val="auto"/>
        </w:rPr>
      </w:pPr>
    </w:p>
    <w:p>
      <w:pPr>
        <w:jc w:val="both"/>
        <w:ind w:left="1080"/>
        <w:spacing w:after="0"/>
        <w:tabs>
          <w:tab w:leader="none" w:pos="2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Newco common stock will be distributed to BD’s</w:t>
      </w:r>
    </w:p>
    <w:p>
      <w:pPr>
        <w:spacing w:after="0" w:line="9"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color w:val="auto"/>
        </w:rPr>
        <w:t>shareholders. For additional information on the distribution, see “The Separation and Distribution.”</w:t>
      </w:r>
    </w:p>
    <w:p>
      <w:pPr>
        <w:spacing w:after="0" w:line="185" w:lineRule="exact"/>
        <w:rPr>
          <w:sz w:val="20"/>
          <w:szCs w:val="20"/>
          <w:color w:val="auto"/>
        </w:rPr>
      </w:pPr>
    </w:p>
    <w:p>
      <w:pPr>
        <w:sectPr>
          <w:pgSz w:w="11900" w:h="16838" w:orient="portrait"/>
          <w:cols w:equalWidth="0" w:num="2">
            <w:col w:w="3720" w:space="260"/>
            <w:col w:w="7140"/>
          </w:cols>
          <w:pgMar w:left="320" w:top="459" w:right="459" w:bottom="1440" w:gutter="0" w:footer="0" w:header="0"/>
          <w:type w:val="continuous"/>
        </w:sect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Will Newco issue fractional shares of its common stock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No. Newco will not issue fractional shares of its common stock in the distribution. Fractional shares that BD shareholders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paid in lieu of fractional shares.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distribution is subject to the satisfaction (or waiver by BD in its sole and absolute discretion)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116" w:lineRule="exact"/>
        <w:rPr>
          <w:sz w:val="20"/>
          <w:szCs w:val="20"/>
          <w:color w:val="auto"/>
        </w:rPr>
      </w:pPr>
    </w:p>
    <w:p>
      <w:pPr>
        <w:ind w:left="360" w:right="20" w:hanging="273"/>
        <w:spacing w:after="0" w:line="286" w:lineRule="auto"/>
        <w:tabs>
          <w:tab w:leader="none" w:pos="34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U.S. Securities and Exchange Commission (the “SEC”) declaring effective the registration statement of which this information statement forms a part; there being no order suspending the effectiveness of the registration statement in effect; and there</w:t>
      </w:r>
    </w:p>
    <w:p>
      <w:pPr>
        <w:spacing w:after="0" w:line="1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340" w:space="640"/>
            <w:col w:w="7140"/>
          </w:cols>
          <w:pgMar w:left="32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being no proceedings for such purposes having been instituted or threatened by the SEC;</w:t>
      </w:r>
    </w:p>
    <w:p>
      <w:pPr>
        <w:spacing w:after="0" w:line="131" w:lineRule="exact"/>
        <w:rPr>
          <w:sz w:val="20"/>
          <w:szCs w:val="20"/>
          <w:color w:val="auto"/>
        </w:rPr>
      </w:pPr>
    </w:p>
    <w:p>
      <w:pPr>
        <w:ind w:left="4320" w:hanging="253"/>
        <w:spacing w:after="0"/>
        <w:tabs>
          <w:tab w:leader="none" w:pos="4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statement having been made available to the holders of record of shares of</w:t>
      </w:r>
    </w:p>
    <w:p>
      <w:pPr>
        <w:spacing w:after="0" w:line="46" w:lineRule="exact"/>
        <w:rPr>
          <w:sz w:val="20"/>
          <w:szCs w:val="20"/>
          <w:color w:val="auto"/>
        </w:rPr>
      </w:pPr>
    </w:p>
    <w:p>
      <w:pPr>
        <w:ind w:left="4340"/>
        <w:spacing w:after="0"/>
        <w:tabs>
          <w:tab w:leader="none" w:pos="8360" w:val="left"/>
        </w:tabs>
        <w:rPr>
          <w:sz w:val="20"/>
          <w:szCs w:val="20"/>
          <w:color w:val="auto"/>
        </w:rPr>
      </w:pPr>
      <w:r>
        <w:rPr>
          <w:rFonts w:ascii="Arial" w:cs="Arial" w:eastAsia="Arial" w:hAnsi="Arial"/>
          <w:sz w:val="18"/>
          <w:szCs w:val="18"/>
          <w:color w:val="auto"/>
        </w:rPr>
        <w:t>BD common stock at the close of business on</w:t>
      </w:r>
      <w:r>
        <w:rPr>
          <w:sz w:val="20"/>
          <w:szCs w:val="20"/>
          <w:color w:val="auto"/>
        </w:rPr>
        <w:tab/>
      </w:r>
      <w:r>
        <w:rPr>
          <w:rFonts w:ascii="Arial" w:cs="Arial" w:eastAsia="Arial" w:hAnsi="Arial"/>
          <w:sz w:val="16"/>
          <w:szCs w:val="16"/>
          <w:color w:val="auto"/>
        </w:rPr>
        <w:t>, the record date for the distribution;</w:t>
      </w:r>
    </w:p>
    <w:p>
      <w:pPr>
        <w:spacing w:after="0" w:line="116" w:lineRule="exact"/>
        <w:rPr>
          <w:sz w:val="20"/>
          <w:szCs w:val="20"/>
          <w:color w:val="auto"/>
        </w:rPr>
      </w:pPr>
    </w:p>
    <w:p>
      <w:pPr>
        <w:ind w:left="4340" w:right="80" w:hanging="273"/>
        <w:spacing w:after="0" w:line="287" w:lineRule="auto"/>
        <w:tabs>
          <w:tab w:leader="none" w:pos="4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receipt by BD of an opinion of BD’s outside tax counsel satisfactory to the BD Board of Directors, regarding the qualification of the contribution of assets from BD to Newco and the distribution, taken together, as a “reorganization” within the meaning of Sections 368(a)(1)</w:t>
      </w:r>
    </w:p>
    <w:p>
      <w:pPr>
        <w:spacing w:after="0" w:line="2" w:lineRule="exact"/>
        <w:rPr>
          <w:rFonts w:ascii="Arial" w:cs="Arial" w:eastAsia="Arial" w:hAnsi="Arial"/>
          <w:sz w:val="16"/>
          <w:szCs w:val="16"/>
          <w:color w:val="auto"/>
        </w:rPr>
      </w:pPr>
    </w:p>
    <w:p>
      <w:pPr>
        <w:ind w:left="4640" w:hanging="303"/>
        <w:spacing w:after="0"/>
        <w:tabs>
          <w:tab w:leader="none" w:pos="4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and 355 of the Code and such opinion not having been withdrawn or rescinded;</w:t>
      </w:r>
    </w:p>
    <w:p>
      <w:pPr>
        <w:spacing w:after="0" w:line="116" w:lineRule="exact"/>
        <w:rPr>
          <w:rFonts w:ascii="Arial" w:cs="Arial" w:eastAsia="Arial" w:hAnsi="Arial"/>
          <w:sz w:val="18"/>
          <w:szCs w:val="18"/>
          <w:color w:val="auto"/>
        </w:rPr>
      </w:pPr>
    </w:p>
    <w:p>
      <w:pPr>
        <w:ind w:left="4340" w:right="180" w:hanging="273"/>
        <w:spacing w:after="0" w:line="273" w:lineRule="auto"/>
        <w:tabs>
          <w:tab w:leader="none" w:pos="4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transfer of assets and liabilities (other than certain delayed assets and liabilities) contemplated to be transferred from BD to Newco on or prior to the distribution having occurred in accordance with the separation and distribution agreement and the transfer of assets and liabilities (other than certain delayed assets and liabilities) contemplated to be transferred from Newco to BD on or prior to the distribution having occurred in accordance with the separation and distribution agreement;</w:t>
      </w:r>
    </w:p>
    <w:p>
      <w:pPr>
        <w:spacing w:after="0" w:line="83" w:lineRule="exact"/>
        <w:rPr>
          <w:rFonts w:ascii="Arial" w:cs="Arial" w:eastAsia="Arial" w:hAnsi="Arial"/>
          <w:sz w:val="17"/>
          <w:szCs w:val="17"/>
          <w:color w:val="auto"/>
        </w:rPr>
      </w:pPr>
    </w:p>
    <w:p>
      <w:pPr>
        <w:ind w:left="4340" w:right="60" w:hanging="273"/>
        <w:spacing w:after="0" w:line="257" w:lineRule="auto"/>
        <w:tabs>
          <w:tab w:leader="none" w:pos="4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of one or more opinions from an independent appraisal firm acceptable to BD to the BD Board of Directors as to the solvency and financial viability of BD and Newco after the completion of the distribution, in each case, in a form and substance acceptable to the BD Board of Directors in its sole and absolute discretion and such opinions not having been withdrawn or rescinded;</w:t>
      </w:r>
    </w:p>
    <w:p>
      <w:pPr>
        <w:spacing w:after="0" w:line="93" w:lineRule="exact"/>
        <w:rPr>
          <w:rFonts w:ascii="Arial" w:cs="Arial" w:eastAsia="Arial" w:hAnsi="Arial"/>
          <w:sz w:val="18"/>
          <w:szCs w:val="18"/>
          <w:color w:val="auto"/>
        </w:rPr>
      </w:pPr>
    </w:p>
    <w:p>
      <w:pPr>
        <w:ind w:left="4340" w:hanging="273"/>
        <w:spacing w:after="0" w:line="259" w:lineRule="auto"/>
        <w:tabs>
          <w:tab w:leader="none" w:pos="4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having been taken or made and, where applicable, having become effective or been accepted by the applicable government authority;</w:t>
      </w:r>
    </w:p>
    <w:p>
      <w:pPr>
        <w:spacing w:after="0" w:line="92" w:lineRule="exact"/>
        <w:rPr>
          <w:rFonts w:ascii="Arial" w:cs="Arial" w:eastAsia="Arial" w:hAnsi="Arial"/>
          <w:sz w:val="18"/>
          <w:szCs w:val="18"/>
          <w:color w:val="auto"/>
        </w:rPr>
      </w:pPr>
    </w:p>
    <w:p>
      <w:pPr>
        <w:ind w:left="4340" w:right="780" w:hanging="273"/>
        <w:spacing w:after="0" w:line="277" w:lineRule="auto"/>
        <w:tabs>
          <w:tab w:leader="none" w:pos="4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execution of certain agreements contemplated by the separation and distribution agreement;</w:t>
      </w:r>
    </w:p>
    <w:p>
      <w:pPr>
        <w:spacing w:after="0" w:line="75" w:lineRule="exact"/>
        <w:rPr>
          <w:rFonts w:ascii="Arial" w:cs="Arial" w:eastAsia="Arial" w:hAnsi="Arial"/>
          <w:sz w:val="18"/>
          <w:szCs w:val="18"/>
          <w:color w:val="auto"/>
        </w:rPr>
      </w:pPr>
    </w:p>
    <w:p>
      <w:pPr>
        <w:ind w:left="4340" w:hanging="273"/>
        <w:spacing w:after="0" w:line="286" w:lineRule="auto"/>
        <w:tabs>
          <w:tab w:leader="none" w:pos="4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pending or in effect;</w:t>
      </w:r>
    </w:p>
    <w:p>
      <w:pPr>
        <w:spacing w:after="0" w:line="70" w:lineRule="exact"/>
        <w:rPr>
          <w:rFonts w:ascii="Arial" w:cs="Arial" w:eastAsia="Arial" w:hAnsi="Arial"/>
          <w:sz w:val="17"/>
          <w:szCs w:val="17"/>
          <w:color w:val="auto"/>
        </w:rPr>
      </w:pPr>
    </w:p>
    <w:p>
      <w:pPr>
        <w:ind w:left="4320" w:hanging="253"/>
        <w:spacing w:after="0"/>
        <w:tabs>
          <w:tab w:leader="none" w:pos="4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shares of Newco common stock to be distributed having been accepted for listing on the</w:t>
      </w:r>
    </w:p>
    <w:p>
      <w:pPr>
        <w:spacing w:after="0" w:line="46" w:lineRule="exact"/>
        <w:rPr>
          <w:rFonts w:ascii="Arial" w:cs="Arial" w:eastAsia="Arial" w:hAnsi="Arial"/>
          <w:sz w:val="16"/>
          <w:szCs w:val="16"/>
          <w:color w:val="auto"/>
        </w:rPr>
      </w:pPr>
    </w:p>
    <w:p>
      <w:pPr>
        <w:ind w:left="5140" w:hanging="83"/>
        <w:spacing w:after="0"/>
        <w:tabs>
          <w:tab w:leader="none" w:pos="5140" w:val="left"/>
        </w:tabs>
        <w:numPr>
          <w:ilvl w:val="2"/>
          <w:numId w:val="9"/>
        </w:numPr>
        <w:rPr>
          <w:rFonts w:ascii="Arial" w:cs="Arial" w:eastAsia="Arial" w:hAnsi="Arial"/>
          <w:sz w:val="18"/>
          <w:szCs w:val="18"/>
          <w:color w:val="auto"/>
        </w:rPr>
      </w:pPr>
      <w:r>
        <w:rPr>
          <w:rFonts w:ascii="Arial" w:cs="Arial" w:eastAsia="Arial" w:hAnsi="Arial"/>
          <w:sz w:val="18"/>
          <w:szCs w:val="18"/>
          <w:color w:val="auto"/>
        </w:rPr>
        <w:t>subject to official notice of distribution;</w:t>
      </w:r>
    </w:p>
    <w:p>
      <w:pPr>
        <w:spacing w:after="0" w:line="116" w:lineRule="exact"/>
        <w:rPr>
          <w:rFonts w:ascii="Arial" w:cs="Arial" w:eastAsia="Arial" w:hAnsi="Arial"/>
          <w:sz w:val="18"/>
          <w:szCs w:val="18"/>
          <w:color w:val="auto"/>
        </w:rPr>
      </w:pPr>
    </w:p>
    <w:p>
      <w:pPr>
        <w:ind w:left="4340" w:right="240" w:hanging="273"/>
        <w:spacing w:after="0" w:line="257" w:lineRule="auto"/>
        <w:tabs>
          <w:tab w:leader="none" w:pos="4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BD having received the proceeds from a cash distribution from Newco following Newco’s entry into certain debt financing arrangements described under “Description of Material Indebtedness” and being satisfied in its sole and absolute discretion that, as of the effective time of the distribution, BD will have no further liability under such debt financing arrangements; and</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What is the expected date of completion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Can BD decide to cancel the distribution of Newco common stock even if all the conditions have been met?</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What if I want to sell my BD common stock or my Newco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What is “regular-way” and “ex-distribution” trading of BD common stock?</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360" w:right="280" w:hanging="273"/>
        <w:spacing w:after="0" w:line="286" w:lineRule="auto"/>
        <w:tabs>
          <w:tab w:leader="none" w:pos="3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other events or developments existing or having occurred that, in the judgment of BD’s Board of Directors, in its sole and absolute discretion, makes it inadvisable to effect the separation, the distribution and the other related transactions.</w:t>
      </w:r>
    </w:p>
    <w:p>
      <w:pPr>
        <w:spacing w:after="0" w:line="20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BD and Newco cannot assure you that any or all of these conditions will be met, or that the separation or distribution will be consummated even if all of the conditions are met. BD can decline at any time to go forward with the separation or distribution. In addition, BD may waive any of the conditions to the distribution. For a complete discussion of all of the conditions to the distribution, see “The Separation and Distribution—Conditions to the Distribution.”</w:t>
      </w:r>
    </w:p>
    <w:p>
      <w:pPr>
        <w:spacing w:after="0" w:line="17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completion and timing of the distribution are dependent upon a number of conditions. It is currently expected that the shares of Newco common stock will be distributed by BD at 12:01</w:t>
      </w:r>
    </w:p>
    <w:p>
      <w:pPr>
        <w:spacing w:after="0"/>
        <w:tabs>
          <w:tab w:leader="none" w:pos="2360" w:val="left"/>
        </w:tabs>
        <w:rPr>
          <w:sz w:val="20"/>
          <w:szCs w:val="20"/>
          <w:color w:val="auto"/>
        </w:rPr>
      </w:pPr>
      <w:r>
        <w:rPr>
          <w:rFonts w:ascii="Arial" w:cs="Arial" w:eastAsia="Arial" w:hAnsi="Arial"/>
          <w:sz w:val="18"/>
          <w:szCs w:val="18"/>
          <w:color w:val="auto"/>
        </w:rPr>
        <w:t>a.m., Eastern Time, on</w:t>
      </w:r>
      <w:r>
        <w:rPr>
          <w:sz w:val="20"/>
          <w:szCs w:val="20"/>
          <w:color w:val="auto"/>
        </w:rPr>
        <w:tab/>
      </w:r>
      <w:r>
        <w:rPr>
          <w:rFonts w:ascii="Arial" w:cs="Arial" w:eastAsia="Arial" w:hAnsi="Arial"/>
          <w:sz w:val="16"/>
          <w:szCs w:val="16"/>
          <w:color w:val="auto"/>
        </w:rPr>
        <w:t>, to the holders of record of shares of BD common stock at the</w:t>
      </w:r>
    </w:p>
    <w:p>
      <w:pPr>
        <w:spacing w:after="0" w:line="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close of business on</w:t>
      </w:r>
      <w:r>
        <w:rPr>
          <w:sz w:val="20"/>
          <w:szCs w:val="20"/>
          <w:color w:val="auto"/>
        </w:rPr>
        <w:tab/>
      </w:r>
      <w:r>
        <w:rPr>
          <w:rFonts w:ascii="Arial" w:cs="Arial" w:eastAsia="Arial" w:hAnsi="Arial"/>
          <w:sz w:val="16"/>
          <w:szCs w:val="16"/>
          <w:color w:val="auto"/>
        </w:rPr>
        <w:t>, the record date for the distribution. However, no assurance can be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provided as to the timing of the distribution or that all conditions to the distribution will be met.</w:t>
      </w:r>
    </w:p>
    <w:p>
      <w:pPr>
        <w:spacing w:after="0" w:line="2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Yes. Until the distribution has occurred, the BD Board of Directors has the right to terminate the distribution, even if all of the conditions described in the section entitled “The Separation and Distribution—Conditions to the Distribution” are satisfied.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consult with your financial advisors, such as your stock broker, bank or tax advisor. If you sell your shares of BD common stock in the “regular-way” market after the record date and before the distribution date, you also will be selling your right to receive shares of Newco common stock in connection with the distribution.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Beginning on or shortly before the record date for the distribution and continuing up to and through the distribution date, Newco expects that there will be two markets in BD common stock: a “regular-way” market and an “ex-distribution” market. BD common stock that trades in the “regular-way” market will trade with an entitlement to shares of Newco common stock distributed pursuant to the distribution. Shares that trade in the “ex-distribution” market will trade without an entitlement to Newco common stock distributed pursuant to the distribution. If you are the registered holder of your shares and want to sell your shares, you should determine whether you want to sell your shares with or without an entitlement to shares of Newco common stock in the distribution, and make any trades in the “regular way” or “ex-distribution” market accordingly. If you decide to sell any shares of BD common stock before the distribution date and hold your shares in “street name,” you should make sure your stockbroker, bank or other nominee understands whether you want to sell your Newco common stock with or without your entitlement to Newco common stock pursuant to the distribution.</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580" w:space="400"/>
            <w:col w:w="7120"/>
          </w:cols>
          <w:pgMar w:left="320" w:top="459" w:right="4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080"/>
          </w:cols>
          <w:pgMar w:left="320" w:top="459" w:right="499" w:bottom="1440" w:gutter="0" w:footer="0" w:header="0"/>
        </w:sectPr>
      </w:pPr>
    </w:p>
    <w:p>
      <w:pPr>
        <w:spacing w:after="0" w:line="35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Where will I be able to trade shares of Newco common stock?</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Newco intends to apply for authorization to list its common stock on the</w:t>
      </w:r>
      <w:r>
        <w:rPr>
          <w:sz w:val="20"/>
          <w:szCs w:val="20"/>
          <w:color w:val="auto"/>
        </w:rPr>
        <w:tab/>
      </w:r>
      <w:r>
        <w:rPr>
          <w:rFonts w:ascii="Arial" w:cs="Arial" w:eastAsia="Arial" w:hAnsi="Arial"/>
          <w:sz w:val="16"/>
          <w:szCs w:val="16"/>
          <w:color w:val="auto"/>
        </w:rPr>
        <w:t>under the</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symbol “</w:t>
      </w:r>
      <w:r>
        <w:rPr>
          <w:sz w:val="20"/>
          <w:szCs w:val="20"/>
          <w:color w:val="auto"/>
        </w:rPr>
        <w:tab/>
      </w:r>
      <w:r>
        <w:rPr>
          <w:rFonts w:ascii="Arial" w:cs="Arial" w:eastAsia="Arial" w:hAnsi="Arial"/>
          <w:sz w:val="16"/>
          <w:szCs w:val="16"/>
          <w:color w:val="auto"/>
        </w:rPr>
        <w:t>.” It is anticipated that trading in shares of Newco common stock will begin on</w:t>
      </w:r>
    </w:p>
    <w:p>
      <w:pPr>
        <w:spacing w:after="0" w:line="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“when-issued” basis on or shortly before the record date for the distribution and will continue up to and through the distribution date, and that “regular-way” trading in Newco common stock will begin on the first trading day following the completion of the distribution. If trading begins on a “when-issued” basis, you may purchase or sell Newco common stock up to and through the distribution date, but your transaction will not settle until after the distribution date. Newco cannot predict the trading prices for its common stock before, on or after the distribution date.</w:t>
      </w:r>
    </w:p>
    <w:p>
      <w:pPr>
        <w:spacing w:after="0" w:line="178" w:lineRule="exact"/>
        <w:rPr>
          <w:sz w:val="20"/>
          <w:szCs w:val="20"/>
          <w:color w:val="auto"/>
        </w:rPr>
      </w:pPr>
    </w:p>
    <w:p>
      <w:pPr>
        <w:sectPr>
          <w:pgSz w:w="11900" w:h="16838" w:orient="portrait"/>
          <w:cols w:equalWidth="0" w:num="2">
            <w:col w:w="3480" w:space="500"/>
            <w:col w:w="7100"/>
          </w:cols>
          <w:pgMar w:left="320" w:top="459" w:right="499" w:bottom="1440" w:gutter="0" w:footer="0" w:header="0"/>
          <w:type w:val="continuous"/>
        </w:sect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What will happen to the listing of BD common stock?</w:t>
      </w:r>
    </w:p>
    <w:p>
      <w:pPr>
        <w:spacing w:after="0" w:line="170"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Will the number of shares of BD common stock that I own change as a result of the distribution?</w:t>
      </w:r>
    </w:p>
    <w:p>
      <w:pPr>
        <w:spacing w:after="0" w:line="1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Will the distribution affect the market price of my BD common stock?</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BD common stock will continue to trade on the NYSE after the distribution under the symbol “BDX”.</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The number of shares of BD common stock that you own will not change as a result of the distribution.</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Yes. As a result of the distribution, it is expected that the trading price of shares of BD common stock immediately following the distribution will be different from the “regular-way” trading price of such shares immediately prior to the distribution because the trading price of BD common stock will no longer reflect the value of the diabetes care business. There can be no assurance whether the sum of the market value of the BD common stock and the Newco common stock following the separation will be higher or lower than the market value of BD common stock if the separation did not occur. This means, for example, that the combined trading prices of one share of BD common</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stock and shares of Newco common stock after the distribution may be equal to, greater than or less than the trading price of one share of BD common stock before the distribution.</w:t>
      </w:r>
    </w:p>
    <w:p>
      <w:pPr>
        <w:spacing w:after="0" w:line="161" w:lineRule="exact"/>
        <w:rPr>
          <w:sz w:val="20"/>
          <w:szCs w:val="20"/>
          <w:color w:val="auto"/>
        </w:rPr>
      </w:pPr>
    </w:p>
    <w:p>
      <w:pPr>
        <w:sectPr>
          <w:pgSz w:w="11900" w:h="16838" w:orient="portrait"/>
          <w:cols w:equalWidth="0" w:num="2">
            <w:col w:w="3740" w:space="240"/>
            <w:col w:w="7100"/>
          </w:cols>
          <w:pgMar w:left="320" w:top="459" w:right="49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What are the material U.S. federal income tax consequences of the separation and the distribution?</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It is a condition to the distribution that BD receive an opinion of BD’s outside tax counsel, satisfactory to the BD Board of Directors, regarding the qualification of the contribution of assets from BD to Newco and the distribution, taken together, as a “reorganization” within the meaning of Sections 368(a)(1)(D) and 355 of the Code and such opinion has not been withdrawn or rescinded.</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Assuming that the distribution, together with certain related transactions, so qualifies, you will not recognize gain or loss or otherwise include any amount in income for U.S. federal income tax purposes upon your receipt of Newco common stock in the distribution. You will, however, recognize gain or loss for U.S. federal income tax purposes with respect to cash received in lieu of a fractional share of Newco common stock.</w:t>
      </w:r>
    </w:p>
    <w:p>
      <w:pPr>
        <w:spacing w:after="0" w:line="2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For more information regarding the U.S. federal income tax consequences of the distribution, see the section entitled “Material U.S. Federal Income Tax Consequences.” You should consult your own tax advisor as to the particular tax consequences of the distribution to you,</w:t>
      </w:r>
    </w:p>
    <w:p>
      <w:pPr>
        <w:spacing w:after="0" w:line="1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520" w:space="460"/>
            <w:col w:w="7100"/>
          </w:cols>
          <w:pgMar w:left="320" w:top="459"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What will Newco’s relationship be with BD following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340"/>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-644525</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0"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including the applicability and effect of any U.S. federal, state and local tax laws, as well as any non-U.S. tax laws.</w:t>
      </w:r>
    </w:p>
    <w:p>
      <w:pPr>
        <w:spacing w:after="0" w:line="170" w:lineRule="exact"/>
        <w:rPr>
          <w:sz w:val="20"/>
          <w:szCs w:val="20"/>
          <w:color w:val="auto"/>
        </w:rPr>
      </w:pPr>
    </w:p>
    <w:p>
      <w:pPr>
        <w:ind w:left="520"/>
        <w:spacing w:after="0" w:line="286" w:lineRule="auto"/>
        <w:rPr>
          <w:sz w:val="20"/>
          <w:szCs w:val="20"/>
          <w:color w:val="auto"/>
        </w:rPr>
      </w:pPr>
      <w:r>
        <w:rPr>
          <w:rFonts w:ascii="Arial" w:cs="Arial" w:eastAsia="Arial" w:hAnsi="Arial"/>
          <w:sz w:val="16"/>
          <w:szCs w:val="16"/>
          <w:color w:val="auto"/>
        </w:rPr>
        <w:t>After the distribution, BD and Newco will be separate companies with separate management teams and separate boards of directors. BD and Newco will enter into a separation and distribution agreement to effect the separation and to provide a framework for Newco’s relationship with BD after the separation, and they will enter into certain other agreements, including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allocation between Newco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Newco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167" w:lineRule="exact"/>
        <w:rPr>
          <w:sz w:val="20"/>
          <w:szCs w:val="20"/>
          <w:color w:val="auto"/>
        </w:rPr>
      </w:pPr>
    </w:p>
    <w:p>
      <w:pPr>
        <w:sectPr>
          <w:pgSz w:w="11900" w:h="16838" w:orient="portrait"/>
          <w:cols w:equalWidth="0" w:num="2">
            <w:col w:w="3300" w:space="160"/>
            <w:col w:w="7660"/>
          </w:cols>
          <w:pgMar w:left="320" w:top="459" w:right="459" w:bottom="1440" w:gutter="0" w:footer="0" w:header="0"/>
        </w:sectPr>
      </w:pPr>
    </w:p>
    <w:p>
      <w:pPr>
        <w:ind w:left="120"/>
        <w:spacing w:after="0"/>
        <w:rPr>
          <w:sz w:val="20"/>
          <w:szCs w:val="20"/>
          <w:color w:val="auto"/>
        </w:rPr>
      </w:pPr>
      <w:r>
        <w:rPr>
          <w:rFonts w:ascii="Arial" w:cs="Arial" w:eastAsia="Arial" w:hAnsi="Arial"/>
          <w:sz w:val="15"/>
          <w:szCs w:val="15"/>
          <w:b w:val="1"/>
          <w:bCs w:val="1"/>
          <w:i w:val="1"/>
          <w:iCs w:val="1"/>
          <w:color w:val="auto"/>
        </w:rPr>
        <w:t>Who will manage Newco after the separation?</w:t>
      </w:r>
    </w:p>
    <w:p>
      <w:pPr>
        <w:spacing w:after="0" w:line="20" w:lineRule="exact"/>
        <w:rPr>
          <w:sz w:val="20"/>
          <w:szCs w:val="20"/>
          <w:color w:val="auto"/>
        </w:rPr>
      </w:pPr>
      <w:r>
        <w:rPr>
          <w:sz w:val="20"/>
          <w:szCs w:val="20"/>
          <w:color w:val="auto"/>
        </w:rPr>
        <w:br w:type="column"/>
      </w:r>
    </w:p>
    <w:p>
      <w:pPr>
        <w:ind w:right="200"/>
        <w:spacing w:after="0" w:line="311" w:lineRule="auto"/>
        <w:rPr>
          <w:sz w:val="20"/>
          <w:szCs w:val="20"/>
          <w:color w:val="auto"/>
        </w:rPr>
      </w:pPr>
      <w:r>
        <w:rPr>
          <w:rFonts w:ascii="Arial" w:cs="Arial" w:eastAsia="Arial" w:hAnsi="Arial"/>
          <w:sz w:val="16"/>
          <w:szCs w:val="16"/>
          <w:color w:val="auto"/>
        </w:rPr>
        <w:t>Led by Devdatt (Dev) Kurdikar, who will be Newco’s President and Chief Executive Officer, Newco’s management team will possess deep knowledge of the diabetes care industry. For more information regarding Newco’s management and directors, see “Management” and “Directors.”</w:t>
      </w:r>
    </w:p>
    <w:p>
      <w:pPr>
        <w:spacing w:after="0" w:line="149" w:lineRule="exact"/>
        <w:rPr>
          <w:sz w:val="20"/>
          <w:szCs w:val="20"/>
          <w:color w:val="auto"/>
        </w:rPr>
      </w:pPr>
    </w:p>
    <w:p>
      <w:pPr>
        <w:sectPr>
          <w:pgSz w:w="11900" w:h="16838" w:orient="portrait"/>
          <w:cols w:equalWidth="0" w:num="2">
            <w:col w:w="3540" w:space="440"/>
            <w:col w:w="7140"/>
          </w:cols>
          <w:pgMar w:left="320" w:top="459" w:right="45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Newco common stock?</w:t>
      </w:r>
    </w:p>
    <w:p>
      <w:pPr>
        <w:spacing w:after="0" w:line="20" w:lineRule="exact"/>
        <w:rPr>
          <w:sz w:val="20"/>
          <w:szCs w:val="20"/>
          <w:color w:val="auto"/>
        </w:rPr>
      </w:pPr>
      <w:r>
        <w:rPr>
          <w:sz w:val="20"/>
          <w:szCs w:val="20"/>
          <w:color w:val="auto"/>
        </w:rPr>
        <w:br w:type="column"/>
      </w:r>
    </w:p>
    <w:p>
      <w:pPr>
        <w:ind w:right="20"/>
        <w:spacing w:after="0" w:line="296" w:lineRule="auto"/>
        <w:rPr>
          <w:sz w:val="20"/>
          <w:szCs w:val="20"/>
          <w:color w:val="auto"/>
        </w:rPr>
      </w:pPr>
      <w:r>
        <w:rPr>
          <w:rFonts w:ascii="Arial" w:cs="Arial" w:eastAsia="Arial" w:hAnsi="Arial"/>
          <w:sz w:val="16"/>
          <w:szCs w:val="16"/>
          <w:color w:val="auto"/>
        </w:rPr>
        <w:t>Yes. Ownership of Newco common stock is subject to both general and specific risks relating to its business, the industry in which it operates, its ongoing contractual relationships with BD and its status as a separate, publicly traded company. Ownership of Newco common stock is also subject to risks relating to the separation. Certain of these risks are described in the “Risk Factors” section of this information statement. We encourage you to read that section carefully.</w:t>
      </w:r>
    </w:p>
    <w:p>
      <w:pPr>
        <w:spacing w:after="0" w:line="161" w:lineRule="exact"/>
        <w:rPr>
          <w:sz w:val="20"/>
          <w:szCs w:val="20"/>
          <w:color w:val="auto"/>
        </w:rPr>
      </w:pPr>
    </w:p>
    <w:p>
      <w:pPr>
        <w:sectPr>
          <w:pgSz w:w="11900" w:h="16838" w:orient="portrait"/>
          <w:cols w:equalWidth="0" w:num="2">
            <w:col w:w="3520" w:space="460"/>
            <w:col w:w="7140"/>
          </w:cols>
          <w:pgMar w:left="320" w:top="459" w:right="459" w:bottom="1440" w:gutter="0" w:footer="0" w:header="0"/>
          <w:type w:val="continuous"/>
        </w:sect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Does Newco plan to pay dividends and does BD plan to change its dividend policy following the spin-off?</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Newco has not yet determined whether it expects to pay a regular dividend after the separation and distribution. The timing, declaration, amount of, and payment of any dividends following the separation and the distribution will be within the discretion of Newco’s Board of Directors and will depend upon many factors. See “Dividend Policy.”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BD previously announced that it does not expect the spin-off to affect its current dividend policy.</w:t>
      </w:r>
    </w:p>
    <w:p>
      <w:pPr>
        <w:spacing w:after="0" w:line="200" w:lineRule="exact"/>
        <w:rPr>
          <w:sz w:val="20"/>
          <w:szCs w:val="20"/>
          <w:color w:val="auto"/>
        </w:rPr>
      </w:pPr>
    </w:p>
    <w:p>
      <w:pPr>
        <w:sectPr>
          <w:pgSz w:w="11900" w:h="16838" w:orient="portrait"/>
          <w:cols w:equalWidth="0" w:num="2">
            <w:col w:w="3640" w:space="340"/>
            <w:col w:w="7140"/>
          </w:cols>
          <w:pgMar w:left="320" w:top="459" w:right="459" w:bottom="1440" w:gutter="0" w:footer="0" w:header="0"/>
          <w:type w:val="continuous"/>
        </w:sectPr>
      </w:pPr>
    </w:p>
    <w:p>
      <w:pPr>
        <w:spacing w:after="0" w:line="4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Will Newco incur any indebtedness prior to or at the time of the distribution?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Yes. Newco expects to complete one or more financing transactions on or prior to the completion</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of the distribution. Approximately $ of the proceeds of such financings are expected to be used to distribute cash to BD. In addition, in partial consideration for the contribution of assets</w:t>
      </w:r>
    </w:p>
    <w:p>
      <w:pPr>
        <w:ind w:right="240"/>
        <w:spacing w:after="0" w:line="255" w:lineRule="auto"/>
        <w:rPr>
          <w:sz w:val="20"/>
          <w:szCs w:val="20"/>
          <w:color w:val="auto"/>
        </w:rPr>
      </w:pPr>
      <w:r>
        <w:rPr>
          <w:rFonts w:ascii="Arial" w:cs="Arial" w:eastAsia="Arial" w:hAnsi="Arial"/>
          <w:sz w:val="18"/>
          <w:szCs w:val="18"/>
          <w:color w:val="auto"/>
        </w:rPr>
        <w:t>from BD to Newco, Newco will issue $ of indebtedness to BD, which BD may use to retire outstanding BD indebtedness. As a result of such transactions, Newco anticipates having approximately $</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00" w:space="280"/>
            <w:col w:w="7140"/>
          </w:cols>
          <w:pgMar w:left="32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Newco common stock?</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Where can I find more information about BD and Newco?</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million of indebtedness upon completion of the distribution. On the distribution date, Newco</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anticipates that the debt will consist of . See “Description of Material Indebtedness” and “Risk Factors—Risks Related to Newco’s Business.”</w:t>
      </w:r>
    </w:p>
    <w:p>
      <w:pPr>
        <w:spacing w:after="0" w:line="1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distribution agent, transfer agent and registrar for the Newco common stock will be Computershare. For questions relating to the transfer or mechanics of the stock distribution, you</w:t>
      </w:r>
    </w:p>
    <w:p>
      <w:pPr>
        <w:spacing w:after="0"/>
        <w:tabs>
          <w:tab w:leader="none" w:pos="1840" w:val="left"/>
          <w:tab w:leader="none" w:pos="3380" w:val="left"/>
          <w:tab w:leader="none" w:pos="5400" w:val="left"/>
        </w:tabs>
        <w:rPr>
          <w:sz w:val="20"/>
          <w:szCs w:val="20"/>
          <w:color w:val="auto"/>
        </w:rPr>
      </w:pPr>
      <w:r>
        <w:rPr>
          <w:rFonts w:ascii="Arial" w:cs="Arial" w:eastAsia="Arial" w:hAnsi="Arial"/>
          <w:sz w:val="18"/>
          <w:szCs w:val="18"/>
          <w:color w:val="auto"/>
        </w:rPr>
        <w:t>should contact</w:t>
      </w:r>
      <w:r>
        <w:rPr>
          <w:sz w:val="20"/>
          <w:szCs w:val="20"/>
          <w:color w:val="auto"/>
        </w:rPr>
        <w:tab/>
      </w:r>
      <w:r>
        <w:rPr>
          <w:rFonts w:ascii="Arial" w:cs="Arial" w:eastAsia="Arial" w:hAnsi="Arial"/>
          <w:sz w:val="18"/>
          <w:szCs w:val="18"/>
          <w:color w:val="auto"/>
        </w:rPr>
        <w:t>toll free at</w:t>
      </w:r>
      <w:r>
        <w:rPr>
          <w:sz w:val="20"/>
          <w:szCs w:val="20"/>
          <w:color w:val="auto"/>
        </w:rPr>
        <w:tab/>
      </w:r>
      <w:r>
        <w:rPr>
          <w:rFonts w:ascii="Arial" w:cs="Arial" w:eastAsia="Arial" w:hAnsi="Arial"/>
          <w:sz w:val="18"/>
          <w:szCs w:val="18"/>
          <w:color w:val="auto"/>
        </w:rPr>
        <w:t>or non-toll free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Before the distribution, if you have any questions relating to BD’s business performance, you should contact: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 Department</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the distribution, Newco shareholders who have any questions relating to Newco’s business performance should contact Newco at:</w:t>
      </w:r>
    </w:p>
    <w:p>
      <w:pPr>
        <w:spacing w:after="0" w:line="76" w:lineRule="exact"/>
        <w:rPr>
          <w:sz w:val="20"/>
          <w:szCs w:val="20"/>
          <w:color w:val="auto"/>
        </w:rPr>
      </w:pPr>
    </w:p>
    <w:p>
      <w:pPr>
        <w:sectPr>
          <w:pgSz w:w="11900" w:h="16838" w:orient="portrait"/>
          <w:cols w:equalWidth="0" w:num="2">
            <w:col w:w="3660" w:space="320"/>
            <w:col w:w="7060"/>
          </w:cols>
          <w:pgMar w:left="320" w:top="459" w:right="539" w:bottom="1440" w:gutter="0" w:footer="0" w:header="0"/>
          <w:type w:val="continuous"/>
        </w:sectPr>
      </w:pPr>
    </w:p>
    <w:p>
      <w:pPr>
        <w:ind w:left="3980"/>
        <w:spacing w:after="0"/>
        <w:rPr>
          <w:sz w:val="20"/>
          <w:szCs w:val="20"/>
          <w:color w:val="auto"/>
        </w:rPr>
      </w:pPr>
      <w:r>
        <w:rPr>
          <w:rFonts w:ascii="Arial" w:cs="Arial" w:eastAsia="Arial" w:hAnsi="Arial"/>
          <w:sz w:val="18"/>
          <w:szCs w:val="18"/>
          <w:color w:val="auto"/>
        </w:rPr>
        <w:t>Berra Newco, Inc.</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Attention:</w:t>
      </w:r>
    </w:p>
    <w:p>
      <w:pPr>
        <w:spacing w:after="0" w:line="238" w:lineRule="exact"/>
        <w:rPr>
          <w:sz w:val="20"/>
          <w:szCs w:val="20"/>
          <w:color w:val="auto"/>
        </w:rPr>
      </w:pPr>
    </w:p>
    <w:p>
      <w:pPr>
        <w:ind w:left="3980"/>
        <w:spacing w:after="0"/>
        <w:tabs>
          <w:tab w:leader="none" w:pos="7100" w:val="left"/>
          <w:tab w:leader="none" w:pos="10800" w:val="left"/>
        </w:tabs>
        <w:rPr>
          <w:sz w:val="20"/>
          <w:szCs w:val="20"/>
          <w:color w:val="auto"/>
        </w:rPr>
      </w:pPr>
      <w:r>
        <w:rPr>
          <w:rFonts w:ascii="Arial" w:cs="Arial" w:eastAsia="Arial" w:hAnsi="Arial"/>
          <w:sz w:val="18"/>
          <w:szCs w:val="18"/>
          <w:color w:val="auto"/>
        </w:rPr>
        <w:t>The Newco investor website (</w:t>
      </w:r>
      <w:r>
        <w:rPr>
          <w:rFonts w:ascii="Arial" w:cs="Arial" w:eastAsia="Arial" w:hAnsi="Arial"/>
          <w:sz w:val="18"/>
          <w:szCs w:val="18"/>
          <w:i w:val="1"/>
          <w:iCs w:val="1"/>
          <w:color w:val="auto"/>
        </w:rPr>
        <w:t>www.</w:t>
      </w:r>
      <w:r>
        <w:rPr>
          <w:sz w:val="20"/>
          <w:szCs w:val="20"/>
          <w:color w:val="auto"/>
        </w:rPr>
        <w:tab/>
      </w:r>
      <w:r>
        <w:rPr>
          <w:rFonts w:ascii="Arial" w:cs="Arial" w:eastAsia="Arial" w:hAnsi="Arial"/>
          <w:sz w:val="18"/>
          <w:szCs w:val="18"/>
          <w:i w:val="1"/>
          <w:iCs w:val="1"/>
          <w:color w:val="auto"/>
        </w:rPr>
        <w:t>.com</w:t>
      </w:r>
      <w:r>
        <w:rPr>
          <w:rFonts w:ascii="Arial" w:cs="Arial" w:eastAsia="Arial" w:hAnsi="Arial"/>
          <w:sz w:val="18"/>
          <w:szCs w:val="18"/>
          <w:color w:val="auto"/>
        </w:rPr>
        <w:t>) will be operational on or around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3980" w:right="380"/>
        <w:spacing w:after="0" w:line="253" w:lineRule="auto"/>
        <w:rPr>
          <w:sz w:val="20"/>
          <w:szCs w:val="20"/>
          <w:color w:val="auto"/>
        </w:rPr>
      </w:pPr>
      <w:r>
        <w:rPr>
          <w:rFonts w:ascii="Arial" w:cs="Arial" w:eastAsia="Arial" w:hAnsi="Arial"/>
          <w:sz w:val="18"/>
          <w:szCs w:val="18"/>
          <w:b w:val="1"/>
          <w:bCs w:val="1"/>
          <w:color w:val="auto"/>
        </w:rPr>
        <w:t>The Newco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10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0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STATEMENT SUMMARY</w:t>
      </w:r>
    </w:p>
    <w:p>
      <w:pPr>
        <w:spacing w:after="0" w:line="229" w:lineRule="exact"/>
        <w:rPr>
          <w:sz w:val="20"/>
          <w:szCs w:val="20"/>
          <w:color w:val="auto"/>
        </w:rPr>
      </w:pPr>
    </w:p>
    <w:p>
      <w:pPr>
        <w:ind w:left="300" w:right="80" w:firstLine="426"/>
        <w:spacing w:after="0" w:line="270"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or other information that may be important to you. To better understand the separation and Newco’s business and financial position, you should carefully review this entire information statement. Unless the context otherwise requires, the information included in this information statement about Newco, including the Combined Financial Statements of the Diabetes Care Business, assumes the completion of all of the transactions referred to in this information statement in connection with the separation and distribution. Unless the context otherwise requires, or when otherwise specified, references in this information statement to “Newco,” “we,” “us,” “our,” “our company” and “the company” refer to Berra Newco, Inc. a Delaware corporation, and its subsidiaries. Unless the context otherwise requires, references in this information statement to “BD” refer to Becton, Dickinson and Company, a New Jersey corporation, and its consolidated subsidiaries, including the diabetes care business prior to completion of the separation.</w:t>
      </w:r>
    </w:p>
    <w:p>
      <w:pPr>
        <w:spacing w:after="0" w:line="181" w:lineRule="exact"/>
        <w:rPr>
          <w:sz w:val="20"/>
          <w:szCs w:val="20"/>
          <w:color w:val="auto"/>
        </w:rPr>
      </w:pPr>
    </w:p>
    <w:p>
      <w:pPr>
        <w:jc w:val="both"/>
        <w:ind w:left="300" w:right="400" w:firstLine="426"/>
        <w:spacing w:after="0" w:line="311" w:lineRule="auto"/>
        <w:rPr>
          <w:sz w:val="20"/>
          <w:szCs w:val="20"/>
          <w:color w:val="auto"/>
        </w:rPr>
      </w:pPr>
      <w:r>
        <w:rPr>
          <w:rFonts w:ascii="Arial" w:cs="Arial" w:eastAsia="Arial" w:hAnsi="Arial"/>
          <w:sz w:val="16"/>
          <w:szCs w:val="16"/>
          <w:i w:val="1"/>
          <w:iCs w:val="1"/>
          <w:color w:val="auto"/>
        </w:rPr>
        <w:t>Unless the context otherwise requires, or when otherwise specified, references in this information statement to Newco’s historical assets, liabilities, products, businesses or activities of Newco’s businesses are generally intended to refer to the historical assets, liabilities, products, businesses or activities of the diabetes care business of BD as it was conducted as part of BD prior to completion of the separation.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Newco is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9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92"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In addition to selling pen needles, syringes and safety devices, we seek to promote advances in diabetes care through thought leadership and engagement with people with diabetes, healthcare providers and other stakeholders. To foster connection with and offer support to people with diabetes, we launched our diabetes care app (the “diabetes care app”) in 2018. The app serves as a channel for our support, education of and engagement with this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90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312" w:lineRule="exact"/>
        <w:rPr>
          <w:sz w:val="20"/>
          <w:szCs w:val="20"/>
          <w:color w:val="auto"/>
        </w:rPr>
      </w:pPr>
    </w:p>
    <w:p>
      <w:pPr>
        <w:jc w:val="both"/>
        <w:ind w:left="300" w:right="320"/>
        <w:spacing w:after="0" w:line="263" w:lineRule="auto"/>
        <w:rPr>
          <w:sz w:val="20"/>
          <w:szCs w:val="20"/>
          <w:color w:val="auto"/>
        </w:rPr>
      </w:pPr>
      <w:r>
        <w:rPr>
          <w:rFonts w:ascii="Arial" w:cs="Arial" w:eastAsia="Arial" w:hAnsi="Arial"/>
          <w:sz w:val="18"/>
          <w:szCs w:val="18"/>
          <w:color w:val="auto"/>
        </w:rPr>
        <w:t>management of diabetes for healthcare professionals and people with diabetes globally. FITTER seeks to promote evidence-based clinical best practice, safety and self-care of diabetes injectable and infusion therapies for improved health outcomes, well-being, lower healthcare costs and reduced burden on care providers and the wider society.</w:t>
      </w:r>
    </w:p>
    <w:p>
      <w:pPr>
        <w:spacing w:after="0" w:line="184"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in 2022, we are currently working on developing a potential insulin patch pump focused on serving the needs of people living with Type 2 diabetes. We are still in the process of designing and developing the product and, if and when we complete this process, we will need to apply for and obtain clearance from the FDA and similar regulatory authorities in jurisdictions outside of the United States to market and sell this product in the United States and abroad.</w:t>
      </w:r>
    </w:p>
    <w:p>
      <w:pPr>
        <w:spacing w:after="0" w:line="166"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240" w:right="60" w:hanging="415"/>
        <w:spacing w:after="0" w:line="29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7.5 billion injection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240" w:right="20" w:hanging="415"/>
        <w:spacing w:after="0" w:line="255"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Globally recognized franchise with 95-year history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we have a reputation among people with diabetes and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07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312" w:lineRule="exact"/>
        <w:rPr>
          <w:sz w:val="20"/>
          <w:szCs w:val="20"/>
          <w:color w:val="auto"/>
        </w:rPr>
      </w:pPr>
    </w:p>
    <w:p>
      <w:pPr>
        <w:ind w:left="1240" w:right="300"/>
        <w:spacing w:after="0" w:line="293" w:lineRule="auto"/>
        <w:rPr>
          <w:sz w:val="20"/>
          <w:szCs w:val="20"/>
          <w:color w:val="auto"/>
        </w:rPr>
      </w:pPr>
      <w:r>
        <w:rPr>
          <w:rFonts w:ascii="Arial" w:cs="Arial" w:eastAsia="Arial" w:hAnsi="Arial"/>
          <w:sz w:val="16"/>
          <w:szCs w:val="16"/>
          <w:color w:val="auto"/>
        </w:rPr>
        <w:t>is recognized as the standard-bearer in pen needles, insulin syringes and diabetes medication injection safety products among people with diabetes and healthcare providers worldwide.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70" w:lineRule="exact"/>
        <w:rPr>
          <w:sz w:val="20"/>
          <w:szCs w:val="20"/>
          <w:color w:val="auto"/>
        </w:rPr>
      </w:pPr>
    </w:p>
    <w:p>
      <w:pPr>
        <w:ind w:left="1240" w:right="260" w:hanging="415"/>
        <w:spacing w:after="0" w:line="271"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nearly 30 million people in over 100 countries for insulin administration and to aid with the daily management of diabetes. Our sales provide us with a strong, stable and recurring revenue base that is geographically diversified. In fiscal year 2020, approximately 50%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83" w:lineRule="exact"/>
        <w:rPr>
          <w:rFonts w:ascii="Arial" w:cs="Arial" w:eastAsia="Arial" w:hAnsi="Arial"/>
          <w:sz w:val="17"/>
          <w:szCs w:val="17"/>
          <w:color w:val="auto"/>
        </w:rPr>
      </w:pPr>
    </w:p>
    <w:p>
      <w:pPr>
        <w:ind w:left="1240" w:right="240" w:hanging="415"/>
        <w:spacing w:after="0" w:line="28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1240" w:right="200" w:hanging="415"/>
        <w:spacing w:after="0" w:line="28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History of innovation and pipeline of new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holistic approach to innovation with a track record of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that we believe have improved the standard of diabetes care. We have a pipeline of products under development, including those that may represent a potential improvement on existing products and entirely new products. For example, in 2022, we are currently working on developing a potential insulin patch pump focused on serving the needs of people with Type 2 diabetes, though any such product, if and when developed, will require clearance from the FDA and similar regulatory authorities in jurisdictions outside of the United States before we can market and sell the product. We also focus on engaging with and supporting our user base. To this end, we have developed our diabetes care app, which provides users with an integrated diabetes self-management solution. Our diabetes care app has been downloaded over 300,000 times since its first launch in May 2018, and is available for download in the United States, Canada, Brazil, Germany, Mexico, Switzerland, Italy and Japan. We view digital engagement as a key vector for our future growth, and we plan to continue to enhance our digital capabilities in coming years.</w:t>
      </w:r>
    </w:p>
    <w:p>
      <w:pPr>
        <w:spacing w:after="0" w:line="73" w:lineRule="exact"/>
        <w:rPr>
          <w:rFonts w:ascii="Arial" w:cs="Arial" w:eastAsia="Arial" w:hAnsi="Arial"/>
          <w:sz w:val="16"/>
          <w:szCs w:val="16"/>
          <w:color w:val="auto"/>
        </w:rPr>
      </w:pPr>
    </w:p>
    <w:p>
      <w:pPr>
        <w:ind w:left="1240" w:hanging="41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Proven executive leadership and a highly motivated workforce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assembled an experienced and accomplished senior</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20" w:type="dxa"/>
            <w:vAlign w:val="bottom"/>
            <w:gridSpan w:val="2"/>
          </w:tcPr>
          <w:p>
            <w:pPr>
              <w:ind w:left="1120"/>
              <w:spacing w:after="0"/>
              <w:rPr>
                <w:sz w:val="20"/>
                <w:szCs w:val="20"/>
                <w:color w:val="auto"/>
              </w:rPr>
            </w:pPr>
            <w:r>
              <w:rPr>
                <w:rFonts w:ascii="Arial" w:cs="Arial" w:eastAsia="Arial" w:hAnsi="Arial"/>
                <w:sz w:val="18"/>
                <w:szCs w:val="18"/>
                <w:color w:val="auto"/>
                <w:w w:val="97"/>
              </w:rPr>
              <w:t>management team. Our senior management team consists of</w:t>
            </w:r>
          </w:p>
        </w:tc>
        <w:tc>
          <w:tcPr>
            <w:tcW w:w="3480" w:type="dxa"/>
            <w:vAlign w:val="bottom"/>
          </w:tcPr>
          <w:p>
            <w:pPr>
              <w:ind w:left="340"/>
              <w:spacing w:after="0"/>
              <w:rPr>
                <w:sz w:val="20"/>
                <w:szCs w:val="20"/>
                <w:color w:val="auto"/>
              </w:rPr>
            </w:pPr>
            <w:r>
              <w:rPr>
                <w:rFonts w:ascii="Arial" w:cs="Arial" w:eastAsia="Arial" w:hAnsi="Arial"/>
                <w:sz w:val="18"/>
                <w:szCs w:val="18"/>
                <w:color w:val="auto"/>
                <w:w w:val="98"/>
              </w:rPr>
              <w:t>executives who each have, on average,</w:t>
            </w:r>
          </w:p>
        </w:tc>
        <w:tc>
          <w:tcPr>
            <w:tcW w:w="1620" w:type="dxa"/>
            <w:vAlign w:val="bottom"/>
          </w:tcPr>
          <w:p>
            <w:pPr>
              <w:ind w:left="360"/>
              <w:spacing w:after="0"/>
              <w:rPr>
                <w:sz w:val="20"/>
                <w:szCs w:val="20"/>
                <w:color w:val="auto"/>
              </w:rPr>
            </w:pPr>
            <w:r>
              <w:rPr>
                <w:rFonts w:ascii="Arial" w:cs="Arial" w:eastAsia="Arial" w:hAnsi="Arial"/>
                <w:sz w:val="18"/>
                <w:szCs w:val="18"/>
                <w:color w:val="auto"/>
              </w:rPr>
              <w:t>years of</w:t>
            </w:r>
          </w:p>
        </w:tc>
      </w:tr>
      <w:tr>
        <w:trPr>
          <w:trHeight w:val="216"/>
        </w:trPr>
        <w:tc>
          <w:tcPr>
            <w:tcW w:w="4020" w:type="dxa"/>
            <w:vAlign w:val="bottom"/>
          </w:tcPr>
          <w:p>
            <w:pPr>
              <w:ind w:left="1120"/>
              <w:spacing w:after="0"/>
              <w:rPr>
                <w:sz w:val="20"/>
                <w:szCs w:val="20"/>
                <w:color w:val="auto"/>
              </w:rPr>
            </w:pPr>
            <w:r>
              <w:rPr>
                <w:rFonts w:ascii="Arial" w:cs="Arial" w:eastAsia="Arial" w:hAnsi="Arial"/>
                <w:sz w:val="18"/>
                <w:szCs w:val="18"/>
                <w:color w:val="auto"/>
              </w:rPr>
              <w:t>healthcare industry experience and</w:t>
            </w: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years of experience working in diabetes care. Our leadership and employees are</w:t>
            </w:r>
          </w:p>
        </w:tc>
      </w:tr>
      <w:tr>
        <w:trPr>
          <w:trHeight w:val="230"/>
        </w:trPr>
        <w:tc>
          <w:tcPr>
            <w:tcW w:w="4020" w:type="dxa"/>
            <w:vAlign w:val="bottom"/>
          </w:tcPr>
          <w:p>
            <w:pPr>
              <w:ind w:left="1120"/>
              <w:spacing w:after="0"/>
              <w:rPr>
                <w:sz w:val="20"/>
                <w:szCs w:val="20"/>
                <w:color w:val="auto"/>
              </w:rPr>
            </w:pPr>
            <w:r>
              <w:rPr>
                <w:rFonts w:ascii="Arial" w:cs="Arial" w:eastAsia="Arial" w:hAnsi="Arial"/>
                <w:sz w:val="18"/>
                <w:szCs w:val="18"/>
                <w:color w:val="auto"/>
              </w:rPr>
              <w:t>energized by the</w:t>
            </w:r>
          </w:p>
        </w:tc>
        <w:tc>
          <w:tcPr>
            <w:tcW w:w="19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0"/>
        </w:trPr>
        <w:tc>
          <w:tcPr>
            <w:tcW w:w="4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361"/>
        </w:trPr>
        <w:tc>
          <w:tcPr>
            <w:tcW w:w="4020" w:type="dxa"/>
            <w:vAlign w:val="bottom"/>
          </w:tcPr>
          <w:p>
            <w:pPr>
              <w:spacing w:after="0"/>
              <w:rPr>
                <w:sz w:val="24"/>
                <w:szCs w:val="24"/>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34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7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312" w:lineRule="exact"/>
        <w:rPr>
          <w:sz w:val="20"/>
          <w:szCs w:val="20"/>
          <w:color w:val="auto"/>
        </w:rPr>
      </w:pPr>
    </w:p>
    <w:p>
      <w:pPr>
        <w:ind w:left="1240" w:right="740"/>
        <w:spacing w:after="0" w:line="277" w:lineRule="auto"/>
        <w:rPr>
          <w:sz w:val="20"/>
          <w:szCs w:val="20"/>
          <w:color w:val="auto"/>
        </w:rPr>
      </w:pPr>
      <w:r>
        <w:rPr>
          <w:rFonts w:ascii="Arial" w:cs="Arial" w:eastAsia="Arial" w:hAnsi="Arial"/>
          <w:sz w:val="18"/>
          <w:szCs w:val="18"/>
          <w:color w:val="auto"/>
        </w:rPr>
        <w:t>prospect of being part of a leading pure-play leader in the diabetes space and are excited at the prospect of driving continued innovation and improvements in the standard of diabetes care globally.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jc w:val="both"/>
        <w:ind w:left="1240" w:right="80" w:hanging="415"/>
        <w:spacing w:after="0" w:line="287"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Increase use of our products through sales and marketing efforts, education and diabetes management solutions</w:t>
      </w:r>
      <w:r>
        <w:rPr>
          <w:rFonts w:ascii="Arial" w:cs="Arial" w:eastAsia="Arial" w:hAnsi="Arial"/>
          <w:sz w:val="16"/>
          <w:szCs w:val="16"/>
          <w:color w:val="auto"/>
        </w:rPr>
        <w:t>. According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Diabetes Federation (the “IDF”), approximately 463 million adults (aged 20-79) worldwide were living with diabetes in 2019, including those who are not yet diagnosed, and the number is projected to increase to 578 million adults by 2030 and</w:t>
      </w:r>
    </w:p>
    <w:p>
      <w:pPr>
        <w:spacing w:after="0" w:line="2" w:lineRule="exact"/>
        <w:rPr>
          <w:rFonts w:ascii="Arial" w:cs="Arial" w:eastAsia="Arial" w:hAnsi="Arial"/>
          <w:sz w:val="16"/>
          <w:szCs w:val="16"/>
          <w:color w:val="auto"/>
        </w:rPr>
      </w:pPr>
    </w:p>
    <w:p>
      <w:pPr>
        <w:ind w:left="1240" w:right="20"/>
        <w:spacing w:after="0" w:line="268" w:lineRule="auto"/>
        <w:rPr>
          <w:rFonts w:ascii="Arial" w:cs="Arial" w:eastAsia="Arial" w:hAnsi="Arial"/>
          <w:sz w:val="16"/>
          <w:szCs w:val="16"/>
          <w:color w:val="auto"/>
        </w:rPr>
      </w:pPr>
      <w:r>
        <w:rPr>
          <w:rFonts w:ascii="Arial" w:cs="Arial" w:eastAsia="Arial" w:hAnsi="Arial"/>
          <w:sz w:val="17"/>
          <w:szCs w:val="17"/>
          <w:color w:val="auto"/>
        </w:rPr>
        <w:t>700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8" w:lineRule="exact"/>
        <w:rPr>
          <w:rFonts w:ascii="Arial" w:cs="Arial" w:eastAsia="Arial" w:hAnsi="Arial"/>
          <w:sz w:val="16"/>
          <w:szCs w:val="16"/>
          <w:color w:val="auto"/>
        </w:rPr>
      </w:pPr>
    </w:p>
    <w:p>
      <w:pPr>
        <w:ind w:left="1240" w:hanging="415"/>
        <w:spacing w:after="0" w:line="290"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17%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2020 and the sales in emerging markets has grown approximately 6%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240" w:right="40" w:hanging="415"/>
        <w:spacing w:after="0" w:line="288"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3" w:lineRule="exact"/>
        <w:rPr>
          <w:rFonts w:ascii="Arial" w:cs="Arial" w:eastAsia="Arial" w:hAnsi="Arial"/>
          <w:sz w:val="16"/>
          <w:szCs w:val="16"/>
          <w:color w:val="auto"/>
        </w:rPr>
      </w:pPr>
    </w:p>
    <w:p>
      <w:pPr>
        <w:ind w:left="1240" w:right="1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Pursue strategic partnerships and acquisition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explore strategic partnerships and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that enable us to accelerate our growth. We intend</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61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312"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92" w:lineRule="exact"/>
        <w:rPr>
          <w:sz w:val="20"/>
          <w:szCs w:val="20"/>
          <w:color w:val="auto"/>
        </w:rPr>
      </w:pPr>
    </w:p>
    <w:p>
      <w:pPr>
        <w:ind w:left="1240" w:right="120" w:hanging="415"/>
        <w:spacing w:after="0" w:line="254"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Seek to provide other products and services that will be useful for diabetes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independent, pure-play,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left="300" w:right="60" w:firstLine="426"/>
        <w:spacing w:after="0" w:line="286" w:lineRule="auto"/>
        <w:rPr>
          <w:sz w:val="20"/>
          <w:szCs w:val="20"/>
          <w:color w:val="auto"/>
        </w:rPr>
      </w:pPr>
      <w:r>
        <w:rPr>
          <w:rFonts w:ascii="Arial" w:cs="Arial" w:eastAsia="Arial" w:hAnsi="Arial"/>
          <w:sz w:val="17"/>
          <w:szCs w:val="17"/>
          <w:color w:val="auto"/>
        </w:rPr>
        <w:t>An investment in Newco is subject to a number of risks, including risks relating to its business, risks related to Newco’s separation from BD, and risks related to Newco common stock. Set forth below is a high-level summary of some, but not all, of these risks. Please read the information in the section entitled “Risk Factors” of this information statement for a more thorough description of these and other risks.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Newco’s Business</w:t>
      </w:r>
    </w:p>
    <w:p>
      <w:pPr>
        <w:spacing w:after="0" w:line="131" w:lineRule="exact"/>
        <w:rPr>
          <w:sz w:val="20"/>
          <w:szCs w:val="20"/>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medical technology industry is very competitive.</w:t>
      </w:r>
    </w:p>
    <w:p>
      <w:pPr>
        <w:spacing w:after="0" w:line="130" w:lineRule="exact"/>
        <w:rPr>
          <w:rFonts w:ascii="Arial" w:cs="Arial" w:eastAsia="Arial" w:hAnsi="Arial"/>
          <w:sz w:val="18"/>
          <w:szCs w:val="18"/>
          <w:color w:val="auto"/>
        </w:rPr>
      </w:pPr>
    </w:p>
    <w:p>
      <w:pPr>
        <w:ind w:left="1240" w:right="20" w:hanging="415"/>
        <w:spacing w:after="0" w:line="308"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Newco generates a significant amount of its products and cash flows from a few key products, and any events that adversely affect the sale or profitability of these products could adversely affect Newco’s sales, results of operations and cash flows.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breakthroughs in diabetes treatment or prevention may reduce demand for Newco’s products.</w:t>
      </w:r>
    </w:p>
    <w:p>
      <w:pPr>
        <w:spacing w:after="0" w:line="130" w:lineRule="exact"/>
        <w:rPr>
          <w:rFonts w:ascii="Arial" w:cs="Arial" w:eastAsia="Arial" w:hAnsi="Arial"/>
          <w:sz w:val="18"/>
          <w:szCs w:val="18"/>
          <w:color w:val="auto"/>
        </w:rPr>
      </w:pPr>
    </w:p>
    <w:p>
      <w:pPr>
        <w:jc w:val="both"/>
        <w:ind w:left="1240" w:right="360" w:hanging="415"/>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92"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 may experience difficulties and delays in the manufacturing of its products or sterilization operations, and any such difficulties and delays could adversely affect Newco’s business.</w:t>
      </w:r>
    </w:p>
    <w:p>
      <w:pPr>
        <w:spacing w:after="0" w:line="75" w:lineRule="exact"/>
        <w:rPr>
          <w:rFonts w:ascii="Arial" w:cs="Arial" w:eastAsia="Arial" w:hAnsi="Arial"/>
          <w:sz w:val="18"/>
          <w:szCs w:val="18"/>
          <w:color w:val="auto"/>
        </w:rPr>
      </w:pPr>
    </w:p>
    <w:p>
      <w:pPr>
        <w:ind w:left="1240" w:right="80" w:hanging="415"/>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Newco’s products are subject to continuous reimbursement, coverage and access scrutiny by both third-party and government payers, including the scope of products covered, access and coverage among product brands and manufacturers, reimbursement limitations and price adjustment restrictions. A change in any of these factors could have an adverse impact on Newco’s financial condition and results of operations.</w:t>
      </w:r>
    </w:p>
    <w:p>
      <w:pPr>
        <w:spacing w:after="0" w:line="92"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 may enter into strategic collaborations, in-licensing arrangements or alliances with third parties that may not result in the development of commercially viable products or the generation of revenue.</w:t>
      </w:r>
    </w:p>
    <w:p>
      <w:pPr>
        <w:spacing w:after="0" w:line="75" w:lineRule="exact"/>
        <w:rPr>
          <w:rFonts w:ascii="Arial" w:cs="Arial" w:eastAsia="Arial" w:hAnsi="Arial"/>
          <w:sz w:val="18"/>
          <w:szCs w:val="18"/>
          <w:color w:val="auto"/>
        </w:rPr>
      </w:pPr>
    </w:p>
    <w:p>
      <w:pPr>
        <w:ind w:left="1240" w:right="2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Newco’s sales and marketing efforts rely upon independent distributors that are free to market products that compete with Newco’s products, and if Newco is unable to maintain or expand its network of independent distributors, its business could be materially adversely affected.</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44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312" w:lineRule="exact"/>
        <w:rPr>
          <w:sz w:val="20"/>
          <w:szCs w:val="20"/>
          <w:color w:val="auto"/>
        </w:rPr>
      </w:pPr>
    </w:p>
    <w:p>
      <w:pPr>
        <w:ind w:left="1240" w:right="1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Newco’s future growth is dependent in part upon the development of new products, and there can be no assurance that such products will be developed or be successful.</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third parties on which Newco relies to conduct its clinical trials and to assist it with pre-clinical development do not perform as contractually required or expected, or if market or clinical studies are unfavorable to our products in developments, Newco may not be able to obtain regulatory clearance or approval or commercialize our products.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Newco’s failure to maintain strong relationships with physicians and other healthcare professionals could adversely affect its business.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Newco’s international operations subject it to certain business risks.</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Newco fails to protect its intellectual property or proprietary technology, such failure could adversely affect its business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31" w:lineRule="exact"/>
        <w:rPr>
          <w:sz w:val="20"/>
          <w:szCs w:val="20"/>
          <w:color w:val="auto"/>
        </w:rPr>
      </w:pPr>
    </w:p>
    <w:p>
      <w:pPr>
        <w:ind w:left="124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Newco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separation, Newco’s financial profile will change, and it will be a smaller, less diversified company than BD prior to the separation.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Newco may not achieve some or all of the expected benefits of the separation.</w:t>
      </w:r>
    </w:p>
    <w:p>
      <w:pPr>
        <w:spacing w:after="0" w:line="130"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separation, Newco will enter into a number of agreements with BD, pursuant to which BD will be providing a number of essential services to Newco. If BD fails to perform under these agreements, such failure could have a material adverse effect on Newco’s operations.</w:t>
      </w:r>
    </w:p>
    <w:p>
      <w:pPr>
        <w:spacing w:after="0" w:line="89" w:lineRule="exact"/>
        <w:rPr>
          <w:rFonts w:ascii="Arial" w:cs="Arial" w:eastAsia="Arial" w:hAnsi="Arial"/>
          <w:sz w:val="18"/>
          <w:szCs w:val="18"/>
          <w:color w:val="auto"/>
        </w:rPr>
      </w:pPr>
    </w:p>
    <w:p>
      <w:pPr>
        <w:ind w:left="1240" w:right="40" w:hanging="415"/>
        <w:spacing w:after="0" w:line="308"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Newco is unable to replace the services that BD currently provides to it on terms that are at least as favorable to Newco as the terms on which BD is providing such services, Newco’s business and results of operations could be adversely affected.</w:t>
      </w:r>
    </w:p>
    <w:p>
      <w:pPr>
        <w:spacing w:after="0" w:line="51" w:lineRule="exact"/>
        <w:rPr>
          <w:rFonts w:ascii="Arial" w:cs="Arial" w:eastAsia="Arial" w:hAnsi="Arial"/>
          <w:sz w:val="17"/>
          <w:szCs w:val="17"/>
          <w:color w:val="auto"/>
        </w:rPr>
      </w:pPr>
    </w:p>
    <w:p>
      <w:pPr>
        <w:ind w:left="1240" w:right="40" w:hanging="415"/>
        <w:spacing w:after="0" w:line="308"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Newco’s accounting and other management systems and resources may not be adequately prepared to meet the financial reporting and other requirements to which it will be subject as a standalone publicly traded company following the distribution.</w:t>
      </w:r>
    </w:p>
    <w:p>
      <w:pPr>
        <w:spacing w:after="0" w:line="51" w:lineRule="exact"/>
        <w:rPr>
          <w:rFonts w:ascii="Arial" w:cs="Arial" w:eastAsia="Arial" w:hAnsi="Arial"/>
          <w:sz w:val="17"/>
          <w:szCs w:val="17"/>
          <w:color w:val="auto"/>
        </w:rPr>
      </w:pPr>
    </w:p>
    <w:p>
      <w:pPr>
        <w:ind w:left="1240" w:right="6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separation, Newco will be required to rebrand its products, which could adversely affect its ability to attract and maintain end users.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Newco will incur debt obligations that could adversely affect its business and profitability and its ability to meet other obligations.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Newco Common Stock</w:t>
      </w:r>
    </w:p>
    <w:p>
      <w:pPr>
        <w:spacing w:after="0" w:line="131" w:lineRule="exact"/>
        <w:rPr>
          <w:sz w:val="20"/>
          <w:szCs w:val="20"/>
          <w:color w:val="auto"/>
        </w:rPr>
      </w:pPr>
    </w:p>
    <w:p>
      <w:pPr>
        <w:ind w:left="1240" w:right="22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no assurance that an active trading market for Newco common stock will develop or be sustained after the distribution and, following the distribution, the price of Newco common stock may fluctuate significantly.</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number of shares of Newco common stock may be sold following the distribution, which may cause the Newco stock price to decline.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percentage of ownership in Newco may be diluted in the future.</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64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312" w:lineRule="exact"/>
        <w:rPr>
          <w:sz w:val="20"/>
          <w:szCs w:val="20"/>
          <w:color w:val="auto"/>
        </w:rPr>
      </w:pPr>
    </w:p>
    <w:p>
      <w:pPr>
        <w:ind w:left="1240" w:right="440" w:hanging="415"/>
        <w:spacing w:after="0" w:line="308"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Newco has not yet determined its dividend policy, and even if Newco determines that its dividend policy will be to pay a regular dividend, Newco cannot guarantee the timing, declaration, amount or payment of dividends on its common stock.</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with the separation to occur through a pro rata distribution to the BD shareholders of 100% of the shares of common stock of a company formed to hold the diabetes care business.</w:t>
      </w:r>
    </w:p>
    <w:p>
      <w:pPr>
        <w:spacing w:after="0" w:line="184"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On , the BD Board of Directors approved the distribution of all of Newco’s issued and outstanding shares of common stock on the basis of shares of Newco common stock for every share of BD common stock held as of the close of business on , the record date for the distribution.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Newco’s Post-Separation Relationship with BD</w:t>
      </w:r>
    </w:p>
    <w:p>
      <w:pPr>
        <w:spacing w:after="0" w:line="117"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color w:val="auto"/>
        </w:rPr>
        <w:t>After the distribution, BD and Newco will each be separate companies with separate management teams and separate boards of directors. Prior to the distribution, BD and Newco will enter into the separation and distribution agreement. In connection with the separation, Newco will also enter into various other agreements to effect the separation and to provide a framework for Newco’s relationship with BD after the separation, including a transition services agreement, a tax matters agreement, an employee matters agreement, a cannula supply agreement, contract manufacturing agreements, an intellectual property matters agreement and other transaction agreement. See “Certain Relationships and Related Party Transactions.” These agreements will provide for the allocation between Newco and BD of the assets, employees, liabilities and obligations (including, among others, investments, property and employee benefits and tax-related assets and liabilities) of BD and its subsidiaries attributable to periods prior to, at and after the separation and will govern the relationship between us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17"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240" w:hanging="415"/>
        <w:spacing w:after="0" w:line="259"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 Newco</w:t>
      </w:r>
      <w:r>
        <w:rPr>
          <w:rFonts w:ascii="Arial" w:cs="Arial" w:eastAsia="Arial" w:hAnsi="Arial"/>
          <w:sz w:val="18"/>
          <w:szCs w:val="18"/>
          <w:i w:val="1"/>
          <w:iCs w:val="1"/>
          <w:color w:val="auto"/>
        </w:rPr>
        <w:t xml:space="preserve"> </w:t>
      </w:r>
      <w:r>
        <w:rPr>
          <w:rFonts w:ascii="Arial" w:cs="Arial" w:eastAsia="Arial" w:hAnsi="Arial"/>
          <w:sz w:val="18"/>
          <w:szCs w:val="18"/>
          <w:color w:val="auto"/>
        </w:rPr>
        <w:t>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1240" w:right="20" w:hanging="415"/>
        <w:spacing w:after="0" w:line="272"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More Efficient Resource and Capital Allocation to Pursue Each Company’s Strategic Goals. </w:t>
      </w:r>
      <w:r>
        <w:rPr>
          <w:rFonts w:ascii="Arial" w:cs="Arial" w:eastAsia="Arial" w:hAnsi="Arial"/>
          <w:sz w:val="17"/>
          <w:szCs w:val="17"/>
          <w:color w:val="auto"/>
        </w:rPr>
        <w:t>The separation will permit each of BD</w:t>
      </w:r>
      <w:r>
        <w:rPr>
          <w:rFonts w:ascii="Arial" w:cs="Arial" w:eastAsia="Arial" w:hAnsi="Arial"/>
          <w:sz w:val="17"/>
          <w:szCs w:val="17"/>
          <w:i w:val="1"/>
          <w:iCs w:val="1"/>
          <w:color w:val="auto"/>
        </w:rPr>
        <w:t xml:space="preserve"> </w:t>
      </w:r>
      <w:r>
        <w:rPr>
          <w:rFonts w:ascii="Arial" w:cs="Arial" w:eastAsia="Arial" w:hAnsi="Arial"/>
          <w:sz w:val="17"/>
          <w:szCs w:val="17"/>
          <w:color w:val="auto"/>
        </w:rPr>
        <w:t>and Newco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 Newco will be free to invest its strong capital generation for its own organic and inorganic opportunities in order to accelerate growth and expand its leadership for the benefit of patients and to drive shareholder value.</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64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312" w:lineRule="exact"/>
        <w:rPr>
          <w:sz w:val="20"/>
          <w:szCs w:val="20"/>
          <w:color w:val="auto"/>
        </w:rPr>
      </w:pPr>
    </w:p>
    <w:p>
      <w:pPr>
        <w:ind w:left="1240" w:right="60" w:hanging="415"/>
        <w:spacing w:after="0" w:line="263"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240" w:right="360" w:hanging="415"/>
        <w:spacing w:after="0" w:line="311"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Newco, affording Newco</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Newco will have more flexibility to capitalize on its unique strategic opportunities.</w:t>
      </w:r>
    </w:p>
    <w:p>
      <w:pPr>
        <w:spacing w:after="0" w:line="54" w:lineRule="exact"/>
        <w:rPr>
          <w:rFonts w:ascii="Arial" w:cs="Arial" w:eastAsia="Arial" w:hAnsi="Arial"/>
          <w:sz w:val="16"/>
          <w:szCs w:val="16"/>
          <w:color w:val="auto"/>
        </w:rPr>
      </w:pPr>
    </w:p>
    <w:p>
      <w:pPr>
        <w:ind w:left="1240" w:right="40" w:hanging="415"/>
        <w:spacing w:after="0" w:line="293"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Newco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Newco to be better aligned with its business. Similarly, recruitment and retention for Newco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 that (1) the anticipated benefits of the separation may not be achieved for a variety of reasons; and (2) after the separation, as a standalone company, Newco may be unable to obtain the goods and services that the diabetes care business previously obtained as part of BD at prices or on terms as favorable as those currently obtained by BD. In determining to pursue the separation, the BD Board of Directors concluded the potential benefits of the separation outweighed the foregoing factors. See the sections entitled “The Separation and Distribution—Reasons for the Separation” and “Risk Factors” included elsewhere in this information statement.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20" w:firstLine="426"/>
        <w:spacing w:after="0" w:line="287" w:lineRule="auto"/>
        <w:rPr>
          <w:sz w:val="20"/>
          <w:szCs w:val="20"/>
          <w:color w:val="auto"/>
        </w:rPr>
      </w:pPr>
      <w:r>
        <w:rPr>
          <w:rFonts w:ascii="Arial" w:cs="Arial" w:eastAsia="Arial" w:hAnsi="Arial"/>
          <w:sz w:val="16"/>
          <w:szCs w:val="16"/>
          <w:color w:val="auto"/>
        </w:rPr>
        <w:t>Newco was incorporated in Delaware for the purpose of holding BD’s diabetes care business in connection with the separation and distribution described in this information statement. Prior to the transfer of the diabetes care business to Newco by BD, which will occur prior to the distribution, Newco will have no operations other than those incidental to the separation. The address of Newco’s principal executive offices</w:t>
      </w:r>
    </w:p>
    <w:p>
      <w:pPr>
        <w:spacing w:after="0" w:line="2"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 xml:space="preserve">will be . Its telephone number after the distribution will be . Newco will maintain an Internet site at </w:t>
      </w:r>
      <w:r>
        <w:rPr>
          <w:rFonts w:ascii="Arial" w:cs="Arial" w:eastAsia="Arial" w:hAnsi="Arial"/>
          <w:sz w:val="18"/>
          <w:szCs w:val="18"/>
          <w:i w:val="1"/>
          <w:iCs w:val="1"/>
          <w:color w:val="auto"/>
        </w:rPr>
        <w:t>www. .com</w:t>
      </w:r>
      <w:r>
        <w:rPr>
          <w:rFonts w:ascii="Arial" w:cs="Arial" w:eastAsia="Arial" w:hAnsi="Arial"/>
          <w:sz w:val="18"/>
          <w:szCs w:val="18"/>
          <w:color w:val="auto"/>
        </w:rPr>
        <w:t>. This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BD shareholders who will receive shares of Newco common stock in the distribution. It is not to be construed as an inducement or encouragement to buy or sell any of Newco’s securities. The information contained in this information statement is believed by Newco to be accurate as of the date set forth on its cover. Changes may occur after that date, and neither BD nor Newco will update the information except as may be required in the normal course of their respective disclosure obligations and practices.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and Unaudited Pro Forma Financial Information</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The following tables set forth summary historical combined and unaudited pro forma financial information. You should read this information in conjunction with the information under “Selected Historical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584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312" w:lineRule="exact"/>
        <w:rPr>
          <w:sz w:val="20"/>
          <w:szCs w:val="20"/>
          <w:color w:val="auto"/>
        </w:rPr>
      </w:pPr>
    </w:p>
    <w:p>
      <w:pPr>
        <w:ind w:left="300" w:right="220"/>
        <w:spacing w:after="0" w:line="263" w:lineRule="auto"/>
        <w:rPr>
          <w:sz w:val="20"/>
          <w:szCs w:val="20"/>
          <w:color w:val="auto"/>
        </w:rPr>
      </w:pPr>
      <w:r>
        <w:rPr>
          <w:rFonts w:ascii="Arial" w:cs="Arial" w:eastAsia="Arial" w:hAnsi="Arial"/>
          <w:sz w:val="18"/>
          <w:szCs w:val="18"/>
          <w:color w:val="auto"/>
        </w:rPr>
        <w:t>Combined Financial Data of the Diabetes Care Business,” “Unaudited Pro Forma Condensed Combined Financial Information,” “Management’s Discussion and Analysis of Financial Condition and Results of Operations,” our audited annual combined financial statements and the related notes included elsewhere in this information statement.</w:t>
      </w:r>
    </w:p>
    <w:p>
      <w:pPr>
        <w:spacing w:after="0" w:line="184"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We derived the selected historical combined financial information for each of the fiscal years in the three-year period ended September 30, 2021 from our audited annual combined financial statements included elsewhere in this information statement.</w:t>
      </w:r>
    </w:p>
    <w:p>
      <w:pPr>
        <w:spacing w:after="0" w:line="170"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The selected unaudited pro forma financial information as of and for the year ended September 30, 2021 is unaudited and has been derived from our unaudited pro forma financial information included elsewhere in this information statement.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Balance Sheet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1"/>
              </w:rPr>
              <w:t>Pro Forma as of</w:t>
            </w:r>
          </w:p>
        </w:tc>
        <w:tc>
          <w:tcPr>
            <w:tcW w:w="440" w:type="dxa"/>
            <w:vAlign w:val="bottom"/>
          </w:tcPr>
          <w:p>
            <w:pPr>
              <w:spacing w:after="0"/>
              <w:rPr>
                <w:sz w:val="14"/>
                <w:szCs w:val="14"/>
                <w:color w:val="auto"/>
              </w:rPr>
            </w:pPr>
          </w:p>
        </w:tc>
        <w:tc>
          <w:tcPr>
            <w:tcW w:w="2100" w:type="dxa"/>
            <w:vAlign w:val="bottom"/>
            <w:gridSpan w:val="4"/>
            <w:vMerge w:val="restart"/>
          </w:tcPr>
          <w:p>
            <w:pPr>
              <w:jc w:val="right"/>
              <w:ind w:right="351"/>
              <w:spacing w:after="0"/>
              <w:rPr>
                <w:sz w:val="20"/>
                <w:szCs w:val="20"/>
                <w:color w:val="auto"/>
              </w:rPr>
            </w:pPr>
            <w:r>
              <w:rPr>
                <w:rFonts w:ascii="Arial" w:cs="Arial" w:eastAsia="Arial" w:hAnsi="Arial"/>
                <w:sz w:val="14"/>
                <w:szCs w:val="14"/>
                <w:b w:val="1"/>
                <w:bCs w:val="1"/>
                <w:color w:val="auto"/>
              </w:rPr>
              <w:t>As of September 30,</w:t>
            </w:r>
          </w:p>
        </w:tc>
        <w:tc>
          <w:tcPr>
            <w:tcW w:w="3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80" w:type="dxa"/>
            <w:vAlign w:val="bottom"/>
          </w:tcPr>
          <w:p>
            <w:pPr>
              <w:spacing w:after="0"/>
              <w:rPr>
                <w:sz w:val="6"/>
                <w:szCs w:val="6"/>
                <w:color w:val="auto"/>
              </w:rPr>
            </w:pPr>
          </w:p>
        </w:tc>
        <w:tc>
          <w:tcPr>
            <w:tcW w:w="44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6"/>
                <w:szCs w:val="6"/>
                <w:color w:val="auto"/>
              </w:rPr>
            </w:pPr>
          </w:p>
        </w:tc>
        <w:tc>
          <w:tcPr>
            <w:tcW w:w="2100" w:type="dxa"/>
            <w:vAlign w:val="bottom"/>
            <w:tcBorders>
              <w:bottom w:val="single" w:sz="8" w:color="auto"/>
            </w:tcBorders>
            <w:gridSpan w:val="4"/>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26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36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Parent’s Equity</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60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0" w:type="dxa"/>
            <w:vAlign w:val="bottom"/>
          </w:tcPr>
          <w:p>
            <w:pPr>
              <w:jc w:val="right"/>
              <w:ind w:right="1494"/>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672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672840"/>
                    </a:xfrm>
                    <a:prstGeom prst="rect">
                      <a:avLst/>
                    </a:prstGeom>
                    <a:noFill/>
                  </pic:spPr>
                </pic:pic>
              </a:graphicData>
            </a:graphic>
          </wp:anchor>
        </w:drawing>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Statement of Income</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2"/>
              </w:rPr>
              <w:t>For the Year Ended September 30,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4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340" w:type="dxa"/>
            <w:vAlign w:val="bottom"/>
            <w:gridSpan w:val="2"/>
          </w:tcPr>
          <w:p>
            <w:pPr>
              <w:jc w:val="center"/>
              <w:ind w:left="1388"/>
              <w:spacing w:after="0"/>
              <w:rPr>
                <w:sz w:val="20"/>
                <w:szCs w:val="20"/>
                <w:color w:val="auto"/>
              </w:rPr>
            </w:pPr>
            <w:r>
              <w:rPr>
                <w:rFonts w:ascii="Arial" w:cs="Arial" w:eastAsia="Arial" w:hAnsi="Arial"/>
                <w:sz w:val="14"/>
                <w:szCs w:val="14"/>
                <w:b w:val="1"/>
                <w:bCs w:val="1"/>
                <w:color w:val="auto"/>
                <w:w w:val="89"/>
              </w:rPr>
              <w:t>2021</w:t>
            </w: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4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284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20"/>
                <w:szCs w:val="20"/>
                <w:color w:val="auto"/>
              </w:rPr>
            </w:pP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8"/>
          <w:szCs w:val="18"/>
          <w:color w:val="auto"/>
        </w:rPr>
        <w:t>Diluted earnings per common share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Weighted-average common shares outstanding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ind w:left="5540" w:right="2520" w:hanging="5242"/>
        <w:spacing w:after="0" w:line="747" w:lineRule="auto"/>
        <w:tabs>
          <w:tab w:leader="none" w:pos="7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 17</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Newco and Newco common stock. Any of the following risks and uncertainties could materially adversely affect Newco’s business, financial condition or results of operations.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Newco’s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medical technology industry is very competitive.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Newco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Newco in the United States or other markets, as well as smaller, more specialized companies.</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Newco’s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Newco’s ability to remain competitive will depend on how well it will meet these changing market demands in terms of its product offerings and marketing approaches.</w:t>
      </w:r>
    </w:p>
    <w:p>
      <w:pPr>
        <w:spacing w:after="0" w:line="17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Newco’s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Newco’s products will be commercially successful, and it is possible that its business will be adversely affected from time to time as a result of products developed by its competitors.</w:t>
      </w:r>
    </w:p>
    <w:p>
      <w:pPr>
        <w:spacing w:after="0" w:line="177"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Consolidation among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Newco’s products.</w:t>
      </w:r>
    </w:p>
    <w:p>
      <w:pPr>
        <w:spacing w:after="0" w:line="27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b w:val="1"/>
          <w:bCs w:val="1"/>
          <w:i w:val="1"/>
          <w:iCs w:val="1"/>
          <w:color w:val="auto"/>
        </w:rPr>
        <w:t>Newco generates a significant amount of its products and cash flows from a few key products, and any events that adversely affect the sale or profitability of these products could have an adverse impact on Newco’s sales, results of operations and cash flows.</w:t>
      </w:r>
    </w:p>
    <w:p>
      <w:pPr>
        <w:spacing w:after="0" w:line="16"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Newco’s ability to generate profits and operating cash flow depends largely upon the continued profitability of its key products, such as its pen needles and syringes. For example, for the fiscal year ended September 30, 2020, sales of pen needles (including both conventional and safety pen needles) accounted for $872 million, or 80%, of its total sales. Any event that adversely affects the sale or profitability of this product could adversely affect Newco’s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Technological breakthroughs in diabetes treatment or prevention may reduce demand for Newco’s products.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diabetes treatment industry is subject to technological change and product innovation. A number of companies and medical researchers are pursuing new ways to deliver insulin to patients, including insulin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administration technologies that do not require the use of a needle, or to treat diabetes without the use of insulin or by delaying the use of insulin. If they are successful in developing these technologies or treatment therapies, the demand for Newco’s products could decline. Furthermore, the National Institutes of Health and other supporters of diabetes research are continually seeking ways to prevent diabetes. Any technological breakthroughs in diabetes prevention or treatment could decrease demand for Newco’s products and have a material adverse effect on its business or results of operations.</w:t>
      </w:r>
    </w:p>
    <w:p>
      <w:pPr>
        <w:spacing w:after="0" w:line="265" w:lineRule="exact"/>
        <w:rPr>
          <w:sz w:val="20"/>
          <w:szCs w:val="20"/>
          <w:color w:val="auto"/>
        </w:rPr>
      </w:pPr>
    </w:p>
    <w:p>
      <w:pPr>
        <w:ind w:left="120" w:right="100"/>
        <w:spacing w:after="0" w:line="340" w:lineRule="auto"/>
        <w:rPr>
          <w:sz w:val="20"/>
          <w:szCs w:val="20"/>
          <w:color w:val="auto"/>
        </w:rPr>
      </w:pPr>
      <w:r>
        <w:rPr>
          <w:rFonts w:ascii="Arial" w:cs="Arial" w:eastAsia="Arial" w:hAnsi="Arial"/>
          <w:sz w:val="15"/>
          <w:szCs w:val="15"/>
          <w:b w:val="1"/>
          <w:bCs w:val="1"/>
          <w:i w:val="1"/>
          <w:iCs w:val="1"/>
          <w:color w:val="auto"/>
        </w:rPr>
        <w:t>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23"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Newco will rely on a number of third parties to supply and manufacture the components and raw materials for its products. For example, in connection with the separation and prior to the distribution, Newco and BD will enter into a cannula supply agreement, whereby BD will sell to Newco cannulas for incorporation into Newco’s products for sale within the diabetes care sector. Cannulas are a component part of a wide variety of medical devices that use needles to deliver fluid into, or through which blood is drawn from, the body. After the separation, BD will retain ownership of all cannula production activities and all intellectual property rights of BD and its subsidiaries relating to cannula, the manufacture thereof and other critical cannula-related technology. The cannula supply agreement will be terminable by BD without cause by providing at least 36 months’ written notice; however, such termination can be effective no earlier than seven years from the distribution date. The cannula supply agreement will also terminate automatically, subject to a 36-month wind-down period, if Newco’s yearly forecast is below the required minimum purchase amount, and the parties will have other customary termination rights for material breach or bankruptcy of the other party. Newco is also limited to a maximum number of cannulas that it can purchase under the cannula supply agreement. If BD fails to perform under this agreement or BD terminates this agreement in accordance with its terms and, in either case, Newco cannot find a way to purchase cannula from another party or manufacture cannula, or if Newco needs to purchase more cannula than it is permitted under cannula supply agreement, Newco may have insufficient cannulas for its products, which could materially adversely affect Newco’s business, financial condition or results of operations.</w:t>
      </w:r>
    </w:p>
    <w:p>
      <w:pPr>
        <w:spacing w:after="0" w:line="186"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Newco also obtains other component parts and raw materials from other third parties. In many cases, Newco will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Newco’s agreements with suppliers can be terminated by either party by convenience upon short notice.</w:t>
      </w:r>
    </w:p>
    <w:p>
      <w:pPr>
        <w:spacing w:after="0" w:line="16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Certain raw materials and components used in the manufacture of pen needles and syringes, including cannulas, certain oil-based resins and rubber stoppers, are not always available from multiple sources. In addition, for quality assurance, cost-effectiveness and other reasons, Newco purchases certain raw materials and components from a single supplier. The price and supply of these materials and components may be affected or disrupted for reasons beyond Newco’s control. While Newco works with suppliers to ensure continuity of supply, no assurance can be given that these efforts will be successful. In the event that any of its existing supply arrangements are terminated or there is a reduction or interruption of supply under these existing arrangements, Newco expects that it will be able to enter into new arrangements with alternative suppliers, but these new arrangements may be on terms that are less favorable, including with respect to price and volume, and it may be costly or cause delays in Newco’s manufacturing process to transition to a new supplier, particularly in cases in which Newco must comply with regulatory requirements relating to qualification of new suppliers. The termination, reduction or interruption in supply of these raw materials and components could adversely impact Newco’s ability to manufacture and sell certain of its products.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Newco’s products. Any such failure to perform or a reduction or interruption in supply could have a material adverse effect on Newco’s business and operations.</w:t>
      </w:r>
    </w:p>
    <w:p>
      <w:pPr>
        <w:spacing w:after="0" w:line="2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Newco may experience difficulties and delays in the manufacturing of its products or sterilization operations, and any such difficulties and delays could adversely affect Newco’s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Newco may experience difficulties and delays inherent in manufacturing its products, such as failure of Newco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Newco could experience difficulties or delays in manufacturing its products caused by natural disasters. Manufacturing difficulties can also result in product shortages, leading to lost sales and reputational harm to us. In addition, many of Newco’s products require sterilization prior to sale. In some instances, only a few facilities are qualified under applicable regulations to conduct this sterilization. To the extent Newco or third parties are unable to sterilize Newco’s products, whether due to lack of capacity, regulatory requirements or otherwise, Newco may be unable to transition sterilization to other sites or modalities in a timely or cost effective manner, or at all, which could have an adverse impact on Newco’s business.</w:t>
      </w:r>
    </w:p>
    <w:p>
      <w:pPr>
        <w:spacing w:after="0" w:line="293"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A substantial portion of Newco’s revenue is derived from sales to a few customers. If these customers reduce the amount of product that they purchase from Newco or reduce the amount that they are willing to pay for such products, Newco’s business, financial condition and results of operations could be adversely affected.</w:t>
      </w:r>
    </w:p>
    <w:p>
      <w:pPr>
        <w:spacing w:after="0" w:line="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 substantial portion of Newco’s revenues is derived from sales to a few customers. For example, for the fiscal year ended September 30, 2020, sales to McKesson Corporation, Cardinal Health and AmerisourceBergen Drug Corporation, Newco’s three largest distributors, together represented approximately 39% of Newco’s worldwide sales. In addition, for the fiscal year ended September 30, 2020, direct sales to the five largest retail pharmacies for Newco’s products together represented approximately 14% of Newco’s worldwide sales. If any of Newco’s largest customers reduce the amount of product that they purchase from Newco or decrease the price that they pay for such products, it could have a material adverse effect on Newco’s business, financial condition and results of operations.</w:t>
      </w:r>
    </w:p>
    <w:p>
      <w:pPr>
        <w:spacing w:after="0" w:line="286" w:lineRule="exact"/>
        <w:rPr>
          <w:sz w:val="20"/>
          <w:szCs w:val="20"/>
          <w:color w:val="auto"/>
        </w:rPr>
      </w:pPr>
    </w:p>
    <w:p>
      <w:pPr>
        <w:ind w:left="120" w:right="380"/>
        <w:spacing w:after="0" w:line="340" w:lineRule="auto"/>
        <w:rPr>
          <w:sz w:val="20"/>
          <w:szCs w:val="20"/>
          <w:color w:val="auto"/>
        </w:rPr>
      </w:pPr>
      <w:r>
        <w:rPr>
          <w:rFonts w:ascii="Arial" w:cs="Arial" w:eastAsia="Arial" w:hAnsi="Arial"/>
          <w:sz w:val="15"/>
          <w:szCs w:val="15"/>
          <w:b w:val="1"/>
          <w:bCs w:val="1"/>
          <w:i w:val="1"/>
          <w:iCs w:val="1"/>
          <w:color w:val="auto"/>
        </w:rPr>
        <w:t>Newco’s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Newco’s financial condition and results of operations</w:t>
      </w:r>
      <w:r>
        <w:rPr>
          <w:rFonts w:ascii="Arial" w:cs="Arial" w:eastAsia="Arial" w:hAnsi="Arial"/>
          <w:sz w:val="15"/>
          <w:szCs w:val="15"/>
          <w:b w:val="1"/>
          <w:bCs w:val="1"/>
          <w:color w:val="auto"/>
        </w:rPr>
        <w:t>.</w:t>
      </w:r>
    </w:p>
    <w:p>
      <w:pPr>
        <w:spacing w:after="0" w:line="2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Newco to differentiate its products with existing payers based on these and other factors or establish new payer relationships may adversely affect its financial condition and results of operations.</w:t>
      </w:r>
    </w:p>
    <w:p>
      <w:pPr>
        <w:spacing w:after="0" w:line="188"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170"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Newco’s business. In addition to formulary placement, changes in insurance designs continue to drive greater consumer cost-sharing through high deductible plans and higher co-insurance or co-pays, increasing consumer sensitivity to product choice.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Newco is consistently managing the burden of continued pressures associated with payers’ discount requirements to maintain positive formulary positions. If Newco fails to maintain these formulary positions or reduces prices on its products to maintain these formulary positions, it could adversely affect Newco’s results of operations. In addition to the evolving payer market that continues to put price pressure on Newco’s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19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to the ongoing challenges faced across the United States, Newco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Newco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GPOs, with potential significant price erosions and cost containment within the healthcare landscape. These continued pricing pressures could adversely affect Newco’s financial condition and results of operations.</w:t>
      </w:r>
    </w:p>
    <w:p>
      <w:pPr>
        <w:spacing w:after="0" w:line="3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Newco may enter into strategic collaborations, in-licensing arrangements or alliances with third parties that may not result in the development of commercially viable products or the generation of revenue.</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ordinary course of its business, Newco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9"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Newco may not identify or secure these collaborations in a timely manner, on a cost-effective basis, on acceptable terms or at all;</w:t>
      </w:r>
    </w:p>
    <w:p>
      <w:pPr>
        <w:spacing w:after="0" w:line="153" w:lineRule="exact"/>
        <w:rPr>
          <w:rFonts w:ascii="Arial" w:cs="Arial" w:eastAsia="Arial" w:hAnsi="Arial"/>
          <w:sz w:val="16"/>
          <w:szCs w:val="16"/>
          <w:color w:val="auto"/>
        </w:rPr>
      </w:pPr>
    </w:p>
    <w:p>
      <w:pPr>
        <w:ind w:left="1540" w:right="460" w:hanging="331"/>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collaborations may not result in the development of products that achieve commercial success or result in any revenue to Newco;</w:t>
      </w:r>
    </w:p>
    <w:p>
      <w:pPr>
        <w:spacing w:after="0" w:line="75" w:lineRule="exact"/>
        <w:rPr>
          <w:rFonts w:ascii="Arial" w:cs="Arial" w:eastAsia="Arial" w:hAnsi="Arial"/>
          <w:sz w:val="18"/>
          <w:szCs w:val="18"/>
          <w:color w:val="auto"/>
        </w:rPr>
      </w:pPr>
    </w:p>
    <w:p>
      <w:pPr>
        <w:jc w:val="both"/>
        <w:ind w:left="1540" w:right="200" w:hanging="331"/>
        <w:spacing w:after="0" w:line="263"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Newco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220" w:hanging="331"/>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Newco may have limited control over the amount and timing of resources that its current collaborators or any future collaborators devote to its collaborators’ or its future products;</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between Newco and its collaborators may result in litigation or arbitration that would increase Newco’s expenses and divert the attention of its management; and</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collaborations may be terminated or dissolved in accordance with their terms prior to the development of any Newco products or any realization by Newco of any other benefits.</w:t>
      </w:r>
    </w:p>
    <w:p>
      <w:pPr>
        <w:spacing w:after="0" w:line="27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Newco’s sales and marketing efforts rely upon independent distributors that are free to market products that compete with Newco’s products, and if Newco is unable to maintain or expand its network of independent distributors, its business could be materially adversely affected.</w:t>
      </w:r>
    </w:p>
    <w:p>
      <w:pPr>
        <w:spacing w:after="0" w:line="1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Newco believes that a significant portion of its sales will continue to be to independent distributors for the foreseeable future, and it is possible that the percentage of its sales to independent distributors could increase. None of Newco’s independent distributors in the United States has been required to sell Newco’s products exclusively, and each of them may freely sell the products of Newco’s competitors. If Newco is unable to maintain or expand its network of independent distributors, its sales may be negatively affected. For the fiscal year ended September 30, 2020, McKesson Corporation, Cardinal Health and AmerisourceBergen Drug Corporation, Newco’s three largest distributors, together represented approximately 39% of Newco’s worldwide sales. If any of its key independent distributors were to cease to distribute Newco’s products or reduce their promotion of such products as compared to the products of Newco’s competitors, Newco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30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Newco’s future growth is dependent in part upon the development of new products, and there can be no assurance that such products will be developed or be successful.</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significant element of Newco’s strategy is to increase revenue growth by focusing on innovation and new product development. For example, Newco is currently working on developing an insulin patch pump focused on serving the needs of people with Type 2 diabetes. However, this potential product is still in the product development phase, and Newco has not yet submitted an application to the FDA seeking clearance for the product. In addition, even if Newco submits an application to the FDA for clearance, there is no assurance that such clearance will be obtained or that Newco will be able to market and sell such product successfully. New product development requires significant investment in research and development. The results of Newco’s product development efforts may be affected by a number of factors, including Newco’s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and obtain reimbursement for such products. There can be no assurance that Newco will be able to successfully develop or commercialize any products now in development or that Newco may seek to develop or commercialize in the future.</w:t>
      </w:r>
    </w:p>
    <w:p>
      <w:pPr>
        <w:spacing w:after="0" w:line="29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If the third parties on which Newco relies to conduct its clinical trials and to assist it with pre-clinical development do not perform as contractually required or expected, or if market or clinical studies are unfavorable to its products in development, Newco may not be able to obtain regulatory clearance or approval or commercialize its products.</w:t>
      </w:r>
    </w:p>
    <w:p>
      <w:pPr>
        <w:spacing w:after="0" w:line="7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Newco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Newco’s clinical protocols or regulatory requirements or for other reasons, Newco’s pre-clinical development activities or clinical trials may be extended, delayed, suspended or terminated, and Newco may not be able to obtain regulatory approval for, or successfully commercialize, its products on a timely basis, or at all, and Newco’s business and operating results may be adversely affected. Furthermore, Newco’s third-party clinical trial investigators may be delayed in conducting such clinical trials for reasons outside of their control.</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addition, if future clinical trials fail to support the efficacy of Newco’s current or future products, Newco’s sales may be adversely affected and may have a material adverse effect on its business, financial condition and results of operations. Future clinical studies or other articles regarding Newco’s existing products or any competing products may be published that either support a claim, or are perceived to support a claim, that a competitor’s product is clinically more effective or easier to use than Newco’s insulin patch pump or that its insulin patch pump is not as effective as Newco claims. Any of these events may negatively affect Newco’s sales efforts and result in decreased revenue.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Newco’s failure to maintain strong relationships with physicians and other healthcare professionals could adversely affect its business.</w:t>
      </w:r>
    </w:p>
    <w:p>
      <w:pPr>
        <w:spacing w:after="0" w:line="1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Newco depends on its ability to maintain strong working relationships with physicians and other healthcare professionals in connection with research and development for some of its products. Newco relies on these professionals to provide it with considerable knowledge and advice regarding the development and use of these products. If Newco fails to maintain its working relationships with physicians and, as a result, no longer has the benefit of their knowledge and advice, Newco’s products may not be developed in a manner that is responsive to the needs and expectations of the professionals who use and support such products, which could have a material adverse effect on Newco’s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Newco may not be able to successfully execute its acquisition strategy, which could adversely affect its financial condition and results of operations.</w:t>
      </w:r>
    </w:p>
    <w:p>
      <w:pPr>
        <w:spacing w:after="0" w:line="152"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Newco intends to explore strategic partnerships and acquisition opportunities that enable it to accelerate its growth. There is no assurance that future acquisitions will be available on attractive terms and Newco’s ability to consummate any acquisition will be subject to various risks and uncertainties, including the negotiation of agreements on satisfactory terms, obtaining applicable regulatory approvals and, after consummation, achieving anticipated synergies and other benefits. If Newco does not successfully execute on its acquisition strategy, it could adversely affect its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Newco’s international operations subject it to certain business risks.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substantial amount of Newco’s sales come from its operations outside the United States, and Newco intends to continue to pursue growth opportunities outside of the United States, especially in emerging markets. Newco’s international operations subject it to certain risks relating to, among other things, fluctuations in foreign currency exchange, local economic and political conditions, competition from local companies, increases in trade protectionism, U.S. relations with the governments of the foreign countries in which Newco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Newco’s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the risks discussed elsewhere, other risks associated with doing business internationally, include:</w:t>
      </w:r>
    </w:p>
    <w:p>
      <w:pPr>
        <w:spacing w:after="0" w:line="131" w:lineRule="exact"/>
        <w:rPr>
          <w:sz w:val="20"/>
          <w:szCs w:val="20"/>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 protection measures, such as tariffs, and import and export licensing and control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consequences from changes in or interpretations of tax laws;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establishing, staffing and managing international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420" w:hanging="331"/>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associated with foreign legal systems, including increased costs associated with enforcing contractual obligations in foreign jurisdictions;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adapting to the differing laws and regulations, business and clinical practices, and consumer preferences in foreign markets;</w:t>
      </w:r>
    </w:p>
    <w:p>
      <w:pPr>
        <w:spacing w:after="0" w:line="142" w:lineRule="exact"/>
        <w:rPr>
          <w:rFonts w:ascii="Arial" w:cs="Arial" w:eastAsia="Arial" w:hAnsi="Arial"/>
          <w:sz w:val="17"/>
          <w:szCs w:val="17"/>
          <w:color w:val="auto"/>
        </w:rPr>
      </w:pPr>
    </w:p>
    <w:p>
      <w:pPr>
        <w:ind w:left="1540" w:right="340" w:hanging="331"/>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partners, distributors or sales or marketing agents;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collecting accounts receivable and longer collection periods.</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Newco’s international operations are governed by the U.S. Foreign Corrupt Practices Act and similar anti-corruption laws outside the United States. Global enforcement of anti-corruption laws has increased substantially in recent years, with more enforcement proceedings by U.S. and foreign governmental agencies and the imposition of significant fines and penalties. Newco’s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Newco to government investigations and significant criminal or civil sanctions and other liabilities, and negatively affect its reputation.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Changes in U.S. policy regarding international trade, including import and export regulation and international trade agreements, could also negatively impact Newco’s business. The United States has imposed tariffs on certain goods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Newco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Newco’s business, prospects, financial condition and results of operations.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departure of the United Kingdom from the European Union (“EU”) (commonly known as “Brexit”) on January 31, 2020 has created uncertainties affecting business operations in the United Kingdom, the EU and a number of other countries, including with respect to compliance with the regulatory regimes regarding the labeling and registration of the products Newco sells in these markets. Newco could face increased costs, volatility in exchange rates, market instability and other risks as a result of Brexit.</w:t>
      </w:r>
    </w:p>
    <w:p>
      <w:pPr>
        <w:spacing w:after="0" w:line="29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Foreign currency exchange rate, inflation, commodity price and interest rate fluctuations may adversely affect Newco’s financial condition and results of operations.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Newco is exposed to a variety of market risks, including the effects of changes in foreign currency exchange rates, commodity prices and interest rates. Products manufactured in, and sold into, regions outside of the United States represent a significant portion of Newco’s operations. The combined financial statements of the diabetes care business reflect translation of financial statements denominated in non-U.S. currencies to U.S. dollars as well as the foreign currency exchange gains and losses resulting from the re-measurement of assets and liabilities. A strengthening or weakening of the U.S. dollar in relation to the foreign currencies of the countries in which Newco sells or manufacture its products, such as the euro, will affect its U.S. dollar-reported revenue and income. Changes in the relative values of currencies may, in some instances, have a significant effect on its results of operations.</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Many of Newco’s products have significant resin content. Newco also uses quantities of other commodities, such as rubber, corrugate and steel. Increases in the prices of these commodities, including due to inflation in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80"/>
        <w:spacing w:after="0" w:line="277" w:lineRule="auto"/>
        <w:rPr>
          <w:sz w:val="20"/>
          <w:szCs w:val="20"/>
          <w:color w:val="auto"/>
        </w:rPr>
      </w:pPr>
      <w:r>
        <w:rPr>
          <w:rFonts w:ascii="Arial" w:cs="Arial" w:eastAsia="Arial" w:hAnsi="Arial"/>
          <w:sz w:val="18"/>
          <w:szCs w:val="18"/>
          <w:color w:val="auto"/>
        </w:rPr>
        <w:t>United States or in other markets, could increase the production and other input costs of Newco’s products. Newco may not be able to pass on these costs to its customers, which could have a material adverse effect on its results of operations and cash flows.</w:t>
      </w:r>
    </w:p>
    <w:p>
      <w:pPr>
        <w:spacing w:after="0" w:line="170"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Increases in interest rates may adversely affect the financial condition of Newco’s distributors and suppliers, thereby adversely affecting their ability to buy Newco’s products and supply the components or raw materials needed by Newco, in each case adversely affecting Newco’s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Newco’s effective tax rate and changes to tax laws may adversely affect it.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a global company, Newco is subject to taxation in numerous countries, states and other jurisdictions. Newco’s effective tax rate is derived from a combination of applicable tax rates in the various countries, states and other jurisdictions in which it operates. In preparing its financial statements, Newco estimates the amount of tax that will become payable in each of these jurisdictions. Newco’s effective tax rate may, however, differ from the estimated amount due to numerous factors, including a change in the mix of its profitability from country to country and changes in tax laws, including potential tax legislation sponsored by the Biden Administration. If these proposals are ultimately enacted into legislation, they could materially impact Newco’s tax provision, cash tax liability and effective tax rate. Any of these factors could cause Newco to experience an effective tax rate significantly different from previous periods or its current expectations, which could have an adverse effect on its business, financial condition, results of operations and cash flows.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Newco fails to protect its intellectual property or proprietary technology, such failure could adversely affect its business and results of operations.</w:t>
      </w:r>
    </w:p>
    <w:p>
      <w:pPr>
        <w:spacing w:after="0" w:line="15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Newco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Newco to rebrand its products. Newco can also lose the protection afforded by these intellectual property assets through patent expirations, legal challenges or governmental action. Patents attained by competitors may also adversely affect Newco’s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Newco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Newco may not be provided with meaningful protection for its trade secrets, know-how or other proprietary information. Newco also operates in countries that do not protect intellectual property rights to the same extent as in the United States, which could make it easier for competitors to compete with Newco in those countries. The loss of a significant portion of its portfolio of intellectual property assets may have an adverse effect on its business and results of operations.</w:t>
      </w:r>
    </w:p>
    <w:p>
      <w:pPr>
        <w:spacing w:after="0" w:line="28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Newco’s products or processes may infringe the intellectual property rights of others, which may cause Newco to pay unexpected litigation costs or damages or prevent Newco from selling its products.</w:t>
      </w:r>
    </w:p>
    <w:p>
      <w:pPr>
        <w:spacing w:after="0" w:line="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Newco cannot be certain that its products do not and will not infringe issued patents or other intellectual property rights of third parties. Newco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Newco is found liable for infringement, it may be required to enter into licensing agreements (which may not be available on acceptable terms or at all) or to pay damages or cease making or selling certain products. Newco may also need to redesign some of Newco’s products or processes to avoid future infringement liability.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Breaches of Newco’s information systems could have a material adverse effect on its operations.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Newco relies on information systems to process, transmit, and store electronic information in its day-to-day operations, including sensitive personal or proprietary information. In addition, some of its products include information systems that collect data regarding patients and patient therapy on behalf of Newco’s customers and some connect to Newco’s systems for maintenance and management purposes. These information systems are subject to attack via malicious code execution, and cyber- or phishing- attacks. Cyberattacks could result in unauthorized access to Newco’s systems and products that could also affect its compliance with privacy and other laws and regulations, and result in actions by regulatory bodies or litigation, which in turn could have a material adverse impact on Newco’s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 needs to attract and retain key employees to be competitive.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Newco’s ability to compete effectively depends upon its ability to attract and retain executives and other key employees. Competition for experienced employees, particularly for persons with specialized skills, can be intense. Newco’s ability to recruit such talent will depend on a number of factors, including compensation and benefits, work location and work environment. If Newco cannot effectively recruit and retain qualified executives and employees, its business could be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Newco’s business may be adversely affected by work stoppages, union negotiations and labor disputes.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Only certain employees, all outside of the United States and representing approximately 27% of our headcount, are represented by various collective bargaining groups. Historically, the effects of collective bargaining and other similar labor agreements have not been significant. However, if a larger number of Newco’s employees were to unionize, including in the wake of any future legislation or administrative regulation that makes it easier for employees to unionize, the effect could be significant.</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significant portion of Newco’s unionized employees have collective bargaining agreements. Any inability to negotiate acceptable new contracts under these collective bargaining arrangements could cause strikes or other work stoppages, and new contracts could result in increased operating costs for Newco. If any such strikes or other work stoppages occur, or if additional employees become represented by a union, a disruption of Newco’s operations and higher labor costs could result. Labor relations matters affecting Newco’s suppliers of products and services could also adversely affect Newco’s business from time to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 is subject to extensive regulation.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Newco’s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are also becoming more stringent throughout the world, which may increase Newco’s costs of operations or necessitate closures of or changes to its manufacturing plants or processes or those of its suppliers, or result in liability to Newco. Newco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Food and Drug Administration (the “FDA”) and other liability to Newco. The enactment of additional laws or changes in existing laws may increase compliance costs or otherwise adversely impact Newco’s operations.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 may have a material adverse effect on Newco’s financial condition and results of operations.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U.S. pharmaceutical and medical device industries. Among other things, the Affordable Care Act:</w:t>
      </w:r>
    </w:p>
    <w:p>
      <w:pPr>
        <w:spacing w:after="0" w:line="92" w:lineRule="exact"/>
        <w:rPr>
          <w:sz w:val="20"/>
          <w:szCs w:val="20"/>
          <w:color w:val="auto"/>
        </w:rPr>
      </w:pPr>
    </w:p>
    <w:p>
      <w:pPr>
        <w:ind w:left="1540" w:right="220" w:hanging="331"/>
        <w:spacing w:after="0" w:line="277"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w:t>
      </w:r>
    </w:p>
    <w:p>
      <w:pPr>
        <w:spacing w:after="0" w:line="75" w:lineRule="exact"/>
        <w:rPr>
          <w:rFonts w:ascii="Arial" w:cs="Arial" w:eastAsia="Arial" w:hAnsi="Arial"/>
          <w:sz w:val="18"/>
          <w:szCs w:val="18"/>
          <w:color w:val="auto"/>
        </w:rPr>
      </w:pPr>
    </w:p>
    <w:p>
      <w:pPr>
        <w:ind w:left="1540" w:right="160" w:hanging="331"/>
        <w:spacing w:after="0" w:line="342" w:lineRule="auto"/>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29" w:lineRule="exact"/>
        <w:rPr>
          <w:rFonts w:ascii="Arial" w:cs="Arial" w:eastAsia="Arial" w:hAnsi="Arial"/>
          <w:sz w:val="16"/>
          <w:szCs w:val="16"/>
          <w:color w:val="auto"/>
        </w:rPr>
      </w:pPr>
    </w:p>
    <w:p>
      <w:pPr>
        <w:ind w:left="1540" w:right="640" w:hanging="331"/>
        <w:spacing w:after="0" w:line="277"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created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cannot predict at this time the full impact of the Affordable Care Act or other healthcare reform measures that may be adopted in the future on Newco’s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Newco’s financial condition, results of operations or cash flows.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Certain modifications to Newco’s products may require new 510(k) clearances or other marketing authorizations and may require Newco to recall or cease marketing its products.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Once a medical device is permitted to be legally marketed in the United States pursuant to a 510(k) clearance, a manufacturer may be required to notify the FDA of certain modifications to the device. Manufacturers determine in the first instance whether a change to a product requires a new 510(k) clearance or premarket submission, but the FDA may review any manufacturer’s decision. The FDA may not agree with Newco’s decisions regarding whether new clearances are necessary. Newco has made modifications to its products in the past and has determined based on its review of the applicable FDA regulations and guidance that in certain instances new 510(k) clearances or other premarket submissions were not required. Newco may make similar modifications or add additional features in the future that it believes does not require a new 510(k) clearance. If the FDA disagrees with Newco’s determinations and requires it to submit new 510(k) notifications, Newco may be required to cease marketing or to recall the modified product until it obtains clearance, and it may be subject to significant regulatory fines or penalties.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 may be subject to enforcement actions if it engages in improper marketing or promotion of its products.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Newco’s promotional materials and training methods must comply with applicable laws and regulations, including of the FDA and the Federal Trade Commission (the “FTC”). If the FDA or the FTC determines that Newco’s promotional or training material constitutes off-label, false or misleading, unfair or deceptive promotion of its products, it could request that Newco modify its training or promotional materials or subject Newco to regulatory or enforcement actions, including the issuance of an untitled letter, a warning letter, injunction, seizure, civil fine or criminal penalties. It is also possible that other federal, state or foreign enforcement authorities might take action if they consider Newco’s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Newco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Newco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will apply to personal data involved in Newco’s operations in the EU or products and services that Newco offers to EU users involving personal data. The GDPR creates a range of new compliance obligations that could require Newco to change its existing business practices policies, and significantly increases financial penalties for noncompliance.</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18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Newco could be subject to audits in Europe and around the world, particularly in the areas of consumer and data protection, as its continue to grow and expand its operations. Legislators and regulators may make legal and regulatory changes, or interpret and apply existing laws, in ways that make Newco’s products less useful to users, require us to incur substantial costs, expose us to unanticipated civil or criminal liability, or cause us to change Newco’s business practices. These changes or increased costs could affect Newco’s business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 is subject to risks associated with public health threats, including the ongoing COVID-19 pandemic.</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Newco is subject to risks associated with public health threats, including the COVID-19 pandemic. The COVID-19 pandemic has the potential to significantly impact Newco’s supply chain if the manufacturing plants that produce its products, raw materials or product components, the distribution centers where Newco manages its inventory or the operations of its logistics and other service providers, including third parties that sterilize its products, are disrupted, temporarily closed or experience worker shortages for a sustained period of time.</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Newco’s manufacturing sites in China, Ireland and the United States, where Newco manufactures a significant amount of its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Newco’s manufacturing sites in China, Ireland and/or the United States or in the surrounding communities, could lead to delays in the manufacturing of Newco’s products, which could have a material adverse effect on Newco’s business and results of operations.</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Newco’s operations or those of distributors or suppliers in Newco’s supply chain.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Newco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76"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historical information about Newco in this information statement refers to the diabetes care business as operated by and integrated with BD. The historical and pro forma financial information of Newco included in this information statement is derived from the Consolidated Financial Statements and accounting records of BD.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Newco will achieve in the future primarily as a result of the factors described below:</w:t>
      </w:r>
    </w:p>
    <w:p>
      <w:pPr>
        <w:spacing w:after="0" w:line="67" w:lineRule="exact"/>
        <w:rPr>
          <w:sz w:val="20"/>
          <w:szCs w:val="20"/>
          <w:color w:val="auto"/>
        </w:rPr>
      </w:pPr>
    </w:p>
    <w:p>
      <w:pPr>
        <w:ind w:left="1540" w:right="20" w:hanging="331"/>
        <w:spacing w:after="0" w:line="275" w:lineRule="auto"/>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Generally, Newco’s working capital requirements and capital for its general corporate purposes, including capital expenditures and acquisitions, have historically been satisfied as part of the corporate-wide cash management policies of BD. Following the completion of the distribution, Newco’s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81" w:lineRule="exact"/>
        <w:rPr>
          <w:rFonts w:ascii="Arial" w:cs="Arial" w:eastAsia="Arial" w:hAnsi="Arial"/>
          <w:sz w:val="17"/>
          <w:szCs w:val="17"/>
          <w:color w:val="auto"/>
        </w:rPr>
      </w:pPr>
    </w:p>
    <w:p>
      <w:pPr>
        <w:ind w:left="1540" w:right="80" w:hanging="331"/>
        <w:spacing w:after="0" w:line="255"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 distribution, Newco’s business has been operated by BD as part of its broader corporate organization, rather than as an independent company. BD or one of its affiliates performed various corporate functions for us, such as legal, treasury, accounting, auditing, human resources, investor relations, and finance. The Diabetes Care Business (as defined in the historical combined financial statements included in this information statement) historical and pro forma financial results reflect allocations of corporate expenses from BD for such functions, which are likely to be less than the expenses we would have incurred had we operated as a separate publicly traded company.</w:t>
      </w:r>
    </w:p>
    <w:p>
      <w:pPr>
        <w:spacing w:after="0" w:line="97" w:lineRule="exact"/>
        <w:rPr>
          <w:rFonts w:ascii="Arial" w:cs="Arial" w:eastAsia="Arial" w:hAnsi="Arial"/>
          <w:sz w:val="18"/>
          <w:szCs w:val="18"/>
          <w:color w:val="auto"/>
        </w:rPr>
      </w:pPr>
    </w:p>
    <w:p>
      <w:pPr>
        <w:ind w:left="1540" w:right="60" w:hanging="331"/>
        <w:spacing w:after="0" w:line="259"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Currently, Newco’s business is integrated with the other businesses of BD. Historically, Newco’s business shared economies of scope and scale in costs, employees, vendor relationships and customer relationships. While we have sought to minimize the impact on Newco when separating these arrangements, there is no guarantee these arrangements will continue to capture these benefits in the future.</w:t>
      </w:r>
    </w:p>
    <w:p>
      <w:pPr>
        <w:spacing w:after="0" w:line="92" w:lineRule="exact"/>
        <w:rPr>
          <w:rFonts w:ascii="Arial" w:cs="Arial" w:eastAsia="Arial" w:hAnsi="Arial"/>
          <w:sz w:val="18"/>
          <w:szCs w:val="18"/>
          <w:color w:val="auto"/>
        </w:rPr>
      </w:pPr>
    </w:p>
    <w:p>
      <w:pPr>
        <w:ind w:left="1540" w:right="160" w:hanging="331"/>
        <w:spacing w:after="0" w:line="311" w:lineRule="auto"/>
        <w:tabs>
          <w:tab w:leader="none" w:pos="1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current part of BD, Newco’s business currently takes advantage of BD’s overall size and scope to procure more advantageous arrangements. After the distribution, as a standalone company, Newco may be unable to obtain similar arrangements to the same extent as BD did, or on terms as favorable as those BD obtained, prior to completion of the distribution.</w:t>
      </w:r>
    </w:p>
    <w:p>
      <w:pPr>
        <w:spacing w:after="0" w:line="54" w:lineRule="exact"/>
        <w:rPr>
          <w:rFonts w:ascii="Arial" w:cs="Arial" w:eastAsia="Arial" w:hAnsi="Arial"/>
          <w:sz w:val="16"/>
          <w:szCs w:val="16"/>
          <w:color w:val="auto"/>
        </w:rPr>
      </w:pPr>
    </w:p>
    <w:p>
      <w:pPr>
        <w:ind w:left="1540" w:right="40" w:hanging="331"/>
        <w:spacing w:after="0" w:line="277"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the completion of the distribution, the cost of capital for Newco’s business may be higher than BD’s cost of capital prior to the distribution.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Newco’s historical financial information does not reflect the debt that we will incur as part of the distribution.</w:t>
      </w:r>
    </w:p>
    <w:p>
      <w:pPr>
        <w:spacing w:after="0" w:line="130" w:lineRule="exact"/>
        <w:rPr>
          <w:rFonts w:ascii="Arial" w:cs="Arial" w:eastAsia="Arial" w:hAnsi="Arial"/>
          <w:sz w:val="18"/>
          <w:szCs w:val="18"/>
          <w:color w:val="auto"/>
        </w:rPr>
      </w:pPr>
    </w:p>
    <w:p>
      <w:pPr>
        <w:ind w:left="1540" w:hanging="331"/>
        <w:spacing w:after="0" w:line="253"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an independent public company, Newco will separately become subject to the reporting requirements of the Securities Exchange Act of 1934, as amended, the Sarbanes-Oxley Act and the Dodd-Frank Wall Street Reform and Consumer Protection Act and will be required to prepare its standalone financial statements according to the rules and regulations required by the SEC. These reporting and other obligations will place significant demands on Newco’s management and administrative and operational resources. Moreover, to comply with these requirements, we anticipate that Newco will need to migrate its systems, including information technology systems, implement additional financial and management controls, reporting systems and procedures, and hire additional accounting and finance staff. Newco expects to incur additional annual expenses related to these steps, and those expenses may be significant. If Newco is unable to upgrade its financial and management controls, reporting systems, information technology and procedures in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420"/>
        <w:spacing w:after="0" w:line="277" w:lineRule="auto"/>
        <w:rPr>
          <w:sz w:val="20"/>
          <w:szCs w:val="20"/>
          <w:color w:val="auto"/>
        </w:rPr>
      </w:pPr>
      <w:r>
        <w:rPr>
          <w:rFonts w:ascii="Arial" w:cs="Arial" w:eastAsia="Arial" w:hAnsi="Arial"/>
          <w:sz w:val="18"/>
          <w:szCs w:val="18"/>
          <w:color w:val="auto"/>
        </w:rPr>
        <w:t>a timely and effective fashion, its ability to comply with financial reporting requirements and other rules that apply to reporting companies under the Securities Exchange Act of 1934, as amended, could be impaired.</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significant changes may occur in Newco’s cost structure, management, financing and business operations as a result of operating as a company separate from BD. For additional information about the past financial performance of its business and the basis of presentation of the historical combined financial statements and the Unaudited Pro Forma Condensed Combined Financial Statements of its business, see “Unaudited Pro Forma Condensed Combined Financial Statements,” “Selected Historical Combined Financial Data of the Diabetes Care Business,” “Management’s Discussion and Analysis of Financial Condition and Results of Operations” and the historical combined financial statements and accompanying notes included elsewhere in this information statement.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Following the separation, Newco’s financial profile will change, and it will be a smaller, less diversified company than BD prior to the separation.</w:t>
      </w:r>
    </w:p>
    <w:p>
      <w:pPr>
        <w:spacing w:after="0" w:line="14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separation will result in Newco being a smaller, less diversified company than BD. As a result, Newco may be more vulnerable to changing market conditions, which could have a material adverse effect on its business, financial condition and results of operations. In addition, the diversification of Newco’s revenues, 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Following the separation we may also lose capital allocation efficiency and flexibility, as Newco will no longer have access to cash flow from BD to fund Newco’s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Newco may not achieve some or all of the expected benefits of the separation.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Newco may not be able to achieve the full strategic and financial benefits expected to result from the separation, or such benefits may be delayed or not occur at all. The separation is expected to provide the following benefits, among others: (1) enabling management of BD and Newco to more effectively pursue the distinct operating priorities and strategies of their respective businesses; (2) permitting BD and Newco to allocate financial resources to meet the unique needs of their respective businesses, which will allow them to intensify their focus on distinct strategic priorities and to more effectively pursue their own distinct capital structures and capital allocation strategies; (3) allowing BD and Newco to more effectively articulate a clear investment thesis to attract a long-term investor base suited to their businesses and providing investors with a distinct and targeted investment opportunity; (4) creating an independent equity security tracking Newco’s underlying business, affording Newco with direct access to the capital markets and facilitating its ability to consummate future acquisitions or other transactions using its common stock; and (5) permitting Newco to more effectively recruit, retain and motivate employees through the use of stock-based compensation that more closely aligns management and employee incentives with specific business goals and objectives related to Newco’s business.</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Newco may not achieve these and other anticipated benefits for a variety of reasons, including, among others: (1) the separation will demand significant management resources and require significant amounts of management’s time and effort, which may divert management’s attention from operating and growing Newco’s business; (2) following the separation, Newco may be more susceptible to market fluctuations, and other adverse events than if it were still a part of BD because Newco’s business will be less diversified than BD’s businesses prior to the completion of the separation;</w:t>
      </w:r>
    </w:p>
    <w:p>
      <w:pPr>
        <w:spacing w:after="0" w:line="1" w:lineRule="exact"/>
        <w:rPr>
          <w:sz w:val="20"/>
          <w:szCs w:val="20"/>
          <w:color w:val="auto"/>
        </w:rPr>
      </w:pPr>
    </w:p>
    <w:p>
      <w:pPr>
        <w:ind w:left="120" w:right="160" w:hanging="4"/>
        <w:spacing w:after="0" w:line="270" w:lineRule="auto"/>
        <w:tabs>
          <w:tab w:leader="none" w:pos="3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after the separation, as a standalone company, Newco may be unable to obtain certain goods, services and technologies at prices or on terms as favorable as those BD obtained prior to completion of the separation; (4) the separation may require Newco to pay costs that could be substantial and material to its financial resources, including accounting, tax, legal and other professional services costs, recruiting and relocation costs associated with hiring key senior management and personnel new to Newco, tax costs and costs to separate information systems; (5) under the terms of the tax matters agreement that Newco will enter into with BD, it will be restricted from taking certain actions that could cause the distribution or certain related transactions to fail to qualify as tax-free to BD and BD shareholders and these restrictions may limit us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 a period of time from pursuing certain strategic transactions and equity issuances or engaging in other transactions that might increase the value of its business; and (6) the contractual arrangements between Newco and BD may be on less favorable terms than the existing intercompany arrangements from which Newco benefits, and such arrangements may be inadequate to provide for the ongoing operation and growth of Newco’s business. If Newco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Newco is unable to replace the services that BD currently provides to it on terms that are at least as favorable to Newco as the terms on which BD is providing such services, Newco’s business and results of operations could be adversely affected.</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Newco will engage in the process of creating its own, or engaging third parties separate from BD to provide, systems and services to replace many of the systems and services that BD currently provides to Newco, including, for example, information technology infrastructure and systems and accounting and reporting systems. Newco may incur temporary interruptions in business operations if it cannot transition effectively from BD’s existing operating systems, databases and programming languages that support these functions to its own systems. The failure to implement the new systems and transition data successfully and cost-effectively could disrupt Newco’s business operations and have a material adverse effect on its profitability. In addition, Newco’s costs for the operation of these systems may be higher than the amounts reflected in its historical combined financial statements.</w:t>
      </w:r>
    </w:p>
    <w:p>
      <w:pPr>
        <w:spacing w:after="0" w:line="272"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b w:val="1"/>
          <w:bCs w:val="1"/>
          <w:i w:val="1"/>
          <w:iCs w:val="1"/>
          <w:color w:val="auto"/>
        </w:rPr>
        <w:t>Newco’s accounting and other management systems and resources may not be adequately prepared to meet the financial reporting and other requirements to which it will be subject as a standalone publicly traded company following the distribution.</w:t>
      </w:r>
    </w:p>
    <w:p>
      <w:pPr>
        <w:spacing w:after="0" w:line="38"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color w:val="auto"/>
        </w:rPr>
        <w:t>Newco’s financial results previously were included within the consolidated results of BD. Newco was not directly subject to the reporting and other requirements of the Exchange Act. As a result of the distribution, Newco will be directly subject to reporting and other obligations under the Exchange Act, including the requirements of Section 404 of Sarbanes-Oxley Act, which will require annual management assessments of the effectiveness of its internal control over financial reporting and a report by its independent registered public accounting firm addressing these assessments. These reporting and other obligations will place significant demands on Newco’s management and administrative and operational resources, including accounting resources.</w:t>
      </w:r>
    </w:p>
    <w:p>
      <w:pPr>
        <w:spacing w:after="0" w:line="19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Moreover, to comply with these requirements, Newco anticipates that it will need to migrate its systems, including information technology systems, implement additional financial and management controls, reporting systems and procedures and hire additional accounting and finance staff. Newco expects to incur additional annual expenses related to these steps, and those expenses may be significant. If Newco is unable to upgrade its financial and management controls, reporting systems, information technology and procedures in a timely and effective fashion, its ability to comply with its financial reporting requirements and other rules that apply to reporting companies under the Securities Exchange Act of 1934, as amended, could be impaired. Any failure to achieve and maintain effective internal controls could have a material adverse effect on its business, financial condition, results of operations and cash flows.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Following the separation, Newco will be required to rebrand its products, which could adversely affect its ability to attract and maintain end users.</w:t>
      </w:r>
    </w:p>
    <w:p>
      <w:pPr>
        <w:spacing w:after="0" w:line="15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Newco has historically marketed its products using the “BD” name and logo, which is a globally recognized brand with a strong reputation for high-quality products among people with diabetes and Newco’s distributors. Under the terms of the intellectual property matters agreement to be entered into with BD in connection with the separation and distribution, Newco will obtain a temporary license to use the “BD” name and logo on its products. Following the expiration of this license, Newco will be required to rebrand its products using the “Newco” name or other names and marks. These new names and brands may not benefit from the same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recognition and association with product quality as the BD name, which could adversely affect Newco’s ability to attract and maintain its customers, who may prefer to use products with a stronger brand identity.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Newco will incur debt obligations that could adversely affect its business and profitability and its ability to meet other obligations.</w:t>
      </w:r>
    </w:p>
    <w:p>
      <w:pPr>
        <w:spacing w:after="0" w:line="1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Newco is expected to complete one or more financing transactions on or prior to the completion of the distribution. Approximately $ of the proceeds of such financings are expected to be used to distribute cash to BD. In addition, in partial consideration for the contribution of assets from</w:t>
      </w:r>
    </w:p>
    <w:p>
      <w:pPr>
        <w:ind w:left="120" w:right="140"/>
        <w:spacing w:after="0" w:line="255" w:lineRule="auto"/>
        <w:rPr>
          <w:sz w:val="20"/>
          <w:szCs w:val="20"/>
          <w:color w:val="auto"/>
        </w:rPr>
      </w:pPr>
      <w:r>
        <w:rPr>
          <w:rFonts w:ascii="Arial" w:cs="Arial" w:eastAsia="Arial" w:hAnsi="Arial"/>
          <w:sz w:val="18"/>
          <w:szCs w:val="18"/>
          <w:color w:val="auto"/>
        </w:rPr>
        <w:t>BD to Newco, Newco will issue $ of indebtedness to BD, which BD may use to retire outstanding BD indebtedness. As a result of such transactions, Newco anticipates having approximately $ million of indebtedness upon completion of the distribution. Newco may also incur additional indebtedness in the future.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significant amount of debt could potentially have important consequences to Newco and its debt and equity investors, including:</w:t>
      </w:r>
    </w:p>
    <w:p>
      <w:pPr>
        <w:spacing w:after="0" w:line="142" w:lineRule="exact"/>
        <w:rPr>
          <w:sz w:val="20"/>
          <w:szCs w:val="20"/>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 substantial portion of its cash flow from operations to make interest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30"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its debt, which could increase future debt costs and limit the future availability of debt financing;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its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Newco’s flexibility in planning for, or reacting to, changes in its business and the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placing Newco at a competitive disadvantage relative to its competitors that may not be as highly leveraged with debt; and</w:t>
      </w:r>
    </w:p>
    <w:p>
      <w:pPr>
        <w:spacing w:after="0" w:line="142" w:lineRule="exact"/>
        <w:rPr>
          <w:rFonts w:ascii="Arial" w:cs="Arial" w:eastAsia="Arial" w:hAnsi="Arial"/>
          <w:sz w:val="17"/>
          <w:szCs w:val="17"/>
          <w:color w:val="auto"/>
        </w:rPr>
      </w:pPr>
    </w:p>
    <w:p>
      <w:pPr>
        <w:ind w:left="1540" w:right="240" w:hanging="331"/>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Newco’s ability to borrow additional funds as needed or take advantage of business opportunities as they arise, pay cash dividends or repurchase ordinary shares.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To the extent that Newco incurs additional indebtedness, the foregoing risks could increase. In addition, Newco’s actual cash requirements in the future may be greater than expected. Its cash flow from operations may not be sufficient to repay all of the outstanding debt as it becomes due, and Newco may not be able to borrow money, sell assets or otherwise raise funds on acceptable terms, or at all, to refinance its debt.</w:t>
      </w:r>
    </w:p>
    <w:p>
      <w:pPr>
        <w:spacing w:after="0" w:line="273"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b w:val="1"/>
          <w:bCs w:val="1"/>
          <w:i w:val="1"/>
          <w:iCs w:val="1"/>
          <w:color w:val="auto"/>
        </w:rPr>
        <w:t>Newco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current U.S. federal income tax law, a spin-off that otherwise qualifies for tax-free treatment can be rendered taxable to the parent corporation and its shareholders as a result of certain post-spin-off transactions, including certain acquisitions of shares or assets of the spun-off corporation. Under the tax matters agreement that Newco will enter into with BD, Newco will be restricted from taking certain actions that could prevent the distribution and certain related transactions from being tax-free for U.S. federal income tax purposes. In particular, under the tax matters agreement, for the two-year period following the distribution, as described in the section entitled “Certain Relationships and Related Party Transactions —Agreements with BD—Tax Matters Agreement,” Newco will be subject to specific restrictions on its ability to pursue or enter into acquisition, merger, sale and redemption transactions with respect to Newco stock. These restrictions may limit Newco’s ability to pursue certain strategic transactions or other transactions that it may believe to be in the best interests of its stockholders or that might increase the value of its business. In addition, under the tax matters agreement, Newco may be required to indemnify BD and its affiliates against any tax-related liabilities incurred by them as a result of the acquisition of Newco’s stock or assets, even if Newco does not participate in or otherwise facilitate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acquisition. Furthermore, Newco will be subject to specific restrictions on discontinuing the active conduct of its trade or business, the issuance or sale of stock or other securities (including securities convertible into Newco stock but excluding certain compensatory arrangements), and sales of assets outside the ordinary course of business. Such restrictions may reduce Newco’s strategic and operating flexibility. For more information, see the section entitled “Certain Relationships and Related Party Transactions—Agreements with BD —Tax Matters Agreement.”</w:t>
      </w:r>
    </w:p>
    <w:p>
      <w:pPr>
        <w:spacing w:after="0" w:line="27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Newco may be held liable to BD if it fails to perform under its agreements with BD, and the performance of such services may negatively affect Newco’s business and operations.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connection with the separation, Newco and BD will enter various agreements, including a separation and distribution agreement,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performance of certain services by each company for the benefit of the other for a period of time after the separation. If Newco does not satisfactorily perform its obligations under these agreements, it may be held liable for any resulting losses suffered by BD, subject to certain limits. In addition, during the transition services periods under the transition services agreement, Newco’s management and employees may be required to divert their attention away from its business in order to provide services to BD, which could adversely affect Newco’s business.</w:t>
      </w:r>
    </w:p>
    <w:p>
      <w:pPr>
        <w:spacing w:after="0" w:line="27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Newco’s agreements with BD may be on terms that are less beneficial to Newco than the terms may have otherwise been from unaffiliated third parties.</w:t>
      </w:r>
    </w:p>
    <w:p>
      <w:pPr>
        <w:spacing w:after="0" w:line="6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agreements that Newco will enter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were prepared in the context of the separation while Newco was still a wholly owned subsidiary of BD. Accordingly, during the period in which the terms of those agreements were prepared, Newco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30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If there is a determination that the distribution or certain related transactions are taxable for U.S. federal income tax purposes, BD and its shareholders could incur significant tax liabilities, and Newco could incur significant liabilities pursuant to its indemnification obligations under the tax matters agreement.</w:t>
      </w:r>
    </w:p>
    <w:p>
      <w:pPr>
        <w:spacing w:after="0" w:line="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It is a condition to the distribution that BD receive an opinion of its outside tax counsel, satisfactory to the BD Board of Directors, regarding the qualification of the contribution of assets from BD to Newco and the distribution, taken together, as a “reorganization” within the meaning of Sections 368(a)(1)(D) and 355 of the Code and such opinion has not been withdrawn or rescinded. The opinion of its outside tax counsel will be based upon and rely on, among other things, various facts and assumptions, as well as certain representations, statements and undertakings of BD and Newco,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and the conclusions reached therein could be jeopardized.</w:t>
      </w:r>
    </w:p>
    <w:p>
      <w:pPr>
        <w:spacing w:after="0" w:line="16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Notwithstanding BD’s receipt of the opinion of its outside tax counsel, the IRS could determine on audit that the distribution or certain related transactions are taxable for U.S. federal income tax purposes if it determines that any of the facts, assumptions, representations, statements and undertakings upon which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opinion was based are incorrect or have been violated, or if it disagrees with any of the conclusions in the opinion. Accordingly, notwithstanding BD’s receipt of the opinion of its outside tax counsel,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BD and BD’s shareholders could incur significant tax liabilities. For a discussion of the U.S. federal income tax consequences of the distribution, see “Material U.S. Federal Income Tax Consequences.”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the tax matters agreement that Newco will enter into with BD, Newco generally will be required to indemnify BD for any taxes incurred by BD that arise as a result of Newco taking or failing to take, as the case may be, certain actions that result in the distribution and certain related transactions failing to qualify as tax-free for U.S. federal income tax purposes. Any such indemnification could materially adversely affect Newco’s financial condition, results of operations and cash flows. For a more detailed discussion, see “Certain Relationships and Related Party Transactions— Agreements with BD—Tax Matters Agreement.”</w:t>
      </w:r>
    </w:p>
    <w:p>
      <w:pPr>
        <w:spacing w:after="0" w:line="296" w:lineRule="exact"/>
        <w:rPr>
          <w:sz w:val="20"/>
          <w:szCs w:val="20"/>
          <w:color w:val="auto"/>
        </w:rPr>
      </w:pPr>
    </w:p>
    <w:p>
      <w:pPr>
        <w:jc w:val="both"/>
        <w:ind w:left="120" w:right="300"/>
        <w:spacing w:after="0" w:line="340" w:lineRule="auto"/>
        <w:rPr>
          <w:sz w:val="20"/>
          <w:szCs w:val="20"/>
          <w:color w:val="auto"/>
        </w:rPr>
      </w:pPr>
      <w:r>
        <w:rPr>
          <w:rFonts w:ascii="Arial" w:cs="Arial" w:eastAsia="Arial" w:hAnsi="Arial"/>
          <w:sz w:val="15"/>
          <w:szCs w:val="15"/>
          <w:b w:val="1"/>
          <w:bCs w:val="1"/>
          <w:i w:val="1"/>
          <w:iCs w:val="1"/>
          <w:color w:val="auto"/>
        </w:rPr>
        <w:t>The transfer to Newco of certain contracts, permits and other assets and rights may require the consents, approvals of, or provide other rights to, third parties and governmental authorities. If such consents or approvals are not obtained, Newco may not be entitled to the full benefit of such contracts, permits and other assets and rights, which could increase its expenses or otherwise harm its business and financial performance.</w:t>
      </w:r>
    </w:p>
    <w:p>
      <w:pPr>
        <w:spacing w:after="0" w:line="23"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separation and distribution agreement will provide that certain contracts, permits and other assets and rights are to be transferred from BD or its subsidiaries to Newco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Newco and BD are joint beneficiaries of contracts, and Newco and BD may need the consents of third parties in order to split or separate the existing contracts or the relevant portion of the existing contracts to Newco or BD.</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contract, or require us to seek arrangements with new third parties or obtain letters of credit or other forms of credit support. If Newco is unable to obtain required consents or approvals, it may be unable to obtain the benefits, permits, assets and contractual commitments that are intended to be allocated to Newco as part of its separation from BD, and Newco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Newco’s business, financial condition, results of operations and cash flows.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BD Board of Directors has sole and absolute discretion to change the terms of the separation in ways which may be unfavorable to Newco, including to determine not to effect the distribution at all.</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May 2021, BD announced its plan to separate the diabetes care business into an independent publicly traded company, Newco. The separation is subject to the satisfaction of certain conditions (or waiver by BD in its sole and absolute discretion), including final approval by BD’s Board of Directors of the separation and distribution. Furthermore, the separation is complex in nature, and unanticipated developments or changes, including changes in the law, the macroeconomic environment, competitive conditions of BD’s markets, regulatory approvals or clearances, the uncertainty of the financial markets and challenges in executing the separation, could delay or prevent the completion of the proposed separation, or cause the separation to occur 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terms or conditions that are different or less favorable than expected. Additionally, the BD Board of Directors, in its sole and absolute discretion, may decide not to proceed with the distribution at any time prior to the distribution date.</w:t>
      </w:r>
    </w:p>
    <w:p>
      <w:pPr>
        <w:spacing w:after="0" w:line="278" w:lineRule="exact"/>
        <w:rPr>
          <w:sz w:val="20"/>
          <w:szCs w:val="20"/>
          <w:color w:val="auto"/>
        </w:rPr>
      </w:pPr>
    </w:p>
    <w:p>
      <w:pPr>
        <w:ind w:left="120" w:right="400"/>
        <w:spacing w:after="0" w:line="375" w:lineRule="auto"/>
        <w:rPr>
          <w:sz w:val="20"/>
          <w:szCs w:val="20"/>
          <w:color w:val="auto"/>
        </w:rPr>
      </w:pPr>
      <w:r>
        <w:rPr>
          <w:rFonts w:ascii="Arial" w:cs="Arial" w:eastAsia="Arial" w:hAnsi="Arial"/>
          <w:sz w:val="15"/>
          <w:szCs w:val="15"/>
          <w:b w:val="1"/>
          <w:bCs w:val="1"/>
          <w:i w:val="1"/>
          <w:iCs w:val="1"/>
          <w:color w:val="auto"/>
        </w:rPr>
        <w:t>No vote of BD shareholders is required in connection with the distribution. As a result, if the distribution occurs and you do not want to receive Newco common stock in the distribution, your sole recourse will be to divest yourself of your BD common stock prior to the distribution date.</w:t>
      </w:r>
    </w:p>
    <w:p>
      <w:pPr>
        <w:spacing w:after="0" w:line="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vote of BD shareholders is required in connection with the distribution. Accordingly, if the distribution occurs and you do not want to receive Newco common stock in the distribution, your only recourse will be to divest your BD common stock prior to the record date for the distribution or, following the record date, in the “regular way” market for BD common stock before the distribution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Newco Common Stock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trading market for Newco common stock will develop or be sustained after the distribution and, following the distribution, the price of Newco common stock may fluctuate significantly.</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 public market for Newco common stock does not currently exist. We anticipate that on or prior to the record date for the distribution, trading of shares of Newco common stock will begin on a “when-issued” basis and will continue through the distribution date. However, we cannot guarantee that an active trading market will develop or be sustained for Newco common stock after the distribution, nor can we predict the prices at which shares of Newco common stock may trade after the distribution. Similarly, we cannot predict the effect of the distribution on the trading prices of Newco common</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stock or whether the combined market value of shares of Newco common stock and one share of BD common stock will be less than, equal to or greater than the market value of one share of BD common stock prior to the distribution.</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prices at which shares of Newco common stock trade may fluctuate more significantly than might otherwise be typical, even with other market conditions, including general volatility, held constant. The market price of Newco common stock may fluctuate significantly due to a number of factors, some of which may be beyond our control, including:</w:t>
      </w:r>
    </w:p>
    <w:p>
      <w:pPr>
        <w:spacing w:after="0" w:line="89" w:lineRule="exact"/>
        <w:rPr>
          <w:sz w:val="20"/>
          <w:szCs w:val="20"/>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Newco’s operating results;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Newco’s ability to meet those estimates;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Newco operates;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analyst research reports, recommendation and changes in recommendations, price targets, and withdrawals of coverage;</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Newco common stock is included in stock market indices;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significant number of shares of Newco common stock may be sold following the distribution, which may cause the Newco stock price to decline.</w:t>
      </w:r>
    </w:p>
    <w:p>
      <w:pPr>
        <w:spacing w:after="0" w:line="15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Any sales of substantial amounts of Newco common stock in the public market or the perception that such sales might occur, in connection with the distribution or otherwise, may cause the market price of Newco common stock to decline. Upon completion of the distribution, we expect that</w:t>
      </w:r>
    </w:p>
    <w:p>
      <w:pPr>
        <w:jc w:val="both"/>
        <w:ind w:left="120" w:right="40"/>
        <w:spacing w:after="0" w:line="277" w:lineRule="auto"/>
        <w:rPr>
          <w:sz w:val="20"/>
          <w:szCs w:val="20"/>
          <w:color w:val="auto"/>
        </w:rPr>
      </w:pPr>
      <w:r>
        <w:rPr>
          <w:rFonts w:ascii="Arial" w:cs="Arial" w:eastAsia="Arial" w:hAnsi="Arial"/>
          <w:sz w:val="17"/>
          <w:szCs w:val="17"/>
          <w:color w:val="auto"/>
        </w:rPr>
        <w:t>Newco will have an aggregate of approximately shares of common stock issued and outstanding. Shares distributed to BD shareholders in the separation will generally be freely tradeable without restriction or further registration under the U.S. Securities Act of 1933, as amended (the “Securities Act”), except for shares owned by Newco’s “affiliates,” as that term is defined in Rule 405 under the Securities Act.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cannot predict whether large amounts of Newco common stock will be sold in the open market following the distribution. We are also unable to predict whether a sufficient number of buyers of Newco common stock to meet the demand to sell shares of Newco common stock at attractive prices would exist at that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percentage of ownership in Newco may be diluted in the future.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future, your percentage ownership in Newco may be diluted because of equity issuances for acquisitions, capital market transactions or otherwise, including any equity awards that Newco will grant to its directors, officers and employees. Newco employees will have stock-based awards that correspond to shares of Newco common stock after the distribution as a result of conversion of their BD stock-based awards. Such awards will have a dilutive effect on Newco’s earnings per share, which could adversely affect the market price of Newco common stock. From time to time, Newco will issue additional stock-based awards to its employees under its employee benefits plans.</w:t>
      </w:r>
    </w:p>
    <w:p>
      <w:pPr>
        <w:spacing w:after="0" w:line="2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Newco has not yet determined its dividend policy, and even if Newco determines that its dividend policy will be to pay a regular dividend, Newco cannot guarantee the timing, declaration, amount or payment of dividends on its common stock.</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Newco has not yet determined whether it expects to pay a regular dividend after the separation and distribution. The timing, declaration, amount and payment of any dividends following the separation and distribution will be within the discretion of Newco’s Board of Directors, and will depend upon many factors, including Newco’s financial condition, earnings, capital requirements of its operating subsidiaries, covenants associated with certain of Newco’s debt service obligations, legal requirements, regulatory constraints, industry practice, ability to access capital markets, and other factors deemed relevant by Newco’s Board of Directors. Moreover, if Newco determines to pay any dividend in the future, there can be no assurance that it will continue to pay such dividends or the amount of such dividends. For more information, see the section entitled “Dividend Policy.”</w:t>
      </w:r>
    </w:p>
    <w:p>
      <w:pPr>
        <w:spacing w:after="0" w:line="272" w:lineRule="exact"/>
        <w:rPr>
          <w:sz w:val="20"/>
          <w:szCs w:val="20"/>
          <w:color w:val="auto"/>
        </w:rPr>
      </w:pPr>
    </w:p>
    <w:p>
      <w:pPr>
        <w:ind w:left="120" w:right="960"/>
        <w:spacing w:after="0" w:line="277" w:lineRule="auto"/>
        <w:rPr>
          <w:sz w:val="20"/>
          <w:szCs w:val="20"/>
          <w:color w:val="auto"/>
        </w:rPr>
      </w:pPr>
      <w:r>
        <w:rPr>
          <w:rFonts w:ascii="Arial" w:cs="Arial" w:eastAsia="Arial" w:hAnsi="Arial"/>
          <w:sz w:val="18"/>
          <w:szCs w:val="18"/>
          <w:b w:val="1"/>
          <w:bCs w:val="1"/>
          <w:i w:val="1"/>
          <w:iCs w:val="1"/>
          <w:color w:val="auto"/>
        </w:rPr>
        <w:t>Anti-takeover provisions could enable Newco’s Board of Directors to resist a takeover attempt by a third-party and limit the power of its shareholders.</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Newco’s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Newco’s Board of Directors rather than to attempt a hostile takeover. These provisions are expected to include, among others:</w:t>
      </w:r>
    </w:p>
    <w:p>
      <w:pPr>
        <w:spacing w:after="0" w:line="92" w:lineRule="exact"/>
        <w:rPr>
          <w:sz w:val="20"/>
          <w:szCs w:val="20"/>
          <w:color w:val="auto"/>
        </w:rPr>
      </w:pPr>
    </w:p>
    <w:p>
      <w:pPr>
        <w:ind w:left="1540" w:right="340" w:hanging="331"/>
        <w:spacing w:after="0" w:line="263"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until the annual stockholder meeting in 2026, Newco’s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long as the Board of Directors is classified, Newco directors can be removed by stockholders only for cause;</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vacancies occurring on the Board of Directors can only be filled by a majority of the remaining members of Newco’s Board of Directors or by a sole remaining director;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stockholders do not have the right to call a special meeting or act by written consent;</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Newco’s Board of Directors have the power to designate and issue, without any further vote or action by the Newco stockholders, shares of preferred stock from time to time in one or more series; and</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stockholders have to follow certain procedures and notice requirements in order to present certain proposals or nominate directors for election at stockholder meetings.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Newco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believe these provisions will protect Newco shareholders from coercive or otherwise unfair takeover tactics by requiring potential acquirers to negotiate with Newco’s Board of Directors and by providing the Board with more time to assess any acquisition proposal. These provisions are not intended to make Newco immune from takeovers; however, these provisions will apply even if the offer may be considered beneficial by some shareholders and could delay or prevent an acquisition that Newco’s Board of Directors determines is not in the best interests of Newco and its shareholders. These provisions may also prevent or discourage attempts to remove and replace incumbent directors. See “Description of Newco Common Stock—Anti-Takeover Effects of Governance Provisions.”</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an acquisition or further issuance of Newco common stock could trigger the application of Section 355(e) of the Code, causing the distribution to be taxable to BD. For a discussion of Section 355(e) of the Code, see “Material U.S. Federal Income Tax Consequences.” Under the tax matters agreement, Newco would be required to indemnify BD for the resulting tax, and this indemnity obligation might discourage, delay or prevent a change of control that Newco shareholders may consider favorable.</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Newco’s amended and restated certificate of incorporation will designate the state courts within the State of Delaware as the sole and exclusive forum for certain types of actions and proceedings that may be initiated by Newco shareholders, which could discourage lawsuits against Newco and its directors and officers.</w:t>
      </w:r>
    </w:p>
    <w:p>
      <w:pPr>
        <w:spacing w:after="0" w:line="7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Newco’s amended and restated certificate of incorporation will provide that, unless Newco (through approval of the Board of Directors) consents in writing to the selection of an alternative forum, the Court of Chancery of the State of Delaware shall be the sole and exclusive forum for (1) any derivative action brought on behalf of Newco, (2) any action asserting a claim of breach of a fiduciary duty owed by any director or officer or other employee of Newco to Newco or Newco’s stockholders, (3) any action asserting a claim against Newco or any director or officer or other employee of Newco arising pursuant to, or seeking to enforce any right, obligation or remedy under, any provision of the Delaware General Corporation Law (“DGCL”) or Newco’s amended and restated certificate of incorporation or amended and restated bylaws (as either may be amended from time to time),</w:t>
      </w:r>
    </w:p>
    <w:p>
      <w:pPr>
        <w:spacing w:after="0" w:line="4" w:lineRule="exact"/>
        <w:rPr>
          <w:sz w:val="20"/>
          <w:szCs w:val="20"/>
          <w:color w:val="auto"/>
        </w:rPr>
      </w:pPr>
    </w:p>
    <w:p>
      <w:pPr>
        <w:ind w:left="120" w:right="40" w:hanging="4"/>
        <w:spacing w:after="0" w:line="267" w:lineRule="auto"/>
        <w:tabs>
          <w:tab w:leader="none" w:pos="3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action asserting a claim against Newco or any director or officer or other employee of Newco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Newco believes the exclusive forum provision benefits it by providing increased consistency in the application of law in the types of lawsuits to which it applies, the provision may limit the ability of Newco stockholders to bring a claim in a judicial forum that such stockholders find favorable for disputes with Newco or its directors or officers, and it may be costlier for Newco stockholders to bring a claim in the Court of Chancery of the State of Delaware than other judicial forums, each of which may discourage such lawsuits against Newco and its directors and officers.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Although Newco’s amended and restated certificate of incorporation will include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Newco may incur additional costs associated with resolving such matters in other jurisdictions, which could negatively affect its business, results of operations and financial condition.</w:t>
      </w:r>
    </w:p>
    <w:p>
      <w:pPr>
        <w:sectPr>
          <w:pgSz w:w="11900" w:h="16838" w:orient="portrait"/>
          <w:cols w:equalWidth="0" w:num="1">
            <w:col w:w="11000"/>
          </w:cols>
          <w:pgMar w:left="320" w:top="459" w:right="579" w:bottom="1440" w:gutter="0" w:footer="0" w:header="0"/>
        </w:sectPr>
      </w:pPr>
    </w:p>
    <w:p>
      <w:pPr>
        <w:spacing w:after="0" w:line="26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The combined post-separation value of one share of BD common stock and pre-distribution value of one share of BD common stock.</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Newco common stock may not equal or exceed the</w:t>
      </w:r>
    </w:p>
    <w:p>
      <w:pPr>
        <w:spacing w:after="0" w:line="367" w:lineRule="exact"/>
        <w:rPr>
          <w:sz w:val="20"/>
          <w:szCs w:val="20"/>
          <w:color w:val="auto"/>
        </w:rPr>
      </w:pPr>
    </w:p>
    <w:p>
      <w:pPr>
        <w:sectPr>
          <w:pgSz w:w="11900" w:h="16838" w:orient="portrait"/>
          <w:cols w:equalWidth="0" w:num="2">
            <w:col w:w="5680" w:space="720"/>
            <w:col w:w="4600"/>
          </w:cols>
          <w:pgMar w:left="320" w:top="459" w:right="579" w:bottom="1440" w:gutter="0" w:footer="0" w:header="0"/>
          <w:type w:val="continuous"/>
        </w:sectPr>
      </w:pPr>
    </w:p>
    <w:p>
      <w:pPr>
        <w:ind w:left="120" w:right="20" w:firstLine="440"/>
        <w:spacing w:after="0" w:line="291" w:lineRule="auto"/>
        <w:rPr>
          <w:sz w:val="20"/>
          <w:szCs w:val="20"/>
          <w:color w:val="auto"/>
        </w:rPr>
      </w:pPr>
      <w:r>
        <w:rPr>
          <w:rFonts w:ascii="Arial" w:cs="Arial" w:eastAsia="Arial" w:hAnsi="Arial"/>
          <w:sz w:val="16"/>
          <w:szCs w:val="16"/>
          <w:color w:val="auto"/>
        </w:rPr>
        <w:t>As a result of the separation, the trading price of shares of BD common stock immediately following the separation may be different from the “regular-way” trading price of such shares immediately prior to the separation because the trading price of BD common stock will no longer reflect the</w:t>
      </w:r>
    </w:p>
    <w:p>
      <w:pPr>
        <w:jc w:val="both"/>
        <w:ind w:left="120" w:right="100"/>
        <w:spacing w:after="0" w:line="255" w:lineRule="auto"/>
        <w:rPr>
          <w:sz w:val="20"/>
          <w:szCs w:val="20"/>
          <w:color w:val="auto"/>
        </w:rPr>
      </w:pPr>
      <w:r>
        <w:rPr>
          <w:rFonts w:ascii="Arial" w:cs="Arial" w:eastAsia="Arial" w:hAnsi="Arial"/>
          <w:sz w:val="18"/>
          <w:szCs w:val="18"/>
          <w:color w:val="auto"/>
        </w:rPr>
        <w:t>value of the diabetes care business. There can be no assurance that the aggregate market value of a share of BD common stock and shares of Newco common stock following the separation will be higher than, lower than or the same as the market value of a share of BD common stock if the separation did not occur.</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9" w:right="5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This information statement and other materials BD and Newco have filed or will file with the SEC (and oral communications that BD or Newco may make) contain or incorporate by reference statements that relate to future events and expectations and, as such, constitute forward-looking statements within the meaning of the Private Securities Litigation Reform Act of 1995. Forward-looking statements include those containing such words as “anticipates,” “believes,” “could,” “estimates,” “expects,” “forecasts,” “goal,” “guidance,” “intends,” “may,” “outlook,” “plans,” “projects,” “seeks,” “sees,” “should,” “targets,” “will,” “would,” or other words of similar meaning. All statements that reflect BD’s or Newco’s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Newco’s strategy for growth, future product development, regulatory approvals, competitive position and expenditures. Forward-looking statements are not guarantees of future performance and are subject to risks, uncertainties, and changes in circumstances that are difficult to predict. Although each of BD and Newco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92" w:lineRule="exact"/>
        <w:rPr>
          <w:sz w:val="20"/>
          <w:szCs w:val="20"/>
          <w:color w:val="auto"/>
        </w:rPr>
      </w:pPr>
    </w:p>
    <w:p>
      <w:pPr>
        <w:ind w:left="1080" w:right="1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factors that could adversely affect Newco’s operations, including new product introductions by Newco’s competitors, the development of new technologies, lower cost producers that create pricing pressure and consolidation resulting in companies with greater scale and market presence than Newco.</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Newco’s key products or the revenue delivered from sales to its key customers.</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failure by BD to perform of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9" w:lineRule="exact"/>
        <w:rPr>
          <w:rFonts w:ascii="Arial" w:cs="Arial" w:eastAsia="Arial" w:hAnsi="Arial"/>
          <w:sz w:val="18"/>
          <w:szCs w:val="18"/>
          <w:color w:val="auto"/>
        </w:rPr>
      </w:pPr>
    </w:p>
    <w:p>
      <w:pPr>
        <w:jc w:val="both"/>
        <w:ind w:left="108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impact of the COVID-19 pandemic on Newco’s business, including disruptions in its operations and supply chains.</w:t>
      </w:r>
    </w:p>
    <w:p>
      <w:pPr>
        <w:spacing w:after="0" w:line="130"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New or changing laws and regulations affecting Newco’s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5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BD and Newco assumes no obligation to update or revise such statement, whether as a result of new information, future events or otherwise, except as required by applicable law.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SEPARATION AND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BD announced that it intended to effect the separation through a pro rata distribution to the BD shareholders of all of the common stock of a new entity formed to hold the assets and liabilities associated with the diabetes care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distribution, it is expected that:</w:t>
      </w:r>
    </w:p>
    <w:p>
      <w:pPr>
        <w:spacing w:after="0" w:line="131" w:lineRule="exact"/>
        <w:rPr>
          <w:sz w:val="20"/>
          <w:szCs w:val="20"/>
          <w:color w:val="auto"/>
        </w:rPr>
      </w:pPr>
    </w:p>
    <w:p>
      <w:pPr>
        <w:ind w:left="1540" w:right="380" w:hanging="331"/>
        <w:spacing w:after="0" w:line="277" w:lineRule="auto"/>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BD will complete the internal reorganization as a result of which Newco will become the parent company of the BD operations comprising, and the entities that will conduct, the diabetes care business;</w:t>
      </w:r>
    </w:p>
    <w:p>
      <w:pPr>
        <w:spacing w:after="0" w:line="76" w:lineRule="exact"/>
        <w:rPr>
          <w:sz w:val="20"/>
          <w:szCs w:val="20"/>
          <w:color w:val="auto"/>
        </w:rPr>
      </w:pPr>
    </w:p>
    <w:p>
      <w:pPr>
        <w:ind w:left="1200"/>
        <w:spacing w:after="0"/>
        <w:tabs>
          <w:tab w:leader="none" w:pos="1520" w:val="left"/>
          <w:tab w:leader="none" w:pos="4700" w:val="left"/>
          <w:tab w:leader="none" w:pos="8120" w:val="left"/>
        </w:tabs>
        <w:rPr>
          <w:sz w:val="20"/>
          <w:szCs w:val="20"/>
          <w:color w:val="auto"/>
        </w:rPr>
      </w:pPr>
      <w:r>
        <w:rPr>
          <w:rFonts w:ascii="Arial" w:cs="Arial" w:eastAsia="Arial" w:hAnsi="Arial"/>
          <w:sz w:val="18"/>
          <w:szCs w:val="18"/>
          <w:color w:val="auto"/>
        </w:rPr>
        <w:t>•</w:t>
        <w:tab/>
        <w:t>Newco will incur approximately $</w:t>
      </w:r>
      <w:r>
        <w:rPr>
          <w:sz w:val="20"/>
          <w:szCs w:val="20"/>
          <w:color w:val="auto"/>
        </w:rPr>
        <w:tab/>
      </w:r>
      <w:r>
        <w:rPr>
          <w:rFonts w:ascii="Arial" w:cs="Arial" w:eastAsia="Arial" w:hAnsi="Arial"/>
          <w:sz w:val="18"/>
          <w:szCs w:val="18"/>
          <w:color w:val="auto"/>
        </w:rPr>
        <w:t>million of indebtedness, consisting of</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540" w:hanging="331"/>
        <w:spacing w:after="0"/>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using a portion of the proceeds from one or more financing transactions on or prior to the completion of the distribution, Newco will</w:t>
      </w:r>
    </w:p>
    <w:p>
      <w:pPr>
        <w:sectPr>
          <w:pgSz w:w="11900" w:h="16838" w:orient="portrait"/>
          <w:cols w:equalWidth="0" w:num="1">
            <w:col w:w="11080"/>
          </w:cols>
          <w:pgMar w:left="320" w:top="459" w:right="499" w:bottom="1440" w:gutter="0" w:footer="0" w:header="0"/>
        </w:sectPr>
      </w:pPr>
    </w:p>
    <w:p>
      <w:pPr>
        <w:spacing w:after="0" w:line="46" w:lineRule="exact"/>
        <w:rPr>
          <w:sz w:val="20"/>
          <w:szCs w:val="20"/>
          <w:color w:val="auto"/>
        </w:rPr>
      </w:pPr>
    </w:p>
    <w:p>
      <w:pPr>
        <w:ind w:left="1540"/>
        <w:spacing w:after="0"/>
        <w:tabs>
          <w:tab w:leader="none" w:pos="4140" w:val="left"/>
        </w:tabs>
        <w:rPr>
          <w:sz w:val="20"/>
          <w:szCs w:val="20"/>
          <w:color w:val="auto"/>
        </w:rPr>
      </w:pPr>
      <w:r>
        <w:rPr>
          <w:rFonts w:ascii="Arial" w:cs="Arial" w:eastAsia="Arial" w:hAnsi="Arial"/>
          <w:sz w:val="18"/>
          <w:szCs w:val="18"/>
          <w:color w:val="auto"/>
        </w:rPr>
        <w:t>distribute approximately $</w:t>
      </w:r>
      <w:r>
        <w:rPr>
          <w:sz w:val="20"/>
          <w:szCs w:val="20"/>
          <w:color w:val="auto"/>
        </w:rPr>
        <w:tab/>
      </w:r>
      <w:r>
        <w:rPr>
          <w:rFonts w:ascii="Arial" w:cs="Arial" w:eastAsia="Arial" w:hAnsi="Arial"/>
          <w:sz w:val="16"/>
          <w:szCs w:val="16"/>
          <w:color w:val="auto"/>
        </w:rPr>
        <w:t>of cash to BD; and</w:t>
      </w:r>
    </w:p>
    <w:p>
      <w:pPr>
        <w:sectPr>
          <w:pgSz w:w="11900" w:h="16838" w:orient="portrait"/>
          <w:cols w:equalWidth="0" w:num="1">
            <w:col w:w="11080"/>
          </w:cols>
          <w:pgMar w:left="320" w:top="459" w:right="499" w:bottom="1440" w:gutter="0" w:footer="0" w:header="0"/>
          <w:type w:val="continuous"/>
        </w:sectPr>
      </w:pPr>
    </w:p>
    <w:p>
      <w:pPr>
        <w:spacing w:after="0" w:line="1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partial consideration for the contribution of assets from BD to Newco, Newco will issue $ BD may use to retire outstanding BD indebtedness.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of indebtedness to BD, which</w:t>
      </w:r>
    </w:p>
    <w:p>
      <w:pPr>
        <w:spacing w:after="0" w:line="463" w:lineRule="exact"/>
        <w:rPr>
          <w:sz w:val="20"/>
          <w:szCs w:val="20"/>
          <w:color w:val="auto"/>
        </w:rPr>
      </w:pPr>
    </w:p>
    <w:p>
      <w:pPr>
        <w:sectPr>
          <w:pgSz w:w="11900" w:h="16838" w:orient="portrait"/>
          <w:cols w:equalWidth="0" w:num="3">
            <w:col w:w="1280" w:space="260"/>
            <w:col w:w="6700" w:space="720"/>
            <w:col w:w="2120"/>
          </w:cols>
          <w:pgMar w:left="320" w:top="459" w:right="499" w:bottom="1440" w:gutter="0" w:footer="0" w:header="0"/>
          <w:type w:val="continuous"/>
        </w:sectPr>
      </w:pPr>
    </w:p>
    <w:p>
      <w:pPr>
        <w:ind w:left="120" w:right="20" w:firstLine="440"/>
        <w:spacing w:after="0" w:line="263" w:lineRule="auto"/>
        <w:rPr>
          <w:sz w:val="20"/>
          <w:szCs w:val="20"/>
          <w:color w:val="auto"/>
        </w:rPr>
      </w:pPr>
      <w:r>
        <w:rPr>
          <w:rFonts w:ascii="Arial" w:cs="Arial" w:eastAsia="Arial" w:hAnsi="Arial"/>
          <w:sz w:val="18"/>
          <w:szCs w:val="18"/>
          <w:color w:val="auto"/>
        </w:rPr>
        <w:t>On , the BD Board of Directors approved the distribution of all of Newco’s issued and outstanding shares of common stock on the basis of shares of Newco common stock for every share of BD common stock held as of the close of business on , the record date for the distribution.</w:t>
      </w:r>
    </w:p>
    <w:p>
      <w:pPr>
        <w:spacing w:after="0" w:line="184" w:lineRule="exact"/>
        <w:rPr>
          <w:sz w:val="20"/>
          <w:szCs w:val="20"/>
          <w:color w:val="auto"/>
        </w:rPr>
      </w:pPr>
    </w:p>
    <w:p>
      <w:pPr>
        <w:ind w:left="560"/>
        <w:spacing w:after="0"/>
        <w:tabs>
          <w:tab w:leader="none" w:pos="3560" w:val="left"/>
          <w:tab w:leader="none" w:pos="8300" w:val="left"/>
        </w:tabs>
        <w:rPr>
          <w:sz w:val="20"/>
          <w:szCs w:val="20"/>
          <w:color w:val="auto"/>
        </w:rPr>
      </w:pPr>
      <w:r>
        <w:rPr>
          <w:rFonts w:ascii="Arial" w:cs="Arial" w:eastAsia="Arial" w:hAnsi="Arial"/>
          <w:sz w:val="18"/>
          <w:szCs w:val="18"/>
          <w:color w:val="auto"/>
        </w:rPr>
        <w:t>At 12:01 a.m., Eastern Time, on</w:t>
      </w:r>
      <w:r>
        <w:rPr>
          <w:sz w:val="20"/>
          <w:szCs w:val="20"/>
          <w:color w:val="auto"/>
        </w:rPr>
        <w:tab/>
      </w:r>
      <w:r>
        <w:rPr>
          <w:rFonts w:ascii="Arial" w:cs="Arial" w:eastAsia="Arial" w:hAnsi="Arial"/>
          <w:sz w:val="18"/>
          <w:szCs w:val="18"/>
          <w:color w:val="auto"/>
        </w:rPr>
        <w:t>, the distribution date, each BD shareholder will receive</w:t>
      </w:r>
      <w:r>
        <w:rPr>
          <w:sz w:val="20"/>
          <w:szCs w:val="20"/>
          <w:color w:val="auto"/>
        </w:rPr>
        <w:tab/>
      </w:r>
      <w:r>
        <w:rPr>
          <w:rFonts w:ascii="Arial" w:cs="Arial" w:eastAsia="Arial" w:hAnsi="Arial"/>
          <w:sz w:val="16"/>
          <w:szCs w:val="16"/>
          <w:color w:val="auto"/>
        </w:rPr>
        <w:t>shares of Newco common stock for</w:t>
      </w:r>
    </w:p>
    <w:p>
      <w:pPr>
        <w:sectPr>
          <w:pgSz w:w="11900" w:h="16838" w:orient="portrait"/>
          <w:cols w:equalWidth="0" w:num="1">
            <w:col w:w="11080"/>
          </w:cols>
          <w:pgMar w:left="320" w:top="459" w:right="499" w:bottom="1440" w:gutter="0" w:footer="0" w:header="0"/>
          <w:type w:val="continuous"/>
        </w:sectPr>
      </w:pPr>
    </w:p>
    <w:p>
      <w:pPr>
        <w:spacing w:after="0" w:line="23" w:lineRule="exact"/>
        <w:rPr>
          <w:sz w:val="20"/>
          <w:szCs w:val="20"/>
          <w:color w:val="auto"/>
        </w:rPr>
      </w:pPr>
    </w:p>
    <w:p>
      <w:pPr>
        <w:ind w:left="120" w:right="120"/>
        <w:spacing w:after="0" w:line="252" w:lineRule="auto"/>
        <w:rPr>
          <w:sz w:val="20"/>
          <w:szCs w:val="20"/>
          <w:color w:val="auto"/>
        </w:rPr>
      </w:pPr>
      <w:r>
        <w:rPr>
          <w:rFonts w:ascii="Arial" w:cs="Arial" w:eastAsia="Arial" w:hAnsi="Arial"/>
          <w:sz w:val="18"/>
          <w:szCs w:val="18"/>
          <w:color w:val="auto"/>
        </w:rPr>
        <w:t>every share of BD common stock held at the close of business on the record date for the distribution, as described below. BD shareholders will receive cash in lieu of any fractional shares of Newco common stock that they would have received after application of this ratio. Upon completion of the separation, each BD shareholder as of the record date will continue to own shares of BD and will receive a proportionate share of the outstanding common stock of Newco to be distributed. You will not be required to make any payment, surrender or exchange your BD common stock or take any other action to receive your shares of Newco common stock in the distribution. The distribution of Newco common stock as described in this information statement is subject to the satisfaction or waiver of certain conditions. For a more detailed description of these conditions, see “— Conditions to the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540" w:right="60" w:hanging="331"/>
        <w:spacing w:after="0" w:line="259"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w:t>
      </w:r>
      <w:r>
        <w:rPr>
          <w:rFonts w:ascii="Arial" w:cs="Arial" w:eastAsia="Arial" w:hAnsi="Arial"/>
          <w:sz w:val="18"/>
          <w:szCs w:val="18"/>
          <w:i w:val="1"/>
          <w:iCs w:val="1"/>
          <w:color w:val="auto"/>
        </w:rPr>
        <w:t xml:space="preserve"> </w:t>
      </w:r>
      <w:r>
        <w:rPr>
          <w:rFonts w:ascii="Arial" w:cs="Arial" w:eastAsia="Arial" w:hAnsi="Arial"/>
          <w:sz w:val="18"/>
          <w:szCs w:val="18"/>
          <w:color w:val="auto"/>
        </w:rPr>
        <w:t>Newco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1540" w:right="80" w:hanging="331"/>
        <w:spacing w:after="0" w:line="296" w:lineRule="auto"/>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More Efficient Resource and Capital Allocation to Pursue Each Company’s Strategic Goals. </w:t>
      </w:r>
      <w:r>
        <w:rPr>
          <w:rFonts w:ascii="Arial" w:cs="Arial" w:eastAsia="Arial" w:hAnsi="Arial"/>
          <w:sz w:val="16"/>
          <w:szCs w:val="16"/>
          <w:color w:val="auto"/>
        </w:rPr>
        <w:t>The separation will permit each of BD</w:t>
      </w:r>
      <w:r>
        <w:rPr>
          <w:rFonts w:ascii="Arial" w:cs="Arial" w:eastAsia="Arial" w:hAnsi="Arial"/>
          <w:sz w:val="16"/>
          <w:szCs w:val="16"/>
          <w:i w:val="1"/>
          <w:iCs w:val="1"/>
          <w:color w:val="auto"/>
        </w:rPr>
        <w:t xml:space="preserve"> </w:t>
      </w:r>
      <w:r>
        <w:rPr>
          <w:rFonts w:ascii="Arial" w:cs="Arial" w:eastAsia="Arial" w:hAnsi="Arial"/>
          <w:sz w:val="16"/>
          <w:szCs w:val="16"/>
          <w:color w:val="auto"/>
        </w:rPr>
        <w:t>and Newco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500"/>
        <w:spacing w:after="0" w:line="277" w:lineRule="auto"/>
        <w:rPr>
          <w:sz w:val="20"/>
          <w:szCs w:val="20"/>
          <w:color w:val="auto"/>
        </w:rPr>
      </w:pPr>
      <w:r>
        <w:rPr>
          <w:rFonts w:ascii="Arial" w:cs="Arial" w:eastAsia="Arial" w:hAnsi="Arial"/>
          <w:sz w:val="18"/>
          <w:szCs w:val="18"/>
          <w:color w:val="auto"/>
        </w:rPr>
        <w:t>Newco will be free to invest its strong capital generation for its own organic and inorganic opportunities in order to accelerate growth and expand its leadership for the benefit of patients and to drive shareholder value.</w:t>
      </w:r>
    </w:p>
    <w:p>
      <w:pPr>
        <w:spacing w:after="0" w:line="76" w:lineRule="exact"/>
        <w:rPr>
          <w:sz w:val="20"/>
          <w:szCs w:val="20"/>
          <w:color w:val="auto"/>
        </w:rPr>
      </w:pPr>
    </w:p>
    <w:p>
      <w:pPr>
        <w:ind w:left="1540" w:right="80" w:hanging="331"/>
        <w:spacing w:after="0" w:line="263"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540" w:right="240" w:hanging="331"/>
        <w:spacing w:after="0" w:line="311"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Newco, affording Newco</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Newco will have more flexibility to capitalize on its unique strategic opportunities.</w:t>
      </w:r>
    </w:p>
    <w:p>
      <w:pPr>
        <w:spacing w:after="0" w:line="54" w:lineRule="exact"/>
        <w:rPr>
          <w:rFonts w:ascii="Arial" w:cs="Arial" w:eastAsia="Arial" w:hAnsi="Arial"/>
          <w:sz w:val="16"/>
          <w:szCs w:val="16"/>
          <w:color w:val="auto"/>
        </w:rPr>
      </w:pPr>
    </w:p>
    <w:p>
      <w:pPr>
        <w:ind w:left="1540" w:right="80" w:hanging="331"/>
        <w:spacing w:after="0" w:line="293"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Newco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Newco to be better aligned with its business. Similarly, recruitment and retention for Newco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w:t>
      </w:r>
    </w:p>
    <w:p>
      <w:pPr>
        <w:spacing w:after="0" w:line="131" w:lineRule="exact"/>
        <w:rPr>
          <w:sz w:val="20"/>
          <w:szCs w:val="20"/>
          <w:color w:val="auto"/>
        </w:rPr>
      </w:pPr>
    </w:p>
    <w:p>
      <w:pPr>
        <w:ind w:left="1540" w:right="60" w:hanging="331"/>
        <w:spacing w:after="0" w:line="25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 of Failure to Achieve Anticipated Benefits of the Separation. </w:t>
      </w:r>
      <w:r>
        <w:rPr>
          <w:rFonts w:ascii="Arial" w:cs="Arial" w:eastAsia="Arial" w:hAnsi="Arial"/>
          <w:sz w:val="18"/>
          <w:szCs w:val="18"/>
          <w:color w:val="auto"/>
        </w:rPr>
        <w:t>The anticipated benefits of the separation may not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reasons, including, among others: the separation will demand significant management resources and require significant amounts of management’s time and effort; following the separation, Newco’s business may be more susceptible to market fluctuations and other adverse events than if it were still a part of BD because Newco’s business will be less diversified than BD’s businesses prior to the completion of the separation.</w:t>
      </w:r>
    </w:p>
    <w:p>
      <w:pPr>
        <w:spacing w:after="0" w:line="93" w:lineRule="exact"/>
        <w:rPr>
          <w:rFonts w:ascii="Arial" w:cs="Arial" w:eastAsia="Arial" w:hAnsi="Arial"/>
          <w:sz w:val="18"/>
          <w:szCs w:val="18"/>
          <w:color w:val="auto"/>
        </w:rPr>
      </w:pPr>
    </w:p>
    <w:p>
      <w:pPr>
        <w:ind w:left="1540" w:hanging="331"/>
        <w:spacing w:after="0" w:line="254"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Loss of Scale and Increased Administrative Costs. </w:t>
      </w:r>
      <w:r>
        <w:rPr>
          <w:rFonts w:ascii="Arial" w:cs="Arial" w:eastAsia="Arial" w:hAnsi="Arial"/>
          <w:sz w:val="18"/>
          <w:szCs w:val="18"/>
          <w:color w:val="auto"/>
        </w:rPr>
        <w:t>As a part of BD, Newco currently takes advantage of BD’s size and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in procuring certain goods and services. After the separation, as a standalone company, Newco may be unable to obtain these goods and services at prices or on terms as favorable as those currently obtained by BD for the diabetes care business. In addition, as part of BD, Newco benefits from certain functions performed by BD, such as accounting, tax, legal, human resources and other general and administrative functions. After the separation, BD will not perform these functions for Newco, other than certain functions that will be provided for a limited time pursuant to the transition services agreement, and, because of Newco’s smaller scale as a standalone company, its cost of performing such functions could be higher than the amounts reflected in its historical combined financial statements.</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determining to pursue the separation, the BD Board of Directors concluded the potential benefits of the separation outweighed the foregoing factors. See the section entitled “Risk Factors” included elsewhere in this information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Formation of Newco</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Newco was formed in Delaware on July 8, 2021 for the purpose of holding BD’s diabetes care business. As part of the plan to separate the diabetes care business from the remainder of BD’s businesses, in connection with the internal reorganization, BD plans to transfer the equity interests of certain entities and the assets and liabilities of the diabetes care business to Newco prior to the distribution.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42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3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80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0"/>
              </w:rPr>
              <w:t>Confidential Treatment Requested by Berra Newco, Inc.</w:t>
            </w:r>
          </w:p>
        </w:tc>
        <w:tc>
          <w:tcPr>
            <w:tcW w:w="15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0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9"/>
              </w:rPr>
              <w:t>pursuant to 17 C.F.R. Section 200.83</w:t>
            </w:r>
          </w:p>
        </w:tc>
        <w:tc>
          <w:tcPr>
            <w:tcW w:w="1560" w:type="dxa"/>
            <w:vAlign w:val="bottom"/>
          </w:tcPr>
          <w:p>
            <w:pPr>
              <w:spacing w:after="0"/>
              <w:rPr>
                <w:sz w:val="20"/>
                <w:szCs w:val="20"/>
                <w:color w:val="auto"/>
              </w:rPr>
            </w:pPr>
          </w:p>
        </w:tc>
      </w:tr>
      <w:tr>
        <w:trPr>
          <w:trHeight w:val="364"/>
        </w:trPr>
        <w:tc>
          <w:tcPr>
            <w:tcW w:w="6420" w:type="dxa"/>
            <w:vAlign w:val="bottom"/>
            <w:gridSpan w:val="2"/>
          </w:tcPr>
          <w:p>
            <w:pPr>
              <w:ind w:left="120"/>
              <w:spacing w:after="0"/>
              <w:rPr>
                <w:sz w:val="20"/>
                <w:szCs w:val="20"/>
                <w:color w:val="auto"/>
              </w:rPr>
            </w:pPr>
            <w:r>
              <w:rPr>
                <w:rFonts w:ascii="Arial" w:cs="Arial" w:eastAsia="Arial" w:hAnsi="Arial"/>
                <w:sz w:val="18"/>
                <w:szCs w:val="18"/>
                <w:b w:val="1"/>
                <w:bCs w:val="1"/>
                <w:color w:val="auto"/>
              </w:rPr>
              <w:t>When and How You Will Receive the Distribution</w:t>
            </w:r>
          </w:p>
        </w:tc>
        <w:tc>
          <w:tcPr>
            <w:tcW w:w="3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9420" w:type="dxa"/>
            <w:vAlign w:val="bottom"/>
            <w:gridSpan w:val="3"/>
          </w:tcPr>
          <w:p>
            <w:pPr>
              <w:ind w:left="560"/>
              <w:spacing w:after="0"/>
              <w:rPr>
                <w:sz w:val="20"/>
                <w:szCs w:val="20"/>
                <w:color w:val="auto"/>
              </w:rPr>
            </w:pPr>
            <w:r>
              <w:rPr>
                <w:rFonts w:ascii="Arial" w:cs="Arial" w:eastAsia="Arial" w:hAnsi="Arial"/>
                <w:sz w:val="18"/>
                <w:szCs w:val="18"/>
                <w:color w:val="auto"/>
                <w:w w:val="93"/>
              </w:rPr>
              <w:t>With the assistance of Computershare, BD expects to distribute Newco common stock at 12:01 a.m., Eastern Time, on</w:t>
            </w:r>
          </w:p>
        </w:tc>
        <w:tc>
          <w:tcPr>
            <w:tcW w:w="1560" w:type="dxa"/>
            <w:vAlign w:val="bottom"/>
          </w:tcPr>
          <w:p>
            <w:pPr>
              <w:ind w:left="360"/>
              <w:spacing w:after="0"/>
              <w:rPr>
                <w:sz w:val="20"/>
                <w:szCs w:val="20"/>
                <w:color w:val="auto"/>
              </w:rPr>
            </w:pPr>
            <w:r>
              <w:rPr>
                <w:rFonts w:ascii="Arial" w:cs="Arial" w:eastAsia="Arial" w:hAnsi="Arial"/>
                <w:sz w:val="18"/>
                <w:szCs w:val="18"/>
                <w:color w:val="auto"/>
                <w:w w:val="92"/>
              </w:rPr>
              <w:t>, the distribution</w:t>
            </w:r>
          </w:p>
        </w:tc>
      </w:tr>
      <w:tr>
        <w:trPr>
          <w:trHeight w:val="230"/>
        </w:trPr>
        <w:tc>
          <w:tcPr>
            <w:tcW w:w="6420" w:type="dxa"/>
            <w:vAlign w:val="bottom"/>
            <w:gridSpan w:val="2"/>
          </w:tcPr>
          <w:p>
            <w:pPr>
              <w:ind w:left="120"/>
              <w:spacing w:after="0"/>
              <w:rPr>
                <w:sz w:val="20"/>
                <w:szCs w:val="20"/>
                <w:color w:val="auto"/>
              </w:rPr>
            </w:pPr>
            <w:r>
              <w:rPr>
                <w:rFonts w:ascii="Arial" w:cs="Arial" w:eastAsia="Arial" w:hAnsi="Arial"/>
                <w:sz w:val="18"/>
                <w:szCs w:val="18"/>
                <w:color w:val="auto"/>
                <w:w w:val="95"/>
              </w:rPr>
              <w:t>date, to all holders of outstanding BD common stock as of the close of business on</w:t>
            </w:r>
          </w:p>
        </w:tc>
        <w:tc>
          <w:tcPr>
            <w:tcW w:w="4560" w:type="dxa"/>
            <w:vAlign w:val="bottom"/>
            <w:gridSpan w:val="2"/>
          </w:tcPr>
          <w:p>
            <w:pPr>
              <w:ind w:left="360"/>
              <w:spacing w:after="0"/>
              <w:rPr>
                <w:sz w:val="20"/>
                <w:szCs w:val="20"/>
                <w:color w:val="auto"/>
              </w:rPr>
            </w:pPr>
            <w:r>
              <w:rPr>
                <w:rFonts w:ascii="Arial" w:cs="Arial" w:eastAsia="Arial" w:hAnsi="Arial"/>
                <w:sz w:val="18"/>
                <w:szCs w:val="18"/>
                <w:color w:val="auto"/>
                <w:w w:val="92"/>
              </w:rPr>
              <w:t>, 20 , the record date for the distribution. Computershare,</w:t>
            </w:r>
          </w:p>
        </w:tc>
      </w:tr>
    </w:tbl>
    <w:p>
      <w:pPr>
        <w:ind w:left="120" w:right="26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currently serves as the transfer agent and registrar for BD common stock, will serve as the settlement and distribution agent in connection with the distribution and the transfer agent and registrar for Newco common stock.</w:t>
      </w:r>
    </w:p>
    <w:p>
      <w:pPr>
        <w:spacing w:after="0" w:line="18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you own BD common stock as of the close of business on the record date for the distribution, Newco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Newco common stock. If you hold your BD shares through a bank or brokerage firm, your bank or brokerage firm will credit your account for the Newco shares. Direct registration form refers to a method of recording share ownership when no physical share certificates are issued to shareholders, as is the case in this distribution. If you sell BD common stock in the “regular-way” market up to and including the distribution date, you will be selling your right to receive shares of Newco common stock in the distribution.</w:t>
      </w:r>
    </w:p>
    <w:p>
      <w:pPr>
        <w:spacing w:after="0" w:line="17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BD common stock and you are the registered holder of the shares represented by those certificates, the distribution agent will mail to you an account statement that indicates the number of shares of Newco common stock that have been registered in book-entry form in your name.</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Most BD shareholders hold their common stock through a bank or brokerage firm. In such cases, the bank or brokerage firm is said to hold the shares in “street name” and ownership would be recorded on the bank or brokerage firm’s books. If you hold your BD common stock through a bank or brokerage firm, your bank or brokerage firm will credit your account for the Newco common stock that you are entitled to receive in the distribution. If you have any questions concerning the mechanics of having shares held in “street name,” please contact your bank or brokerage firm.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Shares of Newco common stock distributed to holders in connection with the distribution will be transferable without registration under the Securities Act, except in certain cases for shares received by persons who may be deemed to be Newco’s affiliates. Persons who may be deemed to be Newco’s affiliates after the distribution generally include individuals or entities that control, are controlled by or are under common control with Newco, which may include certain of its executive officers or directors. Securities held by Newco’s affiliates will be subject to resale restrictions under the Securities Act. Newco’s affiliates will be permitted to sell shares of Newco common stock only pursuant to an effective registration statement or an exemption from the registration requirements of the Securities Act, such as the exemption afforded by Rule 144 under the Securities Act.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Shares of Newco Common Stock You Will Receive</w:t>
      </w:r>
    </w:p>
    <w:p>
      <w:pPr>
        <w:spacing w:after="0" w:line="121" w:lineRule="exact"/>
        <w:rPr>
          <w:sz w:val="20"/>
          <w:szCs w:val="20"/>
          <w:color w:val="auto"/>
        </w:rPr>
      </w:pPr>
    </w:p>
    <w:p>
      <w:pPr>
        <w:ind w:left="560"/>
        <w:spacing w:after="0"/>
        <w:tabs>
          <w:tab w:leader="none" w:pos="6880" w:val="left"/>
        </w:tabs>
        <w:rPr>
          <w:sz w:val="20"/>
          <w:szCs w:val="20"/>
          <w:color w:val="auto"/>
        </w:rPr>
      </w:pPr>
      <w:r>
        <w:rPr>
          <w:rFonts w:ascii="Arial" w:cs="Arial" w:eastAsia="Arial" w:hAnsi="Arial"/>
          <w:sz w:val="18"/>
          <w:szCs w:val="18"/>
          <w:color w:val="auto"/>
        </w:rPr>
        <w:t>For every share of BD common stock that you own at the close of business on</w:t>
      </w:r>
      <w:r>
        <w:rPr>
          <w:sz w:val="20"/>
          <w:szCs w:val="20"/>
          <w:color w:val="auto"/>
        </w:rPr>
        <w:tab/>
      </w:r>
      <w:r>
        <w:rPr>
          <w:rFonts w:ascii="Arial" w:cs="Arial" w:eastAsia="Arial" w:hAnsi="Arial"/>
          <w:sz w:val="16"/>
          <w:szCs w:val="16"/>
          <w:color w:val="auto"/>
        </w:rPr>
        <w:t>, the record date for the distribution, you will</w:t>
      </w:r>
    </w:p>
    <w:p>
      <w:pPr>
        <w:spacing w:after="0" w:line="23"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6"/>
          <w:szCs w:val="16"/>
          <w:color w:val="auto"/>
        </w:rPr>
        <w:t>receive</w:t>
      </w:r>
      <w:r>
        <w:rPr>
          <w:sz w:val="20"/>
          <w:szCs w:val="20"/>
          <w:color w:val="auto"/>
        </w:rPr>
        <w:tab/>
      </w:r>
      <w:r>
        <w:rPr>
          <w:rFonts w:ascii="Arial" w:cs="Arial" w:eastAsia="Arial" w:hAnsi="Arial"/>
          <w:sz w:val="16"/>
          <w:szCs w:val="16"/>
          <w:color w:val="auto"/>
        </w:rPr>
        <w:t>shares of Newco common stock on the distribution date. No fractional shares of Newco common stock will be distributed. Instead,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are a registered holder, Computershare will aggregate fractional shares into whole shares, sell the whole shares in the open market at prevailing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prices and distribute the aggregate cash proceeds (net of discounts and commissions) of the sales pro rata (based on the fractional share such</w:t>
      </w:r>
    </w:p>
    <w:p>
      <w:pPr>
        <w:spacing w:after="0" w:line="3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holder would otherwise be entitled to receive) to each holder who otherwise would have been entitled to receive a fractional share in the distribution. The distribution agent, in its sole discretion, without any influence by BD or Newco, will determine when, how, and through which broker-dealer and at what price to</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4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sell the whole shares. Any broker-dealer used by the distribution agent will not be an affiliate of either BD or Newco and the distribution agent is not an affiliate of either BD or Newco. Neither Newco nor BD will be able to guarantee any minimum sale price in connection with the sale of these shares. Recipients of cash in lieu of fractional shares will not be entitled to any interest on the amounts paid in lieu of fractional shares.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net cash proceeds of these sales of fractional shares will be taxable for U.S. federal income tax purposes. See “Material U.S. Federal Income Tax Consequences” for an explanation of certain material U.S. federal income tax consequences of the distribution. If you hold physical certificates for shares of BD common stock and are the registered holder, you will receive a check from the distribution agent in an amount equal to your pro rata share of the net cash proceeds of the sales. Newco estimates that it will take approximately two weeks from the distribution date for the distribution agent to complete the distribution of the net cash proceeds. If you hold your shares of BD common stock through a bank or brokerage firm, your bank or brokerage firm will receive, on your behalf, your pro rata share of the net cash proceeds of the sales and will electronically credit your account for your share of such proceeds.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the separation, equity-based awards granted by BD that are outstanding immediately prior to the separation will be treated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Restricted Stock Units Held by Newco Employees and Non-Employee Directors. </w:t>
      </w:r>
      <w:r>
        <w:rPr>
          <w:rFonts w:ascii="Arial" w:cs="Arial" w:eastAsia="Arial" w:hAnsi="Arial"/>
          <w:sz w:val="16"/>
          <w:szCs w:val="16"/>
          <w:color w:val="auto"/>
        </w:rPr>
        <w:t>Each award of BD restricted stock units (including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restricted stock units) held by an individual who will be an employee or non-employee director of Newco following the separation will be converted into an award of restricted stock units with respect to Newco common stock. The number of shares subject to each such award will be adjusted in a manner intended to substantially preserve the aggregate value of the original BD award as measured immediately before and immediately after the separation. Such adjusted award will otherwise generally be subject to the same terms and conditions that applied to the original BD award immediately prior to the separation. The treatment of the performance goals applicable to performance-based awards held by Newco employees is under consideration and will be disclosed in an amendment to this information statement.</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Restricted Stock Units Held by BD Employees and Non-Employee Directors</w:t>
      </w:r>
      <w:r>
        <w:rPr>
          <w:rFonts w:ascii="Arial" w:cs="Arial" w:eastAsia="Arial" w:hAnsi="Arial"/>
          <w:sz w:val="18"/>
          <w:szCs w:val="18"/>
          <w:color w:val="auto"/>
        </w:rPr>
        <w:t>. Each award of BD restricted stock units (including any performance-based restricted stock units) held by an individual who will be an employee or non-employee director of BD following the separation will continue to relate to BD common stock, provided that the number of shares subject to each such award will be adjusted in a manner intended to substantially preserve the aggregate value of the original BD award as measured immediately before and immediately after the separation. Such adjusted award will otherwise generally be subject to the same terms and conditions that applied to the original BD award immediately prior to the separation. The treatment of the performance goals applicable to performance-based awards held by BD employees is under consideration and will be disclosed in an amendment to this information statement.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i w:val="1"/>
          <w:iCs w:val="1"/>
          <w:color w:val="auto"/>
        </w:rPr>
        <w:t>Stock Options Held by Newco Employees</w:t>
      </w:r>
      <w:r>
        <w:rPr>
          <w:rFonts w:ascii="Arial" w:cs="Arial" w:eastAsia="Arial" w:hAnsi="Arial"/>
          <w:sz w:val="17"/>
          <w:szCs w:val="17"/>
          <w:color w:val="auto"/>
        </w:rPr>
        <w:t>. Each award of BD stock options held by an individual who will be an employee of Newco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separation will be converted into an award of stock options with respect to Newco common stock. The exercise price of, and number of shares subject to, each such award will be adjusted in a manner intended substantially to preserve the aggregate intrinsic value of the original BD award as measured immediately before and immediately after the separation. Such adjusted award will otherwise generally be subject to the same terms and conditions that applied to the original BD award immediately prior to the separation.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Stock Options Held by BD Employees and Former Employees</w:t>
      </w:r>
      <w:r>
        <w:rPr>
          <w:rFonts w:ascii="Arial" w:cs="Arial" w:eastAsia="Arial" w:hAnsi="Arial"/>
          <w:sz w:val="16"/>
          <w:szCs w:val="16"/>
          <w:color w:val="auto"/>
        </w:rPr>
        <w:t>. Each award of BD stock options held by an individual who will be an employee of</w:t>
      </w:r>
      <w:r>
        <w:rPr>
          <w:rFonts w:ascii="Arial" w:cs="Arial" w:eastAsia="Arial" w:hAnsi="Arial"/>
          <w:sz w:val="16"/>
          <w:szCs w:val="16"/>
          <w:i w:val="1"/>
          <w:iCs w:val="1"/>
          <w:color w:val="auto"/>
        </w:rPr>
        <w:t xml:space="preserve"> </w:t>
      </w:r>
      <w:r>
        <w:rPr>
          <w:rFonts w:ascii="Arial" w:cs="Arial" w:eastAsia="Arial" w:hAnsi="Arial"/>
          <w:sz w:val="16"/>
          <w:szCs w:val="16"/>
          <w:color w:val="auto"/>
        </w:rPr>
        <w:t>BD following the separation, or who is a former employee of BD as of the separation, will continue to relate to BD common stock, provided that the exercise price of, and number of shares subject to, each such award will be adjusted in a manner intended to substantially preserve the aggregate intrinsic value of the original BD award as measured immediately before and immediately after the separation. Such adjusted award will otherwise generally be subject to the same terms and conditions that applied to the original BD award immediately prior to the separation.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Stock Appreciation Rights Held by Newco Employees</w:t>
      </w:r>
      <w:r>
        <w:rPr>
          <w:rFonts w:ascii="Arial" w:cs="Arial" w:eastAsia="Arial" w:hAnsi="Arial"/>
          <w:sz w:val="16"/>
          <w:szCs w:val="16"/>
          <w:color w:val="auto"/>
        </w:rPr>
        <w:t>. Each award of BD stock appreciation rights held by an individual who will be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of Newco following the separation will be converted into an award of stock appreciation rights with respect to Newco common stock. The exercise price of, and number of shares subject to, each such award will be adjusted in a manner intended substantially to preserve the aggregate intrinsic value of the original BD award as measured immediately before and immediately after the separation, subject to rounding. Such adjusted award will otherwise generally be subject to the same terms and conditions that applied to the original BD award immediately prior to the separation.</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Stock Appreciation Rights Held by BD Employees and Former Employees</w:t>
      </w:r>
      <w:r>
        <w:rPr>
          <w:rFonts w:ascii="Arial" w:cs="Arial" w:eastAsia="Arial" w:hAnsi="Arial"/>
          <w:sz w:val="18"/>
          <w:szCs w:val="18"/>
          <w:color w:val="auto"/>
        </w:rPr>
        <w:t>. Each award of BD stock appreciation rights held by an individual who</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an employee of BD following the separation, or who is a former employee of BD as of the separation, will continue to relate to BD common stock, provided that the exercise price of, and number of shares subject to, each such award will be adjusted in a manner intended substantially to preserve the aggregate intrinsic value of the original BD award as measured immediately before and immediately after the separation, subject to rounding. Such adjusted award will otherwise generally be subject to the same terms and conditions that applied to the original BD award immediately prior to the separation.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part of the separation, and prior to the distribution, BD and its subsidiaries expect to complete an internal reorganization in order to transfer to Newco the diabetes care business. The internal reorganization is expected to include various restructuring transactions pursuant to which (1) the operations, assets and liabilities of BD and its subsidiaries used to conduct the diabetes care business will be separated from the operations, assets and liabilities of BD and its subsidiaries used to conduct the BD Business and (2) such diabetes care business operations, assets and liabilities will be contributed, transferred or otherwise allocated to Newco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diabetes care business or BD Business in such jurisdictions.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part of this internal reorganization, BD will contribute to Newco certain liabilities and certain assets, including equity interests in entities that are expected to conduct the diabetes care business.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Newco will be the parent company of the entities that are expected to conduct the diabetes care business, and BD will remain the parent company of the entities that are expected to conduct the BD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distribution, Newco will be an independent, publicly traded company. The actual number of shares to be distributed will be determined</w:t>
      </w:r>
    </w:p>
    <w:p>
      <w:pPr>
        <w:spacing w:after="0" w:line="46"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at the close of business on , the record date for the distribution, and will reflect BD shares issued under BD equity compensation awards and BD share repurchases between the date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on which the BD Board of Directors declares the distribution and the record date for the distribution. The distribution will not affect the number of outstanding shares of BD common stock or any rights of BD shareholders. No fractional shares of Newco common stock will be distributed.</w:t>
      </w:r>
    </w:p>
    <w:p>
      <w:pPr>
        <w:spacing w:after="0" w:line="12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Newco will enter into a separation and distribution agreement and other related agreements with BD to effect the separation and to provide a framework for its relationship with BD after the separation, and will enter into certain other agreements, including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allocation between Newco and BD of the assets, employees, liabilities and obligations (including, among others, investments, property and employee benefits and tax-related assets and liabilities) of BD and its subsidiaries attributable to periods prior to, at and after Newco’s separation from BD and will govern the relationship between Newco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Newco Common Stock</w:t>
      </w:r>
    </w:p>
    <w:p>
      <w:pPr>
        <w:spacing w:after="0" w:line="121" w:lineRule="exact"/>
        <w:rPr>
          <w:sz w:val="20"/>
          <w:szCs w:val="20"/>
          <w:color w:val="auto"/>
        </w:rPr>
      </w:pPr>
    </w:p>
    <w:p>
      <w:pPr>
        <w:jc w:val="both"/>
        <w:ind w:left="120" w:right="320" w:firstLine="440"/>
        <w:spacing w:after="0" w:line="308" w:lineRule="auto"/>
        <w:rPr>
          <w:sz w:val="20"/>
          <w:szCs w:val="20"/>
          <w:color w:val="auto"/>
        </w:rPr>
      </w:pPr>
      <w:r>
        <w:rPr>
          <w:rFonts w:ascii="Arial" w:cs="Arial" w:eastAsia="Arial" w:hAnsi="Arial"/>
          <w:sz w:val="17"/>
          <w:szCs w:val="17"/>
          <w:color w:val="auto"/>
        </w:rPr>
        <w:t>There is currently no public trading market for Newco common stock. Newco intends to apply to list its common stock on under the symbol “ .” Newco has not and will not set the initial price of its common stock. The initial price will be established by the public markets.</w:t>
      </w:r>
    </w:p>
    <w:p>
      <w:pPr>
        <w:spacing w:after="0" w:line="14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Newco cannot predict the price at which its common stock will trade after the distribution. In fact, the combined trading prices, after the distribution, of the shares of Newco common stock that each BD shareholder will receive in the distribution, together with the BD common stock held at the record date for the distribution, may not equal the “regular-way” trading price of the BD common stock immediately prior to the distribution. The price at which Newco common stock trades may fluctuate significantly, particularly until an orderly public market develops. Trading prices for Newco common stock will be determined in the public markets and may be influenced by many factors. See “Risk Factors—Risks Related to Newco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left="560"/>
        <w:spacing w:after="0"/>
        <w:tabs>
          <w:tab w:leader="none" w:pos="10600" w:val="left"/>
        </w:tabs>
        <w:rPr>
          <w:sz w:val="20"/>
          <w:szCs w:val="20"/>
          <w:color w:val="auto"/>
        </w:rPr>
      </w:pPr>
      <w:r>
        <w:rPr>
          <w:rFonts w:ascii="Arial" w:cs="Arial" w:eastAsia="Arial" w:hAnsi="Arial"/>
          <w:sz w:val="18"/>
          <w:szCs w:val="18"/>
          <w:color w:val="auto"/>
        </w:rPr>
        <w:t>Newco expects to complete one or more financing transactions on or prior to the completion of the distribution. Approximately $</w:t>
      </w:r>
      <w:r>
        <w:rPr>
          <w:sz w:val="20"/>
          <w:szCs w:val="20"/>
          <w:color w:val="auto"/>
        </w:rPr>
        <w:tab/>
      </w:r>
      <w:r>
        <w:rPr>
          <w:rFonts w:ascii="Arial" w:cs="Arial" w:eastAsia="Arial" w:hAnsi="Arial"/>
          <w:sz w:val="15"/>
          <w:szCs w:val="15"/>
          <w:color w:val="auto"/>
        </w:rPr>
        <w:t>of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of such financings are expected to be used to distribute cash to BD. In addition, in partial consideration for the contribution of assets from BD</w:t>
      </w:r>
    </w:p>
    <w:p>
      <w:pPr>
        <w:spacing w:after="0" w:line="38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Newco, Newco will issue $ of indebtedness to BD, which BD may use to retire outstanding BD indebtedness. As a result of such transactions, Newco anticipates having approximately $ million of indebtedness upon completion of the distribution. On the distribution date, Newco anticipates that the debt will consist of . For more information, see “Description of Material Indebtedness.”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Beginning on or shortly before the record date for the distribution and continuing up to and including through the distribution date, BD expects that there will be two markets in BD common stock: a “regular-way” market and an “ex-distribution” market. BD common stock that trades on the “regular-way” market will trade with an entitlement to Newco common stock distributed in the distribution. BD common stock that trades on the “ex-distribution” market will trade without an entitlement to Newco common stock distributed in the distribution. Therefore, if you sell shares of BD common stock in the “regular-way” market up to and including through the distribution date, you will be selling your right to receive shares of Newco common stock in the distribution. If you own BD common stock at the close of business on the record date and sell those shares on the “ex-distribution” market up to and including through the distribution date, you will receive the shares of Newco common stock that you are entitled to receive pursuant to your ownership of shares of BD common stock as of the record date.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Furthermore, beginning on or shortly before the record date for the distribution and continuing up to and including the distribution date, Newco expects that there will be a “when-issued” market in its common stock. “When-issued” trading refers to a sale or purchase made conditionally because the security has been authorized but not yet issued. The “when-issued” trading market will be a market for Newco common stock that will be distributed to holders of BD common stock on the distribution date. If you owned BD common stock at the close of business on the record date for the distribution, you would be entitled to Newco common stock distributed pursuant to the distribution. You may trade this entitlement to shares of Newco common stock, without trading the BD common stock you own, on the “when-issued” market. On the first trading day following the distribution date, “when-issued” trading with respect to Newco common stock will end, and “regular-way” trading with respect to Newco common stock will begin.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ind w:left="560"/>
        <w:spacing w:after="0"/>
        <w:tabs>
          <w:tab w:leader="none" w:pos="5920" w:val="left"/>
        </w:tabs>
        <w:rPr>
          <w:sz w:val="20"/>
          <w:szCs w:val="20"/>
          <w:color w:val="auto"/>
        </w:rPr>
      </w:pPr>
      <w:r>
        <w:rPr>
          <w:rFonts w:ascii="Arial" w:cs="Arial" w:eastAsia="Arial" w:hAnsi="Arial"/>
          <w:sz w:val="18"/>
          <w:szCs w:val="18"/>
          <w:color w:val="auto"/>
        </w:rPr>
        <w:t>The distribution will be effective at 12:01 a.m., Eastern Time, on</w:t>
      </w:r>
      <w:r>
        <w:rPr>
          <w:sz w:val="20"/>
          <w:szCs w:val="20"/>
          <w:color w:val="auto"/>
        </w:rPr>
        <w:tab/>
      </w:r>
      <w:r>
        <w:rPr>
          <w:rFonts w:ascii="Arial" w:cs="Arial" w:eastAsia="Arial" w:hAnsi="Arial"/>
          <w:sz w:val="16"/>
          <w:szCs w:val="16"/>
          <w:color w:val="auto"/>
        </w:rPr>
        <w:t>, which is the distribution date, provided that the conditions set forth 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separation and distribution agreement have been satisfied (or waived by BD in its sole and absolute discretion), including, among others:</w:t>
      </w:r>
    </w:p>
    <w:p>
      <w:pPr>
        <w:spacing w:after="0" w:line="128" w:lineRule="exact"/>
        <w:rPr>
          <w:sz w:val="20"/>
          <w:szCs w:val="20"/>
          <w:color w:val="auto"/>
        </w:rPr>
      </w:pPr>
    </w:p>
    <w:p>
      <w:pPr>
        <w:ind w:left="10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in effect; and no proceedings for such purposes having been instituted or threatened by the SEC;</w:t>
      </w:r>
    </w:p>
    <w:p>
      <w:pPr>
        <w:sectPr>
          <w:pgSz w:w="11900" w:h="16838" w:orient="portrait"/>
          <w:cols w:equalWidth="0" w:num="1">
            <w:col w:w="11120"/>
          </w:cols>
          <w:pgMar w:left="320" w:top="459" w:right="45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information statement having been made available to the holders of record of shares of BD business on , the record date for the distribution;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common stock at the close of</w:t>
      </w:r>
    </w:p>
    <w:p>
      <w:pPr>
        <w:spacing w:after="0" w:line="369" w:lineRule="exact"/>
        <w:rPr>
          <w:sz w:val="20"/>
          <w:szCs w:val="20"/>
          <w:color w:val="auto"/>
        </w:rPr>
      </w:pPr>
    </w:p>
    <w:p>
      <w:pPr>
        <w:sectPr>
          <w:pgSz w:w="11900" w:h="16838" w:orient="portrait"/>
          <w:cols w:equalWidth="0" w:num="3">
            <w:col w:w="720" w:space="360"/>
            <w:col w:w="6900" w:space="720"/>
            <w:col w:w="2420"/>
          </w:cols>
          <w:pgMar w:left="320" w:top="459" w:right="459" w:bottom="1440" w:gutter="0" w:footer="0" w:header="0"/>
          <w:type w:val="continuous"/>
        </w:sectPr>
      </w:pPr>
    </w:p>
    <w:p>
      <w:pPr>
        <w:ind w:left="1080" w:right="100" w:hanging="424"/>
        <w:spacing w:after="0" w:line="29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receipt by BD of an opinion of BD’s outside tax counsel satisfactory to the BD Board of Directors, regarding the qualification of the contribution of assets from BD to Newco and the distribution, taken together, as a “reorganization” within the meaning of Sections 368(a)</w:t>
      </w:r>
    </w:p>
    <w:p>
      <w:pPr>
        <w:ind w:left="1080"/>
        <w:spacing w:after="0"/>
        <w:rPr>
          <w:rFonts w:ascii="Arial" w:cs="Arial" w:eastAsia="Arial" w:hAnsi="Arial"/>
          <w:sz w:val="16"/>
          <w:szCs w:val="16"/>
          <w:color w:val="auto"/>
        </w:rPr>
      </w:pPr>
      <w:r>
        <w:rPr>
          <w:rFonts w:ascii="Arial" w:cs="Arial" w:eastAsia="Arial" w:hAnsi="Arial"/>
          <w:sz w:val="18"/>
          <w:szCs w:val="18"/>
          <w:color w:val="auto"/>
        </w:rPr>
        <w:t>(1)(D) and 355 of the Code and such opinion not having been withdrawn or rescinded;</w:t>
      </w:r>
    </w:p>
    <w:p>
      <w:pPr>
        <w:spacing w:after="0" w:line="116"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transfer of assets and liabilities (other than certain delayed assets and liabilities) contemplated to be transferred from BD to Newco on or prior to the distribution having occurred in accordance with the separation and distribution agreement and the transfer of assets and liabilities (other than certain delayed assets and liabilities) contemplated to be transferred from Newco to BD on or prior to the distribution having occurred in accordance with the separation and distribution agreement;</w:t>
      </w:r>
    </w:p>
    <w:p>
      <w:pPr>
        <w:spacing w:after="0" w:line="92"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receipt of one or more opinions from an independent appraisal firm acceptable to BD to the BD Board of Directors as to the solvency and financial viability of BD and Newco after the completion of the distribution, in each case, in a form and substance acceptable to the BD Board of Directors in its sole and absolute discretion and such opinions not having been withdrawn or rescinded;</w:t>
      </w:r>
    </w:p>
    <w:p>
      <w:pPr>
        <w:spacing w:after="0" w:line="54"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having been taken or made and, where applicable, having become effective or been accepted by the applicable government authority;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execution of certain agreements contemplated by the separation and distribution agreement;</w:t>
      </w:r>
    </w:p>
    <w:p>
      <w:pPr>
        <w:spacing w:after="0" w:line="130" w:lineRule="exact"/>
        <w:rPr>
          <w:rFonts w:ascii="Arial" w:cs="Arial" w:eastAsia="Arial" w:hAnsi="Arial"/>
          <w:sz w:val="18"/>
          <w:szCs w:val="18"/>
          <w:color w:val="auto"/>
        </w:rPr>
      </w:pPr>
    </w:p>
    <w:p>
      <w:pPr>
        <w:ind w:left="1080" w:right="76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order, injunction or decree issued by any government authority of competent jurisdiction or other legal restraint or prohibition preventing the consummation of the separation, the distribution or any of the related transactions being pending or in effect;</w:t>
      </w:r>
    </w:p>
    <w:p>
      <w:pPr>
        <w:sectPr>
          <w:pgSz w:w="11900" w:h="16838" w:orient="portrait"/>
          <w:cols w:equalWidth="0" w:num="1">
            <w:col w:w="11120"/>
          </w:cols>
          <w:pgMar w:left="320" w:top="459" w:right="45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Newco common stock to be distributed having been accepted for listing on the distribution;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 subject to official notice of</w:t>
      </w:r>
    </w:p>
    <w:p>
      <w:pPr>
        <w:spacing w:after="0" w:line="369" w:lineRule="exact"/>
        <w:rPr>
          <w:sz w:val="20"/>
          <w:szCs w:val="20"/>
          <w:color w:val="auto"/>
        </w:rPr>
      </w:pPr>
    </w:p>
    <w:p>
      <w:pPr>
        <w:sectPr>
          <w:pgSz w:w="11900" w:h="16838" w:orient="portrait"/>
          <w:cols w:equalWidth="0" w:num="3">
            <w:col w:w="720" w:space="360"/>
            <w:col w:w="6620" w:space="720"/>
            <w:col w:w="2700"/>
          </w:cols>
          <w:pgMar w:left="320" w:top="459" w:right="459" w:bottom="1440" w:gutter="0" w:footer="0" w:header="0"/>
          <w:type w:val="continuous"/>
        </w:sectPr>
      </w:pPr>
    </w:p>
    <w:p>
      <w:pPr>
        <w:jc w:val="both"/>
        <w:ind w:left="1080" w:right="12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BD having received the proceeds from a cash distribution from Newco following Newco’s entry into certain debt financing arrangements described under “Description of Material Indebtedness” and being satisfied in its sole and absolute discretion that, as of the effective time of the distribution, BD will have no further liability under such debt financing arrangements;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3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other events or developments existing or having occurred that, in the judgment of BD’s Board of Directors, in its sole and absolute discretion, makes it inadvisable to effect the separation, the distribution and the other related transactions.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BD will have the sole and absolute discretion to determine (and change) the terms of, and whether to proceed with, the distribution and, to the extent it determines to so proceed, to determine the record date for the distribution, the distribution date and the distribution ratio. BD will also have sole and absolute discretion to waive any of the conditions to the distribution. BD does not intend to notify its shareholders of any modifications to the terms of the separation or distribution that, in the judgment of its Board of Directors, are not material. For example, the BD Board of Directors might consider material such matters as significant changes to the distribution ratio and the assets to be contributed or the liabilities to be assumed in the separation. To the extent that the BD Board of Directors determines that any modifications by BD materially change the material terms of the distribution, BD will notify BD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Newco has not yet determined whether it expects to pay a regular dividend after the separation and distribution. The timing, declaration, amount of and payment of any dividends following the separation and the distribution will be within the discretion of Newco’s Board of Directors and will depend upon many factors, including its financial condition, earnings, capital requirements of its operating subsidiaries, covenants associated with certain of its debt service obligations, legal requirements, regulatory constraints, industry practice, ability to access capital markets and other factors deemed relevant by Newco’s Board of Directors. Moreover, if Newco determines to pay any dividend in the future, there can be no assurance that Newco will continue to pay such dividends or the amount of such dividends.</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sets forth the capitalization of Newco as of September 30, 2021, on a historical and a pro forma basis, which reflects the adjustments described in more detail in the notes to the unaudited pro forma financial information included elsewhere in this information statement. You should read this information in conjunction with those notes, as well as “Management’s Discussion and Analysis of Financial Condition and Results of Operations” and the audited annual combined financial statements and the related notes included elsewhere in this information statement.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Historical</w:t>
            </w:r>
          </w:p>
        </w:tc>
        <w:tc>
          <w:tcPr>
            <w:tcW w:w="5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Pro Forma</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6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7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ind w:left="1900" w:hanging="101"/>
        <w:spacing w:after="0"/>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Equity:</w:t>
      </w:r>
    </w:p>
    <w:p>
      <w:pPr>
        <w:spacing w:after="0" w:line="9" w:lineRule="exact"/>
        <w:rPr>
          <w:rFonts w:ascii="Arial" w:cs="Arial" w:eastAsia="Arial" w:hAnsi="Arial"/>
          <w:sz w:val="18"/>
          <w:szCs w:val="18"/>
          <w:color w:val="auto"/>
        </w:rPr>
      </w:pPr>
    </w:p>
    <w:p>
      <w:pPr>
        <w:ind w:left="1800" w:right="7720"/>
        <w:spacing w:after="0" w:line="281" w:lineRule="auto"/>
        <w:rPr>
          <w:rFonts w:ascii="Arial" w:cs="Arial" w:eastAsia="Arial" w:hAnsi="Arial"/>
          <w:sz w:val="18"/>
          <w:szCs w:val="18"/>
          <w:color w:val="auto"/>
        </w:rPr>
      </w:pPr>
      <w:r>
        <w:rPr>
          <w:rFonts w:ascii="Arial" w:cs="Arial" w:eastAsia="Arial" w:hAnsi="Arial"/>
          <w:sz w:val="16"/>
          <w:szCs w:val="16"/>
          <w:color w:val="auto"/>
        </w:rPr>
        <w:t>Net parent investment Common stock</w:t>
      </w:r>
    </w:p>
    <w:p>
      <w:pPr>
        <w:spacing w:after="0" w:line="1" w:lineRule="exact"/>
        <w:rPr>
          <w:rFonts w:ascii="Arial" w:cs="Arial" w:eastAsia="Arial" w:hAnsi="Arial"/>
          <w:sz w:val="18"/>
          <w:szCs w:val="18"/>
          <w:color w:val="auto"/>
        </w:rPr>
      </w:pPr>
    </w:p>
    <w:p>
      <w:pPr>
        <w:ind w:left="1800" w:right="6380"/>
        <w:spacing w:after="0" w:line="287" w:lineRule="auto"/>
        <w:rPr>
          <w:rFonts w:ascii="Arial" w:cs="Arial" w:eastAsia="Arial" w:hAnsi="Arial"/>
          <w:sz w:val="18"/>
          <w:szCs w:val="18"/>
          <w:color w:val="auto"/>
        </w:rPr>
      </w:pPr>
      <w:r>
        <w:rPr>
          <w:rFonts w:ascii="Arial" w:cs="Arial" w:eastAsia="Arial" w:hAnsi="Arial"/>
          <w:sz w:val="16"/>
          <w:szCs w:val="16"/>
          <w:color w:val="auto"/>
        </w:rPr>
        <w:t>Retained earnings (Accumulated deficit)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-690245</wp:posOffset>
            </wp:positionV>
            <wp:extent cx="53149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-415925</wp:posOffset>
            </wp:positionV>
            <wp:extent cx="531495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-141605</wp:posOffset>
            </wp:positionV>
            <wp:extent cx="531495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tabs>
          <w:tab w:leader="none" w:pos="7800" w:val="left"/>
          <w:tab w:leader="none" w:pos="9040" w:val="left"/>
        </w:tabs>
        <w:rPr>
          <w:sz w:val="20"/>
          <w:szCs w:val="20"/>
          <w:color w:val="auto"/>
        </w:rPr>
      </w:pPr>
      <w:r>
        <w:rPr>
          <w:rFonts w:ascii="Arial" w:cs="Arial" w:eastAsia="Arial" w:hAnsi="Arial"/>
          <w:sz w:val="18"/>
          <w:szCs w:val="18"/>
          <w:b w:val="1"/>
          <w:bCs w:val="1"/>
          <w:color w:val="auto"/>
        </w:rPr>
        <w:t>Total 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17145</wp:posOffset>
            </wp:positionV>
            <wp:extent cx="437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34290</wp:posOffset>
            </wp:positionV>
            <wp:extent cx="437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17145</wp:posOffset>
            </wp:positionV>
            <wp:extent cx="4368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34290</wp:posOffset>
            </wp:positionV>
            <wp:extent cx="436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63"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Newco has not yet finalized its post-distribution capitalization. Pro forma financial information reflecting the Diabetes Care Business (as defined in the historical combined financial statements included in this information statement) post-distribution capitalization will be included in an amendment to this information statement.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COMBINED FINANCIAL DATA OF THE DIABETES CARE BUSINESS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table presents the selected historical combined financial data for the Diabetes Care Business as of and for each of the fiscal years in the three-year period ended September 31, 2021. The selected combined statement of income data for the fiscal years ended September 30, 2021, 2020 and 2019, and the selected combined balance sheet data as of September 30, 2021 and 2020, was derived from the Diabetes Care Business’ audited combined financial statements, which are included in the “Index to Financial Statements” section of this information statement.</w:t>
      </w:r>
    </w:p>
    <w:p>
      <w:pPr>
        <w:spacing w:after="0" w:line="15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historical results do not necessarily indicate the results expected for any future period. The selected historical combined financial data presented below should be read in conjunction with “Management’s Discussion and Analysis of Financial Condition and Results of Operations” and the Diabetes Care Business’ audited combined financial statements and accompanying notes, which are included elsewhere in this information statement. Per share data has not been presented since Newco was wholly owned by BD during the periods presented.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Combined Financial Data</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Combined Statement of Income Data:</w:t>
            </w:r>
          </w:p>
        </w:tc>
        <w:tc>
          <w:tcPr>
            <w:tcW w:w="1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1,109</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Selling and administrative expense</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r>
      <w:tr>
        <w:trPr>
          <w:trHeight w:val="324"/>
        </w:trPr>
        <w:tc>
          <w:tcPr>
            <w:tcW w:w="4840" w:type="dxa"/>
            <w:vAlign w:val="bottom"/>
          </w:tcPr>
          <w:p>
            <w:pPr>
              <w:spacing w:after="0"/>
              <w:rPr>
                <w:sz w:val="20"/>
                <w:szCs w:val="20"/>
                <w:color w:val="auto"/>
              </w:rPr>
            </w:pPr>
            <w:r>
              <w:rPr>
                <w:rFonts w:ascii="Arial" w:cs="Arial" w:eastAsia="Arial" w:hAnsi="Arial"/>
                <w:sz w:val="18"/>
                <w:szCs w:val="18"/>
                <w:b w:val="1"/>
                <w:bCs w:val="1"/>
                <w:color w:val="auto"/>
              </w:rPr>
              <w:t>Combined Balance Sheet Data:</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w:t>
            </w:r>
          </w:p>
        </w:tc>
        <w:tc>
          <w:tcPr>
            <w:tcW w:w="2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8"/>
                <w:szCs w:val="18"/>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Total Parent’s Equity</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540" w:right="2840" w:hanging="5424"/>
        <w:spacing w:after="0" w:line="449" w:lineRule="auto"/>
        <w:tabs>
          <w:tab w:leader="none" w:pos="5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 51</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On , the BD Board of Directors approved the distribution of all of Newco’s issued and outstanding shares of common stock on the basis of shares of Newco common stock for every share of BD common stock held as of the close of business on , the record date for the</w:t>
      </w:r>
    </w:p>
    <w:p>
      <w:pPr>
        <w:spacing w:after="0" w:line="1"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distribution. The following unaudited pro forma condensed combined financial information of Newco gives effect to the separation and related adjustments in accordance with Article 11 of Regulation S-X under the Exchange Act.</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unaudited condensed combined pro forma balance sheet gives effect to the separation and related transactions described below as if they had occurred on September 30, 2021. The unaudited pro forma adjustments to the condensed combined statement of income for the year ended September 30, 2021 assume that the separation and related transactions occurred as of October 1, 2020.</w:t>
      </w:r>
    </w:p>
    <w:p>
      <w:pPr>
        <w:spacing w:after="0" w:line="184"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The unaudited pro forma condensed combined statement of income for the year ended September 30, 2021 has been derived from the audited historical combined statement of income for the year ended September 30, 2021. The unaudited pro forma condensed combined balance sheet as of September 30, 2021 has been derived from the audited historical combined balance sheet as of September 30, 2021.</w:t>
      </w:r>
    </w:p>
    <w:p>
      <w:pPr>
        <w:spacing w:after="0" w:line="16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unaudited pro forma condensed combined statement of income for the year ended September 30, 2021 and the unaudited pro forma condensed combined balance sheet as of September 30, 2021 have been prepared to reflect adjustments to the Diabetes Care Business’ historical combined financial information for transaction and autonomous entity adjustments.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accounting adjustments that reflect the effects of Newco’s legal separation from BD include the following adjustments:</w:t>
      </w:r>
    </w:p>
    <w:p>
      <w:pPr>
        <w:spacing w:after="0" w:line="131" w:lineRule="exact"/>
        <w:rPr>
          <w:sz w:val="20"/>
          <w:szCs w:val="20"/>
          <w:color w:val="auto"/>
        </w:rPr>
      </w:pPr>
    </w:p>
    <w:p>
      <w:pPr>
        <w:ind w:left="1540" w:right="40" w:hanging="331"/>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 historical combined balance sheet prepared on a carve-out basis and assets and liabilities expected to be contributed by BD to Newco;</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 of Newco’s anticipated post-separation capital structure, including the incurrence of indebtedness of approximately</w:t>
      </w:r>
    </w:p>
    <w:p>
      <w:pPr>
        <w:sectPr>
          <w:pgSz w:w="11900" w:h="16838" w:orient="portrait"/>
          <w:cols w:equalWidth="0" w:num="1">
            <w:col w:w="11060"/>
          </w:cols>
          <w:pgMar w:left="320" w:top="459" w:right="519" w:bottom="1440" w:gutter="0" w:footer="0" w:header="0"/>
        </w:sectPr>
      </w:pPr>
    </w:p>
    <w:p>
      <w:pPr>
        <w:spacing w:after="0" w:line="35" w:lineRule="exact"/>
        <w:rPr>
          <w:sz w:val="20"/>
          <w:szCs w:val="20"/>
          <w:color w:val="auto"/>
        </w:rPr>
      </w:pPr>
    </w:p>
    <w:p>
      <w:pPr>
        <w:ind w:left="1540" w:right="40"/>
        <w:spacing w:after="0" w:line="255" w:lineRule="auto"/>
        <w:rPr>
          <w:sz w:val="20"/>
          <w:szCs w:val="20"/>
          <w:color w:val="auto"/>
        </w:rPr>
      </w:pPr>
      <w:r>
        <w:rPr>
          <w:rFonts w:ascii="Arial" w:cs="Arial" w:eastAsia="Arial" w:hAnsi="Arial"/>
          <w:sz w:val="18"/>
          <w:szCs w:val="18"/>
          <w:color w:val="auto"/>
        </w:rPr>
        <w:t>$ million, the distribution of approximately $ million of cash to BD and, in partial consideration for the contribution of assets from BD to Newco, the issuance by Newco of $ of indebtedness to BD, which BD may use to retire outstanding BD indebtedness;</w:t>
      </w:r>
    </w:p>
    <w:p>
      <w:pPr>
        <w:sectPr>
          <w:pgSz w:w="11900" w:h="16838" w:orient="portrait"/>
          <w:cols w:equalWidth="0" w:num="1">
            <w:col w:w="11060"/>
          </w:cols>
          <w:pgMar w:left="320" w:top="459" w:right="519" w:bottom="1440" w:gutter="0" w:footer="0" w:header="0"/>
          <w:type w:val="continuous"/>
        </w:sectPr>
      </w:pPr>
    </w:p>
    <w:p>
      <w:pPr>
        <w:spacing w:after="0" w:line="95" w:lineRule="exact"/>
        <w:rPr>
          <w:sz w:val="20"/>
          <w:szCs w:val="20"/>
          <w:color w:val="auto"/>
        </w:rPr>
      </w:pPr>
    </w:p>
    <w:p>
      <w:pPr>
        <w:ind w:left="1540" w:hanging="331"/>
        <w:spacing w:after="0"/>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distribution of 100% of Newco’s issued and outstanding common stock by BD in connection with the separation;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one-time expenses associated with separation of Newco; and</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separation and distribution agreement, the transition services agreement, the tax matters agreement, the employee matters agreement, the cannula supply agreement, the contract manufacturing agreements, the intellectual property matters agreement and other transaction agreements described under “Certain Relationships and Related Party Transactions.”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Autonomous entity adjustments, which consist of incremental expense or other changes necessary to reflect the operations and financial position of Newco as an autonomous entity, include the following adjustments:</w:t>
      </w:r>
    </w:p>
    <w:p>
      <w:pPr>
        <w:spacing w:after="0" w:line="76" w:lineRule="exact"/>
        <w:rPr>
          <w:sz w:val="20"/>
          <w:szCs w:val="20"/>
          <w:color w:val="auto"/>
        </w:rPr>
      </w:pPr>
    </w:p>
    <w:p>
      <w:pPr>
        <w:ind w:left="1540" w:right="80" w:hanging="331"/>
        <w:spacing w:after="0" w:line="342" w:lineRule="auto"/>
        <w:tabs>
          <w:tab w:leader="none" w:pos="1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separation of the assets (including the equity interests of certain subsidiaries) and liabilities related to the diabetes care business from BD and the transfer of those assets (including the equity interests of certain subsidiaries) and liabilities to Newco;</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incremental costs Newco expects to incur as an autonomous entity;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financial information is for informational purposes only and does not purport to represent what the Diabetes Care Business’ financial position and results of operations actually would have been had the separation and distribution occurred on the dates indicated, or to project the Diabetes Care Business’ financial performance for any future period. The audited annual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Diabetes Care Business’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September 30, 2021</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Transaction</w:t>
            </w:r>
          </w:p>
        </w:tc>
        <w:tc>
          <w:tcPr>
            <w:tcW w:w="114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Autonomous</w:t>
            </w:r>
          </w:p>
        </w:tc>
        <w:tc>
          <w:tcPr>
            <w:tcW w:w="98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Historical</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Entity</w:t>
            </w:r>
          </w:p>
        </w:tc>
        <w:tc>
          <w:tcPr>
            <w:tcW w:w="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 except per share data</w:t>
            </w: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98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w:t>
            </w: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gridSpan w:val="3"/>
          </w:tcPr>
          <w:p>
            <w:pPr>
              <w:ind w:left="280"/>
              <w:spacing w:after="0"/>
              <w:rPr>
                <w:sz w:val="20"/>
                <w:szCs w:val="20"/>
                <w:color w:val="auto"/>
              </w:rPr>
            </w:pPr>
            <w:r>
              <w:rPr>
                <w:rFonts w:ascii="Arial" w:cs="Arial" w:eastAsia="Arial" w:hAnsi="Arial"/>
                <w:sz w:val="18"/>
                <w:szCs w:val="18"/>
                <w:color w:val="auto"/>
              </w:rPr>
              <w:t>(a)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(g), (l)</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Income</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 (c)</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 September 30, 2021</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Transaction</w:t>
            </w:r>
          </w:p>
        </w:tc>
        <w:tc>
          <w:tcPr>
            <w:tcW w:w="11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Autonomous</w:t>
            </w:r>
          </w:p>
        </w:tc>
        <w:tc>
          <w:tcPr>
            <w:tcW w:w="112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Historical</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Entity</w:t>
            </w: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Millions of dollars except per share data</w:t>
            </w:r>
          </w:p>
        </w:tc>
        <w:tc>
          <w:tcPr>
            <w:tcW w:w="2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w w:val="90"/>
              </w:rPr>
              <w:t>Trade receivables, net</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1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(a)</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(b), (d)</w:t>
            </w:r>
          </w:p>
        </w:tc>
        <w:tc>
          <w:tcPr>
            <w:tcW w:w="1840" w:type="dxa"/>
            <w:vAlign w:val="bottom"/>
            <w:gridSpan w:val="3"/>
          </w:tcPr>
          <w:p>
            <w:pPr>
              <w:ind w:left="26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Salaries, wages and related items</w:t>
            </w: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Deferred income taxes and other liabilities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 (d)</w:t>
            </w:r>
          </w:p>
        </w:tc>
        <w:tc>
          <w:tcPr>
            <w:tcW w:w="1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Equity</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Net parent investment</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 (f)</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$0.01 par value,</w:t>
            </w:r>
          </w:p>
        </w:tc>
        <w:tc>
          <w:tcPr>
            <w:tcW w:w="27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authorized;</w:t>
            </w:r>
          </w:p>
        </w:tc>
        <w:tc>
          <w:tcPr>
            <w:tcW w:w="4120" w:type="dxa"/>
            <w:vAlign w:val="bottom"/>
            <w:gridSpan w:val="3"/>
          </w:tcPr>
          <w:p>
            <w:pPr>
              <w:ind w:left="60"/>
              <w:spacing w:after="0"/>
              <w:rPr>
                <w:sz w:val="20"/>
                <w:szCs w:val="20"/>
                <w:color w:val="auto"/>
              </w:rPr>
            </w:pPr>
            <w:r>
              <w:rPr>
                <w:rFonts w:ascii="Arial" w:cs="Arial" w:eastAsia="Arial" w:hAnsi="Arial"/>
                <w:sz w:val="18"/>
                <w:szCs w:val="18"/>
                <w:color w:val="auto"/>
              </w:rPr>
              <w:t>shares issued and outstanding on a pro</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forma basis</w:t>
            </w: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Retained earnings (Accumulated deficit)</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Accumulated other comprehensive</w:t>
            </w:r>
          </w:p>
        </w:tc>
        <w:tc>
          <w:tcPr>
            <w:tcW w:w="2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income (loss)</w:t>
            </w: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8255</wp:posOffset>
            </wp:positionV>
            <wp:extent cx="10890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31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8255</wp:posOffset>
            </wp:positionV>
            <wp:extent cx="402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108902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9025" cy="2540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14605</wp:posOffset>
            </wp:positionV>
            <wp:extent cx="5314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31750</wp:posOffset>
            </wp:positionV>
            <wp:extent cx="5314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14605</wp:posOffset>
            </wp:positionV>
            <wp:extent cx="4025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31750</wp:posOffset>
            </wp:positionV>
            <wp:extent cx="4025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Transaction Accounting Adjustments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note should be read in conjunction with other notes in the pro forma condensed combined financial information. Adjustments included in the column under the header “Transaction Accounting Adjustments” represent the following:</w:t>
      </w:r>
    </w:p>
    <w:p>
      <w:pPr>
        <w:spacing w:after="0" w:line="76" w:lineRule="exact"/>
        <w:rPr>
          <w:sz w:val="20"/>
          <w:szCs w:val="20"/>
          <w:color w:val="auto"/>
        </w:rPr>
      </w:pPr>
    </w:p>
    <w:p>
      <w:pPr>
        <w:ind w:left="1080" w:right="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historical combined financial statements of the Diabetes Care Business include operations which are related to other BD businesses that will be retained by BD but which reside in a certain legal entity that will be contributed to Newco in connection with the spin-off. Pro forma adjustments, including income tax, represent the impact of removing the historical results of such retained BD businesses from the Diabetes Care Business’ historical combined financial statements.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pro forma condensed combined balance sheet reflects financing transactions completed on or prior to the completion of the</w:t>
      </w:r>
    </w:p>
    <w:p>
      <w:pPr>
        <w:spacing w:after="0" w:line="3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160" w:type="dxa"/>
            <w:vAlign w:val="bottom"/>
            <w:gridSpan w:val="3"/>
          </w:tcPr>
          <w:p>
            <w:pPr>
              <w:ind w:left="160"/>
              <w:spacing w:after="0"/>
              <w:rPr>
                <w:sz w:val="20"/>
                <w:szCs w:val="20"/>
                <w:color w:val="auto"/>
              </w:rPr>
            </w:pPr>
            <w:r>
              <w:rPr>
                <w:rFonts w:ascii="Arial" w:cs="Arial" w:eastAsia="Arial" w:hAnsi="Arial"/>
                <w:sz w:val="18"/>
                <w:szCs w:val="18"/>
                <w:color w:val="auto"/>
              </w:rPr>
              <w:t>distribution, with approximately $</w:t>
            </w:r>
          </w:p>
        </w:tc>
        <w:tc>
          <w:tcPr>
            <w:tcW w:w="528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of the proceeds of such financing used to distribute cash to BD and $</w:t>
            </w:r>
          </w:p>
        </w:tc>
        <w:tc>
          <w:tcPr>
            <w:tcW w:w="1640" w:type="dxa"/>
            <w:vAlign w:val="bottom"/>
          </w:tcPr>
          <w:p>
            <w:pPr>
              <w:ind w:left="640"/>
              <w:spacing w:after="0"/>
              <w:rPr>
                <w:sz w:val="20"/>
                <w:szCs w:val="20"/>
                <w:color w:val="auto"/>
              </w:rPr>
            </w:pPr>
            <w:r>
              <w:rPr>
                <w:rFonts w:ascii="Arial" w:cs="Arial" w:eastAsia="Arial" w:hAnsi="Arial"/>
                <w:sz w:val="18"/>
                <w:szCs w:val="18"/>
                <w:color w:val="auto"/>
              </w:rPr>
              <w:t>of such</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4"/>
              </w:rPr>
              <w:t>financings consisting of issuances by Newco of indebtedness to BD in partial consideration for the contribution of assets from BD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7"/>
              </w:rPr>
              <w:t>Newco, which BD may use to retire outstanding BD indebtedness. As a result of such transactions, Newco has indebtedness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approximately $</w:t>
            </w:r>
          </w:p>
        </w:tc>
        <w:tc>
          <w:tcPr>
            <w:tcW w:w="6560" w:type="dxa"/>
            <w:vAlign w:val="bottom"/>
            <w:gridSpan w:val="4"/>
          </w:tcPr>
          <w:p>
            <w:pPr>
              <w:jc w:val="right"/>
              <w:spacing w:after="0"/>
              <w:rPr>
                <w:sz w:val="20"/>
                <w:szCs w:val="20"/>
                <w:color w:val="auto"/>
              </w:rPr>
            </w:pPr>
            <w:r>
              <w:rPr>
                <w:rFonts w:ascii="Arial" w:cs="Arial" w:eastAsia="Arial" w:hAnsi="Arial"/>
                <w:sz w:val="18"/>
                <w:szCs w:val="18"/>
                <w:color w:val="auto"/>
                <w:w w:val="94"/>
              </w:rPr>
              <w:t>upon completion of the distribution. Details of the financing transactions are as follows: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80" w:type="dxa"/>
            <w:vAlign w:val="bottom"/>
          </w:tcPr>
          <w:p>
            <w:pPr>
              <w:spacing w:after="0"/>
              <w:rPr>
                <w:sz w:val="24"/>
                <w:szCs w:val="24"/>
                <w:color w:val="auto"/>
              </w:rPr>
            </w:pPr>
          </w:p>
        </w:tc>
        <w:tc>
          <w:tcPr>
            <w:tcW w:w="3160" w:type="dxa"/>
            <w:vAlign w:val="bottom"/>
            <w:gridSpan w:val="3"/>
          </w:tcPr>
          <w:p>
            <w:pPr>
              <w:ind w:left="960"/>
              <w:spacing w:after="0"/>
              <w:rPr>
                <w:sz w:val="20"/>
                <w:szCs w:val="20"/>
                <w:color w:val="auto"/>
              </w:rPr>
            </w:pPr>
            <w:r>
              <w:rPr>
                <w:rFonts w:ascii="Arial" w:cs="Arial" w:eastAsia="Arial" w:hAnsi="Arial"/>
                <w:sz w:val="14"/>
                <w:szCs w:val="14"/>
                <w:b w:val="1"/>
                <w:bCs w:val="1"/>
                <w:color w:val="auto"/>
              </w:rPr>
              <w:t>Millions of dollars</w:t>
            </w:r>
          </w:p>
        </w:tc>
        <w:tc>
          <w:tcPr>
            <w:tcW w:w="2200" w:type="dxa"/>
            <w:vAlign w:val="bottom"/>
          </w:tcPr>
          <w:p>
            <w:pPr>
              <w:spacing w:after="0"/>
              <w:rPr>
                <w:sz w:val="24"/>
                <w:szCs w:val="24"/>
                <w:color w:val="auto"/>
              </w:rPr>
            </w:pPr>
          </w:p>
        </w:tc>
        <w:tc>
          <w:tcPr>
            <w:tcW w:w="3080" w:type="dxa"/>
            <w:vAlign w:val="bottom"/>
            <w:gridSpan w:val="2"/>
            <w:vMerge w:val="restart"/>
          </w:tcPr>
          <w:p>
            <w:pPr>
              <w:jc w:val="right"/>
              <w:ind w:right="53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360" w:type="dxa"/>
            <w:vAlign w:val="bottom"/>
            <w:gridSpan w:val="4"/>
          </w:tcPr>
          <w:p>
            <w:pPr>
              <w:ind w:left="960"/>
              <w:spacing w:after="0"/>
              <w:rPr>
                <w:sz w:val="20"/>
                <w:szCs w:val="20"/>
                <w:color w:val="auto"/>
              </w:rPr>
            </w:pPr>
            <w:r>
              <w:rPr>
                <w:rFonts w:ascii="Arial" w:cs="Arial" w:eastAsia="Arial" w:hAnsi="Arial"/>
                <w:sz w:val="18"/>
                <w:szCs w:val="18"/>
                <w:color w:val="auto"/>
              </w:rPr>
              <w:t>Total principal long-term debt issued</w:t>
            </w:r>
          </w:p>
        </w:tc>
        <w:tc>
          <w:tcPr>
            <w:tcW w:w="2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gridSpan w:val="3"/>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5360" w:type="dxa"/>
            <w:vAlign w:val="bottom"/>
            <w:gridSpan w:val="4"/>
          </w:tcPr>
          <w:p>
            <w:pPr>
              <w:ind w:left="160"/>
              <w:spacing w:after="0"/>
              <w:rPr>
                <w:sz w:val="20"/>
                <w:szCs w:val="20"/>
                <w:color w:val="auto"/>
              </w:rPr>
            </w:pPr>
            <w:r>
              <w:rPr>
                <w:rFonts w:ascii="Arial" w:cs="Arial" w:eastAsia="Arial" w:hAnsi="Arial"/>
                <w:sz w:val="18"/>
                <w:szCs w:val="18"/>
                <w:color w:val="auto"/>
                <w:w w:val="95"/>
              </w:rPr>
              <w:t>The interest rate on the issued debt is expected to be approximately</w:t>
            </w:r>
          </w:p>
        </w:tc>
        <w:tc>
          <w:tcPr>
            <w:tcW w:w="4720" w:type="dxa"/>
            <w:vAlign w:val="bottom"/>
            <w:gridSpan w:val="3"/>
          </w:tcPr>
          <w:p>
            <w:pPr>
              <w:ind w:left="360"/>
              <w:spacing w:after="0"/>
              <w:rPr>
                <w:sz w:val="20"/>
                <w:szCs w:val="20"/>
                <w:color w:val="auto"/>
              </w:rPr>
            </w:pPr>
            <w:r>
              <w:rPr>
                <w:rFonts w:ascii="Arial" w:cs="Arial" w:eastAsia="Arial" w:hAnsi="Arial"/>
                <w:sz w:val="18"/>
                <w:szCs w:val="18"/>
                <w:color w:val="auto"/>
                <w:w w:val="89"/>
              </w:rPr>
              <w:t>%. The pro forma condensed combined statement of income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gridSpan w:val="3"/>
          </w:tcPr>
          <w:p>
            <w:pPr>
              <w:ind w:left="160"/>
              <w:spacing w:after="0"/>
              <w:rPr>
                <w:sz w:val="20"/>
                <w:szCs w:val="20"/>
                <w:color w:val="auto"/>
              </w:rPr>
            </w:pPr>
            <w:r>
              <w:rPr>
                <w:rFonts w:ascii="Arial" w:cs="Arial" w:eastAsia="Arial" w:hAnsi="Arial"/>
                <w:sz w:val="18"/>
                <w:szCs w:val="18"/>
                <w:color w:val="auto"/>
                <w:w w:val="95"/>
              </w:rPr>
              <w:t>reflects estimated interest expense of $</w:t>
            </w:r>
          </w:p>
        </w:tc>
        <w:tc>
          <w:tcPr>
            <w:tcW w:w="6920" w:type="dxa"/>
            <w:vAlign w:val="bottom"/>
            <w:gridSpan w:val="4"/>
          </w:tcPr>
          <w:p>
            <w:pPr>
              <w:ind w:left="520"/>
              <w:spacing w:after="0"/>
              <w:rPr>
                <w:sz w:val="20"/>
                <w:szCs w:val="20"/>
                <w:color w:val="auto"/>
              </w:rPr>
            </w:pPr>
            <w:r>
              <w:rPr>
                <w:rFonts w:ascii="Arial" w:cs="Arial" w:eastAsia="Arial" w:hAnsi="Arial"/>
                <w:sz w:val="18"/>
                <w:szCs w:val="18"/>
                <w:color w:val="auto"/>
                <w:w w:val="93"/>
              </w:rPr>
              <w:t>million related to the debt and amortization of related deferred issuance costs. Interest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1"/>
              </w:rPr>
              <w:t>expense was calculated assuming constant debt levels throughout the periods. A 1/8% change to the annual interest rate would change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9"/>
              </w:rPr>
              <w:t>interest expense by $</w:t>
            </w:r>
          </w:p>
        </w:tc>
        <w:tc>
          <w:tcPr>
            <w:tcW w:w="6560" w:type="dxa"/>
            <w:vAlign w:val="bottom"/>
            <w:gridSpan w:val="4"/>
          </w:tcPr>
          <w:p>
            <w:pPr>
              <w:jc w:val="right"/>
              <w:ind w:right="2550"/>
              <w:spacing w:after="0"/>
              <w:rPr>
                <w:sz w:val="20"/>
                <w:szCs w:val="20"/>
                <w:color w:val="auto"/>
              </w:rPr>
            </w:pPr>
            <w:r>
              <w:rPr>
                <w:rFonts w:ascii="Arial" w:cs="Arial" w:eastAsia="Arial" w:hAnsi="Arial"/>
                <w:sz w:val="18"/>
                <w:szCs w:val="18"/>
                <w:color w:val="auto"/>
              </w:rPr>
              <w:t>million for the year ended September 30, 2021.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w:t>
      </w:r>
    </w:p>
    <w:p>
      <w:pPr>
        <w:spacing w:after="0" w:line="131" w:lineRule="exact"/>
        <w:rPr>
          <w:sz w:val="20"/>
          <w:szCs w:val="20"/>
          <w:color w:val="auto"/>
        </w:rPr>
      </w:pPr>
    </w:p>
    <w:p>
      <w:pPr>
        <w:jc w:val="both"/>
        <w:ind w:left="1080" w:hanging="539"/>
        <w:spacing w:after="0" w:line="257" w:lineRule="auto"/>
        <w:tabs>
          <w:tab w:leader="none" w:pos="10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Reflects an adjustment to represent $ million of cash at the balance sheet date, which is the approximate amount of cash Newco will have following the completion of the separation. This reflects the $ billion of borrowings expected to be incurred in connection with the separation, net of approximately $ billion expected to be distributed to BD and the issuance of $ of indebtedness to BD in partial consideration for the contribution of assets from BD to Newco, which BD may use to retire outstanding BD indebtedness.</w:t>
      </w:r>
    </w:p>
    <w:p>
      <w:pPr>
        <w:spacing w:after="0" w:line="93"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reclassification of BD’s net investment in Newco, and other pro forma adjustments, into Retained earnings (Accumulated</w:t>
      </w:r>
    </w:p>
    <w:p>
      <w:pPr>
        <w:spacing w:after="0" w:line="46" w:lineRule="exact"/>
        <w:rPr>
          <w:sz w:val="20"/>
          <w:szCs w:val="20"/>
          <w:color w:val="auto"/>
        </w:rPr>
      </w:pPr>
    </w:p>
    <w:p>
      <w:pPr>
        <w:ind w:left="1080"/>
        <w:spacing w:after="0" w:line="281" w:lineRule="auto"/>
        <w:rPr>
          <w:sz w:val="20"/>
          <w:szCs w:val="20"/>
          <w:color w:val="auto"/>
        </w:rPr>
      </w:pPr>
      <w:r>
        <w:rPr>
          <w:rFonts w:ascii="Arial" w:cs="Arial" w:eastAsia="Arial" w:hAnsi="Arial"/>
          <w:sz w:val="16"/>
          <w:szCs w:val="16"/>
          <w:color w:val="auto"/>
        </w:rPr>
        <w:t>deficit) and Common stock, par value $0.01 per share, to reflect the number of shares of Newco common stock expected to be outstanding at the distribution date. The assumed number of outstanding shares of common stock is based on the number of BD common shares</w:t>
      </w:r>
    </w:p>
    <w:p>
      <w:pPr>
        <w:spacing w:after="0" w:line="1" w:lineRule="exact"/>
        <w:rPr>
          <w:sz w:val="20"/>
          <w:szCs w:val="20"/>
          <w:color w:val="auto"/>
        </w:rPr>
      </w:pPr>
    </w:p>
    <w:p>
      <w:pPr>
        <w:ind w:left="1080" w:right="200"/>
        <w:spacing w:after="0" w:line="260" w:lineRule="auto"/>
        <w:rPr>
          <w:sz w:val="20"/>
          <w:szCs w:val="20"/>
          <w:color w:val="auto"/>
        </w:rPr>
      </w:pPr>
      <w:r>
        <w:rPr>
          <w:rFonts w:ascii="Arial" w:cs="Arial" w:eastAsia="Arial" w:hAnsi="Arial"/>
          <w:sz w:val="18"/>
          <w:szCs w:val="18"/>
          <w:color w:val="auto"/>
        </w:rPr>
        <w:t>of outstanding as of March 31, 2021 and an assumed pro-rata distribution ratio of share of Newco common stock for each share of BD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Autonomous Entity Adjustments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This note should be read in conjunction with other notes in the pro forma combined financial statements. Adjustments included in the column under the header “Autonomous Entity Adjustments” represent the following:</w:t>
      </w:r>
    </w:p>
    <w:p>
      <w:pPr>
        <w:spacing w:after="0" w:line="76" w:lineRule="exact"/>
        <w:rPr>
          <w:sz w:val="20"/>
          <w:szCs w:val="20"/>
          <w:color w:val="auto"/>
        </w:rPr>
      </w:pPr>
    </w:p>
    <w:p>
      <w:pPr>
        <w:ind w:left="1080" w:right="24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Reflects the effect of manufacturing and supply agreements (MSAs) and reverse manufacturing and supply agreements (RMSAs) that Newco and BD have entered into or will enter into prior to the separation. The historical combined statement of income reflects certain Revenues and Cost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products sold relating to the inventory transfers pursuant to newly entered or pre-existing intercompany arrangements between Newco and</w:t>
      </w:r>
    </w:p>
    <w:p>
      <w:pPr>
        <w:spacing w:after="0" w:line="46" w:lineRule="exact"/>
        <w:rPr>
          <w:sz w:val="20"/>
          <w:szCs w:val="20"/>
          <w:color w:val="auto"/>
        </w:rPr>
      </w:pPr>
    </w:p>
    <w:p>
      <w:pPr>
        <w:ind w:left="1100" w:right="20"/>
        <w:spacing w:after="0" w:line="265" w:lineRule="auto"/>
        <w:rPr>
          <w:sz w:val="20"/>
          <w:szCs w:val="20"/>
          <w:color w:val="auto"/>
        </w:rPr>
      </w:pPr>
      <w:r>
        <w:rPr>
          <w:rFonts w:ascii="Arial" w:cs="Arial" w:eastAsia="Arial" w:hAnsi="Arial"/>
          <w:sz w:val="17"/>
          <w:szCs w:val="17"/>
          <w:color w:val="auto"/>
        </w:rPr>
        <w:t>BD during the year ended September 30, 2021. The net adjustment to Revenues of $ million reflects sales price adjustments relating to such historical inventory transfers to reflect the pricing terms set forth in the RMSAs, that also reflect the pricing terms set forth</w:t>
      </w:r>
    </w:p>
    <w:p>
      <w:pPr>
        <w:ind w:left="1100" w:right="460"/>
        <w:spacing w:after="0" w:line="281" w:lineRule="auto"/>
        <w:rPr>
          <w:sz w:val="20"/>
          <w:szCs w:val="20"/>
          <w:color w:val="auto"/>
        </w:rPr>
      </w:pPr>
      <w:r>
        <w:rPr>
          <w:rFonts w:ascii="Arial" w:cs="Arial" w:eastAsia="Arial" w:hAnsi="Arial"/>
          <w:sz w:val="16"/>
          <w:szCs w:val="16"/>
          <w:color w:val="auto"/>
        </w:rPr>
        <w:t>in the RMSAs. The Cost of products sold adjustment includes $ million of costs expected to be incurred to manufacture the products relating to the incremental inventory transfers to BD. The Cost of products sold adjustment also includes an adjustment of</w:t>
      </w:r>
    </w:p>
    <w:p>
      <w:pPr>
        <w:spacing w:after="0" w:line="1" w:lineRule="exact"/>
        <w:rPr>
          <w:sz w:val="20"/>
          <w:szCs w:val="20"/>
          <w:color w:val="auto"/>
        </w:rPr>
      </w:pPr>
    </w:p>
    <w:p>
      <w:pPr>
        <w:ind w:left="1100" w:right="60" w:firstLine="1"/>
        <w:spacing w:after="0" w:line="260" w:lineRule="auto"/>
        <w:tabs>
          <w:tab w:leader="none" w:pos="19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million to reflect the approximate cost of products sold by BD to Newco at the supply price set forth in the MSAs. Historically, inventory transfers from BD to Newco were recorded at cost.</w:t>
      </w:r>
    </w:p>
    <w:p>
      <w:pPr>
        <w:spacing w:after="0" w:line="91" w:lineRule="exact"/>
        <w:rPr>
          <w:sz w:val="20"/>
          <w:szCs w:val="20"/>
          <w:color w:val="auto"/>
        </w:rPr>
      </w:pPr>
    </w:p>
    <w:p>
      <w:pPr>
        <w:ind w:left="540"/>
        <w:spacing w:after="0"/>
        <w:tabs>
          <w:tab w:leader="none" w:pos="1060" w:val="left"/>
          <w:tab w:leader="none" w:pos="6100" w:val="left"/>
          <w:tab w:leader="none" w:pos="868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The pro forma condensed combined balance sheet reflects $</w:t>
      </w:r>
      <w:r>
        <w:rPr>
          <w:sz w:val="20"/>
          <w:szCs w:val="20"/>
          <w:color w:val="auto"/>
        </w:rPr>
        <w:tab/>
      </w:r>
      <w:r>
        <w:rPr>
          <w:rFonts w:ascii="Arial" w:cs="Arial" w:eastAsia="Arial" w:hAnsi="Arial"/>
          <w:sz w:val="18"/>
          <w:szCs w:val="18"/>
          <w:color w:val="auto"/>
        </w:rPr>
        <w:t>million in Other Assets, $</w:t>
      </w:r>
      <w:r>
        <w:rPr>
          <w:sz w:val="20"/>
          <w:szCs w:val="20"/>
          <w:color w:val="auto"/>
        </w:rPr>
        <w:tab/>
      </w:r>
      <w:r>
        <w:rPr>
          <w:rFonts w:ascii="Arial" w:cs="Arial" w:eastAsia="Arial" w:hAnsi="Arial"/>
          <w:sz w:val="16"/>
          <w:szCs w:val="16"/>
          <w:color w:val="auto"/>
        </w:rPr>
        <w:t>million in Accrued expenses and</w:t>
      </w:r>
    </w:p>
    <w:p>
      <w:pPr>
        <w:spacing w:after="0" w:line="23" w:lineRule="exact"/>
        <w:rPr>
          <w:sz w:val="20"/>
          <w:szCs w:val="20"/>
          <w:color w:val="auto"/>
        </w:rPr>
      </w:pPr>
    </w:p>
    <w:p>
      <w:pPr>
        <w:ind w:left="1080" w:right="140"/>
        <w:spacing w:after="0" w:line="260" w:lineRule="auto"/>
        <w:rPr>
          <w:sz w:val="20"/>
          <w:szCs w:val="20"/>
          <w:color w:val="auto"/>
        </w:rPr>
      </w:pPr>
      <w:r>
        <w:rPr>
          <w:rFonts w:ascii="Arial" w:cs="Arial" w:eastAsia="Arial" w:hAnsi="Arial"/>
          <w:sz w:val="18"/>
          <w:szCs w:val="18"/>
          <w:color w:val="auto"/>
        </w:rPr>
        <w:t>$ million in Deferred Income Taxes and Other Liabilities, with respect to additional right-of-use assets and related lease liability for Newco’s real estate leases executed at September 30, 2021 that had not yet commenced.</w:t>
      </w:r>
    </w:p>
    <w:p>
      <w:pPr>
        <w:spacing w:after="0" w:line="90"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number of Newco shares used to compute basic earnings per share for the year ended September 30, 2021 is based on the number of</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7"/>
          <w:szCs w:val="17"/>
          <w:color w:val="auto"/>
        </w:rPr>
        <w:t>shares of Newco common stock assumed to be outstanding on September 30, 2021, assuming the anticipated distribution ratio</w:t>
      </w:r>
    </w:p>
    <w:p>
      <w:pPr>
        <w:spacing w:after="0" w:line="248"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of share of Newco common stock for each share of BD common stock outstanding. The assumed number of outstanding shares of Newco common stock is based on the number of shares of BD common stock of outstanding as of .</w:t>
      </w:r>
    </w:p>
    <w:p>
      <w:pPr>
        <w:spacing w:after="0" w:line="76" w:lineRule="exact"/>
        <w:rPr>
          <w:sz w:val="20"/>
          <w:szCs w:val="20"/>
          <w:color w:val="auto"/>
        </w:rPr>
      </w:pPr>
    </w:p>
    <w:p>
      <w:pPr>
        <w:ind w:left="1080" w:right="320" w:hanging="532"/>
        <w:spacing w:after="0" w:line="286"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Newco common stock as described in Note (f) above, plus incremental shares assuming exercise of dilutive outstanding options and vesting of other outstanding stock awards expected to be issued by Newco as replacement awards to BD employees transferring to Newco.</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a standalone public company, Newco expects to incur certain additional costs including costs resulting from:</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separation and establishment of Newco as a standalone company including incremental costs related to commercial, manufacturing, research and business support functions that were previously shared with BD;</w:t>
      </w:r>
    </w:p>
    <w:p>
      <w:pPr>
        <w:spacing w:after="0" w:line="75" w:lineRule="exact"/>
        <w:rPr>
          <w:rFonts w:ascii="Arial" w:cs="Arial" w:eastAsia="Arial" w:hAnsi="Arial"/>
          <w:sz w:val="18"/>
          <w:szCs w:val="18"/>
          <w:color w:val="auto"/>
        </w:rPr>
      </w:pPr>
    </w:p>
    <w:p>
      <w:pPr>
        <w:jc w:val="both"/>
        <w:ind w:left="1540" w:right="60" w:hanging="331"/>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540" w:right="40" w:hanging="331"/>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costs for the services to be provided by BD to Newco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89" w:lineRule="exact"/>
        <w:rPr>
          <w:rFonts w:ascii="Arial" w:cs="Arial" w:eastAsia="Arial" w:hAnsi="Arial"/>
          <w:sz w:val="18"/>
          <w:szCs w:val="18"/>
          <w:color w:val="auto"/>
        </w:rPr>
      </w:pPr>
    </w:p>
    <w:p>
      <w:pPr>
        <w:ind w:left="1540" w:right="160" w:hanging="331"/>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Newco’s information systems and facilities, transfers of certain assets to BD, hiring costs associated with increasing Newco’s workforce, regulatory filings for the transfer of product registrations, development of Newco’s brand, and other matters;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Newco expects to incur approximately $ million of expenses (including one-time expenses of approximately $ million expected to be incurred within 12 months following the completion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separation), in addition to BD’s corporate and shared costs allocated in the historical combined financial statements. Accordingly, the pro forma condensed combined financial statements have been adjusted to depict Newco as an autonomous entity. The additional expenses have been estimated based on assumptions that Newco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Newco of rights and obligations under existing insurance policies with respect to occurrences prior to the distribution and set forth procedures for the administration of insured claims and related matters.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This section discusses Newco’s business assuming the completion of all of the transactions described in this information statement, including the separation. References to “we,” “us,” and “our” refer to the diabetes care business to be held by Newco and its subsidiaries.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Diabetes is a serious chronic disease for which there is no known cure. According to the International Diabetes Federation (the “IDF”), approximately 463 million adults (aged 20-79) worldwide were living with diabetes in 2019, with the number projected to increase to 578 million adults by 2030. Diabetes can require complex, daily management or otherwise it can result in serious health conditions, including nerve damage, cardiovascular disease, acidosis, amputation, vision loss, kidney disease, seizure and death. The IDF estimates the annual global health expenditure for diabetes care was approximately $760 billion in 2019 and is expected to increase to $825 billion by 2030. Insulin therapy is the most common approach to diabetes management, and we estimate that approximately 90-120 million people require insulin therapy, and that 95% of those who are undergoing insulin therapy administer insulin through injection. Our products are primarily used to administer insulin, but they can also be used to administer other classes of injectable diabetes medications, such as GLP-1 agonists. Based on internal estimates, we believe the total addressable market for insulin administration devices is approximately $6 billion to $8 billion per year, based on the number of insulin-dependent individuals worldwide.</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6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over 300,000 times. The app serves as a channel for our support, education of and engagement with the diabetes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FITTER seeks to promote evidence-based clinical best practice, safety and self-care of diabetes injectable and infusion therapies for improved health outcomes, well-being, lower healthcare costs and reduced burden on care providers and the wider society.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currently working on developing a potential insulin patch pump focused on serving the needs of people living with Type 2 diabetes. We are still in the process of designing and developing the product and, if and when we complete this process, we will need to apply for and obtain clearance from the FDA and similar regulatory authorities in jurisdictions outside of the United States to market and sell this product in the United States and abroad.</w:t>
      </w:r>
    </w:p>
    <w:p>
      <w:pPr>
        <w:spacing w:after="0" w:line="18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080" w:hanging="424"/>
        <w:spacing w:after="0" w:line="29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7.5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080" w:right="80" w:hanging="424"/>
        <w:spacing w:after="0" w:line="287"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Globally recognized franchise with 95-year history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a reputation among people with diabetes and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60" w:hanging="424"/>
        <w:spacing w:after="0" w:line="25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Geographically diversified revenue and strong cash flow generation supports future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that our products are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nearly 30 million people in over 100 countries for insulin administration and to aid with the daily management of diabetes. Our sales provide us with a strong, stable and recurring revenue base that is geographically diversified. In fiscal year 2020, approximately 50%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7"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Global sales and manufacturing infrastructure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extensive sales and manufacturing infrastructure to support our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90" w:lineRule="exact"/>
        <w:rPr>
          <w:rFonts w:ascii="Arial" w:cs="Arial" w:eastAsia="Arial" w:hAnsi="Arial"/>
          <w:sz w:val="17"/>
          <w:szCs w:val="17"/>
          <w:color w:val="auto"/>
        </w:rPr>
      </w:pPr>
    </w:p>
    <w:p>
      <w:pPr>
        <w:ind w:left="1080" w:right="40" w:hanging="424"/>
        <w:spacing w:after="0" w:line="26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 devices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we believe have improved the standard of diabetes care. We have a pipeline of products under development, including those that may represent a potential improvement on existing products and entirely new products. For example, in 2022, we are currently working on developing a potential insulin patch pump focused on serving the needs of people with Type 2 diabetes, though any such product, if and when developed, will require clearance from the FDA and similar regulatory authorities in jurisdictions outside of the United States before we can market and sell the product. We also focus on engaging with and supporting our user base. To this end, we have developed our diabetes care app, which provides users with an integrated diabetes self-management solution. Our diabetes care app has been downloaded over 300,000 times since its first launch in May 2018, and is available for download in the United States, Canada, Brazil, Germany, Mexico, Switzerland, Italy and Japan. We view digital engagement as a key vector for our future growth and we plan to continue to enhance our digital capabilities in coming years.</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b w:val="1"/>
          <w:bCs w:val="1"/>
          <w:i w:val="1"/>
          <w:iCs w:val="1"/>
          <w:color w:val="auto"/>
        </w:rPr>
        <w:t>Proven executive leadership and a highly motivated workforce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assembled an experienced and accomplished senior management</w:t>
      </w:r>
    </w:p>
    <w:p>
      <w:pPr>
        <w:sectPr>
          <w:pgSz w:w="11900" w:h="16838" w:orient="portrait"/>
          <w:cols w:equalWidth="0" w:num="1">
            <w:col w:w="11120"/>
          </w:cols>
          <w:pgMar w:left="320" w:top="459" w:right="459" w:bottom="1440" w:gutter="0" w:footer="0" w:header="0"/>
        </w:sectPr>
      </w:pPr>
    </w:p>
    <w:p>
      <w:pPr>
        <w:spacing w:after="0" w:line="58" w:lineRule="exact"/>
        <w:rPr>
          <w:sz w:val="20"/>
          <w:szCs w:val="20"/>
          <w:color w:val="auto"/>
        </w:rPr>
      </w:pPr>
    </w:p>
    <w:p>
      <w:pPr>
        <w:ind w:left="1080" w:right="400"/>
        <w:spacing w:after="0" w:line="265" w:lineRule="auto"/>
        <w:rPr>
          <w:sz w:val="20"/>
          <w:szCs w:val="20"/>
          <w:color w:val="auto"/>
        </w:rPr>
      </w:pPr>
      <w:r>
        <w:rPr>
          <w:rFonts w:ascii="Arial" w:cs="Arial" w:eastAsia="Arial" w:hAnsi="Arial"/>
          <w:sz w:val="17"/>
          <w:szCs w:val="17"/>
          <w:color w:val="auto"/>
        </w:rPr>
        <w:t>team. Our senior management team consists of executives who each have, on average, years of healthcare industry experience and years of experience working in diabetes care. Our leadership and employees are energized by the prospect of</w:t>
      </w:r>
    </w:p>
    <w:p>
      <w:pPr>
        <w:sectPr>
          <w:pgSz w:w="11900" w:h="16838" w:orient="portrait"/>
          <w:cols w:equalWidth="0" w:num="1">
            <w:col w:w="11120"/>
          </w:cols>
          <w:pgMar w:left="320" w:top="459" w:right="459" w:bottom="1440" w:gutter="0" w:footer="0" w:header="0"/>
          <w:type w:val="continuous"/>
        </w:sectPr>
      </w:pPr>
    </w:p>
    <w:p>
      <w:pPr>
        <w:ind w:left="1080" w:right="800"/>
        <w:spacing w:after="0" w:line="260" w:lineRule="auto"/>
        <w:rPr>
          <w:sz w:val="20"/>
          <w:szCs w:val="20"/>
          <w:color w:val="auto"/>
        </w:rPr>
      </w:pPr>
      <w:r>
        <w:rPr>
          <w:rFonts w:ascii="Arial" w:cs="Arial" w:eastAsia="Arial" w:hAnsi="Arial"/>
          <w:sz w:val="18"/>
          <w:szCs w:val="18"/>
          <w:color w:val="auto"/>
        </w:rPr>
        <w:t>being part of a leading pure-play leader in the diabetes space and are excited at the prospect of driving continued innovation and improvements in the standard of diabetes care globally.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1080" w:right="40" w:hanging="424"/>
        <w:spacing w:after="0" w:line="31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Increase use of our products through sales and marketing efforts, education and diabetes management solutions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the IDF,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463 million adults (aged 20-79) worldwide were living with diabetes in 2019, including those who are not yet diagnosed, and the number is projected to increase to 578 million adults by 2030 and 700 million adults by 2045. We seek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spacing w:after="0" w:line="254" w:lineRule="auto"/>
        <w:rPr>
          <w:sz w:val="20"/>
          <w:szCs w:val="20"/>
          <w:color w:val="auto"/>
        </w:rPr>
      </w:pPr>
      <w:r>
        <w:rPr>
          <w:rFonts w:ascii="Arial" w:cs="Arial" w:eastAsia="Arial" w:hAnsi="Arial"/>
          <w:sz w:val="18"/>
          <w:szCs w:val="18"/>
          <w:color w:val="auto"/>
        </w:rPr>
        <w:t>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97" w:lineRule="exact"/>
        <w:rPr>
          <w:sz w:val="20"/>
          <w:szCs w:val="20"/>
          <w:color w:val="auto"/>
        </w:rPr>
      </w:pPr>
    </w:p>
    <w:p>
      <w:pPr>
        <w:ind w:left="1080" w:right="20" w:hanging="424"/>
        <w:spacing w:after="0" w:line="290"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17%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2020 and the sales in emerging markets has grown approximately 6%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080" w:right="120" w:hanging="424"/>
        <w:spacing w:after="0" w:line="28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3" w:lineRule="exact"/>
        <w:rPr>
          <w:rFonts w:ascii="Arial" w:cs="Arial" w:eastAsia="Arial" w:hAnsi="Arial"/>
          <w:sz w:val="16"/>
          <w:szCs w:val="16"/>
          <w:color w:val="auto"/>
        </w:rPr>
      </w:pPr>
    </w:p>
    <w:p>
      <w:pPr>
        <w:ind w:left="1080" w:right="320" w:hanging="424"/>
        <w:spacing w:after="0" w:line="29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ind w:left="1080" w:hanging="424"/>
        <w:spacing w:after="0" w:line="29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Seek to provide other products and services that will be useful for diabetes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pure-play, diabetes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solutions, and we will seek opportunities to use it to sell other products and services that will be useful for diabetes management.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Diabetes is a serious chronic condition for which there is no known cure. Diabetes is caused either when the pancreas produces insufficient insulin or when the body cannot efficiently use insulin. Insulin is a peptide hormone produced by the pancreas. Insulin enables glucose formed by the breakdown of carbohydrates in food to enter cells to provide energy and regulates the storage of excess glucose in the liver in the form of glycogen. In healthy individuals, insulin levels will vary throughout the day depending, on among other things, activity levels, sleep and meals. This normal modulation of insulin levels helps to manage glucose levels in the bloodstream. The interplay between cellular absorption of glucose for energy and storage and release of stored excess glucose keeps blood glucose levels within a well-regulated range in healthy individuals. A lack of insulin or a body’s insulin resistance causes a harmful dysregulation in blood glucose levels, known as hypo- (low) and hyper- (high) glycemia. Type 1 diabetes causes the body’s immune system to attack cells responsible for producing insulin, reducing or eliminating an individual’s ability to produce insulin. Type 2 diabetes is the most common form of diabetes (representing approximately 90% of cases) and is characterized by insulin resistance, or insufficient insulin production in the later stages of the disease. Left untreated or improperly managed, diabetes can lead to serious health problems, such as nerve damage, cardiovascular disease, acidosis, amputation, vision loss, kidney disease, seizure, and death.</w:t>
      </w:r>
    </w:p>
    <w:p>
      <w:pPr>
        <w:spacing w:after="0" w:line="18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According to the IDF, approximately 463 million adults (aged 20-79) worldwide were living with diabetes in 2019, including those who are not yet diagnosed, and the number is projected to increase to 578 million adults by 2030 and 700 million adults by 2045. The U.S. Centers for Disease Control and Prevention (the “CDC”) estimates that approximately 34 million adults in the United States have diabetes, either diagnosed or undiagnosed. The IDF estimates annual global health expenditures on diabetes management was approximately $760 billion in 2019, an increase of 4.5% in the aggregate from its 2017 estimate. The IDF anticipates the direct costs of diabetes will increase to $825 billion by 2030 and $845 billion by 2045. A 2020 study published in the Journal of the American Medical Association found that diabetes was the third highest healthcare expenditure in the United States, estimated at approximately $111 billion in 2016.</w:t>
      </w:r>
    </w:p>
    <w:p>
      <w:pPr>
        <w:spacing w:after="0" w:line="19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Individuals with Type 1 diabetes make little or no insulin and therefore all require daily insulin administration to control blood sugar levels. Individuals with Type 2 diabetes still make insulin and, depending on the status of their condition, may be able to control blood glucose levels with lifestyle changes (diet and exercise), oral medications, noninsulin injectable medications (such as glucagon-like peptide GLP-1 receptor agonists), insulin or a combination of these approaches, among others. While the initial care for Type 2 diabetes often does not include insulin therapy, Type 2 diabetes is progressive and people with Type 2 diabetes often eventually require insulin. According to the CDC, approximately 2.9 million adults aged 20 years or older—or 10.9% of all U.S. adults with diagnosed diabetes—start using insulin within a year of their initial diagnosis. Once an individual with Type 2 diabetes progresses to insulin therapy, they will typically use insulin for the remainder of their lifetime.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100330</wp:posOffset>
            </wp:positionV>
            <wp:extent cx="5100320" cy="36429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003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products are used to administer diabetes medication. The primary medication administered with our products is insulin; however, our pen needles can also be used for the administration of other classes of injectable diabetes medications such as GLP-1 agonists. The two primary means to administer insulin are injection through pen needles or syringes, and continuous subcutaneous insulin infusion, administered through insulin pumps. We estimate that approximately 95% of people with diabetes undergoing insulin therapy use injection to administer insulin. Of the people with diabetes globally who instead use pumps, the IDF estimates that a majority are located in the United States or in Western Europe primarily due to the significantly higher price-point of infusion delivery. As a leading producer of diabetes medication injection devices, we produce products for the vast majority of people with diabetes who treat their disease through injection.</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Based on internal estimates, we believe the total addressable market for insulin administration devices (including insulin injection and infusion) is approximately $6 billion to $8 billion per year, based on the number of insulin-dependent people with diabetes worldwide. Within the U.S. market, the CDC estimates there are 27.3 million people with diabetes, of which 7.3 million are undiagnosed, 1.8 million are diagnosed with Type 1 diabetes and 25.5 million are diagnosed with Type 2 diabetes. Of U.S. adults diagnosed with any type of diabetes, 14.1% treat their disease with insulin only, and</w:t>
      </w:r>
    </w:p>
    <w:p>
      <w:pPr>
        <w:spacing w:after="0" w:line="1"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14.9% treat their disease with insulin combined with oral medication. The incidence of diabetes is expected to continue growing, with the Type 1 diabetes population in the United States growing at 1.9% per year, and the Type 2 diabetes population in the United States growing at 4.8% per year, according to the CDC.</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develop and manufacture products, devices and systems that promote adherence for people primarily suffering from Type 1 diabetes and Type 2 diabetes who require injections of insulin or other diabetes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medications to help control blood glucose variability. We primarily sell our products to wholesalers and distributors, which in turn sell these products to customers through retail and acute care hospitals, clinics and other institutional channels. We have a long history of driving innovation in products used to manage diabetes. In addition to seeking to provide a superior injection experience and increased safety, we strive to provide patients and healthcare providers with sound education and support across the diabetes care journey. Today, we are a leading provider of pen needles, syringes, safety devices and accessories, complemented by our proprietary digital applications. We estimate that our products are used by nearly 30 million people in over 100 countries for insulin administration and to aid with the daily management of diabetes. Our brands of injection products are widely recognized and valued throughout the world for their ease of use, quality, availability and compatibility with widely used insulin pens. We break our operations into two geographies: (1) the United States and (2) International.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for each of our regions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440" w:type="dxa"/>
            <w:vAlign w:val="bottom"/>
            <w:gridSpan w:val="2"/>
          </w:tcPr>
          <w:p>
            <w:pPr>
              <w:ind w:left="2920"/>
              <w:spacing w:after="0"/>
              <w:rPr>
                <w:sz w:val="20"/>
                <w:szCs w:val="20"/>
                <w:color w:val="auto"/>
              </w:rPr>
            </w:pPr>
            <w:r>
              <w:rPr>
                <w:rFonts w:ascii="Arial" w:cs="Arial" w:eastAsia="Arial" w:hAnsi="Arial"/>
                <w:sz w:val="14"/>
                <w:szCs w:val="14"/>
                <w:b w:val="1"/>
                <w:bCs w:val="1"/>
                <w:color w:val="auto"/>
                <w:w w:val="94"/>
              </w:rPr>
              <w:t>FY 2020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FY 2019</w:t>
            </w:r>
          </w:p>
        </w:tc>
        <w:tc>
          <w:tcPr>
            <w:tcW w:w="1000" w:type="dxa"/>
            <w:vAlign w:val="bottom"/>
            <w:gridSpan w:val="3"/>
          </w:tcPr>
          <w:p>
            <w:pPr>
              <w:ind w:left="420"/>
              <w:spacing w:after="0"/>
              <w:rPr>
                <w:sz w:val="20"/>
                <w:szCs w:val="20"/>
                <w:color w:val="auto"/>
              </w:rPr>
            </w:pPr>
            <w:r>
              <w:rPr>
                <w:rFonts w:ascii="Arial" w:cs="Arial" w:eastAsia="Arial" w:hAnsi="Arial"/>
                <w:sz w:val="14"/>
                <w:szCs w:val="14"/>
                <w:b w:val="1"/>
                <w:bCs w:val="1"/>
                <w:color w:val="auto"/>
              </w:rPr>
              <w:t>FY 2018</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$562.5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$569.5</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$564.1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3440" w:type="dxa"/>
            <w:vAlign w:val="bottom"/>
            <w:gridSpan w:val="2"/>
          </w:tcPr>
          <w:p>
            <w:pPr>
              <w:ind w:left="2920"/>
              <w:spacing w:after="0"/>
              <w:rPr>
                <w:sz w:val="20"/>
                <w:szCs w:val="20"/>
                <w:color w:val="auto"/>
              </w:rPr>
            </w:pPr>
            <w:r>
              <w:rPr>
                <w:rFonts w:ascii="Arial" w:cs="Arial" w:eastAsia="Arial" w:hAnsi="Arial"/>
                <w:sz w:val="18"/>
                <w:szCs w:val="18"/>
                <w:color w:val="auto"/>
                <w:w w:val="90"/>
              </w:rPr>
              <w:t>$523.2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$539.0</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0"/>
              </w:rPr>
              <w:t>$540.6</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Pen Needles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Conventional pen needles are sterile, single-use, medical devices that are designed to be used in conjunction with third-party pen injectors to inject insulin and other diabetes medications. A pen needle is made up of a resin injection-molded hub with an integrated cannula.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1808480" cy="1440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8480" cy="144018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693420</wp:posOffset>
            </wp:positionV>
            <wp:extent cx="2143125" cy="282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60"/>
        <w:spacing w:after="0"/>
        <w:tabs>
          <w:tab w:leader="none" w:pos="8000" w:val="left"/>
        </w:tabs>
        <w:rPr>
          <w:sz w:val="20"/>
          <w:szCs w:val="20"/>
          <w:color w:val="auto"/>
        </w:rPr>
      </w:pPr>
      <w:r>
        <w:rPr>
          <w:rFonts w:ascii="Arial" w:cs="Arial" w:eastAsia="Arial" w:hAnsi="Arial"/>
          <w:sz w:val="18"/>
          <w:szCs w:val="18"/>
          <w:b w:val="1"/>
          <w:bCs w:val="1"/>
          <w:color w:val="auto"/>
        </w:rPr>
        <w:t>BD Pen Needle &amp; Shield</w:t>
      </w:r>
      <w:r>
        <w:rPr>
          <w:sz w:val="20"/>
          <w:szCs w:val="20"/>
          <w:color w:val="auto"/>
        </w:rPr>
        <w:tab/>
      </w:r>
      <w:r>
        <w:rPr>
          <w:rFonts w:ascii="Arial" w:cs="Arial" w:eastAsia="Arial" w:hAnsi="Arial"/>
          <w:sz w:val="16"/>
          <w:szCs w:val="16"/>
          <w:b w:val="1"/>
          <w:bCs w:val="1"/>
          <w:color w:val="auto"/>
        </w:rPr>
        <w:t>Insulin Pen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the introduction of the first insulin pen in 1985, insulin pens and pen needles have become the standard of care for insulin delivery. Of those undergoing insulin therapy, we estimate that 95% use injection therapy. We believe that our pen needles, which include BD’s cannula technology, are widely recognized for their industry-leading comfort and form factor, which allows for reduced pain during injection. Since the introduction of our first pen needle in 1991, our business has led the industry in driving ease of use and comfort through innovations such as shorter needle lengths, thinner needles, wider inner diameters, and contoured hubs.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2020, conventional pen needle sales accounted for $791 million, or approximately 73%, of our total sales, with approximately 48% of such sales generated outside of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Insulin Syringes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produce insulin syringes that are used to inject insulin. These syringes, which include BD’s cannula technology, are sterile, single-use medical devices that are used to draw insulin from a glass medication vial for administration subcutaneously to an individual. Despite the growing popularity of insulin pens and pen needles, insulin syringes remain important administration tools for individual use and in certain settings such as hospitals and other professional care environments due largely to cost, reimbursement and familiarity.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 conventional insulin syringe consists of a graduated barrel, plunger rod, and a cannula/hub assembly. We also manufacture and offer a variety of insulin syringes with differential features and capabilities, including safety syringes that incorporate a manually activated sliding sleeve to help to reduce needlestick exposure and injury during injection and disposal.</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2020, insulin syringe sales accounted for $165 million, or approximately 15%, of our total sales, with approximately 55%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809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Injection Devices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manufacture safety pen needles and syringes that incorporate sophisticated features designed to minimize the risks of needle stick injury and also include BD’s cannula technology. We have long been an innovator in diabetes administration and our leadership in creating safety injection products is an example of such innovation. We believe that by creating safe, easy-to-use products designed to prevent needlestick injury, our products have a reputation among healthcare professionals and end-users for industry-leading safety and ease of use. We have long served as a pioneer and thought leader in the safety space, helping to provide education, guidance, and promote adherence in diabetes management for patients and healthcare providers around the world.</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2020, safety injection device sales accounted for $110 million, or approximately 10%, of our total sales, with approximately 43%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1688465" cy="145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88465" cy="145732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134620</wp:posOffset>
            </wp:positionV>
            <wp:extent cx="1817370" cy="1440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173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40"/>
        <w:spacing w:after="0"/>
        <w:tabs>
          <w:tab w:leader="none" w:pos="7160" w:val="left"/>
        </w:tabs>
        <w:rPr>
          <w:sz w:val="20"/>
          <w:szCs w:val="20"/>
          <w:color w:val="auto"/>
        </w:rPr>
      </w:pPr>
      <w:r>
        <w:rPr>
          <w:rFonts w:ascii="Arial" w:cs="Arial" w:eastAsia="Arial" w:hAnsi="Arial"/>
          <w:sz w:val="18"/>
          <w:szCs w:val="18"/>
          <w:b w:val="1"/>
          <w:bCs w:val="1"/>
          <w:color w:val="auto"/>
        </w:rPr>
        <w:t>BD AutoShield Duo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Safety Pen Needle</w:t>
      </w:r>
      <w:r>
        <w:rPr>
          <w:sz w:val="20"/>
          <w:szCs w:val="20"/>
          <w:color w:val="auto"/>
        </w:rPr>
        <w:tab/>
      </w:r>
      <w:r>
        <w:rPr>
          <w:rFonts w:ascii="Arial" w:cs="Arial" w:eastAsia="Arial" w:hAnsi="Arial"/>
          <w:sz w:val="16"/>
          <w:szCs w:val="16"/>
          <w:b w:val="1"/>
          <w:bCs w:val="1"/>
          <w:color w:val="auto"/>
        </w:rPr>
        <w:t>BD SafetyGlide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Insulin Syringe</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Accessories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sell a variety of accessories used by people with diabetes in conjunction with injection devices when administering insulin. These accessories include sharps disposal by mail containers used for the safe disposal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used injection devices via prepaid box, alcohol swabs for the sterilization of skin at the injection site, and our BD Safe Clip</w:t>
      </w:r>
      <w:r>
        <w:rPr>
          <w:rFonts w:ascii="Arial" w:cs="Arial" w:eastAsia="Arial" w:hAnsi="Arial"/>
          <w:sz w:val="15"/>
          <w:szCs w:val="15"/>
          <w:color w:val="auto"/>
        </w:rPr>
        <w:t>TM</w:t>
      </w:r>
      <w:r>
        <w:rPr>
          <w:rFonts w:ascii="Arial" w:cs="Arial" w:eastAsia="Arial" w:hAnsi="Arial"/>
          <w:sz w:val="18"/>
          <w:szCs w:val="18"/>
          <w:color w:val="auto"/>
        </w:rPr>
        <w:t xml:space="preserve"> system for needle clipping and storage. In 2020, accessory sales accounted for $20 million, or approximately 2%, of our total sales, with approximately 45% of such sales generated outside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Over its 95-year history, we believe that our business has developed a reputation as an industry leader in innovative insulin delivery solutions. As an independent entity, we expect to continue this tradition of innovation by using our increased flexibility to invest capital to better address the evolving needs of people with diabetes. We have a robust organization to execute on our current and future product development projects, comprised of highly skilled employees whom collectively hold seven PhDs, Doctorate or MD degrees and 26 employees who hold additional advanced degrees. We expect our product development efforts to focus on three main areas: injection, digital diabetes management and infusion.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Injection</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expect to continue to invest in potential improvements in safe and reliable insulin delivery, improved comfort, ease of use and simplified injection management. We also are currently investing in the development of a next-gen passive dual-ended pen needle with differentiated feature sets and additional functionality. Our goal is to include features that would differentiate this potential product from others, including features that would allow for single handed injection, reduction of environmental waste and reduction of needle stick injury compared to conventional pen needles.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Diabetes Management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currently investing in the development of a potential integrated diabetes management system that aims to provide people with beneficial tools and support for diabetes self-management, while providing security, privacy and data management through hosting solutions, tools and components for digital health products. Since its launch in 2018, our diabetes care app is currently available in nine countries and has over 10,000 active users. We believe that this app is a potential predecessor to a larger integrated diabetes management system, and see a potential opportunity to expand our digital offerings, including areas such as integration with continuous glucose monitoring systems, safe and secure data sharing, remote patient monitoring, dosing calculators and food analyzers, among others. As an independent entity, we may pursue investments in these and other digitally enabled diabetes management tools.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Infusion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investing in the potential development of a continuous subcutaneous insulin infusion delivery system to provide the benefits of insulin pump therapy to a broader population, in particular those with Type 2 diabetes. We believe there is a significant unmet need for alternative treatment options for people with Type 2 diabetes who currently administer insulin via injection yet remain unable to effectively control their diabetes. Some third-party research over the last 10 years has demonstrated improved outcomes of subcutaneous insulin infusion devices over conventional injection insulin therapy. For example, a 2017 article published in Diabetes Metabolism Research and Reviews highlighted insulin pump treatment as a more physiologic method to managing insulin therapy, attaining desired glucose levels and reducing the dose requirement of insulin for people with Type 2 diabetes.</w:t>
      </w:r>
    </w:p>
    <w:p>
      <w:pPr>
        <w:spacing w:after="0" w:line="16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Although insulin pump therapy has the potential to improve glycemic control and quality of life in individuals with Type 2 diabetes, it is not widely used in this population due to the complexity, extensive training requirements, total daily dose limitations and reimbursement issues associated with current insulin pump devices. As a result, we estimate that globally approximately 1% of people with Type 2 diabetes use infusion via a pump to administer insulin. We are seeking to develop a potential insulin infusion pump that can be more easily used by people with Type 2 diabetes.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Evidence and Thought Leadership</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the millions of people with diabetes who inject insulin every day, correct injection technique is critical for optimal control of diabetes and insulin use safety. We strategically collaborate with leading nonprofit organizations, advocacy groups and foundations to identify and invest in programs and initiatives that address unmet healthcare needs to minimize the burdens and complications associated with diabetes. Our products are inspired and supported by the decades of research collaborations with healthcare providers and opinion leaders around the world, which have resulted in several clinical studies and peer-reviewed publications, ultimately informing the clinical practice guidelines around the world.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of these clinical practice guidelines and studies include the following:</w:t>
      </w:r>
    </w:p>
    <w:p>
      <w:pPr>
        <w:spacing w:after="0" w:line="131" w:lineRule="exact"/>
        <w:rPr>
          <w:sz w:val="20"/>
          <w:szCs w:val="20"/>
          <w:color w:val="auto"/>
        </w:rPr>
      </w:pPr>
    </w:p>
    <w:p>
      <w:pPr>
        <w:ind w:left="1080" w:right="160" w:hanging="424"/>
        <w:spacing w:after="0" w:line="286"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American Diabetes Association (the “ADA”) published the 2020 Standards of Medical Care in Diabetes to provide clinicians, researchers and payors with recommendations and therapeutic actions to improve diabetes outcomes. At least eight publications based on our sponsored or supported studies are referenced by the ADA as a source of information for their recommendations.</w:t>
      </w:r>
    </w:p>
    <w:p>
      <w:pPr>
        <w:spacing w:after="0" w:line="70"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medical journal, </w:t>
      </w:r>
      <w:r>
        <w:rPr>
          <w:rFonts w:ascii="Arial" w:cs="Arial" w:eastAsia="Arial" w:hAnsi="Arial"/>
          <w:sz w:val="17"/>
          <w:szCs w:val="17"/>
          <w:i w:val="1"/>
          <w:iCs w:val="1"/>
          <w:color w:val="auto"/>
        </w:rPr>
        <w:t>Mayo Clinic Proceedings</w:t>
      </w:r>
      <w:r>
        <w:rPr>
          <w:rFonts w:ascii="Arial" w:cs="Arial" w:eastAsia="Arial" w:hAnsi="Arial"/>
          <w:sz w:val="17"/>
          <w:szCs w:val="17"/>
          <w:color w:val="auto"/>
        </w:rPr>
        <w:t>, published insulin delivery recommendations for healthcare professionals caring for people using insulin, including the results from the largest injection technique survey ever performed for people with diabetes. The analysis of this landmark injection technique survey is the result of an international workshop that we sponsored.</w:t>
      </w:r>
    </w:p>
    <w:p>
      <w:pPr>
        <w:spacing w:after="0" w:line="70" w:lineRule="exact"/>
        <w:rPr>
          <w:rFonts w:ascii="Arial" w:cs="Arial" w:eastAsia="Arial" w:hAnsi="Arial"/>
          <w:sz w:val="17"/>
          <w:szCs w:val="17"/>
          <w:color w:val="auto"/>
        </w:rPr>
      </w:pPr>
    </w:p>
    <w:p>
      <w:pPr>
        <w:ind w:left="1080" w:right="80" w:hanging="424"/>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Current Medical Research and Opinion</w:t>
      </w:r>
      <w:r>
        <w:rPr>
          <w:rFonts w:ascii="Arial" w:cs="Arial" w:eastAsia="Arial" w:hAnsi="Arial"/>
          <w:sz w:val="18"/>
          <w:szCs w:val="18"/>
          <w:color w:val="auto"/>
        </w:rPr>
        <w:t xml:space="preserve"> journal assessed user experiences of our 4mm pen needle versus other thinner pen needles manufactured by our competitors in a </w:t>
      </w:r>
      <w:r>
        <w:rPr>
          <w:rFonts w:ascii="Arial" w:cs="Arial" w:eastAsia="Arial" w:hAnsi="Arial"/>
          <w:sz w:val="18"/>
          <w:szCs w:val="18"/>
          <w:i w:val="1"/>
          <w:iCs w:val="1"/>
          <w:color w:val="auto"/>
        </w:rPr>
        <w:t>prospective randomized trial.</w:t>
      </w:r>
      <w:r>
        <w:rPr>
          <w:rFonts w:ascii="Arial" w:cs="Arial" w:eastAsia="Arial" w:hAnsi="Arial"/>
          <w:sz w:val="18"/>
          <w:szCs w:val="18"/>
          <w:color w:val="auto"/>
        </w:rPr>
        <w:t xml:space="preserve"> The journal found that our 4mm pen needles with a second-generation extra thin-wall cannula with redesigned hub were associated with less participant-reported injection pain and less perceived dose delivery force compared to the comparators.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We have three manufacturing facilities in Ireland, the United States and China. We believe that the size and location of these facilities allow us to serve a global customer base, reduce lead time and better control costs. Our Ireland manufacturing site, established in 1969, is the world’s largest manufacturer of pen needles, producing 4.6 billion pen needles and over 220 million safety pen needles in fiscal year 2020 in a 295,000 square-foot facility. The U.S. leased manufacturing site in Nebraska, established in 1966, is the world’s largest manufacturer of insulin syringes, producing over</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 billion syringes in fiscal year 2020 in a 395,000 square-foot facility. With over 50 years’ experience at each of these two large sites, we believe our technology and know-how are highly differentiated and distinguish our products in a meaningful way for end users and healthcare providers. In addition, our China manufacturing site, established in 2015, produced over 500 million pen needles in fiscal year 2020, primarily for use in China and adjacent regions in a 200,000 square-foot facility.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currently employ sales and marketing personnel for the direct sale and marketing of our products throughout the world with teams located around the globe, including North America, EMEA (which includes Europe, the Middle East and Africa), Greater Asia (which includes China, Japan and other countries within Asia Pacific) and Latin America. Our sales and marketing teams focus on healthcare providers and the people with diabetes whom they serve, with an emphasis on endocrinologists or diabetologists, general or primary care physicians, diabetes nurse educators and nurse practitioners across hospitals, clinics, long-term care facilities, and retail pharmacies. Our field-based efforts are complemented by our internal or contract inside sales teams present around the world.</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the separation, we expect to have over 600 employees worldwide focused on commercialization activities, including general management, sales, marketing, digital, market access &amp; development and insights &amp;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analytics. We believe our commercialization capabilities will allow us to execute customer engagement strategies across preferred channels and aimed at healthcare providers, people with diabetes, and payors. We expect that our employees will build and maintain an integrated digital ecosystem, focus on omnichannel marketing experiences, and elevate portfolio-selling capabilities to coordinate engagement for our portfolio across all channels and geographies. Our branded engagement includes direct face-to-face selling, virtual engagement, digital marketing, social media, and our websites. In addition, we believe we have the knowledge, capabilities, and resources to achieve optimal local market access for our portfolio in a changing external environment.</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sales and marketing efforts are diverse, with revenue generated across both hospital and retail pharmacy, and through both e-commerce and more conventional means. Within retail pharmacy, we have sales and marketing teams focused on larger national chains, local pharmacy chains and independent pharmacies as well as an online retail presence. Our sales efforts focus on self-payers and customers that benefit from reimbursement. Our distribution model varies across regions, but most frequently we distribute our products through retail pharmacies. As a result, select members of our regional sales teams are focused on managing relationships with key pharmacy customers. We also have distribution agreements with regional or national distributors (including wholesalers and medical suppliers) to ensure broad availability of our portfolio. In certain regions, we conduct business through government-related tenders, GPO contracts and business-to-business opportunities that our teams are structured to manage.</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the United States, our field-based sales representatives and inside sales team call on healthcare providers and retail pharmacies across all 50 states. We also have a dedicated sales team focused on safety products that call on major integrated delivery networks and long-term care facilities. Our retail account teams support the major national and regional retailers while our wholesale account teams focus on relationships with key distributors such as McKesson Corporation, Cardinal Health and AmerisourceBergen Drug Corporation. We also actively monitor formulary coverage, accessibility and affordability of our products on the health plans.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EMEA, our regional commercial team partners with local country teams in select markets to ensure effective promotion of our products in approximately 70 countries where our products are sold and generally reimbursed. Country-specific business leaders and their respective sales and marketing teams are responsible for the day-to-day management of the local business and call on a range of prescribers, pharmacists, and hospital customers. We have dedicated sales representatives in select markets that focus on safety products and driving safety adoption in acute-care hospitals and other long-term care facilities. We rely upon distribution agreements in certain regions of the Middle East and Africa where we do not have a direct sales presence. We continue to seek opportunities for expansion through reimbursement in new markets and partnering with governmental authorities.</w:t>
      </w:r>
    </w:p>
    <w:p>
      <w:pPr>
        <w:spacing w:after="0" w:line="16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Greater Asia, our products are sold across 19 countries through a variety of go-to-market models from direct to distributor-led markets. In countries where we have direct presence, country business leaders and their commercial teams call on healthcare providers and key retail pharmacies and work closely with our distribution partners to support the broader hospital / retail base. We rely on distribution partners in some of the emerging economies where we do not have a direct presence. Country teams are supported by a regional commercial team that provides omnichannel marketing expertise, insights &amp; analytics, commercial excellence and market access support, while China has its own country commercial team to support sales execution. Expansion into new markets and omnichannel marketing activities, including direct-to-consumer engagement and e-commerce, are also aspects of the commercial model in Greater Asia.</w:t>
      </w:r>
    </w:p>
    <w:p>
      <w:pPr>
        <w:spacing w:after="0" w:line="17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In Latin America, Newco has a variety of go-to-market models across 16 countries where our products are sold. In the countries where we have local operations, our business is typically generated through retail channels where our field-based representatives focus on marketing, selling and distributing our products across retail pharmacies and private hospitals across the region. The majority of our non-retail business is generated through annual or bi-annual tenders and contracts. In countries where we do not have local operations or a direct presence, we operate through distributors and other intermediaries who distribute our products to our end customers. Our teams in Latin America are also expanding into direct-to-consumer engagement and e-commerce.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As the number of people with diabetes continues to expand, we believe our scale, diverse in-market knowledge and world-class injection devices position us to continue growing our global franchises and provide high-quality products. As one of the largest pure-play diabetes companies in the world, our relationships span the continuum of stakeholders in the diabetes market, from partnerships with major insulin producers to deep recognition with prescribers, nurses, payors, and retailers that offer our products to our estimated 30 million users living around the world with diabetes.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diabetes care industry is highly competitive, subject to rapid change and significantly affected by new product introductions and innovation. Although most people who use diabetes medications are on injection therapy,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 For example, GLP-1s, sodium-glucose cotransporter SGLT-2 inhibitors and other novel diabetes therapies do not always require injections (or require fewer injections) using pen needles and insulin syringes and are prescribed to certain people with diabetes to help manage their disease. The impact of these therapies in most cases has been to defer insulin injection therapy for certain people with diabetes, although in many cases the diabetes will progress with time such that insulin injection therapy will ultimately be required.</w:t>
      </w:r>
    </w:p>
    <w:p>
      <w:pPr>
        <w:spacing w:after="0" w:line="16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currently compete with other providers of diabetes drug injection devices. 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and efficacy, price, service and reputation.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currently under development and software we market to end users for managing diabetes are covered by a variety of patents and patent applications. Generally, patent protection for these products and technologies is sought in the United States, Canada, Europe and Japan. We are not aware of any pending third-party claims or challenges that would be expected to materially affect the patent protection of these products or technologies.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After the separation, Newco will either own, or BD will continue to own and provide Newco a license to use, intellectual property rights necessary to operate our business as of the separation. BD will grant Newco a license to use such intellectual property rights on the terms and conditions set forth in an intellectual property matters agreement, which are described under “Certain Relationships and Related Party Transactions—Intellectual Property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 and Components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material. We purchase some of these and other materials from a single or limited number of sources for reasons for quality assurance, cost-effectiveness and other reasons. In connection with the separation and prior to the distribution, we will enter into a cannula supply agreement with BD, whereby BD will sell to us cannulas for incorporation into our pen needles and syringes for sale within the diabetes care sector, as described in greater detail in “Certain Relationships and Related Party Transactions—Cannula Supply Agreement.” After the separation, BD will retain ownership of all cannula production activities and all intellectual property rights of BD and its subsidiaries relating to cannula, the manufacture thereof and other critical cannula-related technology.</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design and formulation of certain of these materials and components is proprietary and the intellectual property rights may be owned exclusively by one party. In the case of sole sourced parts, we manage risk through holding inventory ourselves and at the supplier to ensure continuity of supply and low risk of disruption. We expect that, if necessary or appropriate, we will be able to enter into new arrangements with alternative suppliers. We work closely with all suppliers to ensure continuity of supply while maintaining high-quality and reliability, although no assurance can be given that these efforts will be successful. See “Description of Material Indebtedness” and “Risk Factors—Risks Related to Newco’s Business—Newco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written agreements with a variety of suppliers that provide the resins, rubber stoppers, packaging, plungers, barrel rods, hubs and other components used in the manufacture of pen needles and our other products. We rely on sole suppliers for certain of these components, but, subject to pre-qualification of a new supplier as required by applicable law, we expect we would be able to engage another supplier in the event one of our existing supply agreements were terminated.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distribute our products around the world. Changes in legislation or government policies, including with respect to licensing, health information privacy and data privacy and healthcare costs and access, can have a material impact on our worldwide operations.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particular,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our existing markets products, but also our ability to market new products under development.</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example, we are currently working on designing and developing an insulin patch pump focused on serving the needs of people with Type 2 diabetes. If we decide to pursue commercialization of this product, we currently expect that the product will be classified in the United States as a Class</w:t>
      </w:r>
    </w:p>
    <w:p>
      <w:pPr>
        <w:ind w:left="120" w:hanging="4"/>
        <w:spacing w:after="0" w:line="288" w:lineRule="auto"/>
        <w:tabs>
          <w:tab w:leader="none" w:pos="2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medical device and as an alternate controller enabled, or ACE, insulin infusion pump, which must be cleared and/or approved by the FDA and similar regulatory authorities in jurisdictions outside of the United States before we can market and sell this potential product to distributors and end users in the United States and abroad, respectively. We are currently engaging with the FDA about this potential product through the FDA’s pre-submission program. We currently expect that, at a later date, we would submit a 510(k) pre-market notification to the FDA to initiate the review and clearance process to market and sell this potential product in the United States, and may pursue similar clearance, approval and qualification processes in other jurisdictions. We cannot predict how long such process may take, and this process may require, among other things, that we demonstrate that this potential product complies with various regulations of the FDA and other governmental agencies, including quality system</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regulations. If we fail to demonstrate compliance, we may not receive the required regulatory clearances to market the product in the United States or other jurisdictions.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Even if we do receive clearance to market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18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approval from the FDA and counterpart non-U.S. regulatory agencies. Following the introduction of a product, these agencies engage in periodic reviews and inspections of our quality systems, as well as product performance and advertising and promotional materials. These regulatory controls, as well as any changes in agency policies, can affect the time and cost associated with the development, introduction and continued availability of new and existing products. Where possible, we anticipate these factors in our product development and planning processes.</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International sales of our products are subject to foreign government regulations, which may vary substantially from country to country. The time required to obtain approval by a foreign regulatory authority may be longer or shorter than that required for FDA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discussion of risks related to government regulations,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Agreements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distribute a significant portion of our pen needles, syringes and other products through independent distributors. McKesson Corporation, Cardinal Health and AmerisourceBergen Drug Corporation, our three largest distributors, together represented approximately 39% of our worldwide sales in fiscal 2020. These distributors purchase our products on a purchase order basis under standard written agreements. Newco also makes direct sales to pharmacies and other organizations, which sales are generally done under standard terms and conditions negotiated by our sales representatives. Outside of the United States, sales are made either directly to end users or through distributors, depending on the region served.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that upon the separation, we will have approximately 2,327 employees worldwide. Approximately 956 employees are employed in the United States. Only certain employees, all outside of the United States and representing approximately 27% of our headcount, are represented by various collective bargaining groups.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human resources organization is led by an experienced team that monitors our employee base and sets annual targets for managing our human capital, including employee retention, engagement and training targets.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Newco will develop diversity and inclusion initiatives and will regularly review our strategies and programs for leadership development. We will establish benefit and incentive compensation plans, including comprehensive medical and life insurance coverage, 401(k) matching programs and other incentive compensation programs that we believe align employee incentives directly with our future performance.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diabetes care business is subject from time to time to claims and litigation arising in the ordinary course of business. These claims and litigation may include, among other things, allegations of violations of U.S. and foreign health regulation and privacy laws and related regulations, as well as claims or litigation relating to product liability, intellectual property, breach of contract and tort. The diabetes care business operates in multiple jurisdictions and, as a result, claims in one jurisdiction may lead to claims or regulatory penalties in other jurisdictions.</w:t>
      </w:r>
    </w:p>
    <w:p>
      <w:pPr>
        <w:spacing w:after="0" w:line="17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Subject to certain specified matters, Newco generally will assume liability for all pending, threatened and unasserted legal matters related to the diabetes care business and will indemnify BD for any liability to the extent arising out of or resulting from such liabilities.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i w:val="1"/>
          <w:iCs w:val="1"/>
          <w:color w:val="auto"/>
        </w:rPr>
        <w:t>The following discussion and analysis should be read in conjunction with the other sections of this information statement, including “Risk Factors,” “Cautionary Statement Concerning Forward-Looking Statements,” “Selected Historical Combined Financial Data of the Diabetes Care Business,” “Unaudited Pro Forma Condensed Combined Financial Information of the Diabetes Care Business” and the Diabetes Care Business’ historical combined financial information included elsewhere in this information statement. This discussion contains a number of forward-looking statements, all of which are based on our current expectations and could be affected by the uncertainties and other factors described throughout this information statement and particularly in the sections entitled “Risk Factors” and “Cautionary Statement Concerning Forward-Looking Statements.”</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6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In May 2021, BD announced its plan to separate its diabetes care business into an independent public company. The separation will occur through a distribution by BD of all of the outstanding shares of a newly formed company named Berra Newco, Inc., which will hold BD’s diabetes care business.</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Completion of the distribution is subject to certain conditions which are described more fully under “The Separation and Distribution—Conditions to the Distribution,” including receipt of an opinion of BD’s outside counsel, satisfactory to the BD Board of Directors, regarding the qualification of the contribution of assets from BD to Newco and the distribution, taken together, as a “reorganization” within the meaning of Sections 355 and 368(a)(1)(D) of the Code, and such opinion has not been withdrawn or rescinded.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of Our Financial Information</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accompanying historical combined financial statements included in this information statement were derived from the consolidated financial statements and accounting records of BD. These combined financial statements reflect the combined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w:t>
      </w:r>
    </w:p>
    <w:p>
      <w:pPr>
        <w:spacing w:after="0" w:line="166" w:lineRule="exact"/>
        <w:rPr>
          <w:sz w:val="20"/>
          <w:szCs w:val="20"/>
          <w:color w:val="auto"/>
        </w:rPr>
      </w:pPr>
    </w:p>
    <w:p>
      <w:pPr>
        <w:ind w:left="120" w:right="400" w:firstLine="440"/>
        <w:spacing w:after="0" w:line="272" w:lineRule="auto"/>
        <w:rPr>
          <w:sz w:val="20"/>
          <w:szCs w:val="20"/>
          <w:color w:val="auto"/>
        </w:rPr>
      </w:pPr>
      <w:r>
        <w:rPr>
          <w:rFonts w:ascii="Arial" w:cs="Arial" w:eastAsia="Arial" w:hAnsi="Arial"/>
          <w:sz w:val="17"/>
          <w:szCs w:val="17"/>
          <w:color w:val="auto"/>
        </w:rPr>
        <w:t xml:space="preserve">The combined financial statements include certain assets and liabilities that have historically been held at the BD corporate level but are specifically identifiable or otherwise allocable to the diabetes care business. Cash has not been assigned to the diabetes care business for any of the periods presented because those cash balances are not directly attributable to the diabetes care business. BD uses a centralized approach to cash management and financing of its operations.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including information technology and infrastructure.</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Subsequent to the completion of the separation, we expect that Newco will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Percentages presented are calculated from the underlying amounts. References to years throughout this discussion relate to our fiscal years, which end on September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Following the distribution, certain functions that BD provided to the diabetes care business prior to the distribution will either continue to be provided to Newco by BD under a transition services agreement or will be performed using Newco’s own resources or third-party service providers. Additionally, under manufacturing and supply agreements, BD will manufacture certain products for Newco and its subsidiaries following the distribution.</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Concurrent with the distribution, we will enter into certain agreements with BD. See “Certain Relationships and Related Party Transactions— Agreements with BD.”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35" w:lineRule="exact"/>
        <w:rPr>
          <w:sz w:val="20"/>
          <w:szCs w:val="20"/>
          <w:color w:val="auto"/>
        </w:rPr>
      </w:pPr>
    </w:p>
    <w:p>
      <w:pPr>
        <w:ind w:left="1540" w:right="120" w:hanging="331"/>
        <w:spacing w:after="0" w:line="296" w:lineRule="auto"/>
        <w:tabs>
          <w:tab w:leader="none" w:pos="154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regions in which we conduct our business and the medical devices industry in general are highly competitive.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6" w:lineRule="exact"/>
        <w:rPr>
          <w:rFonts w:ascii="Arial" w:cs="Arial" w:eastAsia="Arial" w:hAnsi="Arial"/>
          <w:sz w:val="16"/>
          <w:szCs w:val="16"/>
          <w:color w:val="auto"/>
        </w:rPr>
      </w:pPr>
    </w:p>
    <w:p>
      <w:pPr>
        <w:ind w:left="1540" w:right="120" w:hanging="331"/>
        <w:spacing w:after="0" w:line="279" w:lineRule="auto"/>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Pricing Pressures. </w:t>
      </w:r>
      <w:r>
        <w:rPr>
          <w:rFonts w:ascii="Arial" w:cs="Arial" w:eastAsia="Arial" w:hAnsi="Arial"/>
          <w:sz w:val="17"/>
          <w:szCs w:val="17"/>
          <w:color w:val="auto"/>
        </w:rPr>
        <w:t>The increased scrutiny by regulators on healthcare spending, which has accelerated in light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along with a shift towards more tenders and volume based procurement, which measures generally value lower cost over product quality, have placed significant pressure on Newco to lower pricing. These trends may reduce our operating margins, which are only partially offset by our ability to differentiate our products and sell at higher prices.</w:t>
      </w:r>
    </w:p>
    <w:p>
      <w:pPr>
        <w:spacing w:after="0" w:line="76" w:lineRule="exact"/>
        <w:rPr>
          <w:rFonts w:ascii="Arial" w:cs="Arial" w:eastAsia="Arial" w:hAnsi="Arial"/>
          <w:sz w:val="17"/>
          <w:szCs w:val="17"/>
          <w:color w:val="auto"/>
        </w:rPr>
      </w:pPr>
    </w:p>
    <w:p>
      <w:pPr>
        <w:ind w:left="1540" w:right="20" w:hanging="331"/>
        <w:spacing w:after="0" w:line="255"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Commoditization of Injection Devices</w:t>
      </w:r>
      <w:r>
        <w:rPr>
          <w:rFonts w:ascii="Arial" w:cs="Arial" w:eastAsia="Arial" w:hAnsi="Arial"/>
          <w:sz w:val="18"/>
          <w:szCs w:val="18"/>
          <w:color w:val="auto"/>
        </w:rPr>
        <w:t>. Given the growing demand for medical devices to assist in the treatment of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97" w:lineRule="exact"/>
        <w:rPr>
          <w:rFonts w:ascii="Arial" w:cs="Arial" w:eastAsia="Arial" w:hAnsi="Arial"/>
          <w:sz w:val="18"/>
          <w:szCs w:val="18"/>
          <w:color w:val="auto"/>
        </w:rPr>
      </w:pPr>
    </w:p>
    <w:p>
      <w:pPr>
        <w:ind w:left="1540" w:right="100" w:hanging="331"/>
        <w:spacing w:after="0" w:line="259"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Changes in Clinical Practice</w:t>
      </w:r>
      <w:r>
        <w:rPr>
          <w:rFonts w:ascii="Arial" w:cs="Arial" w:eastAsia="Arial" w:hAnsi="Arial"/>
          <w:sz w:val="18"/>
          <w:szCs w:val="18"/>
          <w:color w:val="auto"/>
        </w:rPr>
        <w:t>. Increased penetration of oral anti-diabetic drugs (</w:t>
      </w:r>
      <w:r>
        <w:rPr>
          <w:rFonts w:ascii="Arial" w:cs="Arial" w:eastAsia="Arial" w:hAnsi="Arial"/>
          <w:sz w:val="18"/>
          <w:szCs w:val="18"/>
          <w:i w:val="1"/>
          <w:iCs w:val="1"/>
          <w:color w:val="auto"/>
        </w:rPr>
        <w:t>e.g.</w:t>
      </w:r>
      <w:r>
        <w:rPr>
          <w:rFonts w:ascii="Arial" w:cs="Arial" w:eastAsia="Arial" w:hAnsi="Arial"/>
          <w:sz w:val="18"/>
          <w:szCs w:val="18"/>
          <w:color w:val="auto"/>
        </w:rPr>
        <w:t>, SGLT-2s &amp; DDP-4s) and GLP1s have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insulin therapy and contributed to less demand for our products. This trend had shown signs of reversing as novel therapy growth has slowed and the insulin category has stabilized. As GLP-1 penetration reaches saturation, we expect our net sales to continue to grow in line with increase in the incidence of diabetes.</w:t>
      </w:r>
    </w:p>
    <w:p>
      <w:pPr>
        <w:spacing w:after="0" w:line="92" w:lineRule="exact"/>
        <w:rPr>
          <w:rFonts w:ascii="Arial" w:cs="Arial" w:eastAsia="Arial" w:hAnsi="Arial"/>
          <w:sz w:val="18"/>
          <w:szCs w:val="18"/>
          <w:color w:val="auto"/>
        </w:rPr>
      </w:pPr>
    </w:p>
    <w:p>
      <w:pPr>
        <w:ind w:left="1540" w:right="60" w:hanging="331"/>
        <w:spacing w:after="0" w:line="270" w:lineRule="auto"/>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COVID-19 impacting delivery and allocation of healthcare</w:t>
      </w:r>
      <w:r>
        <w:rPr>
          <w:rFonts w:ascii="Arial" w:cs="Arial" w:eastAsia="Arial" w:hAnsi="Arial"/>
          <w:sz w:val="17"/>
          <w:szCs w:val="17"/>
          <w:color w:val="auto"/>
        </w:rPr>
        <w:t>. The COVID-19 pandemic has accelerated the adoption of,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the acute COVID-19 crisis and maintaining routine care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6" w:lineRule="exact"/>
        <w:rPr>
          <w:rFonts w:ascii="Arial" w:cs="Arial" w:eastAsia="Arial" w:hAnsi="Arial"/>
          <w:sz w:val="17"/>
          <w:szCs w:val="17"/>
          <w:color w:val="auto"/>
        </w:rPr>
      </w:pPr>
    </w:p>
    <w:p>
      <w:pPr>
        <w:ind w:left="1540" w:right="340" w:hanging="331"/>
        <w:spacing w:after="0" w:line="279" w:lineRule="auto"/>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Decentralization of Chronic Care</w:t>
      </w:r>
      <w:r>
        <w:rPr>
          <w:rFonts w:ascii="Arial" w:cs="Arial" w:eastAsia="Arial" w:hAnsi="Arial"/>
          <w:sz w:val="17"/>
          <w:szCs w:val="17"/>
          <w:color w:val="auto"/>
        </w:rPr>
        <w:t>. Many countries are facing an aging population and a rapidly growing number of people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rFonts w:ascii="Arial" w:cs="Arial" w:eastAsia="Arial" w:hAnsi="Arial"/>
          <w:sz w:val="17"/>
          <w:szCs w:val="17"/>
          <w:color w:val="auto"/>
        </w:rPr>
      </w:pPr>
    </w:p>
    <w:p>
      <w:pPr>
        <w:ind w:left="1540" w:hanging="331"/>
        <w:spacing w:after="0" w:line="257"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Political and Economic Instability in Emerging Markets</w:t>
      </w:r>
      <w:r>
        <w:rPr>
          <w:rFonts w:ascii="Arial" w:cs="Arial" w:eastAsia="Arial" w:hAnsi="Arial"/>
          <w:sz w:val="18"/>
          <w:szCs w:val="18"/>
          <w:color w:val="auto"/>
        </w:rPr>
        <w:t>. We operate in a number of emerging markets, many of which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to significant political and economic disruptions. For example, currency fluctuations or sanctions affecting these markets may adversely affect our results of operations, including our ability to efficiently collect payments and manage our accounts. However, the number of countries we provide products to and our proactive channel management strategies help us manage this variability.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Impacts and Response</w:t>
      </w:r>
    </w:p>
    <w:p>
      <w:pPr>
        <w:spacing w:after="0" w:line="117" w:lineRule="exact"/>
        <w:rPr>
          <w:sz w:val="20"/>
          <w:szCs w:val="20"/>
          <w:color w:val="auto"/>
        </w:rPr>
      </w:pPr>
    </w:p>
    <w:p>
      <w:pPr>
        <w:jc w:val="both"/>
        <w:ind w:left="120" w:right="220" w:firstLine="440"/>
        <w:spacing w:after="0" w:line="287" w:lineRule="auto"/>
        <w:rPr>
          <w:sz w:val="20"/>
          <w:szCs w:val="20"/>
          <w:color w:val="auto"/>
        </w:rPr>
      </w:pPr>
      <w:r>
        <w:rPr>
          <w:rFonts w:ascii="Arial" w:cs="Arial" w:eastAsia="Arial" w:hAnsi="Arial"/>
          <w:sz w:val="16"/>
          <w:szCs w:val="16"/>
          <w:color w:val="auto"/>
        </w:rPr>
        <w:t>A novel strain of coronavirus disease (“COVID-19”)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w:t>
      </w:r>
    </w:p>
    <w:p>
      <w:pPr>
        <w:spacing w:after="0" w:line="2"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Disruptions resulting from the ongoing COVID-19 pandemic unfavorably impacted our revenues in 2020 to some extent, as is further discussed below. Due to the significant uncertainty with respect to the duration and overall impact of the COVID-19 pandemic, our future operating performance may be subject to volatility. The impacts of the COVID-19 pandemic on our business, results of operations, financial condition and cash flows is dependent on certain factors including:</w:t>
      </w:r>
    </w:p>
    <w:p>
      <w:pPr>
        <w:spacing w:after="0" w:line="98" w:lineRule="exact"/>
        <w:rPr>
          <w:sz w:val="20"/>
          <w:szCs w:val="20"/>
          <w:color w:val="auto"/>
        </w:rPr>
      </w:pPr>
    </w:p>
    <w:p>
      <w:pPr>
        <w:ind w:left="1540" w:right="280" w:hanging="331"/>
        <w:spacing w:after="0" w:line="277" w:lineRule="auto"/>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and strength of any global economic recovery and the degree of pressure that any weaker macroeconomic environment may put on the global demand for our products;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Worldwide revenues in 2020 of $1,086 million decreased 2.1% from the prior year period. This decrease reflected unfavorable impacts from foreign currency translation, price and volume. Declines in volume were attributable to the COVID-19 pandemic, particularly within EMEA, and the loss of a health insurance provider account in the United States. These declines were partially offset by increased demand for our offerings in the United States and China, as is further discussed below.</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continue to invest in research and development, geographic expansion and new product market programs to drive further revenue and profit growth. Our ability to sustain our long-term growth will depend on a number of factors, including our ability to expand our core business (including geographical expansion), develop innovative new products, and continue to improve operating efficiency and organizational effectiveness. As discussed above, current global economic conditions are highly volatile due to the COVID-19 pandemic. In addition, pricing pressure exists globally which could adversely impact our business.</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U.S. dollar at exchange rates that fluctuate from the beginning of such period. A stronger U.S. dollar in 2020, compared with 2019, resulted in an unfavorable foreign currency translation impact to our revenues during 2020. We evaluate our results of operations on both a reported and a foreign currency-neutral (“FXN”)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FXN basis in addition to reported results helps improve investors’ ability to understand our operating results and evaluate our performance in comparison to prior periods. We calculate FXN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U.S. GAAP. Results on a FXN basis, as we present them, may not be comparable to similarly titled measures used by other companies and are not measures of performance presented in accordance with U.S. GAAP.</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Results of Operations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360"/>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-644525</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0" w:lineRule="exact"/>
        <w:rPr>
          <w:sz w:val="20"/>
          <w:szCs w:val="20"/>
          <w:color w:val="auto"/>
        </w:rPr>
      </w:pPr>
    </w:p>
    <w:p>
      <w:pPr>
        <w:jc w:val="center"/>
        <w:ind w:right="3360"/>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8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83"/>
              </w:rPr>
              <w:t>2020</w:t>
            </w:r>
          </w:p>
        </w:tc>
        <w:tc>
          <w:tcPr>
            <w:tcW w:w="178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 vs. 2019</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8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200" w:type="dxa"/>
            <w:vAlign w:val="bottom"/>
          </w:tcPr>
          <w:p>
            <w:pPr>
              <w:spacing w:after="0" w:line="157" w:lineRule="exact"/>
              <w:rPr>
                <w:sz w:val="20"/>
                <w:szCs w:val="20"/>
                <w:color w:val="auto"/>
              </w:rPr>
            </w:pPr>
            <w:r>
              <w:rPr>
                <w:rFonts w:ascii="Arial" w:cs="Arial" w:eastAsia="Arial" w:hAnsi="Arial"/>
                <w:sz w:val="14"/>
                <w:szCs w:val="14"/>
                <w:b w:val="1"/>
                <w:bCs w:val="1"/>
                <w:u w:val="single" w:color="auto"/>
                <w:color w:val="auto"/>
              </w:rPr>
              <w:t>Total Change</w:t>
            </w:r>
          </w:p>
        </w:tc>
        <w:tc>
          <w:tcPr>
            <w:tcW w:w="206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7"/>
              </w:rPr>
              <w:t>Estimated FX Impact</w:t>
            </w:r>
          </w:p>
        </w:tc>
        <w:tc>
          <w:tcPr>
            <w:tcW w:w="1180" w:type="dxa"/>
            <w:vAlign w:val="bottom"/>
          </w:tcPr>
          <w:p>
            <w:pPr>
              <w:ind w:left="380"/>
              <w:spacing w:after="0" w:line="157" w:lineRule="exact"/>
              <w:rPr>
                <w:sz w:val="20"/>
                <w:szCs w:val="20"/>
                <w:color w:val="auto"/>
              </w:rPr>
            </w:pPr>
            <w:r>
              <w:rPr>
                <w:rFonts w:ascii="Arial" w:cs="Arial" w:eastAsia="Arial" w:hAnsi="Arial"/>
                <w:sz w:val="14"/>
                <w:szCs w:val="14"/>
                <w:b w:val="1"/>
                <w:bCs w:val="1"/>
                <w:u w:val="single" w:color="auto"/>
                <w:color w:val="auto"/>
                <w:w w:val="93"/>
              </w:rPr>
              <w:t>FXN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-8890</wp:posOffset>
            </wp:positionV>
            <wp:extent cx="699516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40" w:space="720"/>
            <w:col w:w="7680"/>
          </w:cols>
          <w:pgMar w:left="320" w:top="459" w:right="439" w:bottom="1440" w:gutter="0" w:footer="0" w:header="0"/>
        </w:sectPr>
      </w:pPr>
    </w:p>
    <w:p>
      <w:pPr>
        <w:ind w:left="120"/>
        <w:spacing w:after="0"/>
        <w:tabs>
          <w:tab w:leader="none" w:pos="3520" w:val="left"/>
          <w:tab w:leader="none" w:pos="3980" w:val="left"/>
          <w:tab w:leader="none" w:pos="4980" w:val="left"/>
          <w:tab w:leader="none" w:pos="5440" w:val="left"/>
          <w:tab w:leader="none" w:pos="7000" w:val="left"/>
          <w:tab w:leader="none" w:pos="9080" w:val="left"/>
          <w:tab w:leader="none" w:pos="10620" w:val="left"/>
        </w:tabs>
        <w:rPr>
          <w:sz w:val="20"/>
          <w:szCs w:val="20"/>
          <w:color w:val="auto"/>
        </w:rPr>
      </w:pPr>
      <w:r>
        <w:rPr>
          <w:rFonts w:ascii="Arial" w:cs="Arial" w:eastAsia="Arial" w:hAnsi="Arial"/>
          <w:sz w:val="18"/>
          <w:szCs w:val="18"/>
          <w:color w:val="auto"/>
        </w:rPr>
        <w:t>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1,109</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-0.9%</w:t>
      </w:r>
    </w:p>
    <w:p>
      <w:pPr>
        <w:spacing w:after="0" w:line="2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Revenues of $1,086 million in 2020 decreased by $23 million, or 2.1%, compared with revenues of $1,109 million in 2019. Changes in our revenue are driven by the volume of goods that we sell, the prices we negotiate with customers and changes in foreign exchange rates. A net decrease in the volume of units sold of $3 million was primarily driven by the loss of a health insurance provider account in the United States and declines, particularly in EMEA, which were attributable to COVID-19 pandemic-related disruptions in healthcare priorities and economic activities. These unfavorable impacts to volume in 2020 were partially offset by category gains in the U.S. retail channel and increased U.S. end-user consumption of pen needles, as well as by a slowdown of novel therapy growth in the United States, which previously had a negative effect on sales of our insulin injection devices. Volume in 2020 was also favorably affected by increased demand that was attributable to the successful execution of channel expansion strategies in China. Pricing pressures unfavorably affected our sales by approximately $7 million and were most acute in the United States. As noted above, the decrease in 2020 revenues reflected unfavorable effects from foreign currency translation of $13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6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89"/>
              </w:rPr>
              <w:t>2020 vs. 2019</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Total Change</w:t>
            </w:r>
          </w:p>
        </w:tc>
        <w:tc>
          <w:tcPr>
            <w:tcW w:w="800" w:type="dxa"/>
            <w:vAlign w:val="bottom"/>
          </w:tcPr>
          <w:p>
            <w:pPr>
              <w:spacing w:after="0"/>
              <w:rPr>
                <w:sz w:val="12"/>
                <w:szCs w:val="12"/>
                <w:color w:val="auto"/>
              </w:rPr>
            </w:pPr>
          </w:p>
        </w:tc>
        <w:tc>
          <w:tcPr>
            <w:tcW w:w="214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5"/>
              </w:rPr>
              <w:t>Estimated FX Impact</w:t>
            </w: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FXN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w w:val="74"/>
              </w:rPr>
              <w:t>%</w:t>
            </w:r>
          </w:p>
        </w:tc>
        <w:tc>
          <w:tcPr>
            <w:tcW w:w="13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Cost of products sold of $323 million in 2020 was flat compared with 2019, which reflected a favorable impact of $6 million from foreign currency translation. The unfavorable impact from performance of $6 million, or 1.9%, primarily reflected increased manufacturing overhead variances, such as idle capacity charges, that were recognized within the period as a result of the COVID-19 pandemic. Cost of products sold also reflected a reduction of manufacturing costs that was attributable to continuous improvement projects which enhanced the efficiency of our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expenses in 2020 and 2019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370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2020 vs. 2019</w:t>
            </w: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19.8%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20.0%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5.6%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5.6%</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Selling and administrative expense of $215 million in 2020 decreased by $7 million, or 3.2%, compared with $222 million in 2019. This decrease was primarily driven by lower costs of approximately $5 million from headcount reductions resulting from a cancelled commercialization project, partially offset by an increase of approximately $1 million in shipping expenses in 2020 compared with 2019. Selling and administrative expense in 2020 also reflected a decrease in global selling, travel and other administrative costs due to the COVID-19 pandemic.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Research and development expense of $61 million in 2020 decreased by $1 million, or 1.6%, compared with $62 million in 2019, which reflected a decrease of approximately $2 million in labor costs, partially offset by an increase of approximately $1 million in additional investments relating to our technology platform. Spending in both 2020 and 2019 reflected our continued commitment to invest in new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income tax rates in 2020 and 2019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Diabetes Care Business’ effective income tax rate was 11.9% and 13.6% in 2020 and 2019, respectively. The fluctuation in the effective income tax rates was primarily due to a favorable impact of $17 million relating to unrecognized tax benefits in 2020, as well as the geographical mix of income attributable to foreign countries that have income tax rates that vary from the U.S. tax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net parent investment.</w:t>
      </w:r>
    </w:p>
    <w:p>
      <w:pPr>
        <w:spacing w:after="0" w:line="16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a recurring basis, our primary future cash needs will be directed toward operating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If these sources of liquidity need to be augmented, additional cash requirements would likely need to be financed through the issuance of debt or equity securities.</w:t>
      </w:r>
    </w:p>
    <w:p>
      <w:pPr>
        <w:spacing w:after="0" w:line="195"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We expect to incur indebtedness in connection with our separation from BD, a portion of which will be used to distribute cash to BD. See “Description of Material Indebtedness.” Following this debt incurrence and the distribution of cash to BD, we expect to begin operations as an independent company with cash and cash equivalents as set forth under “Capitalization.”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September 30, 2020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44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(b)</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12 to our annual audited combined financial statements.</w:t>
      </w:r>
    </w:p>
    <w:p>
      <w:pPr>
        <w:spacing w:after="0" w:line="23" w:lineRule="exact"/>
        <w:rPr>
          <w:rFonts w:ascii="Arial" w:cs="Arial" w:eastAsia="Arial" w:hAnsi="Arial"/>
          <w:sz w:val="18"/>
          <w:szCs w:val="18"/>
          <w:i w:val="1"/>
          <w:iCs w:val="1"/>
          <w:color w:val="auto"/>
        </w:rPr>
      </w:pPr>
    </w:p>
    <w:p>
      <w:pPr>
        <w:ind w:left="540" w:hanging="424"/>
        <w:spacing w:after="0"/>
        <w:tabs>
          <w:tab w:leader="none" w:pos="5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6 to our annual audited combined financial statements.</w:t>
      </w:r>
    </w:p>
    <w:p>
      <w:pPr>
        <w:spacing w:after="0" w:line="21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The following table summarizes our combined statements of cash flows in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64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(436)</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$499 million in 2020, as compared to $505 million for 2019.</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cash provided by operating activities during 2020 was attributable to net income of $428 million in 2020 and net adjustments of $71 million, including adjustments related to depreciation and amortization, share-based compensation, pension expense, deferred taxes and a $13 million net source of cash relating to changes in working capital. The source of cash relating to working capital was driven by a decrease in inventories, as well as prepaid expenses and other, of $4 million and $15 million, respectively, partially offset by a $4 million decrease in accounts payable, income taxes and other liabilities and an increase of $2 million in trade receivables.</w:t>
      </w:r>
    </w:p>
    <w:p>
      <w:pPr>
        <w:spacing w:after="0" w:line="188"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Net cash provided by operating activities during 2019 was attributable to net income of $432 million in 2019 and net adjustments of $73 million, including adjustments related to depreciation and amortization, share-based compensation, pension expense, deferred taxes and a $22 million net source of cash relating to changes in working capital. The source of cash relating to working capital was driven by a $32 million increase in accounts payable, income taxes and other liabilities and a decrease of $9 million in inventories, partially offset by increases in trade receivables and prepaid expenses and other of $10 million and $9 million,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Net cash used for investing activities was primarily comprised of capital expenditures of $42 million and $66 million in 2020 and 2019, respectively. Net cash used for investing activities during 2019 also included $3 million related to the acquisition of intangible assets.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Net cash used for financing activities, which entirely represented net transfers to BD (see Note 5 to the combined financial statements included elsewhere in this information statement), was $457 million in 2020, compared to $436 million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following discussion supplements the descriptions of our accounting policies contained in Note 2 to the combined financial statements included elsewhere in this information statement. The preparation of the combined financial statements requires management to use estimates and assumptions that affect the reported amounts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assets, liabilities, revenues and expenses, as well as the disclosure of contingent assets and liabilities at the date of the combined financial statements. Some of those judgments can be subjective and complex and, consequently, actual results could differ materially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on our combined financial statements. Management believes the following critical accounting policies reflect the more significant judgments and estimates used in the preparation of the combined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provided by the diabetes care business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Goodwill assets are subject to impairment reviews at least annually, or whenever indicators of impairment arise. Intangible assets with finite lives and other long-lived assets are periodically reviewed for impairment when impairment indicators are present.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assess goodwill for impairment at the reporting unit level. Potential impairment of goodwill is generally identified by comparing the fair value of a reporting unit with its carrying value. Our annual goodwill impairment test performed on July 1, 2020 did not result in any impairment charges, as the fair value of our reporting unit exceeded its carrying value.</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generally use the income approach to derive the fair value for impairment assessments.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income-producing assets. This approach requires management judgment with respect to future volume, revenue and expense growth rates, changes in working capital use, appropriate discount rates, terminal values and other assumptions and estimates. The estimates and assumptions used are consistent with our business plans. The use of alternative estimates and assumptions could increase or decrease the estimated fair value of the asset. Actual results may differ materially from management’s estimates.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operations are included in the tax returns of BD. In the future, as a standalone entity, we will file tax returns on our own behalf. Income taxes as presented in the combined financial statements attribute current and deferred income tax assets and liabilities of BD to us in a manner that is systematic, rational and consistent with the asset and liability method prescribed by the accounting guidance for income taxes. Our income tax provision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reviewed our needs in the United States for possible repatriation of undistributed earnings of our foreign subsidiaries and continue to invest foreign subsidiaries’ earnings outside of the United States to fund foreign investments or meet foreign working capital and property, plant and equipment expenditure needs. As a result, we are permanently reinvested with respect to all of its historical foreign earnings as of September 30, 2020.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BD conducts business and files tax returns in numerous countries and currently has tax audits in progress in a number of tax jurisdictions. Our operations are included in the tax returns of BD. In evaluating the exposure associated with various tax filing positions, we record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we were a separate filer.</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We do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Additional disclosures regarding our accounting for income taxes are provided in Note 11 to the combined financial statements included elsewhere in this information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See Note 3 to the combined financial statements included elsewhere in this information statement for a discussion of recent accounting pronouncements.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table sets forth information regarding the individuals who are currently expected to serve as executive officers of Newco following the distribution. Some of Newco’s executive officers are currently employees of BD, but will cease to hold such positions upon the consummation of the separation. One of Newco’s executive officers, Devdatt (Dev) Kurdikar, will also hold a position as a member of Newco’s Board of Directors. See “Directors.” Newco is in the process of identifying the other persons who are expected to serve as executive officers of Newco following the distribution and will include information concerning those persons in an amendment to this information statement.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6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 52, serves as the Worldwide President of Diabetes Care at BD. The diabetes care business is a global leader in insulin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injection devices, with annual revenue of $1.1 billion. Previously, Dev was the President and CEO of Cardiac Science Corporation (CSC), a global leader in the manufacturing and marketing of automated external defibrillators (AEDs) for public access, education, police, and fire and rescue markets. CSC had been acquired by a private equity firm via bankruptcy proceedings, and under Dev’s leadership, CSC returned to profitable growth and was sold in a successful exit to ZOLL Medical.</w:t>
      </w:r>
    </w:p>
    <w:p>
      <w:pPr>
        <w:spacing w:after="0" w:line="18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Prior to that role, Dev was the Vice President and General Manager, Men’s Health, an important growth business within Urology and Pelvic Health at Boston Scientific Corp (NYSE: BSX). Dev was in the same role at American Medical Systems (AMS) and led the Men’s Health business through a significant business turnaround, and then the carve-out and sale to BSC, where Dev led the business through its integration into BSC. Before joining AMS, Dev served as Vice President, Marketing, Baxter International Inc. (NYSE: BAX), where he worked directly with the company’s top executives on a global commercial initiative to drive market access. Previously, he was the Vice President, Marketing for the Infusion Systems business for the U.S. region where he played a key role in stabilizing the business while under a consent decree, and launched a new wireless enabled infusion pump. In his eleven years with Baxter, Dev held leadership roles of increasing responsibility in finance, strategy and integration, R&amp;D planning and operations. He began his career as a Senior Research Engineer at Pharmacia Corporation (formerly the pharmaceutical unit of The Monsanto Company).</w:t>
      </w:r>
    </w:p>
    <w:p>
      <w:pPr>
        <w:spacing w:after="0" w:line="16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Dev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47, serves as the Senior Vice President – Finance of Diabetes Care at BD. The diabetes care business is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insulin injection devices, with annual revenue of $1.1 billion. Previously, Jake 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table sets forth information regarding those persons who are expected to serve on Newco’s Board of Directors following completion of the distribution and until their respective successors are duly elected and qualified. Newco is in the process of identifying the other persons who are expected to serve on Newco’s Board of Directors following the completion of the separation and will include information concerning those persons in an amendment to this information statement.</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David F. Melcher</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60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’s biographical information is set forth above under “Management—Executive Officers Following the Distribution.”</w:t>
      </w:r>
    </w:p>
    <w:p>
      <w:pPr>
        <w:spacing w:after="0" w:line="2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Kurdikar has developed valuable business, management and leadership experience, and will be the President and Chief Executive Officer of Newco. Mr. Kurdikar will be able to use his experience and knowledge to contribute key insights into strategic, management, and operational matters to Newco’s Board of Directors.</w:t>
      </w:r>
    </w:p>
    <w:p>
      <w:pPr>
        <w:spacing w:after="0" w:line="19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David F. Melcher</w:t>
      </w:r>
      <w:r>
        <w:rPr>
          <w:rFonts w:ascii="Arial" w:cs="Arial" w:eastAsia="Arial" w:hAnsi="Arial"/>
          <w:sz w:val="17"/>
          <w:szCs w:val="17"/>
          <w:color w:val="auto"/>
        </w:rPr>
        <w:t>, 66, has been a director of BD since BD’s acquisition of C.R. Bard, Inc. (“Bard”) in 2017, and had served as a Bard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2014. In December 2017, he retired as President and Chief Executive Officer of Aerospace Industries Association, a trade association representing major aerospace and defense manufacturers and suppliers, a position he had held since 2015. From 2011 to 2015, Mr. Melcher was Chief Executive Officer, President and a director of Exelis Inc., a global aerospace defense, information and technology services company. Lieutenant General (Ret.) Melcher spent 32 years of distinguished service in the U.S. Army. He also was the Lead Independent Director of Cubic Corporation until its sale to Veritas Capital in May 2021, and currently serves as an Independent Director of the United Services Automobile Association (USAA). He also serves on the Board of Managers for GM Defense, LLC, a wholly owned subsidiary of GM Corporation.</w:t>
      </w:r>
    </w:p>
    <w:p>
      <w:pPr>
        <w:spacing w:after="0" w:line="17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Mr. Melcher brings strong executive experience as a result of his many years in leadership positions in the defense community and as a former chief executive officer of a public company. Mr. Melcher offers the perspective of a seasoned executive with extensive experience and expertise in the areas of domestic and international business, program management, strategy development, finance and information technology.</w:t>
      </w:r>
    </w:p>
    <w:p>
      <w:pPr>
        <w:spacing w:after="0" w:line="149"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b w:val="1"/>
          <w:bCs w:val="1"/>
          <w:i w:val="1"/>
          <w:iCs w:val="1"/>
          <w:color w:val="auto"/>
        </w:rPr>
        <w:t>Claire Pomeroy</w:t>
      </w:r>
      <w:r>
        <w:rPr>
          <w:rFonts w:ascii="Arial" w:cs="Arial" w:eastAsia="Arial" w:hAnsi="Arial"/>
          <w:sz w:val="16"/>
          <w:szCs w:val="16"/>
          <w:color w:val="auto"/>
        </w:rPr>
        <w:t>, 65, has been a director of BD since 2014. Since 2013, Dr. Pomeroy has served as President of the Albert and Mary Lasker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a private foundation that seeks to improve health by accelerating support for medical research through recognition of research excellence, public education and advocacy. Prior thereto, she served as Dean of the University of California, Davis (“UC Davis”) School of Medicine, and Chief Executive Officer of the UC Davis Health System. Dr. Pomeroy also is Chair of the Foundation for Biomedical Research and a director of the Sierra Health Foundation, Center for Women in Academic Medicine and Science, iBiology, the New York Academy of Medicine, the Science Philanthropy Alliance and the Morehouse School of Medicine. Dr. Pomeroy is also a director of Haemonetics Corporation.</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Dr. Pomeroy is an expert in infectious diseases, with broad experience in areas of healthcare delivery, health system administration, higher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education, medical research and public health. She brings to the Board important perspectives on patient care services, global health and health policy.</w:t>
      </w:r>
    </w:p>
    <w:p>
      <w:pPr>
        <w:spacing w:after="0" w:line="23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Upon the completion of the distribution, Newco’s amended and restated certificate of incorporation will provide that, until the annual stockholder meeting in 2026, Newco’s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Newco expect to hold in 2023, and will be up for re-election at that meeting for a three-year term to expire at the 2026 annual meeting of stockholders. The directors designated as Class II</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directors will have terms expiring at the 2024 annual meeting of stockholders and will be up for re-election at that meeting for a two-year term to expire at the 2026 annual meeting of stockholders. The directors designated as Class III directors will have terms expiring at the 2025 annual meeting of stockholders and will be up for re-election at that meeting for a one-year term to expire at the 2026 annual meeting of stockholders. Commencing with the 2026 annual meeting of stockholders, directors will be elected annually and for a term of office to expire at the next annual meeting of stockholders, and Newco’s Board of Directors will thereafter no longer be divided into classes. Before Newco’s Board of Directors is declassified, it would take at least two annual meeting of stockholders to be held for any individual or group to gain control of Newco’s Board of Directors.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Providing objective, independent judgment will be at the core of the Board’s oversight function. Newco’s Corporate Governance Principles will contain guidelines (the “Director Independence Guidelines”) that will set forth certain criteria to assess the independence of directors of Newco. Under</w:t>
      </w:r>
    </w:p>
    <w:p>
      <w:pPr>
        <w:ind w:left="120"/>
        <w:spacing w:after="0" w:line="252" w:lineRule="auto"/>
        <w:rPr>
          <w:sz w:val="20"/>
          <w:szCs w:val="20"/>
          <w:color w:val="auto"/>
        </w:rPr>
      </w:pPr>
      <w:r>
        <w:rPr>
          <w:rFonts w:ascii="Arial" w:cs="Arial" w:eastAsia="Arial" w:hAnsi="Arial"/>
          <w:sz w:val="18"/>
          <w:szCs w:val="18"/>
          <w:color w:val="auto"/>
        </w:rPr>
        <w:t>the Director Independence Guidelines, which will conform to the corporate governance listing standards of the , a director will not be considered “independent” unless the Board affirmatively determines that the director has no material relationship with Newco or any subsidiary in the consolidated group. The Director Independence Guidelines will comprise a list of all categories of material relationships affecting the determination of a director’s independence. Any relationship that falls below a threshold set forth in the Director Independence Guidelines, or is not otherwise listed in the Director Independence Guidelines, and is not required to be disclosed under Item 404(a) of SEC Regulation S-K, will be deemed to be an immaterial relationship.</w:t>
      </w:r>
    </w:p>
    <w:p>
      <w:pPr>
        <w:spacing w:after="0" w:line="194"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Newco’s Board is expected to affirmatively determine that a majority of the directors of Newco will be independent under the Director Independence Guidelines.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Effective upon the completion of the distribution, Newco’s Board of Directors will have the following committees, each of which will operate under a written charter that will be posted to Newco’s website concurrently with, or immediately after, the distribution: the Audit Committee, the Compensation and Management Development Committee and the Corporate Governance and Nominating Committee.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tabs>
          <w:tab w:leader="none" w:pos="9940" w:val="left"/>
        </w:tabs>
        <w:rPr>
          <w:sz w:val="20"/>
          <w:szCs w:val="20"/>
          <w:color w:val="auto"/>
        </w:rPr>
      </w:pPr>
      <w:r>
        <w:rPr>
          <w:rFonts w:ascii="Arial" w:cs="Arial" w:eastAsia="Arial" w:hAnsi="Arial"/>
          <w:sz w:val="18"/>
          <w:szCs w:val="18"/>
          <w:color w:val="auto"/>
        </w:rPr>
        <w:t>The Audit Committee will be established in accordance with Rule 10A-3 under the Exchange Act and the listing rules of</w:t>
      </w:r>
      <w:r>
        <w:rPr>
          <w:sz w:val="20"/>
          <w:szCs w:val="20"/>
          <w:color w:val="auto"/>
        </w:rPr>
        <w:tab/>
      </w:r>
      <w:r>
        <w:rPr>
          <w:rFonts w:ascii="Arial" w:cs="Arial" w:eastAsia="Arial" w:hAnsi="Arial"/>
          <w:sz w:val="16"/>
          <w:szCs w:val="16"/>
          <w:color w:val="auto"/>
        </w:rPr>
        <w:t>. The</w:t>
      </w:r>
    </w:p>
    <w:p>
      <w:pPr>
        <w:spacing w:after="0" w:line="23"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responsibilities of the Audit Committee will be more fully described in the Audit Committee charter. We anticipate that these responsibilities will include:</w:t>
      </w:r>
    </w:p>
    <w:p>
      <w:pPr>
        <w:spacing w:after="0" w:line="91" w:lineRule="exact"/>
        <w:rPr>
          <w:sz w:val="20"/>
          <w:szCs w:val="20"/>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retaining and reviewing the qualifications, independence and performance of Newco’s registered public accounting firm (the “independent auditors”);</w:t>
      </w:r>
    </w:p>
    <w:p>
      <w:pPr>
        <w:spacing w:after="0" w:line="75"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Newco’s public financial disclosures and financial statements, and its accounting principles, policies and practices; the scope and results of the annual audit by the independent auditors; Newco’s internal audit process; and the effectiveness of Newco’s internal control over financial reporting;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Newco’s guidelines and policies relating to enterprise risk assessment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Newco’s ethics and enterprise compliance programs;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financial strategies regarding currency, interest rates and use of derivatives, and reviews Newco’s insurance program.</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 and are expected to be the members of the Audit Committee. is expected to be the Audit Committee Chair. Each member of the Audit Committee is expected to be financially literate,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Newco’s Board is expected to determine that at least one member of the Audit Committee is an “audit committee financial expert” for purposes of the rules of the SEC. In addition, Newco expects that its Board of Directors will determine that each of the members of the Audit Committee will be</w:t>
      </w:r>
    </w:p>
    <w:p>
      <w:pPr>
        <w:ind w:left="120" w:right="140"/>
        <w:spacing w:after="0" w:line="260" w:lineRule="auto"/>
        <w:rPr>
          <w:sz w:val="20"/>
          <w:szCs w:val="20"/>
          <w:color w:val="auto"/>
        </w:rPr>
      </w:pPr>
      <w:r>
        <w:rPr>
          <w:rFonts w:ascii="Arial" w:cs="Arial" w:eastAsia="Arial" w:hAnsi="Arial"/>
          <w:sz w:val="18"/>
          <w:szCs w:val="18"/>
          <w:color w:val="auto"/>
        </w:rPr>
        <w:t>independent, as defined by the rules of , Section 10A(m)(3) of the Exchange Act, and in accordance with the Newco’s Director Independence Guidelines.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Management Development Committee</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Compensation and Management Development Committee will have the responsibilities set forth in the charter of such committee. We anticipate that these responsibilities will include:</w:t>
      </w:r>
    </w:p>
    <w:p>
      <w:pPr>
        <w:spacing w:after="0" w:line="76" w:lineRule="exact"/>
        <w:rPr>
          <w:sz w:val="20"/>
          <w:szCs w:val="20"/>
          <w:color w:val="auto"/>
        </w:rPr>
      </w:pPr>
    </w:p>
    <w:p>
      <w:pPr>
        <w:ind w:left="1080" w:right="3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Newco’s compensation and benefits programs, recommending the compensation of Newco’s Chief Executive Officer to the independent members of the Board, and approving the compensation of Newco’s other executive officers;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all employment, severance and change in control agreements with Newco’s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Serving as the granting and administrative committee for Newco’s equity compensation plans, including grants to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Overseeing certain other Newco benefit plans;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initiatives for identifying and developing leaders and candidates for senior leadership positions.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Executive officers will not determine the amount or form of executive or director compensation, although Newco’s Chief Executive Officer will provide recommendations to the Compensation and Management Development Committee regarding compensation changes and incentive compensation for executive officers other than himself.</w:t>
      </w:r>
    </w:p>
    <w:p>
      <w:pPr>
        <w:spacing w:after="0" w:line="184" w:lineRule="exact"/>
        <w:rPr>
          <w:sz w:val="20"/>
          <w:szCs w:val="20"/>
          <w:color w:val="auto"/>
        </w:rPr>
      </w:pPr>
    </w:p>
    <w:p>
      <w:pPr>
        <w:ind w:left="120" w:right="280" w:firstLine="1983"/>
        <w:spacing w:after="0" w:line="255" w:lineRule="auto"/>
        <w:rPr>
          <w:sz w:val="20"/>
          <w:szCs w:val="20"/>
          <w:color w:val="auto"/>
        </w:rPr>
      </w:pPr>
      <w:r>
        <w:rPr>
          <w:rFonts w:ascii="Arial" w:cs="Arial" w:eastAsia="Arial" w:hAnsi="Arial"/>
          <w:sz w:val="18"/>
          <w:szCs w:val="18"/>
          <w:color w:val="auto"/>
        </w:rPr>
        <w:t>, , and are expected to be the members of the Compensation and Management Development Committee. is expected to be the Chair of such committee. Newco’s Board is expected to determine that each member of the Compensation and Management Development Committee will be independent, as defined by the rules of the and in accordance with the Newco’s Director</w:t>
      </w:r>
    </w:p>
    <w:p>
      <w:pPr>
        <w:spacing w:after="0" w:line="3" w:lineRule="exact"/>
        <w:rPr>
          <w:sz w:val="20"/>
          <w:szCs w:val="20"/>
          <w:color w:val="auto"/>
        </w:rPr>
      </w:pPr>
    </w:p>
    <w:p>
      <w:pPr>
        <w:ind w:left="120" w:right="80"/>
        <w:spacing w:after="0" w:line="323" w:lineRule="auto"/>
        <w:rPr>
          <w:sz w:val="20"/>
          <w:szCs w:val="20"/>
          <w:color w:val="auto"/>
        </w:rPr>
      </w:pPr>
      <w:r>
        <w:rPr>
          <w:rFonts w:ascii="Arial" w:cs="Arial" w:eastAsia="Arial" w:hAnsi="Arial"/>
          <w:sz w:val="16"/>
          <w:szCs w:val="16"/>
          <w:color w:val="auto"/>
        </w:rPr>
        <w:t>Independence Guidelines. In addition, Newco expects that the members of the Compensation and Management Development Committee will qualify as “non-employee directors” for purposes of Rule 16b-3 under the Exchange Act and as “outside directors” for purposes of Section 162(m) of the Code.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Corporate Governance and Nominating Committee will have the responsibilities set forth in the charter of such committee. Newco anticipates that these responsibilities will include:</w:t>
      </w:r>
    </w:p>
    <w:p>
      <w:pPr>
        <w:spacing w:after="0" w:line="76"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identifying and recommending candidates for election to the Board;</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the composition, structure and function of the Board and its committees, as well as the compensation of non-management directors;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monitoring Newco’s corporate governance and Board practices, and overseeing the Board’s self-evaluation process; and</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matters impacting Newco’s image, reputation and corporate responsibility, including communications, community relations, public policy and government relations, and environmental, social and governance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7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515"/>
        </w:trPr>
        <w:tc>
          <w:tcPr>
            <w:tcW w:w="9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7220" w:type="dxa"/>
            <w:vAlign w:val="bottom"/>
          </w:tcPr>
          <w:p>
            <w:pPr>
              <w:jc w:val="center"/>
              <w:spacing w:after="0"/>
              <w:rPr>
                <w:sz w:val="20"/>
                <w:szCs w:val="20"/>
                <w:color w:val="auto"/>
              </w:rPr>
            </w:pPr>
            <w:r>
              <w:rPr>
                <w:rFonts w:ascii="Arial" w:cs="Arial" w:eastAsia="Arial" w:hAnsi="Arial"/>
                <w:sz w:val="18"/>
                <w:szCs w:val="18"/>
                <w:b w:val="1"/>
                <w:bCs w:val="1"/>
                <w:color w:val="auto"/>
                <w:w w:val="90"/>
              </w:rPr>
              <w:t>Confidential Treatment Requested by Berra Newco, Inc.</w:t>
            </w:r>
          </w:p>
        </w:tc>
        <w:tc>
          <w:tcPr>
            <w:tcW w:w="182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tcPr>
          <w:p>
            <w:pPr>
              <w:jc w:val="center"/>
              <w:spacing w:after="0"/>
              <w:rPr>
                <w:sz w:val="20"/>
                <w:szCs w:val="20"/>
                <w:color w:val="auto"/>
              </w:rPr>
            </w:pPr>
            <w:r>
              <w:rPr>
                <w:rFonts w:ascii="Arial" w:cs="Arial" w:eastAsia="Arial" w:hAnsi="Arial"/>
                <w:sz w:val="18"/>
                <w:szCs w:val="18"/>
                <w:b w:val="1"/>
                <w:bCs w:val="1"/>
                <w:color w:val="auto"/>
                <w:w w:val="89"/>
              </w:rPr>
              <w:t>pursuant to 17 C.F.R. Section 200.83</w:t>
            </w:r>
          </w:p>
        </w:tc>
        <w:tc>
          <w:tcPr>
            <w:tcW w:w="1820" w:type="dxa"/>
            <w:vAlign w:val="bottom"/>
          </w:tcPr>
          <w:p>
            <w:pPr>
              <w:spacing w:after="0"/>
              <w:rPr>
                <w:sz w:val="20"/>
                <w:szCs w:val="20"/>
                <w:color w:val="auto"/>
              </w:rPr>
            </w:pPr>
          </w:p>
        </w:tc>
      </w:tr>
      <w:tr>
        <w:trPr>
          <w:trHeight w:val="365"/>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 and</w:t>
            </w:r>
          </w:p>
        </w:tc>
        <w:tc>
          <w:tcPr>
            <w:tcW w:w="7220" w:type="dxa"/>
            <w:vAlign w:val="bottom"/>
          </w:tcPr>
          <w:p>
            <w:pPr>
              <w:jc w:val="center"/>
              <w:spacing w:after="0"/>
              <w:rPr>
                <w:sz w:val="20"/>
                <w:szCs w:val="20"/>
                <w:color w:val="auto"/>
              </w:rPr>
            </w:pPr>
            <w:r>
              <w:rPr>
                <w:rFonts w:ascii="Arial" w:cs="Arial" w:eastAsia="Arial" w:hAnsi="Arial"/>
                <w:sz w:val="18"/>
                <w:szCs w:val="18"/>
                <w:color w:val="auto"/>
                <w:w w:val="89"/>
              </w:rPr>
              <w:t>are expected to be the members of the Corporate Governance and Nominating Committee.</w:t>
            </w:r>
          </w:p>
        </w:tc>
        <w:tc>
          <w:tcPr>
            <w:tcW w:w="1820" w:type="dxa"/>
            <w:vAlign w:val="bottom"/>
          </w:tcPr>
          <w:p>
            <w:pPr>
              <w:ind w:left="360"/>
              <w:spacing w:after="0"/>
              <w:rPr>
                <w:sz w:val="20"/>
                <w:szCs w:val="20"/>
                <w:color w:val="auto"/>
              </w:rPr>
            </w:pPr>
            <w:r>
              <w:rPr>
                <w:rFonts w:ascii="Arial" w:cs="Arial" w:eastAsia="Arial" w:hAnsi="Arial"/>
                <w:sz w:val="18"/>
                <w:szCs w:val="18"/>
                <w:color w:val="auto"/>
                <w:w w:val="86"/>
              </w:rPr>
              <w:t>is expected to be the</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Chair of such committee. Newco’s Board is expected to determine that each member of the Corporate Governance and Nominating Committee will be</w:t>
      </w:r>
    </w:p>
    <w:p>
      <w:pPr>
        <w:spacing w:after="0" w:line="32" w:lineRule="exact"/>
        <w:rPr>
          <w:sz w:val="20"/>
          <w:szCs w:val="20"/>
          <w:color w:val="auto"/>
        </w:rPr>
      </w:pPr>
    </w:p>
    <w:p>
      <w:pPr>
        <w:ind w:left="120"/>
        <w:spacing w:after="0"/>
        <w:tabs>
          <w:tab w:leader="none" w:pos="3860" w:val="left"/>
        </w:tabs>
        <w:rPr>
          <w:sz w:val="20"/>
          <w:szCs w:val="20"/>
          <w:color w:val="auto"/>
        </w:rPr>
      </w:pPr>
      <w:r>
        <w:rPr>
          <w:rFonts w:ascii="Arial" w:cs="Arial" w:eastAsia="Arial" w:hAnsi="Arial"/>
          <w:sz w:val="18"/>
          <w:szCs w:val="18"/>
          <w:color w:val="auto"/>
        </w:rPr>
        <w:t>independent, as defined by the rules of the</w:t>
      </w:r>
      <w:r>
        <w:rPr>
          <w:sz w:val="20"/>
          <w:szCs w:val="20"/>
          <w:color w:val="auto"/>
        </w:rPr>
        <w:tab/>
      </w:r>
      <w:r>
        <w:rPr>
          <w:rFonts w:ascii="Arial" w:cs="Arial" w:eastAsia="Arial" w:hAnsi="Arial"/>
          <w:sz w:val="16"/>
          <w:szCs w:val="16"/>
          <w:color w:val="auto"/>
        </w:rPr>
        <w:t>and in accordance with the Director Independence Guidelines.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During the fiscal year ended September 30, 2020, Newco was not an independent company and did not have a compensation committee or any other committee serving a similar function. Decisions as to the compensation of those who currently serve as our executive officers were made by BD, as described in the section of this information statement entitled “Compensation Discussion and Analysis.”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Principles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Newco’s commitment to good corporate governance is embodied in Newco’s Corporate Governance Principles (the “Governance Principles”). The Governance Principles set forth the Board’s views and practices regarding a number of governance topics, and the Corporate Governance and Nominating Committee assesses the Governance Principles on an ongoing basis in light of current practices. The Governance Principles are available on</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Newco’s website at . Printed copies of the Governance Principles may be obtained, without charge, by contacting the , Berra Newco, Inc., ; telephone .</w:t>
      </w:r>
    </w:p>
    <w:p>
      <w:pPr>
        <w:spacing w:after="0" w:line="18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Newco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Board’s goal is to achieve the best board leadership structure for effective oversight and management of Newco’s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is the right board leadership structure for Newco may vary as circumstances warrant.</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Governance Principles provide for the appointment of a Lead Director from among the Board’s independent directors whenever the Chairman is not independent. David F. Melcher will serve as the independent Chair.</w:t>
      </w:r>
    </w:p>
    <w:p>
      <w:pPr>
        <w:spacing w:after="0" w:line="170" w:lineRule="exact"/>
        <w:rPr>
          <w:sz w:val="20"/>
          <w:szCs w:val="20"/>
          <w:color w:val="auto"/>
        </w:rPr>
      </w:pPr>
    </w:p>
    <w:p>
      <w:pPr>
        <w:ind w:left="560"/>
        <w:spacing w:after="0"/>
        <w:tabs>
          <w:tab w:leader="none" w:pos="9620" w:val="left"/>
        </w:tabs>
        <w:rPr>
          <w:sz w:val="20"/>
          <w:szCs w:val="20"/>
          <w:color w:val="auto"/>
        </w:rPr>
      </w:pPr>
      <w:r>
        <w:rPr>
          <w:rFonts w:ascii="Arial" w:cs="Arial" w:eastAsia="Arial" w:hAnsi="Arial"/>
          <w:sz w:val="18"/>
          <w:szCs w:val="18"/>
          <w:color w:val="auto"/>
        </w:rPr>
        <w:t>Newco expects that shareholders’ interests will be protected by effective and independent oversight of management.</w:t>
      </w:r>
      <w:r>
        <w:rPr>
          <w:sz w:val="20"/>
          <w:szCs w:val="20"/>
          <w:color w:val="auto"/>
        </w:rPr>
        <w:tab/>
      </w:r>
      <w:r>
        <w:rPr>
          <w:rFonts w:ascii="Arial" w:cs="Arial" w:eastAsia="Arial" w:hAnsi="Arial"/>
          <w:sz w:val="17"/>
          <w:szCs w:val="17"/>
          <w:color w:val="auto"/>
        </w:rPr>
        <w:t>out</w:t>
      </w:r>
    </w:p>
    <w:p>
      <w:pPr>
        <w:spacing w:after="0" w:line="23" w:lineRule="exact"/>
        <w:rPr>
          <w:sz w:val="20"/>
          <w:szCs w:val="20"/>
          <w:color w:val="auto"/>
        </w:rPr>
      </w:pPr>
    </w:p>
    <w:p>
      <w:pPr>
        <w:ind w:left="120"/>
        <w:spacing w:after="0"/>
        <w:tabs>
          <w:tab w:leader="none" w:pos="960" w:val="left"/>
          <w:tab w:leader="none" w:pos="82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directors of Newco are expected to be independent as defined by the listing standards of the</w:t>
      </w:r>
      <w:r>
        <w:rPr>
          <w:sz w:val="20"/>
          <w:szCs w:val="20"/>
          <w:color w:val="auto"/>
        </w:rPr>
        <w:tab/>
      </w:r>
      <w:r>
        <w:rPr>
          <w:rFonts w:ascii="Arial" w:cs="Arial" w:eastAsia="Arial" w:hAnsi="Arial"/>
          <w:sz w:val="16"/>
          <w:szCs w:val="16"/>
          <w:color w:val="auto"/>
        </w:rPr>
        <w:t>and Newco’s Director Independence</w:t>
      </w:r>
    </w:p>
    <w:p>
      <w:pPr>
        <w:spacing w:after="0" w:line="9" w:lineRule="exact"/>
        <w:rPr>
          <w:sz w:val="20"/>
          <w:szCs w:val="20"/>
          <w:color w:val="auto"/>
        </w:rPr>
      </w:pPr>
    </w:p>
    <w:p>
      <w:pPr>
        <w:jc w:val="both"/>
        <w:ind w:left="120" w:right="180"/>
        <w:spacing w:after="0" w:line="260" w:lineRule="auto"/>
        <w:rPr>
          <w:sz w:val="20"/>
          <w:szCs w:val="20"/>
          <w:color w:val="auto"/>
        </w:rPr>
      </w:pPr>
      <w:r>
        <w:rPr>
          <w:rFonts w:ascii="Arial" w:cs="Arial" w:eastAsia="Arial" w:hAnsi="Arial"/>
          <w:sz w:val="18"/>
          <w:szCs w:val="18"/>
          <w:color w:val="auto"/>
        </w:rPr>
        <w:t>Guidelines. Each of the Board’s three standing committees—the Audit Committee, the Compensation and Management Development Committee, and the Corporate Governance and Nominating Committee—are expected to be composed solely of independent directors.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believes a rigorous self-evaluation process is important to the ongoing effectiveness of the Board. To that end, each year, the Board will conduct a self-evaluation of its performance that will allow directors to provide individual feedback on the Board’s composition, culture, committee structure, relationship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4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with management, meetings, oversight of strategy and risk, and other Board-related topics. The results of the self-evaluation will be presented by the chair of the Corporate Governance and Nominating Committee to the full Board. As part of the evaluation, the Board will assess the progress in the areas targeted for improvement a year earlier, and develop actions to be taken to enhance the Board’s effectiveness over the next year. Each Committee will conduct an annual self-evaluation of its performance through a similar process.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Board Candidates – Procedures and Director Qualifications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Recommendations for Director Nominees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To recommend a candidate for consideration by the Governance Committee, a shareholder should submit a written statement of the qualifications of the proposed nominee, including full name and address, to: Berra Newco, Inc., Corporate Governance and Nominating Committee, c/o Corporate</w:t>
      </w:r>
    </w:p>
    <w:p>
      <w:pPr>
        <w:ind w:left="120" w:right="40"/>
        <w:spacing w:after="0" w:line="277" w:lineRule="auto"/>
        <w:rPr>
          <w:sz w:val="20"/>
          <w:szCs w:val="20"/>
          <w:color w:val="auto"/>
        </w:rPr>
      </w:pPr>
      <w:r>
        <w:rPr>
          <w:rFonts w:ascii="Arial" w:cs="Arial" w:eastAsia="Arial" w:hAnsi="Arial"/>
          <w:sz w:val="17"/>
          <w:szCs w:val="17"/>
          <w:color w:val="auto"/>
        </w:rPr>
        <w:t>Secretary, . The written submission should comply with all requirements set forth in Newco’s amended and restated certificate of incorporation and amended and restated bylaws. The committee will consider all candidates recommended by shareholders in compliance with the foregoing procedures and who satisfy the minimum qualifications for director nominees and Board member attributes.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Nominations</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Newco’s amended and restated certificate of incorporation and amended and restated bylaws will provide that any stockholder entitled to vote at an annual meeting of stockholders may nominate one or more director candidates for election at that annual meeting by following certain prescribed procedures. The stockholder must provide to Newco’s Corporate Secretary timely written notice of the stockholder’s intent to make such a nomination or nominations. In order to be timely, the stockholder must provide such written notice not earlier than the 120th day and not later than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The notice must contain all of the information required in Newco’s amended and restated certificate of incorporation and amended and restated bylaws. Any such notice must be sent to Newco’s principal</w:t>
      </w:r>
    </w:p>
    <w:p>
      <w:pPr>
        <w:spacing w:after="0" w:line="5" w:lineRule="exact"/>
        <w:rPr>
          <w:sz w:val="20"/>
          <w:szCs w:val="20"/>
          <w:color w:val="auto"/>
        </w:rPr>
      </w:pPr>
    </w:p>
    <w:p>
      <w:pPr>
        <w:ind w:left="120"/>
        <w:spacing w:after="0"/>
        <w:tabs>
          <w:tab w:leader="none" w:pos="5280" w:val="left"/>
        </w:tabs>
        <w:rPr>
          <w:sz w:val="20"/>
          <w:szCs w:val="20"/>
          <w:color w:val="auto"/>
        </w:rPr>
      </w:pPr>
      <w:r>
        <w:rPr>
          <w:rFonts w:ascii="Arial" w:cs="Arial" w:eastAsia="Arial" w:hAnsi="Arial"/>
          <w:sz w:val="18"/>
          <w:szCs w:val="18"/>
          <w:color w:val="auto"/>
        </w:rPr>
        <w:t>executive offices: Berra Newco, Inc., c/o Corporate Secretary,</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Role of the Corporate Governance and Nominating Committee</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Corporate Governance and Nominating Committee will review potential director candidates and recommend nominees for director to the full Board for its consideration based on the Corporate Governance and Nominating Committee’s assessment of the overall composition of the Board. The Board believes that having members with a diverse mix of viewpoints, insights and perspectives is critical to board effectiveness, and seeks to have members that collectively possess a wide range of relevant business and financial expertise, industry knowledge, management experience and prominence in areas of importance to Newco that fit the current and future needs of the Board. The Board believes that gender and minority representation is an important element in achieving the broad range of perspectives that the Board seeks among its members, and is also important for promoting the culture of inclusion and diversity at Newco. To that end, the Board will adopt a policy that diverse candidates be included in any pool from which new directors are selected.</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It will be the Corporate Governance and Nominating Committee’s policy to consider referrals of prospective director nominees from other Board members and management, as well as stockholders and other external sources, such as retained executive search firms. The Corporate Governance and Nominating Committee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seek to identify a diverse range of qualified candidates, and utilizes the same criteria for evaluating candidates, irrespective of their source.</w:t>
      </w:r>
    </w:p>
    <w:p>
      <w:pPr>
        <w:spacing w:after="0" w:line="23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When considering potential director candidates, the Corporate Governance and Nominating Committee will seek individuals with backgrounds and qualities that, when combined with those of Newco’s other directors, provide a blend of skills and experience that will further enhance the Board’s effectiveness. The Corporate Governance and Nominating Committee believes that any nominee for director that it recommends must meet the following minimum qualifications:</w:t>
      </w:r>
    </w:p>
    <w:p>
      <w:pPr>
        <w:spacing w:after="0" w:line="92" w:lineRule="exact"/>
        <w:rPr>
          <w:sz w:val="20"/>
          <w:szCs w:val="20"/>
          <w:color w:val="auto"/>
        </w:rPr>
      </w:pPr>
    </w:p>
    <w:p>
      <w:pPr>
        <w:ind w:left="1080" w:right="4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Candidates should be persons of high integrity who possess independence, forthrightness, inquisitiveness, good judgment and strong analytical skills.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Candidates should demonstrate a commitment to devote the time required for Board duties, including, but not limited to, attendance at meetings.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Role of the Board and Committees</w:t>
      </w:r>
      <w:r>
        <w:rPr>
          <w:rFonts w:ascii="Arial" w:cs="Arial" w:eastAsia="Arial" w:hAnsi="Arial"/>
          <w:sz w:val="16"/>
          <w:szCs w:val="16"/>
          <w:color w:val="auto"/>
        </w:rPr>
        <w:t>. Newco’s management will engage in an enterprise risk management (“ERM”) process to identify, assess,</w:t>
      </w:r>
      <w:r>
        <w:rPr>
          <w:rFonts w:ascii="Arial" w:cs="Arial" w:eastAsia="Arial" w:hAnsi="Arial"/>
          <w:sz w:val="16"/>
          <w:szCs w:val="16"/>
          <w:b w:val="1"/>
          <w:bCs w:val="1"/>
          <w:color w:val="auto"/>
        </w:rPr>
        <w:t xml:space="preserve"> </w:t>
      </w:r>
      <w:r>
        <w:rPr>
          <w:rFonts w:ascii="Arial" w:cs="Arial" w:eastAsia="Arial" w:hAnsi="Arial"/>
          <w:sz w:val="16"/>
          <w:szCs w:val="16"/>
          <w:color w:val="auto"/>
        </w:rPr>
        <w:t>manage and mitigate a broad range of risks across Newco’s businesses, regions and functions, and to ensure alignment of Newco’s risk assessment and mitigation efforts with Newco’s corporate strategy. The Audit Committee, through the authority delegated to it by the Board, will be primarily responsible for overseeing Newco’s ERM activities. At least twice a year, senior management will review the results of its ERM activities with the Audit Committee, including the process used within the organization to identify risks, management’s assessment of the significant categories of risk faced by Newco (including any changes in such assessment since the last review), and management’s plans to mitigate potential exposures. The significant risks identified through Newco’s ERM activities and the related mitigation plans will also be reviewed with the full Board at least once a year. In addition, particular risks (such as cybersecurity) will be reviewed in-depth with the Audit Committee or the full Board.</w:t>
      </w:r>
    </w:p>
    <w:p>
      <w:pPr>
        <w:spacing w:after="0" w:line="163"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The full Board will also review the risks associated with Newco’s strategic plan and discuss the appropriate levels of risk in light of Newco’s business objectives. This will be done through an annual strategy review process, and from time-to-time throughout the year as part of the Board’s ongoing review of corporate strategy. The full Board will also regularly oversee other areas of potential risk, including Newco’s capital structure, significant acquisitions and divestitures, and succession planning for Newco’s CEO and other members of senior management.</w:t>
      </w:r>
    </w:p>
    <w:p>
      <w:pPr>
        <w:spacing w:after="0" w:line="15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various committees of the Board will also responsible for monitoring and reporting to the full Board on risks associated with their respective areas of oversight. The Audit Committee, among other things, will oversee Newco’s accounting and financial reporting processes and the integrity of Newco’s financial statements, Newco’s global ethics and compliance program, and its hedging activities and insurance coverages. The Compensation and Management Development Committee will oversee risks associated with Newco’s compensation practices and programs, and the Corporate Governance and Nominating Committee will oversee risks relating to Newco’s corporate governance practices, including director independence, related person transactions and conflicts of interest, as well as matters relating to Newco’s standing as a responsible corporate citizen (including community relations, charitable activities, public policy and government relations, sustainability and other social and environmental matters). In connection with its oversight responsibilities, each Committee will meet with the members of management who are primarily responsible for the management of risk in their respective areas.</w:t>
      </w:r>
    </w:p>
    <w:p>
      <w:pPr>
        <w:spacing w:after="0" w:line="177"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Risk assessment of compensation programs</w:t>
      </w:r>
      <w:r>
        <w:rPr>
          <w:rFonts w:ascii="Arial" w:cs="Arial" w:eastAsia="Arial" w:hAnsi="Arial"/>
          <w:sz w:val="18"/>
          <w:szCs w:val="18"/>
          <w:color w:val="auto"/>
        </w:rPr>
        <w:t>. With respect to Newco’s compensation policies and practices, Newco’s management will review</w:t>
      </w:r>
      <w:r>
        <w:rPr>
          <w:rFonts w:ascii="Arial" w:cs="Arial" w:eastAsia="Arial" w:hAnsi="Arial"/>
          <w:sz w:val="18"/>
          <w:szCs w:val="18"/>
          <w:b w:val="1"/>
          <w:bCs w:val="1"/>
          <w:color w:val="auto"/>
        </w:rPr>
        <w:t xml:space="preserve"> </w:t>
      </w:r>
      <w:r>
        <w:rPr>
          <w:rFonts w:ascii="Arial" w:cs="Arial" w:eastAsia="Arial" w:hAnsi="Arial"/>
          <w:sz w:val="18"/>
          <w:szCs w:val="18"/>
          <w:color w:val="auto"/>
        </w:rPr>
        <w:t>its policies and practices to determine whether they create risks that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are reasonably likely to have a material adverse effect on Newco. In connection with this risk assessment, management will review the design of Newco’s compensation and benefits programs (in particular, Newco’s performance-based compensation programs) and related policies, potential risks that could be created by the programs, and features of Newco’s programs that help mitigate risk. Among the factors that will be considered will be the mix of cash and equity compensation, and of fixed and variable compensation, paid to Newco’s associates; the balance between short- and long-term objectives in Newco’s incentive compensation; the performance targets, mix of performance metrics, vesting periods, threshold performance requirements and funding formulas related to Newco’s incentive compensation; the degree to which programs are formulaic or provide discretion to determine payout amounts; caps on payouts; Newco’s clawback and share retention and ownership policies; and Newco’s general governance structure.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Newco will maintain a Code of Conduct that is applicable to all directors, officers and associates of Newco, including Newco’s Chief Executive Officer, Chief Financial Officer, principal accounting officer and other senior financial officers. It will set forth Newco’s policies and expectations on a number of topics, including conflicts of interest, confidentiality, compliance with laws (including insider trading laws), preservation and use of Newco’s assets, and business ethics. The Code of Conduct will set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Newco associate will be required to complete annual training on the Code of Conduct.</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Newco will also maintain an Ethics Help Line telephone number (the “Help Line”) for Newco associates as a means of raising concerns or seeking advice. The Help Line will be available to all associates worldwide. Associates using the Help Line may choose to remain anonymous and all inquiries will be kept confidential to the extent practicable in connection with the investigation of an inquiry. All Help Line inquiries will be forwarded to Newco’s ethics and compliance department for investigation. The Audit Committee will be informed of any reported matters, whether through the Help Line or otherwise, that could potentially be significant to Newco, including accounting, internal control or auditing matters, or any fraud involving management or persons who have a significant role in Newco’s internal controls.</w:t>
      </w:r>
    </w:p>
    <w:p>
      <w:pPr>
        <w:spacing w:after="0" w:line="178"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Any waivers from any provisions of the Code of Conduct for executive officers and directors will be promptly disclosed to stockholders. In addition, certain amendments to the Code of Conduct, as well as any waivers from certain provisions of the Code of Conduct given to Newco’s chief executive officer, chief financial officer, CFO or principal accounting officer, will be posted at the website address set forth below.</w:t>
      </w:r>
    </w:p>
    <w:p>
      <w:pPr>
        <w:sectPr>
          <w:pgSz w:w="11900" w:h="16838" w:orient="portrait"/>
          <w:cols w:equalWidth="0" w:num="1">
            <w:col w:w="11080"/>
          </w:cols>
          <w:pgMar w:left="320" w:top="459" w:right="499" w:bottom="1440" w:gutter="0" w:footer="0" w:header="0"/>
        </w:sectPr>
      </w:pP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Code of Conduct will be available on Newco’s website at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5020" w:space="720"/>
            <w:col w:w="5340"/>
          </w:cols>
          <w:pgMar w:left="320" w:top="459" w:right="499" w:bottom="1440" w:gutter="0" w:footer="0" w:header="0"/>
          <w:type w:val="continuous"/>
        </w:sect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Printed copies of the Code of Conduct, once available, may be obtained, without charge, by contacting the Corporate Secretary, Berra Newco,</w:t>
      </w:r>
    </w:p>
    <w:p>
      <w:pPr>
        <w:spacing w:after="0" w:line="46"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color w:val="auto"/>
        </w:rPr>
        <w:t>; telephone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40" w:space="120"/>
            <w:col w:w="10520"/>
          </w:cols>
          <w:pgMar w:left="320" w:top="459" w:right="499" w:bottom="1440" w:gutter="0" w:footer="0" w:header="0"/>
          <w:type w:val="continuous"/>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Ethics and Compliance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the oversight of the Audit Committee, Newco’s global ethics and compliance function will seek to ensure that Newco has a comprehensive compliance program that is designed to prevent and detect wrongdoing and continuously encourages lawful and ethical conduct The ethics and compliance program will be integrated into Newco’s global business operations. Newco will evaluate the effectiveness of its program and adapt it periodically to ensure it is appropriately tailored to address the risks inherent in Newco’s global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Board of Directors will be committed to meaningful engagement with Newco stockholders and will welcome input and suggestions. Stockholders and other interested parties wishing to contact the Chairman or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non-management directors as a group will be able to do so by sending a written communication to the attention of the Lead Director c/o Berra Newco,</w:t>
      </w:r>
    </w:p>
    <w:p>
      <w:pPr>
        <w:spacing w:after="0" w:line="46" w:lineRule="exact"/>
        <w:rPr>
          <w:sz w:val="20"/>
          <w:szCs w:val="20"/>
          <w:color w:val="auto"/>
        </w:rPr>
      </w:pPr>
    </w:p>
    <w:p>
      <w:pPr>
        <w:ind w:left="120"/>
        <w:spacing w:after="0"/>
        <w:tabs>
          <w:tab w:leader="none" w:pos="3300" w:val="left"/>
        </w:tabs>
        <w:rPr>
          <w:sz w:val="20"/>
          <w:szCs w:val="20"/>
          <w:color w:val="auto"/>
        </w:rPr>
      </w:pPr>
      <w:r>
        <w:rPr>
          <w:rFonts w:ascii="Arial" w:cs="Arial" w:eastAsia="Arial" w:hAnsi="Arial"/>
          <w:sz w:val="18"/>
          <w:szCs w:val="18"/>
          <w:color w:val="auto"/>
        </w:rPr>
        <w:t>Inc., Corporate Secretary’s Office,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Communications addressed to the Board or to a Board member will be distributed to the Board or to any individual director or directors as appropriate, depending upon the facts and circumstances outlined in the communication.</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Board of Directors is expected to ask the Corporate Secretary’s Office to submit to the Board all communications received, excluding only those items that are not related to Board duties and responsibilities, such as junk mail and mass mailings; product complaints and product inquiries; new product or technology suggestions; job inquiries and resumes; advertisements or solicitations; and surveys.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Newco will have a written Related Person Transaction Approval Policy regarding the review, approval and ratification of transactions between Newco and related persons of Newco. The policy will apply to any transaction subject to the requirements of Item 404(a) of Regulation S-K under the Exchange Act in which Newco or a Newco subsidiary is a participant and a related person has a direct or indirect material interest. A “related person” of Newco will mean any person, who, since the beginning of Newco’s current fiscal year was a director or executive officer of Newco, any nominee for director, any stockholder known to Newco to be the beneficial owner of more than 5% of any class of Newco’s voting securities, and any immediate family member of any such person.</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Under this policy, the Corporate Governance and Nominating Committee will review all of the relevant facts and circumstances regarding a transaction and determine whether to approve, ratify or reject a related person transaction. The Corporate Governance and Nominating Committee will approve or ratify only those related person transactions that the committee determines in its business judgment are fair and reasonable to Newco and in, or not inconsistent with, the best interests of Newco and its stockholders. In the event Newco becomes aware of a related person transaction that has not been approved under this policy prior to its consummation, the matter will be reviewed by the committee and the committee will consider all of the relevant facts and circumstances respecting such transaction and evaluate all options available to Newco, including ratification, revision or termination of such transaction, and will take such course of action as it deems appropriate under the circumstances. The policy will operate in conjunction with other aspects of Newco’s compliance program, including its Business Conduct and Compliance Guide and Newco’s Governance Principles.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transactions are deemed not to constitute a related person transaction under the policy:</w:t>
      </w:r>
    </w:p>
    <w:p>
      <w:pPr>
        <w:spacing w:after="0" w:line="131" w:lineRule="exact"/>
        <w:rPr>
          <w:sz w:val="20"/>
          <w:szCs w:val="20"/>
          <w:color w:val="auto"/>
        </w:rPr>
      </w:pPr>
    </w:p>
    <w:p>
      <w:pPr>
        <w:ind w:left="1540" w:hanging="439"/>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Transactions available to employees generally, such as employee discounts;</w:t>
      </w:r>
    </w:p>
    <w:p>
      <w:pPr>
        <w:spacing w:after="0" w:line="130" w:lineRule="exact"/>
        <w:rPr>
          <w:rFonts w:ascii="Arial" w:cs="Arial" w:eastAsia="Arial" w:hAnsi="Arial"/>
          <w:sz w:val="18"/>
          <w:szCs w:val="18"/>
          <w:color w:val="auto"/>
        </w:rPr>
      </w:pPr>
    </w:p>
    <w:p>
      <w:pPr>
        <w:ind w:left="1540" w:right="760" w:hanging="439"/>
        <w:spacing w:after="0" w:line="277" w:lineRule="auto"/>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Charitable contributions made by Newco pursuant to Newco’s Charitable Contributions Policy, Principle No. _____ of the Governance Principles, or Newco’s Matching Gifts Program; and</w:t>
      </w:r>
    </w:p>
    <w:p>
      <w:pPr>
        <w:spacing w:after="0" w:line="75" w:lineRule="exact"/>
        <w:rPr>
          <w:rFonts w:ascii="Arial" w:cs="Arial" w:eastAsia="Arial" w:hAnsi="Arial"/>
          <w:sz w:val="18"/>
          <w:szCs w:val="18"/>
          <w:color w:val="auto"/>
        </w:rPr>
      </w:pPr>
    </w:p>
    <w:p>
      <w:pPr>
        <w:ind w:left="1540" w:hanging="439"/>
        <w:spacing w:after="0" w:line="277" w:lineRule="auto"/>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Indemnification and advancement of expenses made pursuant to Newco’s Certificate of Incorporation or By-Laws or pursuant to any agreement or instrument.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the effectiveness of the registration statement of which this information statement forms a part, executive compensation disclosure will be included in an amendment to this information statement.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NEWCO STOCK INCENTIVE PLAN</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Prior to the effectiveness of the registration statement of which this information statement forms a part, information regarding the long-term incentive plan to be adopted by Newco in connection with the separation will be included in an amendment to this information statement.</w:t>
      </w:r>
    </w:p>
    <w:p>
      <w:pPr>
        <w:spacing w:after="0" w:line="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620"/>
          </w:cols>
          <w:pgMar w:left="320" w:top="459" w:right="9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BD</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Prior to the separation and distribution, Newco and BD will enter into a separation and distribution agreement and other agreements that will outline the terms and conditions of the separation and distribution and provide a framework for Newco’s relationship with BD after the separation and distribution.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transferred to each of Newco and BD as part of the separation of the diabetes care business from BD into an independent, publicly traded company, and will provide for when and how these transfers and assumptions will occur. In particular, the separation and distribution agreement will provide that, among other things, subject to the terms and conditions contained therein:</w:t>
      </w:r>
    </w:p>
    <w:p>
      <w:pPr>
        <w:spacing w:after="0" w:line="92" w:lineRule="exact"/>
        <w:rPr>
          <w:sz w:val="20"/>
          <w:szCs w:val="20"/>
          <w:color w:val="auto"/>
        </w:rPr>
      </w:pPr>
    </w:p>
    <w:p>
      <w:pPr>
        <w:ind w:left="1540" w:right="20" w:hanging="331"/>
        <w:spacing w:after="0" w:line="263"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assets related to the diabetes care business, which this information statement refers to as the “Newco Assets,” will be retained by or transferred to Newco or one of its subsidiaries. Subject to limited exceptions, assets used or held for use primarily in the diabetes care business will be Newco Assets;</w:t>
      </w:r>
    </w:p>
    <w:p>
      <w:pPr>
        <w:spacing w:after="0" w:line="89" w:lineRule="exact"/>
        <w:rPr>
          <w:rFonts w:ascii="Arial" w:cs="Arial" w:eastAsia="Arial" w:hAnsi="Arial"/>
          <w:sz w:val="18"/>
          <w:szCs w:val="18"/>
          <w:color w:val="auto"/>
        </w:rPr>
      </w:pPr>
    </w:p>
    <w:p>
      <w:pPr>
        <w:ind w:left="1540" w:right="40" w:hanging="331"/>
        <w:spacing w:after="0" w:line="259"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liabilities related to the diabetes care business or the Newco Assets, which this information statement refers to as the “Newco Liabilities,” will be retained by or transferred to Newco. Subject to limited exceptions, liabilities that relate primarily to the diabetes care business, including liabilities of various legal entities that will be subsidiaries of Newco following the separation, will be Newco Liabilities; and</w:t>
      </w:r>
    </w:p>
    <w:p>
      <w:pPr>
        <w:spacing w:after="0" w:line="92" w:lineRule="exact"/>
        <w:rPr>
          <w:rFonts w:ascii="Arial" w:cs="Arial" w:eastAsia="Arial" w:hAnsi="Arial"/>
          <w:sz w:val="18"/>
          <w:szCs w:val="18"/>
          <w:color w:val="auto"/>
        </w:rPr>
      </w:pPr>
    </w:p>
    <w:p>
      <w:pPr>
        <w:ind w:left="1540" w:right="80" w:hanging="331"/>
        <w:spacing w:after="0" w:line="286" w:lineRule="auto"/>
        <w:tabs>
          <w:tab w:leader="none" w:pos="1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Newco Assets and the Newco Liabilities (such assets and liabilities, other than the Newco Assets and the Newco Liabilities, this information statement refers to as the “BD Assets” and “BD Liabilities,” respectively) will be retained by or transferred to BD.</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BD nor Newco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Newco or BD,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provide that in the event that the transfer of certain assets and liabilities (or a portion thereof) to Newco or BD, as applicable, does not occur prior to the separation, then until such assets or liabilities (or a portion thereof) are able to be transferred, Newco or BD, as applicable, will hold such assets on behalf and for the benefit of the transferee and will pay, perform and discharge such liabilities, for which the transferee will reimburse Newco or BD, as applicable, for all reasonable payments made in connection with the performance and discharge of such liabilities.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BD will distribute to its shareholders that hold BD common stock as of the record date for the distribution all of the issued and outstanding shares of Newco common stock on a pro rata basis. Shareholders will receive cash in lieu of any fractional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separation and distribution agreement will provide that the distribution is subject to satisfaction (or waiver by BD in its sole and absolute discretion) of certain conditions. These conditions are described under “The Separation and Distribution—Conditions to the Distribution.” BD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general, each party to the separation and distribution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separation and distribution agreement will provide that Newco and its affiliates will release and discharge BD and its affiliates from all liabilities assumed by Newco as part of the separation, from all acts and events occurring or failing to occur, and all conditions existing, on or before the distribution date relating to the diabetes care business, the Newco Assets and the Newco Liabilities and from all liabilities existing or arising in connection with the implementation of the separation, except as expressly set forth in the separation and distribution agreement. BD and its affiliates will release and discharge Newco and its affiliates from all liabilities retained by BD and its affiliates as part of the separation, from all acts and events occurring or failing to occur, and all conditions existing, on or before the distribution date relating to the BD Business, the BD Assets and the BD Liabilities and from all liabilities existing or arising in connection with the implementation of the separation, except as expressly set forth in the separation and distribution agreement.</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These releases will not extend to obligations or liabilities under any agreements between the parties that remain in effect following the separation, which agreements include the separation and distribution agreement and the other agreements described under “Certain Relationships and Related Party Transactions.”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separation and distribution agreement, Newco will agree to indemnify, defend and hold harmless BD, each of BD’s affiliates, and each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BD’s affiliates’ directors, officers, employees and agents, from and against all liabilities relating to, arising out of or resulting from:</w:t>
      </w:r>
    </w:p>
    <w:p>
      <w:pPr>
        <w:spacing w:after="0" w:line="116" w:lineRule="exact"/>
        <w:rPr>
          <w:sz w:val="20"/>
          <w:szCs w:val="20"/>
          <w:color w:val="auto"/>
        </w:rPr>
      </w:pPr>
    </w:p>
    <w:p>
      <w:pPr>
        <w:ind w:left="1540" w:hanging="331"/>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Newco Liabilities;</w:t>
      </w:r>
    </w:p>
    <w:p>
      <w:pPr>
        <w:spacing w:after="0" w:line="130"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Newco’s failure or the failure of any other person to pay, perform or otherwise promptly discharge any of the Newco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right="60" w:hanging="331"/>
        <w:spacing w:after="0" w:line="342" w:lineRule="auto"/>
        <w:tabs>
          <w:tab w:leader="none" w:pos="1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to the extent relating to a BD Liability, any guarantee, indemnification or contribution obligation, surety bond or other credit support agreement, arrangement, commitment or understanding for the benefit of Newco by BD that survives the distribution;</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breach by Newco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right="520" w:hanging="331"/>
        <w:spacing w:after="0" w:line="263" w:lineRule="auto"/>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in the Form 10 or in this information statement or other related disclosure document (as amended or supplemented), except for any such statements or omissions made explicitly in BD’s name.</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BD will agree to indemnify, defend and hold harmless Newco, each of Newco’s affiliates and each of Newco’s affiliates’ directors, officers, employees and agents from and against all liabilities relating to, arising out of or resulting from:</w:t>
      </w:r>
    </w:p>
    <w:p>
      <w:pPr>
        <w:spacing w:after="0" w:line="76" w:lineRule="exact"/>
        <w:rPr>
          <w:sz w:val="20"/>
          <w:szCs w:val="20"/>
          <w:color w:val="auto"/>
        </w:rPr>
      </w:pPr>
    </w:p>
    <w:p>
      <w:pPr>
        <w:ind w:left="1540" w:hanging="331"/>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BD Liabilities;</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failure of BD or any other person to pay, perform or otherwise promptly discharge any of the BD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hanging="331"/>
        <w:spacing w:after="0" w:line="342" w:lineRule="auto"/>
        <w:tabs>
          <w:tab w:leader="none" w:pos="1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except to the extent relating to a Newco Liability, any guarantee, indemnification or contribution obligation, surety bond or other credit support agreement, arrangement, commitment or understanding for the benefit of BD by Newco that survives the distribution;</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breach by BD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right="40" w:hanging="331"/>
        <w:spacing w:after="0" w:line="308" w:lineRule="auto"/>
        <w:tabs>
          <w:tab w:leader="none" w:pos="1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a material fact made explicitly in BD’s name in the Form 10 or in this information statement or other related disclosure document (as amended or supplemented).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Indemnification with respect to taxes, and the procedures related thereto, will be governed by the tax matters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separation and distribution agreement will provide for the allocation between the parties of rights and obligations under existing insurance policies with respect to occurrences prior to the distribution and set forth procedures for the administration of insured claims and related matters.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1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Newco and BD will agree in the separation and distribution agreement to use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the separation and distribution agreement and the ancillary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separation and distribution agreement will contain provisions that govern, except as otherwise provided in any ancillary agreement, the resolution of disputes, controversies or claims that may arise between Newco and BD related to the separation or distribution and that are unable to be resolved through good faith discussions between Newco and BD.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nonbinding mediation, subject to or as otherwise set forth in the provisions of the separation and distribution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Except as expressly set forth in the separation and distribution agreement or in any ancillary agreement, the party incurring the expense will be responsible for all fees, costs and expenses incurred in connection with the separation prior to the distribution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Other matters governed by the separation and distribution agreement will include, among others, approvals and notifications of transfer, termination of intercompany agreements, shared contracts, financial information certifications, transition committee provisions, confidentiality, access to and provision of records, privacy and data protection, production of witnesses, privileged matters and financing arrangements.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separation and distribution agreement will provide that it may be terminated, and the separation and distribution may be amended, modified or abandoned, at any time prior to the distribution date in the sole and absolute discretion of without the approval of any person, including Newco.</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no provision of the separation and distribution agreement or any ancillary agreement may be waived, amended, supplemented or modified by a party without the written consent of the party against whom it is sought to enforce such waiver, amendment, supplement or modification.</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After the distribution date, the separation and distribution agreement may not be terminated, except by an agreement in writing signed by both Newco and BD.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the event of a termination of the separation and distribution agreement, no party, nor any of its directors, officers or employees, will have any liability of any kind to the other parties or any other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Newco and BD will enter into a transition services agreement in connection with the separation pursuant to which Newco and BD and their respective affiliates will provide each other, on an interim, transitional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various services, including, but not limited to, information technology, procurement, customer service, quality and regulatory affairs, accounting, HR, and distribution and logistics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88"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Most services generally will commence on the distribution date and terminate no later than 24 months following the distribution date. The receiving party may terminate any services by giving prior written notice to the provider of such services and paying any applicable wind-down charges.</w:t>
      </w:r>
    </w:p>
    <w:p>
      <w:pPr>
        <w:spacing w:after="0" w:line="12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connection with the separation, Newco and BD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8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tax matters agreement will provide special rules that allocate tax liabilities in the event the distribution or certain related transactions fail to qualify as transactions that are tax-free for U.S. federal income tax purposes (other than any cash that BD shareholders receive in lieu of fractional shares). Under the tax matters agreement, Newco will generally agree to indemnify BD and its affiliates against any and all tax-related liabilities incurred by them relating to the distribution and certain related transactions, to the extent caused by an acquisition of Newco’s stock or assets or by any other action undertaken by Newco. This indemnification will apply even if BD has permitted Newco to take an action that would otherwise have been prohibited under the tax-related covenants described below.</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tax matters agreement, Newco will agree to certain covenants that contain restrictions intended to preserve the tax-free status of the distribution and certain related transactions. Newco may take certain actions prohibited by these covenants only if Newco obtains and provides to BD an opinion from a U.S. tax counsel or accountant of recognized national standing, in either case satisfactory to BD, to the effect that such action would not jeopardize the tax-free status of these transactions, or if Newco obtains prior written consent of BD, in its sole and absolute discretion, waiving such requirement. Newco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specific restrictions on Newco’s (i) discontinuing the active conduct of Newco’s trade or business; (ii) issuance or sale of stock or other securities (including securities convertible into Newco stock, but excluding certain compensatory arrangements); (iii) liquidating, merging, or consolidating with any other person; (iv) amending Newco’s certificate of incorporation (or other organizational documents) or taking any other action, whether through a stockholder vote or otherwise, affecting the voting rights of Newco common stock; (v) sales of assets outside the ordinary course of business; and (vi) entering into any other corporate transaction which would cause Newco to undergo a 50% or greater change in its stock ownership.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Newco and BD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non-employee directors of each company.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and former employees of such party and its subsidiaries.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BD prior to the separation. See “The Separation and Distribution—Treatment of Equity-Based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Cannula Supply Agreement</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Newco and BD will enter into a cannula supply agreement in connection with the separation whereby BD will sell to Newco cannulas for incorporation into Newco’s existing syringes and pen needles and its insulin patch pump currently under development, all for sale within the diabetes care sector. BD will retain ownership of the cannula intellectual property, and all cannula production activities and associated cannula production intellectual property after the separation of all intellectual property rights of BD and its subsidiaries relating to the cannula, manufacture thereof, and other critical cannula-related technology (the “Retained Cannula IP”). Pursuant to the intellectual property matters agreement, which is described below under “—Intellectual Property Matters Agreement,” BD will grant to Newco a perpetual, royalty-free, worldwide license, without the right to sublicense, to use the intellectual property relating to the cannulization process within the syringe and pen needle lines at the Newco facilities, including Holdrege, Nebraska, Dun Laoghaire, Ireland, and Suzhou, China (the “Manufacturing Line IP”) in the diabetes care sector to the extent that such Manufacturing Line IP was used in or for the diabetes care business prior to the separation.</w:t>
      </w:r>
    </w:p>
    <w:p>
      <w:pPr>
        <w:spacing w:after="0" w:line="18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Newco is also limited to a maximum number of cannulas that it can purchase under the cannula supply agreement, which will be an absolute upper limit of cannulas per year and yearly limits that vary with annual demand. The cannula supply agreement will also contain quantity, pricing and other terms.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cannula supply agreement will be terminable by Newco without cause by providing at least 36 months’ written notice; however, such termination can be effective no earlier than three years from the distribution date. The cannula supply agreement will be terminable by BD without cause by providing at least 36 months’ written notice; however, such termination can be effective no earlier than seven years from the distribution date. The cannula supply agreement will also terminate automatically, subject to a 36-month wind-down period, if Newco’s yearly forecast is below the required minimum purchase amount, and the parties will have other customary termination rights for material breach or bankruptcy of the other party.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Manufacturing Agreements</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order to accommodate the manufacturing and/or sterilization of certain BD Business products at Newco’s facilities in Dun Laoghaire, Ireland, and Suzhou, China and Newco’s leased facility in Holdrege, Nebraska, Newco and BD will enter into one or more manufacturing, supply, and/or services agreements pursuant to which Newco will manufacture and supply, at these facilities, non-insulin patch pumps, blood collection tubes, safety syringes and certain other products and product components, and provide sterilization and other services, to BD.</w:t>
      </w:r>
    </w:p>
    <w:p>
      <w:pPr>
        <w:spacing w:after="0" w:line="17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order to accommodate the operation of certain Newco equipment in BD’s facilities in Drogheda, Ireland, Newco and BD will enter into one or more manufacturing, supply, and/or services agreements pursuant to which BD will manufacture and supply pen needles for Newco at these facilities.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In order to accommodate the manufacturing of BD SafetyGlide</w:t>
      </w:r>
      <w:r>
        <w:rPr>
          <w:rFonts w:ascii="Arial" w:cs="Arial" w:eastAsia="Arial" w:hAnsi="Arial"/>
          <w:sz w:val="14"/>
          <w:szCs w:val="14"/>
          <w:color w:val="auto"/>
        </w:rPr>
        <w:t>™</w:t>
      </w:r>
      <w:r>
        <w:rPr>
          <w:rFonts w:ascii="Arial" w:cs="Arial" w:eastAsia="Arial" w:hAnsi="Arial"/>
          <w:sz w:val="17"/>
          <w:szCs w:val="17"/>
          <w:color w:val="auto"/>
        </w:rPr>
        <w:t xml:space="preserve"> syringes at Newco’s facilities in Holdrege, Nebraska, Newco and BD will enter into a contract manufacturing agreement whereby Newco will manufacture and supply BD SafetyGlide</w:t>
      </w:r>
      <w:r>
        <w:rPr>
          <w:rFonts w:ascii="Arial" w:cs="Arial" w:eastAsia="Arial" w:hAnsi="Arial"/>
          <w:sz w:val="14"/>
          <w:szCs w:val="14"/>
          <w:color w:val="auto"/>
        </w:rPr>
        <w:t>™</w:t>
      </w:r>
      <w:r>
        <w:rPr>
          <w:rFonts w:ascii="Arial" w:cs="Arial" w:eastAsia="Arial" w:hAnsi="Arial"/>
          <w:sz w:val="17"/>
          <w:szCs w:val="17"/>
          <w:color w:val="auto"/>
        </w:rPr>
        <w:t xml:space="preserve"> syringes for BD at these facilities.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Agreement for Holdrege</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Newco and a subsidiary of BD will enter into a long-term lease agreement and related agreements (including a services agreement for warehousing and sterilization services), which will provide for (1) the lease by Newco from such subsidiary of physical space in such subsidiary’s manufacturing plant in Holdrege, Nebraska, (2) a services agreement under which such subsidiary will provide sterilization and warehousing services for Newco at such manufacturing plant, (3) such subsidiary’s access to certain machinery and equipment located in Newco’s leased portion of such manufacturing plant, (4) such subsidiary’s temporary transportation through Newco’s leased portion of such manufacturing plant to enable such subsidiary to access its sterilization equipment (until such subsidiary completes construction of an external corridor), and (5) such subsidiary’s access to certain shared services and facilities related to warehousing, mold repair, the tool room, quality lab, rest areas and other technical services.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Newco and BD will enter into an intellectual property matters agreement with respect to intellectual property that is used by both the diabetes care business and the BD Business, in order to ensure that each of Newco and BD will have enough intellectual property rights to operate its respective business, as currently conducted, including (1) a perpetual, royalty-free, sub-licensable, worldwide license from BD to Newco under certain intellectual property to the extent used in or for the diabetes care business or in the operation thereof as of or prior to the separation (but excluding the Retained Cannula IP and the Manufacturing Line IP), (2) a perpetual, royalty-free, sub-licensable, worldwide license from Newco to BD under intellectual property to the extent used in or for the BD Business or in the operation thereof as of, or prior to, the separation and (3) as noted above under “— Cannula Supply Agreement,” a perpetual, royalty-free, worldwide license, without the right to sublicense, from BD to Newco to use the Manufacturing Line IP in the diabetes care sector to the extent that such Manufacturing Line IP was used in or for the diabetes care business prior to the separation.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general discussion of the material U.S. federal income tax consequences of the distribution to “U.S. holders” (as defined below) of BD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is a beneficial owner of BD common stock that is, for U.S. federal income tax purposes:</w:t>
      </w:r>
    </w:p>
    <w:p>
      <w:pPr>
        <w:spacing w:after="0" w:line="14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36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discussion addresses only the consequences to U.S. holders of shares of BD common stock who hold such shares as capital assets. It does not address all aspects of U.S. federal income taxation that may be relevant to a particular U.S. holder of BD common stock in light of that shareholder’s particular circumstances, nor does it address any tax consequences to stockholders subject to special treatment under the U.S. federal income tax laws, including:</w:t>
      </w:r>
    </w:p>
    <w:p>
      <w:pPr>
        <w:spacing w:after="0" w:line="9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holder who acquired BD common stock pursuant to the exercise of employee stock options or similar derivative securities otherwise as compensation;</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holder who owns BD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holder who holds BD common stock in a tax-deferred account, such as an individual retirement account.</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BD common stock, the tax treatment of a partner in such partnership generally will depend upon the status of the partner and the activities of the partnership. A partner in a partnership holding BD common stock should consult its own tax advisor.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ACCORDINGLY, EACH HOLDER OF BD COMMON STOCK SHOULD CONSULT ITS OWN TAX ADVISOR WITH RESPECT TO THE SPECIFIC U.S. FEDERAL, STATE, LOCAL AND NON-U.S. INCOME OR OTHER TAX CONSEQUENCES OF THE DISTRIBUTION TO SUCH 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Opinion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It is a condition to the distribution that BD receive an opinion of BD’s outside tax counsel, satisfactory to the BD Board of Directors, regarding the qualification of the contribution of assets from BD to Newco and the distribution, taken together, as a “reorganization” within the meaning of Sections 368(a)(1)(D) and 355 of the Code and such opinion has not been withdrawn or rescinded. The opinion of BD’s outside tax counsel will be based upon and rely on, among other things, various facts and assumptions, as well as certain representations, statements and undertakings of BD and Newco,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BD’s outside tax counsel, and the conclusions reached therein could be jeopardized.</w:t>
      </w:r>
    </w:p>
    <w:p>
      <w:pPr>
        <w:spacing w:after="0" w:line="1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Notwithstanding BD’s receipt of the opinion of BD’s outside tax counsel,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opinion. Accordingly, notwithstanding BD’s receipt of the opinion of BD’s outside tax counsel, there can be no assurance that the IRS will not assert that the distribution or certain related transactions do not qualify for tax-free treatment for U.S. federal income tax purposes, or that a court would not sustain such a challenge.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Assuming that the distribution, together with certain related transactions, qualifies as a “reorganization” within the meaning of Sections 368(a)(1)</w:t>
      </w:r>
    </w:p>
    <w:p>
      <w:pPr>
        <w:spacing w:after="0" w:line="46" w:lineRule="exact"/>
        <w:rPr>
          <w:sz w:val="20"/>
          <w:szCs w:val="20"/>
          <w:color w:val="auto"/>
        </w:rPr>
      </w:pPr>
    </w:p>
    <w:p>
      <w:pPr>
        <w:ind w:left="420" w:hanging="304"/>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and 355 of the Code, then, for U.S. federal income tax purposes:</w:t>
      </w:r>
    </w:p>
    <w:p>
      <w:pPr>
        <w:spacing w:after="0" w:line="116" w:lineRule="exact"/>
        <w:rPr>
          <w:rFonts w:ascii="Arial" w:cs="Arial" w:eastAsia="Arial" w:hAnsi="Arial"/>
          <w:sz w:val="18"/>
          <w:szCs w:val="18"/>
          <w:color w:val="auto"/>
        </w:rPr>
      </w:pPr>
    </w:p>
    <w:p>
      <w:pPr>
        <w:ind w:left="1540" w:hanging="331"/>
        <w:spacing w:after="0"/>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BD will not recognize income, gain or loss on the distribution;</w:t>
      </w:r>
    </w:p>
    <w:p>
      <w:pPr>
        <w:spacing w:after="0" w:line="130"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except with respect to the receipt of cash in lieu of fractional shares of Newco common stock, holders of BD common stock will not recognize income, gain or loss on the receipt of Newco common stock in the distribution;</w:t>
      </w:r>
    </w:p>
    <w:p>
      <w:pPr>
        <w:spacing w:after="0" w:line="75" w:lineRule="exact"/>
        <w:rPr>
          <w:rFonts w:ascii="Arial" w:cs="Arial" w:eastAsia="Arial" w:hAnsi="Arial"/>
          <w:sz w:val="18"/>
          <w:szCs w:val="18"/>
          <w:color w:val="auto"/>
        </w:rPr>
      </w:pPr>
    </w:p>
    <w:p>
      <w:pPr>
        <w:ind w:left="1540" w:right="100" w:hanging="331"/>
        <w:spacing w:after="0" w:line="279" w:lineRule="auto"/>
        <w:tabs>
          <w:tab w:leader="none" w:pos="15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U.S. holder’s aggregate tax basis in its shares of BD common stock and Newco common stock (including any fractional shares deemed received, as described below) immediately after the distribution will be the same as the aggregate tax basis of the shares of BD common stock held by the U.S. holder immediately before the distribution, allocated between such shares of BD common stock and Newco common stock in proportion to their relative fair market values; and</w:t>
      </w:r>
    </w:p>
    <w:p>
      <w:pPr>
        <w:spacing w:after="0" w:line="76" w:lineRule="exact"/>
        <w:rPr>
          <w:rFonts w:ascii="Arial" w:cs="Arial" w:eastAsia="Arial" w:hAnsi="Arial"/>
          <w:sz w:val="17"/>
          <w:szCs w:val="17"/>
          <w:color w:val="auto"/>
        </w:rPr>
      </w:pPr>
    </w:p>
    <w:p>
      <w:pPr>
        <w:ind w:left="1540" w:right="140" w:hanging="331"/>
        <w:spacing w:after="0" w:line="263"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U.S. holder’s holding period in the Newco common stock received in the distribution (including any fractional shares deemed received, as described below) will include the holding period of the BD common stock with respect to which such Newco common stock was received.</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U.S. holders that have acquired different blocks of BD common stock at different times or at different prices should consult their tax advisors regarding the allocation of their aggregate tax basis in, and the holding period of, the Newco common stock distributed with respect to such blocks of BD common stock.</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 U.S. holder that receives cash in lieu of a fractional share of Newco common stock in the distribution will generally be treated as having received such fractional share pursuant to the distribution and then as having sold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such fractional share for cash. Taxable gain or loss will be recognized in an amount equal to the difference between (i) the amount of cash received in lieu of the fractional share and (ii) the U.S. holder’s tax basis in the fractional share, as described above. Such gain or loss will generally be long-term capital gain or loss if the U.S. holder’s holding period for its Newco common stock, as described above, exceeds one year at the effective time of the distribution. Long-term capital gains are generally subject to preferential U.S. federal income tax rates for certain non-corporate U.S. holders (including individuals). The deductibility of capital losses is subject to limitations under the Code.</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the distribution were determined not to qualify for tax-free treatment under Section 355 of the Code, BD would generally be subject to tax as if it sold the Newco common stock in a taxable transaction. BD would recognize taxable gain in an amount equal to the excess of (i) the total fair market value of the shares of Newco common stock distributed in the distribution over (ii) BD’s aggregate tax basis in such shares of Newco common stock. In addition, each U.S. holder who receives Newco common stock in the distribution would generally be treated as receiving a taxable distribution in an amount equal to the fair market value of the Newco common stock received by the U.S. holder in the distribution. In general, such distribution would be taxable as a dividend to the extent of BD’s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BD common stock, with any remaining amount of the distribution taxed as capital gain. A U.S. holder would have a tax basis in its shares of Newco common stock equal to their fair market value. Certain U.S. holders may be subject to special rules governing taxable distributions, such as those that relate to the dividends received deduction and extraordinary dividends.</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Even if the distribution otherwise qualifies under Section 355 of the Code, the distribution would be taxable to BD (but not to its U.S. holders) pursuant to Section 355(e) of the Code if one or more persons acquire a 50% or greater interest (measured by vote or value) in the stock of BD or Newco,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BD or Newco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BD or Newco, either before or after the distribution, were part of a plan that includes the distribution, such determination could cause Section 355(e) of the Code to apply to the distribution, which could result in a material tax liability.</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tax matters agreement that Newco will enter into with BD, Newco generally will be required to indemnify BD for any taxes incurred by BD that arise as a result of Newco taking or failing to take, as the case may be, certain actions that result in the distribution and certain related transactions failing to qualify as tax-free for U.S. federal income tax purposes. For a more detailed discussion, see “Certain Relationships and Related Party Transactions—Tax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w:t>
      </w:r>
    </w:p>
    <w:p>
      <w:pPr>
        <w:spacing w:after="0" w:line="121"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Current Treasury regulations require certain U.S. holders of BD common stock who are “significant distributees” (generally, a U.S. holder that owns at least 5% of the outstanding BD common stock immediately before the distribution) and who receive Newco common stock pursuant to the distribution to attach to their U.S. federal income tax returns for the taxable year in which the distribution occurs a statement setting forth certain information with respect to the transaction. BD will provide holders of BD common stock with the information necessary to comply with this requirement. U.S. holders should consult their tax advisors to determine whether they are significant distributees required to provide the foregoing statement.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Newco intends to incur certain indebtedness prior to or concurrent with the separation. If Newco enters into arrangements for such indebtedness prior to the effectiveness of the registration statement of which this information statement forms a part, a description of such arrangements will be included in an amendment to this information statement.</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20"/>
          </w:cols>
          <w:pgMar w:left="320" w:top="459" w:right="6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Before the separation and distribution, all of the outstanding shares of Newco common stock will be owned beneficially and of record by BD.</w:t>
      </w:r>
    </w:p>
    <w:p>
      <w:pPr>
        <w:spacing w:after="0" w:line="3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Following the separation and distribution, Newco expects to have outstanding an aggregate of approximately shares of common stock based upon approximately shares of BD common stock issued and outstanding on , 20 , excluding treasury shares, assuming no exercise of any shares issued under BD equity compensation awards and applying the distribution ratio.</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Owned by Certain Beneficial Owners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following table sets forth information concerning those persons known to Newco that are expected to be the beneficial owner of more than 5% of Newco’s outstanding common stock immediately following the completion of the distribution. The below table is based on information available</w:t>
      </w:r>
    </w:p>
    <w:p>
      <w:pPr>
        <w:ind w:left="120" w:right="180"/>
        <w:spacing w:after="0" w:line="255" w:lineRule="auto"/>
        <w:rPr>
          <w:sz w:val="20"/>
          <w:szCs w:val="20"/>
          <w:color w:val="auto"/>
        </w:rPr>
      </w:pPr>
      <w:r>
        <w:rPr>
          <w:rFonts w:ascii="Arial" w:cs="Arial" w:eastAsia="Arial" w:hAnsi="Arial"/>
          <w:sz w:val="18"/>
          <w:szCs w:val="18"/>
          <w:color w:val="auto"/>
        </w:rPr>
        <w:t>as of , 20 and based upon the assumption that, for every share of BD common stock held by such persons, they will receive shares of Newco common stock. In general, “beneficial ownership” includes those shares that a person has the sole or shared power to vote or dispose of, including shares that the person has the right to acquire within 60 days.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 and Address of</w:t>
            </w:r>
          </w:p>
        </w:tc>
        <w:tc>
          <w:tcPr>
            <w:tcW w:w="30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Title of Security</w:t>
            </w: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Amount and Nature of</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85"/>
        </w:trPr>
        <w:tc>
          <w:tcPr>
            <w:tcW w:w="3620" w:type="dxa"/>
            <w:vAlign w:val="bottom"/>
            <w:gridSpan w:val="2"/>
          </w:tcPr>
          <w:p>
            <w:pPr>
              <w:ind w:left="1160"/>
              <w:spacing w:after="0"/>
              <w:rPr>
                <w:sz w:val="20"/>
                <w:szCs w:val="20"/>
                <w:color w:val="auto"/>
              </w:rPr>
            </w:pPr>
            <w:r>
              <w:rPr>
                <w:rFonts w:ascii="Arial" w:cs="Arial" w:eastAsia="Arial" w:hAnsi="Arial"/>
                <w:sz w:val="14"/>
                <w:szCs w:val="14"/>
                <w:b w:val="1"/>
                <w:bCs w:val="1"/>
                <w:color w:val="auto"/>
              </w:rPr>
              <w:t>Beneficial Owner</w:t>
            </w:r>
          </w:p>
        </w:tc>
        <w:tc>
          <w:tcPr>
            <w:tcW w:w="3080" w:type="dxa"/>
            <w:vAlign w:val="bottom"/>
            <w:gridSpan w:val="2"/>
            <w:vMerge w:val="continue"/>
          </w:tcPr>
          <w:p>
            <w:pPr>
              <w:spacing w:after="0"/>
              <w:rPr>
                <w:sz w:val="16"/>
                <w:szCs w:val="16"/>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 Ownership</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Vanguard Group, Inc.</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Vanguard Boulevard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21"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following table sets forth information concerning the expected beneficial ownership of Newco common stock by (i) each director, (ii) the executive officers, and (iii) all Newco directors and executive officers as a group immediately following the completion of the distribution, based on</w:t>
      </w:r>
    </w:p>
    <w:p>
      <w:pPr>
        <w:ind w:left="120" w:right="60"/>
        <w:spacing w:after="0" w:line="265" w:lineRule="auto"/>
        <w:rPr>
          <w:sz w:val="20"/>
          <w:szCs w:val="20"/>
          <w:color w:val="auto"/>
        </w:rPr>
      </w:pPr>
      <w:r>
        <w:rPr>
          <w:rFonts w:ascii="Arial" w:cs="Arial" w:eastAsia="Arial" w:hAnsi="Arial"/>
          <w:sz w:val="17"/>
          <w:szCs w:val="17"/>
          <w:color w:val="auto"/>
        </w:rPr>
        <w:t>information available as of , 20 and based on the assumption that, for every share of BD common stock held by such persons, they will receive shares of Newco common stock. Each person has the sole power to vote and dispose of the shares he or she beneficially owns. None of</w:t>
      </w:r>
    </w:p>
    <w:p>
      <w:pPr>
        <w:ind w:left="120" w:right="180"/>
        <w:spacing w:after="0" w:line="260" w:lineRule="auto"/>
        <w:rPr>
          <w:sz w:val="20"/>
          <w:szCs w:val="20"/>
          <w:color w:val="auto"/>
        </w:rPr>
      </w:pPr>
      <w:r>
        <w:rPr>
          <w:rFonts w:ascii="Arial" w:cs="Arial" w:eastAsia="Arial" w:hAnsi="Arial"/>
          <w:sz w:val="18"/>
          <w:szCs w:val="18"/>
          <w:color w:val="auto"/>
        </w:rPr>
        <w:t>these individuals, or the group as a whole, would be expected to beneficially own more than 1% of Newco’s common stock immediately following the completion of the distribution.</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Amount and Nature of Beneficial</w:t>
            </w:r>
          </w:p>
        </w:tc>
        <w:tc>
          <w:tcPr>
            <w:tcW w:w="32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spacing w:after="0"/>
              <w:rPr>
                <w:sz w:val="16"/>
                <w:szCs w:val="16"/>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Devdatt (Dev) Kurdikar</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right"/>
              <w:ind w:right="1882"/>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NEWCO CAPITAL STOCK</w:t>
      </w:r>
    </w:p>
    <w:p>
      <w:pPr>
        <w:spacing w:after="0" w:line="229"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i w:val="1"/>
          <w:iCs w:val="1"/>
          <w:color w:val="auto"/>
        </w:rPr>
        <w:t>Newco’s certificate of incorporation and bylaws will be amended and restated prior to the distribution. The following briefly summarizes the material terms of Newco capital stock that will be contained in its amended and restated certificate of incorporation and amended and restated bylaws. These summaries do not describe every aspect of these securities and documents and are subject to all the provisions of Newco’s amended and restated certificate of incorporation or amended and restated bylaws that will be in effect at the time of the distribution, and are qualified in their entirety by reference to these documents, which you should read for complete information on its capital stock as of the time of the distribution. The amended and restated certificate of incorporation and amended and restated bylaws, each in a form expected to be in effect at the time of the distribution, will be included as exhibits to Newco’s registration statement on Form 10, of which this information statement forms a part. Newco will include its amended and restated certificate of incorporation and amended and restated bylaws, as in effect at the time of the distribution, in a Current Report on Form 8-K filed with the SEC. The following also summarizes certain relevant provisions of the Delaware General Corporation Law, or the DGCL.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tabs>
          <w:tab w:leader="none" w:pos="4700" w:val="left"/>
          <w:tab w:leader="none" w:pos="9420" w:val="left"/>
        </w:tabs>
        <w:rPr>
          <w:sz w:val="20"/>
          <w:szCs w:val="20"/>
          <w:color w:val="auto"/>
        </w:rPr>
      </w:pPr>
      <w:r>
        <w:rPr>
          <w:rFonts w:ascii="Arial" w:cs="Arial" w:eastAsia="Arial" w:hAnsi="Arial"/>
          <w:sz w:val="18"/>
          <w:szCs w:val="18"/>
          <w:color w:val="auto"/>
        </w:rPr>
        <w:t>Newco’s authorized capital stock will consist of</w:t>
      </w:r>
      <w:r>
        <w:rPr>
          <w:sz w:val="20"/>
          <w:szCs w:val="20"/>
          <w:color w:val="auto"/>
        </w:rPr>
        <w:tab/>
      </w:r>
      <w:r>
        <w:rPr>
          <w:rFonts w:ascii="Arial" w:cs="Arial" w:eastAsia="Arial" w:hAnsi="Arial"/>
          <w:sz w:val="18"/>
          <w:szCs w:val="18"/>
          <w:color w:val="auto"/>
        </w:rPr>
        <w:t>shares of common stock, par value $0.01 per share, and</w:t>
      </w:r>
      <w:r>
        <w:rPr>
          <w:sz w:val="20"/>
          <w:szCs w:val="20"/>
          <w:color w:val="auto"/>
        </w:rPr>
        <w:tab/>
      </w:r>
      <w:r>
        <w:rPr>
          <w:rFonts w:ascii="Arial" w:cs="Arial" w:eastAsia="Arial" w:hAnsi="Arial"/>
          <w:sz w:val="15"/>
          <w:szCs w:val="15"/>
          <w:color w:val="auto"/>
        </w:rPr>
        <w:t>shares of preferred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par value $0.01 per share. Newco’s Board of Directors may establish the rights and preferences of the preferred stock from time to time.</w:t>
      </w:r>
    </w:p>
    <w:p>
      <w:pPr>
        <w:spacing w:after="0" w:line="397"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Immediately following the distribution, Newco expects that approximately shares of its common stock will be issued and outstanding (based on the number of shares of BD common stock outstanding on ), and that no shares of its preferred stock will be issued and outstanding.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Each holder of Newco common stock will be entitled to one vote for each share on all matters to be voted upon by the holders of Newco common stock, and there will be no cumulative voting rights. Subject to any preferential rights of any outstanding preferred stock, holders of Newco common stock will be entitled to receive ratably the dividends, if any, as may be declared from time to time by its Board of Directors out of funds legally available for that purpose. If there is a liquidation, dissolution or winding up of Newco, holders of its common stock would be entitled to ratable distribution of its assets remaining after the payment in full of liabilities and any preferential rights of any then-outstanding preferred stock.</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Holders of Newco common stock will have no preemptive or conversion rights or other subscription rights, and there are no redemption or sinking fund provisions applicable to the Newco common stock. After the distribution, all outstanding shares of Newco common stock will be fully paid and non-assessable. The rights, preferences and privileges of the holders of Newco common stock are subject to, and may be adversely affected by, the rights of the holders of shares of any series of preferred stock that Newco may designate and issue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Under the terms of Newco’s amended and restated certificate of incorporation, its Board of Directors will be authorized, subject to limitations prescribed by the DGCL, and by its amended and restated certificate of incorporation, to issue preferred stock in one or more series without further action by the holders of its common stock. Newco’s Board of Directors will have the discretion, subject to limitations prescribed by the DGCL and by Newco’s amended and restated certificate of incorporation, to determine the designations, powers, rights, preferences, qualifications, limitations and restrictions, including voting rights, dividend rights, dissolution rights, conversion rights, exchange rights and redemption rights, of each series of preferred stock. It is not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possible to state the actual effect of the issuance of any additional series of preferred stock upon the rights of common stockholders until Newco’s Board of Directors determines the specific rights of the holders of that series. However, the effects might include, among other things (1) restricting dividends on Newco common stock, (2) diluting the voting power of Newco common stock, (3) impairing the liquidation rights of Newco common stock or</w:t>
      </w:r>
    </w:p>
    <w:p>
      <w:pPr>
        <w:spacing w:after="0" w:line="2" w:lineRule="exact"/>
        <w:rPr>
          <w:sz w:val="20"/>
          <w:szCs w:val="20"/>
          <w:color w:val="auto"/>
        </w:rPr>
      </w:pPr>
    </w:p>
    <w:p>
      <w:pPr>
        <w:ind w:left="120" w:right="320" w:hanging="4"/>
        <w:spacing w:after="0" w:line="260" w:lineRule="auto"/>
        <w:tabs>
          <w:tab w:leader="none" w:pos="3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delaying or preventing a change in control of Newco without further action by the stockholders. Newco expects that there will be no shares of its preferred stock issued and outstanding immediately following the distribution.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Governance Provisions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Certain provisions of Delaware law and Newco’s amended and restated certificate of incorporation and amended and restated bylaws may be deemed to have an anti-takeover effect and may delay, defer or prevent a tender offer or change in control of Newco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Newco’s Board of Directors and in the policies formulated by Newco’s Board of Directors and could discourage certain types of transactions that may involve an actual or threatened change of control.</w:t>
      </w:r>
    </w:p>
    <w:p>
      <w:pPr>
        <w:spacing w:after="0" w:line="67" w:lineRule="exact"/>
        <w:rPr>
          <w:sz w:val="20"/>
          <w:szCs w:val="20"/>
          <w:color w:val="auto"/>
        </w:rPr>
      </w:pPr>
    </w:p>
    <w:p>
      <w:pPr>
        <w:ind w:left="1080" w:right="40" w:hanging="532"/>
        <w:spacing w:after="0" w:line="28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Newco’s amended and restated certificate of incorporation will provide that, until the annual stockholder meeting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2026, Newco’s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Newco’s Board of Directors will thereafter no longer be divided into classes. Before Newco’s Board of Directors is declassified, it would take at least two annual stockholders meetings to occur for any individual or group to gain control of Newco’s Board of Directors. Accordingly, while the Board of Directors is divided into classes, these provisions could discourage a third-party from initiating a proxy contest, making a tender offer or otherwise attempting to control Newco.</w:t>
      </w:r>
    </w:p>
    <w:p>
      <w:pPr>
        <w:spacing w:after="0" w:line="79"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Removal and Vacancies. </w:t>
      </w:r>
      <w:r>
        <w:rPr>
          <w:rFonts w:ascii="Arial" w:cs="Arial" w:eastAsia="Arial" w:hAnsi="Arial"/>
          <w:sz w:val="16"/>
          <w:szCs w:val="16"/>
          <w:color w:val="auto"/>
        </w:rPr>
        <w:t>Newco’s amended and restated certificate of incorporation and bylaws will provide that (i) until the 2026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(or such other time as the Board of Directors is no longer classified under the DGCL), Newco stockholders may remove directors only for cause and (ii) from and including the 2026 annual meeting of stockholders (or such other time as the Board of Directors is no longer classified under the DGCL), Newco stockholders may remove directors with or without cause. Removal will require the affirmative vote of holders of at least a majority of the voting power of Newco stock outstanding and entitled to vote on such removal.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Newco’s Board of Directors or by a sole remaining director.</w:t>
      </w:r>
    </w:p>
    <w:p>
      <w:pPr>
        <w:spacing w:after="0" w:line="70"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Size of the Board. </w:t>
      </w:r>
      <w:r>
        <w:rPr>
          <w:rFonts w:ascii="Arial" w:cs="Arial" w:eastAsia="Arial" w:hAnsi="Arial"/>
          <w:sz w:val="18"/>
          <w:szCs w:val="18"/>
          <w:color w:val="auto"/>
        </w:rPr>
        <w:t>Newco’s amended and restated certificate of incorporation and bylaws will provide that Newco’s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sole authority to fix the number of directors on the Board.</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Newco’s amended and restated certificate of incorporation will authorize Newco’s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and issue, without any further vote or action by the Newco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814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8140" w:type="dxa"/>
            <w:vAlign w:val="bottom"/>
          </w:tcPr>
          <w:p>
            <w:pPr>
              <w:jc w:val="center"/>
              <w:ind w:right="2450"/>
              <w:spacing w:after="0"/>
              <w:rPr>
                <w:sz w:val="20"/>
                <w:szCs w:val="20"/>
                <w:color w:val="auto"/>
              </w:rPr>
            </w:pPr>
            <w:r>
              <w:rPr>
                <w:rFonts w:ascii="Arial" w:cs="Arial" w:eastAsia="Arial" w:hAnsi="Arial"/>
                <w:sz w:val="18"/>
                <w:szCs w:val="18"/>
                <w:b w:val="1"/>
                <w:bCs w:val="1"/>
                <w:color w:val="auto"/>
                <w:w w:val="90"/>
              </w:rPr>
              <w:t>Confidential Treatment Requested by Berra Newco, Inc.</w:t>
            </w:r>
          </w:p>
        </w:tc>
      </w:tr>
      <w:tr>
        <w:trPr>
          <w:trHeight w:val="234"/>
        </w:trPr>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40" w:type="dxa"/>
            <w:vAlign w:val="bottom"/>
          </w:tcPr>
          <w:p>
            <w:pPr>
              <w:jc w:val="center"/>
              <w:ind w:right="2450"/>
              <w:spacing w:after="0"/>
              <w:rPr>
                <w:sz w:val="20"/>
                <w:szCs w:val="20"/>
                <w:color w:val="auto"/>
              </w:rPr>
            </w:pPr>
            <w:r>
              <w:rPr>
                <w:rFonts w:ascii="Arial" w:cs="Arial" w:eastAsia="Arial" w:hAnsi="Arial"/>
                <w:sz w:val="18"/>
                <w:szCs w:val="18"/>
                <w:b w:val="1"/>
                <w:bCs w:val="1"/>
                <w:color w:val="auto"/>
                <w:w w:val="89"/>
              </w:rPr>
              <w:t>pursuant to 17 C.F.R. Section 200.83</w:t>
            </w:r>
          </w:p>
        </w:tc>
      </w:tr>
      <w:tr>
        <w:trPr>
          <w:trHeight w:val="364"/>
        </w:trPr>
        <w:tc>
          <w:tcPr>
            <w:tcW w:w="2820" w:type="dxa"/>
            <w:vAlign w:val="bottom"/>
            <w:gridSpan w:val="2"/>
          </w:tcPr>
          <w:p>
            <w:pPr>
              <w:ind w:left="1100"/>
              <w:spacing w:after="0"/>
              <w:rPr>
                <w:sz w:val="20"/>
                <w:szCs w:val="20"/>
                <w:color w:val="auto"/>
              </w:rPr>
            </w:pPr>
            <w:r>
              <w:rPr>
                <w:rFonts w:ascii="Arial" w:cs="Arial" w:eastAsia="Arial" w:hAnsi="Arial"/>
                <w:sz w:val="18"/>
                <w:szCs w:val="18"/>
                <w:color w:val="auto"/>
              </w:rPr>
              <w:t>stockholders, up to</w:t>
            </w:r>
          </w:p>
        </w:tc>
        <w:tc>
          <w:tcPr>
            <w:tcW w:w="8140" w:type="dxa"/>
            <w:vAlign w:val="bottom"/>
          </w:tcPr>
          <w:p>
            <w:pPr>
              <w:ind w:left="360"/>
              <w:spacing w:after="0"/>
              <w:rPr>
                <w:sz w:val="20"/>
                <w:szCs w:val="20"/>
                <w:color w:val="auto"/>
              </w:rPr>
            </w:pPr>
            <w:r>
              <w:rPr>
                <w:rFonts w:ascii="Arial" w:cs="Arial" w:eastAsia="Arial" w:hAnsi="Arial"/>
                <w:sz w:val="18"/>
                <w:szCs w:val="18"/>
                <w:color w:val="auto"/>
                <w:w w:val="90"/>
              </w:rPr>
              <w:t>shares of preferred stock from time to time in one or more series and, with respect to each such series, to fix</w:t>
            </w:r>
          </w:p>
        </w:tc>
      </w:tr>
    </w:tbl>
    <w:p>
      <w:pPr>
        <w:jc w:val="both"/>
        <w:ind w:left="110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 of Newco.</w:t>
      </w:r>
    </w:p>
    <w:p>
      <w:pPr>
        <w:spacing w:after="0" w:line="98" w:lineRule="exact"/>
        <w:rPr>
          <w:sz w:val="20"/>
          <w:szCs w:val="20"/>
          <w:color w:val="auto"/>
        </w:rPr>
      </w:pPr>
    </w:p>
    <w:p>
      <w:pPr>
        <w:ind w:left="1080" w:right="20" w:hanging="532"/>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Newco’s amended and restated certificate of incorporation and bylaws will expressly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Newco stockholders to act by written consent. Stockholder action must therefore take place at an annual meeting or at a special meeting of Newco stockholders.</w:t>
      </w:r>
    </w:p>
    <w:p>
      <w:pPr>
        <w:spacing w:after="0" w:line="89" w:lineRule="exact"/>
        <w:rPr>
          <w:rFonts w:ascii="Arial" w:cs="Arial" w:eastAsia="Arial" w:hAnsi="Arial"/>
          <w:sz w:val="18"/>
          <w:szCs w:val="18"/>
          <w:color w:val="auto"/>
        </w:rPr>
      </w:pPr>
    </w:p>
    <w:p>
      <w:pPr>
        <w:jc w:val="both"/>
        <w:ind w:left="1080" w:right="260" w:hanging="532"/>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Ability to Call Special Meetings of Stockholders. </w:t>
      </w:r>
      <w:r>
        <w:rPr>
          <w:rFonts w:ascii="Arial" w:cs="Arial" w:eastAsia="Arial" w:hAnsi="Arial"/>
          <w:sz w:val="18"/>
          <w:szCs w:val="18"/>
          <w:color w:val="auto"/>
        </w:rPr>
        <w:t>Newco’s amended and restated certificate of incorporation and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will provide a special meeting of Newco stockholders can only be called by the Chairman of the Board or a majority of the directors of Newco’s Board. Newco stockholders will not be able to call a special meeting of stockholders.</w:t>
      </w:r>
    </w:p>
    <w:p>
      <w:pPr>
        <w:spacing w:after="0" w:line="8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Newco’s amended and restated bylaws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nominate persons for election as directors at an annual or special meeting of stockholders, or to bring other business before an annual or special meeting (other than a proposal submitted under Rule 14a-8 under the Exchange Act), to provide timely notice in writing. A stockholder’s notice to Newco’s Corporate Secretary must be in proper written form and must set forth certain information, as required under Newco’s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00" w:lineRule="exact"/>
        <w:rPr>
          <w:rFonts w:ascii="Arial" w:cs="Arial" w:eastAsia="Arial" w:hAnsi="Arial"/>
          <w:sz w:val="18"/>
          <w:szCs w:val="18"/>
          <w:color w:val="auto"/>
        </w:rPr>
      </w:pPr>
    </w:p>
    <w:p>
      <w:pPr>
        <w:ind w:left="1080" w:right="620" w:hanging="532"/>
        <w:spacing w:after="0" w:line="34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Bylaws. </w:t>
      </w:r>
      <w:r>
        <w:rPr>
          <w:rFonts w:ascii="Arial" w:cs="Arial" w:eastAsia="Arial" w:hAnsi="Arial"/>
          <w:sz w:val="16"/>
          <w:szCs w:val="16"/>
          <w:color w:val="auto"/>
        </w:rPr>
        <w:t>Newco’s amended and restated certificate of incorporation and bylaws will provide that Newco’s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have the authority to amend and repeal the Newco amended and restated bylaws without a stockholder vote.</w:t>
      </w:r>
    </w:p>
    <w:p>
      <w:pPr>
        <w:spacing w:after="0" w:line="29" w:lineRule="exact"/>
        <w:rPr>
          <w:rFonts w:ascii="Arial" w:cs="Arial" w:eastAsia="Arial" w:hAnsi="Arial"/>
          <w:sz w:val="16"/>
          <w:szCs w:val="16"/>
          <w:color w:val="auto"/>
        </w:rPr>
      </w:pPr>
    </w:p>
    <w:p>
      <w:pPr>
        <w:ind w:left="1080" w:right="20" w:hanging="532"/>
        <w:spacing w:after="0" w:line="28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Newco’s amended and restated certificate of incorporation will provide that, unless Newco (through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consents in writing to the selection of an alternative forum, the Court of Chancery of the State of Delaware shall be the sole and exclusive forum for (1) any derivative action or proceeding brought on behalf of Newco, (2) any action or proceeding asserting a claim for or based on a breach of a fiduciary duty owed by any current or former director or officer or other employee of Newco to Newco or Newco’s stockholders, including any claim alleging aiding and abetting of such a breach of fiduciary duty, (3) any action or proceeding asserting a claim against Newco or any current or former director or officer or other employee of Newco arising pursuant to, or seeking to enforce any right, obligation or remedy under, any provision of the DGCL or Newco’s amended and restated certificate of incorporation or amended and restated bylaws (as either may be amended from time to time), (4) any action or proceeding asserting a claim related to or involving Newco or any current or former director or officer or other employee of Newco governed by the internal affairs doctrine, or</w:t>
      </w:r>
    </w:p>
    <w:p>
      <w:pPr>
        <w:spacing w:after="0" w:line="5" w:lineRule="exact"/>
        <w:rPr>
          <w:rFonts w:ascii="Arial" w:cs="Arial" w:eastAsia="Arial" w:hAnsi="Arial"/>
          <w:sz w:val="16"/>
          <w:szCs w:val="16"/>
          <w:color w:val="auto"/>
        </w:rPr>
      </w:pP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(5) any action or proceeding as to which the DGCL (as it may be amended from time to time) confers jurisdiction 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Newco believes the exclusive forum provision benefits it by providing increased consistency in the application of law in the types of lawsuits to which it applies, the provision may have the effect of discouraging lawsuits against Newco’s directors and officers.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45"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line="287"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w:t>
      </w:r>
      <w:r>
        <w:rPr>
          <w:rFonts w:ascii="Arial" w:cs="Arial" w:eastAsia="Arial" w:hAnsi="Arial"/>
          <w:sz w:val="16"/>
          <w:szCs w:val="16"/>
          <w:color w:val="auto"/>
        </w:rPr>
        <w:t>. Newco is subject to Section 203 of the DGCL, which,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Delaware corporation from engaging in a “business combination” with an “interested stockholder” for three years following the time that such person or entity becomes an interested stockholder, unless (i) prior to the time that such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outstanding voting stock, excluding for purposes of determining the voting stock outstanding (but not the outstanding voting stock owned by the interested stockholder) those shares (A) owned by persons who are directors and also officers and (B) in employee stock plans in which employee participants do not have the right to determine confidentially whether shares subject to the plan will be tendered in a tender or exchange offer, or (iii) at or following the time that such stockholder become an interested stockholder, the board of directors and two-thirds of the shares (other than owned by the interested stockholder) approve the transaction. A corporation may “opt out” of Section 203 of the DGCL in its certificate of incorporation. Newco will not “opt out” of, and will be subject to, Section 203 of the DGCL.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Delaware law permits a corporation to adopt a provision in its certificate of incorporation eliminating or limiting, with exceptions, the monetary liability of a director to the corporation or its shareholders for breach of the director’s fiduciary duties. Newco’s amended and restated certificate of incorporation will include provisions that eliminate the liability of directors to Newco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Newco’s amended and restated bylaws will generally provide indemnification and advancement of expenses for its directors and officers to the fullest extent permitted by the DGCL. Prior to the completion of the distribution, Newco also intends to enter into indemnification agreements with each of its directors and executive officers that may, in some cases, be broader than the specific indemnification and advancement of expenses provisions contained under Delaware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Newco intends to apply to have its shares of common stock listed on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760" w:space="720"/>
            <w:col w:w="1380" w:space="180"/>
            <w:col w:w="3060"/>
          </w:cols>
          <w:pgMar w:left="320" w:top="459" w:right="47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560"/>
        <w:spacing w:after="0"/>
        <w:tabs>
          <w:tab w:leader="none" w:pos="1480" w:val="left"/>
          <w:tab w:leader="none" w:pos="33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Newco issued</w:t>
      </w:r>
      <w:r>
        <w:rPr>
          <w:sz w:val="20"/>
          <w:szCs w:val="20"/>
          <w:color w:val="auto"/>
        </w:rPr>
        <w:tab/>
      </w:r>
      <w:r>
        <w:rPr>
          <w:rFonts w:ascii="Arial" w:cs="Arial" w:eastAsia="Arial" w:hAnsi="Arial"/>
          <w:sz w:val="16"/>
          <w:szCs w:val="16"/>
          <w:color w:val="auto"/>
        </w:rPr>
        <w:t>shares of its common stock to BD pursuant to Section 4(a)(2) of the Securities Act. Newco did not register</w:t>
      </w:r>
    </w:p>
    <w:p>
      <w:pPr>
        <w:sectPr>
          <w:pgSz w:w="11900" w:h="16838" w:orient="portrait"/>
          <w:cols w:equalWidth="0" w:num="1">
            <w:col w:w="11100"/>
          </w:cols>
          <w:pgMar w:left="320" w:top="459" w:right="479" w:bottom="1440" w:gutter="0" w:footer="0" w:header="0"/>
          <w:type w:val="continuous"/>
        </w:sectPr>
      </w:pP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issuance of the issued shares under the Securities Act because such issuance did not constitute a public offering.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distribution, the transfer agent and registrar for Newco common stock will be Computershare Trust Company, N.A.</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Newco has filed a registration statement on Form 10 with the SEC with respect to the shares of its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Newco and its common stock, please refer to the registration statement, including its exhibits and schedules. Statements made in this information statement relating to any contract or other document filed as an exhibit to the registration statement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8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a result of the distribution, Newco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Newco intends to furnish holders of its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Newco has not authorized any person to provide you with different information or to make any representation not contained in this information statement.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9"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0640" w:type="dxa"/>
            <w:vAlign w:val="bottom"/>
            <w:gridSpan w:val="8"/>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20" w:type="dxa"/>
            <w:vAlign w:val="bottom"/>
            <w:tcBorders>
              <w:top w:val="single" w:sz="8" w:color="auto"/>
              <w:bottom w:val="single" w:sz="8" w:color="0000EE"/>
            </w:tcBorders>
            <w:gridSpan w:val="2"/>
          </w:tcPr>
          <w:p>
            <w:pPr>
              <w:spacing w:after="0" w:line="182"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Report of Independent Registered Public Accounting Firm</w:t>
              </w:r>
            </w:hyperlink>
          </w:p>
        </w:tc>
        <w:tc>
          <w:tcPr>
            <w:tcW w:w="622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23"/>
        </w:trPr>
        <w:tc>
          <w:tcPr>
            <w:tcW w:w="6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Combined Statements of Income for the Years Ended September 30, 2020 and 2019</w:t>
              </w:r>
            </w:hyperlink>
          </w:p>
        </w:tc>
        <w:tc>
          <w:tcPr>
            <w:tcW w:w="4560" w:type="dxa"/>
            <w:vAlign w:val="bottom"/>
            <w:gridSpan w:val="4"/>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r>
      <w:tr>
        <w:trPr>
          <w:trHeight w:val="223"/>
        </w:trPr>
        <w:tc>
          <w:tcPr>
            <w:tcW w:w="10640" w:type="dxa"/>
            <w:vAlign w:val="bottom"/>
            <w:gridSpan w:val="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Combined Statements of Comprehensive Income for the Years Ended September 30, 2020 and 2019</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r>
      <w:tr>
        <w:trPr>
          <w:trHeight w:val="223"/>
        </w:trPr>
        <w:tc>
          <w:tcPr>
            <w:tcW w:w="4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Combined Balance Sheets as of September 30, 2020 and 2019</w:t>
              </w:r>
            </w:hyperlink>
          </w:p>
        </w:tc>
        <w:tc>
          <w:tcPr>
            <w:tcW w:w="2720" w:type="dxa"/>
            <w:vAlign w:val="bottom"/>
            <w:tcBorders>
              <w:top w:val="single" w:sz="8" w:color="0000EE"/>
            </w:tcBorders>
            <w:gridSpan w:val="3"/>
          </w:tcPr>
          <w:p>
            <w:pPr>
              <w:spacing w:after="0"/>
              <w:rPr>
                <w:sz w:val="19"/>
                <w:szCs w:val="19"/>
                <w:color w:val="auto"/>
              </w:rPr>
            </w:pPr>
          </w:p>
        </w:tc>
        <w:tc>
          <w:tcPr>
            <w:tcW w:w="3440" w:type="dxa"/>
            <w:vAlign w:val="bottom"/>
            <w:gridSpan w:val="2"/>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r>
      <w:tr>
        <w:trPr>
          <w:trHeight w:val="223"/>
        </w:trPr>
        <w:tc>
          <w:tcPr>
            <w:tcW w:w="63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Combined Statements of Cash Flows for the Years Ended September 30, 2020 and 2019</w:t>
              </w:r>
            </w:hyperlink>
          </w:p>
        </w:tc>
        <w:tc>
          <w:tcPr>
            <w:tcW w:w="4260" w:type="dxa"/>
            <w:vAlign w:val="bottom"/>
            <w:gridSpan w:val="3"/>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r>
      <w:tr>
        <w:trPr>
          <w:trHeight w:val="223"/>
        </w:trPr>
        <w:tc>
          <w:tcPr>
            <w:tcW w:w="10640" w:type="dxa"/>
            <w:vAlign w:val="bottom"/>
            <w:gridSpan w:val="8"/>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Notes to Combined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r>
      <w:tr>
        <w:trPr>
          <w:trHeight w:val="385"/>
        </w:trPr>
        <w:tc>
          <w:tcPr>
            <w:tcW w:w="29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5"/>
          </w:tcPr>
          <w:p>
            <w:pPr>
              <w:ind w:left="9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Becton, Dickinson and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audited the accompanying combined balance sheets of the Diabetes Care Business of Becton, Dickinson and Company (the Company) as of September 30, 2020 and 2019, the related combined statements of income, comprehensive income and cash flows for each of the years then ended, and the related notes (collectively referred to as the “combined financial statements”). In our opinion, the combined financial statements present fairly, in all material respects, the financial position of the Company at September 30, 2020 and 2019, and the results of its operations and its cash flows for the years then ended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15,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30"/>
        </w:trPr>
        <w:tc>
          <w:tcPr>
            <w:tcW w:w="596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Pension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receivables,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38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8380" w:type="dxa"/>
            <w:vAlign w:val="bottom"/>
          </w:tcPr>
          <w:p>
            <w:pPr>
              <w:ind w:left="1080"/>
              <w:spacing w:after="0"/>
              <w:rPr>
                <w:sz w:val="20"/>
                <w:szCs w:val="20"/>
                <w:color w:val="auto"/>
              </w:rPr>
            </w:pPr>
            <w:r>
              <w:rPr>
                <w:rFonts w:ascii="Arial" w:cs="Arial" w:eastAsia="Arial" w:hAnsi="Arial"/>
                <w:sz w:val="18"/>
                <w:szCs w:val="18"/>
                <w:color w:val="auto"/>
              </w:rPr>
              <w:t>Accounts payable, income taxes and other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838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Net transfers to Parent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(457)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Net Change in Cash and Equivalents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Opening Cash and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Closing Cash and Equivalents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Berra Newco, Inc., a newly formed wholly owned subsidiary of BD incorporated on July 8, 2021, and execute a tax-free spin-off of Berra Newco, Inc. by way of a pro-rata distribution of common stock of Berra Newco, Inc. to BD’s shareholders at the close of business on the record date of the spin-off. Berra Newco, Inc. had no assets, liabilities, operations, or commitments and contingencies during the periods presented in these combined financial statements and will not have any assets, liabilities, operations or commitments in respect of the Diabetes Care Business until such business’s assets and liabilities are transferred to Berra Newco, Inc. These combined financial statements reflect the combined historical results of operations, financial position and cash flows of the Company.</w:t>
      </w:r>
    </w:p>
    <w:p>
      <w:pPr>
        <w:spacing w:after="0" w:line="18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completion of the spin-off is subject to certain conditions, including effectiveness of the appropriate filings with the U.S. Securities and Exchange Commission (“SEC”) and final approval by BD’s Board of Directors. There are no assurances as to when the planned spin-off will be completed, if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combined financial statements may not be indicative of what they would have been had the Company actually been an independent standalone public company, nor are they necessarily indicative of the Company’s future results of operations, financial position, and cash flows.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Company’s business has historically functioned together with other BD businesses. Accordingly, the Company relied on certain of BD’s Corporate and Medical Segment support functions to operate. BD’s Medical Segment includes four organizational units, including the diabetes care business. The combined financial statements include all revenues and costs directly attributable to the Company and an allocation of expenses related to certain BD Corporate functions and other shared BD Medical Segment functions (Note 5). These expenses have been allocated to the Company on a pro rata basis of global and regional revenues, headcount, research and development spend and other drivers. The Company considers these allocations to be a reasonable reflection of the utilization of services or the benefit received. However, the allocations may not be indicative of the actual expense that would have been incurred had the Company operated as an independent, standalone public entity, nor are they indicative of the Company’s future expenses.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Following the spin-off, certain functions that BD provided to the Company prior to the spin-off will either continue to be provided to the Company by BD under transition services agreements or will be performed using the Company’s own resources or third-party service providers. Additionally, under manufacturing and supply agreements, the Company will manufacture certain products for BD or its applicable affiliate and BD will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manufacture certain materials for the Company or its applicable affiliate. The Company expects to incur certain one-time charges in its establishment as a standalone public company, as well as ongoing additional costs associated with operating as an independent, publicly traded company.</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combined financial statements include assets and liabilities specifically attributable to the Company. Cash has not been assigned to the Company for any of the periods presented because those cash balances are not directly attributable to the Company. BD uses a centralized approach to cash management and financing of its operations. These arrangements are not reflective of the manner in which the business would have financed its operations had it been a standalone public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8"/>
          <w:szCs w:val="18"/>
          <w:i w:val="1"/>
          <w:iCs w:val="1"/>
          <w:color w:val="auto"/>
        </w:rPr>
        <w:t>Net parent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w:t>
      </w:r>
      <w:r>
        <w:rPr>
          <w:rFonts w:ascii="Arial" w:cs="Arial" w:eastAsia="Arial" w:hAnsi="Arial"/>
          <w:sz w:val="18"/>
          <w:szCs w:val="18"/>
          <w:color w:val="auto"/>
        </w:rPr>
        <w:t>as a component of Parent’s Equity.</w:t>
      </w:r>
    </w:p>
    <w:p>
      <w:pPr>
        <w:spacing w:after="0" w:line="192"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BD’s long-term debt and related interest expense have not been attributed to the Company for any of the periods presented because BD’s borrowings are neither directly attributable to the Company nor is the Company the legal obligor of such borrowings.</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 xml:space="preserve">All intercompany transactions and balances within the Company have been eliminated. Transactions between the Company and BD have been included in these combined financial statements and are considered related party transactions (Note 5). Transactions with Parent are reflected in Parent’s Equity as </w:t>
      </w:r>
      <w:r>
        <w:rPr>
          <w:rFonts w:ascii="Arial" w:cs="Arial" w:eastAsia="Arial" w:hAnsi="Arial"/>
          <w:sz w:val="17"/>
          <w:szCs w:val="17"/>
          <w:i w:val="1"/>
          <w:iCs w:val="1"/>
          <w:color w:val="auto"/>
        </w:rPr>
        <w:t>Net transfers to Parent</w:t>
      </w:r>
      <w:r>
        <w:rPr>
          <w:rFonts w:ascii="Arial" w:cs="Arial" w:eastAsia="Arial" w:hAnsi="Arial"/>
          <w:sz w:val="17"/>
          <w:szCs w:val="17"/>
          <w:color w:val="auto"/>
        </w:rPr>
        <w:t xml:space="preserve"> and in the accompanying combined balance sheets within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(Note 4).</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the combined statements of income has been calculated as if the Company filed a separate tax return and was operating as a standalone company. Therefore, tax expense, cash tax payments, and items of current and deferred taxes may not be reflective of the Company’s actual tax balances prior to or subsequent to the distribution.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has concluded that the Company operates in one segment based upon the information used by the chief operating decision maker in evaluating the performance of the Company’s business and allocating resources and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information is disclosed in millions unless otherwise noted. The Company’s fiscal year ends on September 30.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 xml:space="preserve">The combined financial statements of the Company include assets and liabilities that have been determined to be specifically identifiable or otherwise attributable to the Company. All significant intercompany accounts within the Company’s combined businesses have been eliminated. All intercompany transactions between the Company and BD have been included in these combined financial statements as components of </w:t>
      </w:r>
      <w:r>
        <w:rPr>
          <w:rFonts w:ascii="Arial" w:cs="Arial" w:eastAsia="Arial" w:hAnsi="Arial"/>
          <w:sz w:val="16"/>
          <w:szCs w:val="16"/>
          <w:i w:val="1"/>
          <w:iCs w:val="1"/>
          <w:color w:val="auto"/>
        </w:rPr>
        <w:t>Net parent</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Expenses related to corporate allocations from the Company to BD, prior to the distribution, are considered to be effectively settled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financial statements at the time the transaction is recorded, with the offset recorded against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disclosures regarding the Company’s accounting for revenue recognition are provided in Note 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and other specific account data. Amounts are written off against the allowances for doubtful accounts when the Company determines that a customer account is uncollectible.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are stated at the lower of approximate cost or net realizable value determined on the first-in, first-out basis.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$37 million and $35 million in fiscal years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Company’s unamortized intangible assets include goodwill which arise from certain acquisitions made by BD. Goodwill represents the excess of the consideration transferred over the fair value of net assets of businesses acquired. The Company currently reviews goodwill for impairment using quantitative models. Goodwill is reviewed at least annually for impairment at the reporting unit level, which is defined as an operating segment or one level below an operating segment, referred to as a component. The Company has one reporting unit. Potential impairment of goodwill is generally identified by comparing the fair value of a reporting unit, estimated using an income approach, with its carrying value. The annual impairment review performed on July 1, 2020, the most recent annual impairment testing date, indicated that the Company’s one reporting unit’s fair value exceeded its respective carrying value.</w:t>
      </w:r>
    </w:p>
    <w:p>
      <w:pPr>
        <w:spacing w:after="0" w:line="19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If the intangible asset’s carrying value is less than such undiscounted cash flows, the carrying value is compared to the asset’s calculated fair value. An impairment loss is recognized in operating results to the extent any finite-lived intangible asset’s carrying value exceeds its calculated fair value.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 xml:space="preserve">Generally, foreign subsidiaries’ functional currency is the local currency of operations and the net assets of foreign operations are translated into U.S. dollars using current exchange rates. The U.S. dollar results that arise from such translation are 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The Company considers its shipping and handling costs to be contract fulfillment costs and records them within </w:t>
      </w:r>
      <w:r>
        <w:rPr>
          <w:rFonts w:ascii="Arial" w:cs="Arial" w:eastAsia="Arial" w:hAnsi="Arial"/>
          <w:sz w:val="18"/>
          <w:szCs w:val="18"/>
          <w:i w:val="1"/>
          <w:iCs w:val="1"/>
          <w:color w:val="auto"/>
        </w:rPr>
        <w:t>Selling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Shipping expense was $12 million in both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Certain of the Company’s employees participate in defined benefit pension plans sponsored by BD which includes participants of other BD businesses (the “Shared Plans”). The Company’s participation in the Shared Plans is accounted for as a multiemployer benefit plan. Accordingly, the Company does not record an asset or liability to recognize any portion of the funded status of the Shared Plans. The related pension expense is based on annual service cost of active Company participants and is reported within </w:t>
      </w:r>
      <w:r>
        <w:rPr>
          <w:rFonts w:ascii="Arial" w:cs="Arial" w:eastAsia="Arial" w:hAnsi="Arial"/>
          <w:sz w:val="18"/>
          <w:szCs w:val="18"/>
          <w:i w:val="1"/>
          <w:iCs w:val="1"/>
          <w:color w:val="auto"/>
        </w:rPr>
        <w:t>Cost of products sold, Selling and administrative expense,</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w:t>
      </w:r>
      <w:r>
        <w:rPr>
          <w:rFonts w:ascii="Arial" w:cs="Arial" w:eastAsia="Arial" w:hAnsi="Arial"/>
          <w:sz w:val="18"/>
          <w:szCs w:val="18"/>
          <w:color w:val="auto"/>
        </w:rPr>
        <w:t>, as applicable. The pension expense attributable to Company participants in the Shared Plans for the years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was $9 million and $8 million,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BD has voluntary defined contribution plans for the benefit of substantially all Company employees meeting certain eligibility requirements.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Employer contributions to such plans for Company employees were $2 million in both 2020 and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Company’s operations are included in the tax returns of BD. In the future, as a standalone entity, the Company will file tax returns on its own behalf. Income taxes as presented in the combined financial statements attribute current and deferred income tax assets and liabilities of BD to the Company in a manner that is systematic, rational and consistent with the asset and liability method prescribed by the accounting guidance for income taxes. The income tax provision is prepared using the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has reviewed its needs in the United States for possible repatriation of undistributed earnings of its foreign subsidiaries and continues to invest foreign subsidiaries’ earnings outside of the United States to fund foreign investments or meet foreign working capital and property, plant and equipment expenditure needs. As a result, the Company is permanently reinvested with respect to all of its historical foreign earnings as of September 30, 2020.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BD conducts business and files tax returns in numerous countries and currently has tax audits in progress in a number of tax jurisdictions. The Company’s operations are included in the tax returns of BD. In evaluating the exposure associated with various tax filing positions, the Company records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the Company was a separate filer.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management evaluates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 xml:space="preserve">The Company does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180" w:firstLine="440"/>
        <w:spacing w:after="0" w:line="274" w:lineRule="auto"/>
        <w:rPr>
          <w:sz w:val="20"/>
          <w:szCs w:val="20"/>
          <w:color w:val="auto"/>
        </w:rPr>
      </w:pPr>
      <w:r>
        <w:rPr>
          <w:rFonts w:ascii="Arial" w:cs="Arial" w:eastAsia="Arial" w:hAnsi="Arial"/>
          <w:sz w:val="17"/>
          <w:szCs w:val="17"/>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w:t>
      </w:r>
    </w:p>
    <w:p>
      <w:pPr>
        <w:ind w:left="120" w:right="180" w:hanging="4"/>
        <w:spacing w:after="0" w:line="302" w:lineRule="auto"/>
        <w:tabs>
          <w:tab w:leader="none" w:pos="4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combined financial statements. Actual results could differ from these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Accounting Changes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Principles Adopted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October 1, 2018, the Company adopted Accounting Standards Codification Topic 606, “Revenue from Contracts with Customers” (“ASC 606”) using the modified retrospective method. Under ASC 606, revenue is recognized upon the transfer of control of goods or services to customers and reflects the amount of consideration to which a reporting entity expects to be entitled in exchange for those goods or services. The Company assessed the impact of this new standard on its combined financial statements based upon a review of contracts that were not completed as of October 1, 2018. This accounting standard adoption, which is further discussed in Note 7, did not materially impact any line items of the Company’s combined statements of income and balance sheets.</w:t>
      </w:r>
    </w:p>
    <w:p>
      <w:pPr>
        <w:spacing w:after="0" w:line="192"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On October 1, 2018, the Company adopted an accounting standard update which requires that the income tax effects of intercompany sales or transfers of assets, except those involving inventory, be recognized in the combined statements of income as income tax expense (or benefit) in the period that the sale or transfer occurs. The Company adopted this accounting standard update, which did not have a material impact on its combined financial statements, using the modified retrospective method.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October 1, 2019, the Company adopted a new lease accounting standard which requires lessees to recognize lease assets and lease liabilities on the balance sheet, as well as expanded disclosures regarding leasing arrangements. The Company elected certain practical expedients permitted under the transition guidance, including a transition method which allows application of the new standard at its adoption date, rather than at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earliest comparative period presented in the financial statements. The Company also elected not to perform any reassessments relative to its expired and existing leases upon its adoption of the new requirements. The Company’s adoption of this standard did not materially impact its combined financial statements. Additional disclosures regarding the Company’s lease arrangements are provided in Note 12.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Principles Not Yet Adopted</w:t>
      </w:r>
    </w:p>
    <w:p>
      <w:pPr>
        <w:spacing w:after="0" w:line="11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In June 2016, the Financial Accounting Standards Board (“FASB”) issued a new accounting standard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Adoption of this new accounting standard on October 1, 2020 will not have a material impact on the Company’s combined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Parent’s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8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6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Parent’s</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(Millions of dollars)</w:t>
            </w: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October 1, 2018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847</w:t>
            </w:r>
          </w:p>
        </w:tc>
        <w:tc>
          <w:tcPr>
            <w:tcW w:w="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432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428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834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 and Parent Company Investment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Medical Segment Allocations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The Company’s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combined financial statements, the General Corporate Expenses have been allocated to the Company. The General Corporate Expenses are included in the combined statements of income in </w:t>
      </w:r>
      <w:r>
        <w:rPr>
          <w:rFonts w:ascii="Arial" w:cs="Arial" w:eastAsia="Arial" w:hAnsi="Arial"/>
          <w:sz w:val="17"/>
          <w:szCs w:val="17"/>
          <w:i w:val="1"/>
          <w:iCs w:val="1"/>
          <w:color w:val="auto"/>
        </w:rPr>
        <w:t>Cost of products sold, Selling and administrative expense,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development expense,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expense, net </w:t>
      </w:r>
      <w:r>
        <w:rPr>
          <w:rFonts w:ascii="Arial" w:cs="Arial" w:eastAsia="Arial" w:hAnsi="Arial"/>
          <w:sz w:val="17"/>
          <w:szCs w:val="17"/>
          <w:color w:val="auto"/>
        </w:rPr>
        <w:t>and, accordingly, as a component of</w:t>
      </w:r>
      <w:r>
        <w:rPr>
          <w:rFonts w:ascii="Arial" w:cs="Arial" w:eastAsia="Arial" w:hAnsi="Arial"/>
          <w:sz w:val="17"/>
          <w:szCs w:val="17"/>
          <w:i w:val="1"/>
          <w:iCs w:val="1"/>
          <w:color w:val="auto"/>
        </w:rPr>
        <w:t xml:space="preserve"> Net parent investment </w:t>
      </w:r>
      <w:r>
        <w:rPr>
          <w:rFonts w:ascii="Arial" w:cs="Arial" w:eastAsia="Arial" w:hAnsi="Arial"/>
          <w:sz w:val="17"/>
          <w:szCs w:val="17"/>
          <w:color w:val="auto"/>
        </w:rPr>
        <w:t>on the combined balance sheets.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have been allocated to the Company on a pro rata basis of global and regional revenues, headcount, research and development spend and other drivers. Management believes the assumptions underlying the combined financial statements, including the assumptions regarding allocating General Corporate Expenses from BD, are reasonable. Nevertheless, the combined financial statements may not include all of the actual expenses that would have been incurred and may not reflect the Company’s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allocations of General Corporate Expenses are reflected in the combined statements of income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80</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Purchases from Parent</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In the ordinary course of business, the Company purchases from BD certain materials for use in production of certain medical products, the terms of which are not at arm’s length. During the years ended September 30, 2020 and 2019, these related party payments were $43 million and $42 million, respectively. Amounts payable to BD for such purchases as of September 30, 2020 and 2019 were immaterial.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Parent Company Investment</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All significant intercompany transactions between the Company and BD have been included in the combined financial statements and are considered to be effectively settled for cash at the time the transaction is recorded. The total net effect of the settlement of these intercompany transactions is reflected in the combined statements of cash flows as a financing activity and in the combined balance sheets as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1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the years ended September 30,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(a)</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$592</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Corporate and segment allocations, excluding non-cash share-based compensation</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transfers to Parent as reflected in the combined statements of cash flows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Pension expense</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transfers to Parent (Note 4)</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340" w:hanging="424"/>
        <w:spacing w:after="0" w:line="342"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Company has certain future purchase commitments entered in the normal course of business to meet capital expenditure requirements. As of September 30, 2020, these commitments aggregated to approximately $24 million and will be expended in fiscal year 2021.</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legal matters where it believes an unfavorable outcome is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September 30, 2020, nor is it a party to any legal proceedings as of the date of issuance of these combined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Revenues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previously discussed in Note 3, the Company adopted ASC 606 using the modified retrospective method. The Company sells syringes, pen needles and other products used in the treatment of diabetes which are distributed through independent distribution channels and directly through sales representatives. End-users of the Company’s products include healthcare institutions, physicians, life science researchers, clinical laboratories, the pharmaceutical industry, and the general public.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Revenue Recognition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revenues are recognized when the customer obtains control of the product sold, which is primarily upon shipment or delivery, depending on the delivery terms specified in the sales agreement.</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Control of certain private label goods transfers to the customer over time as the goods do not have an alternative use and the Company has an enforceable right to payment throughout the production process. The Company recognizes revenue over time using an output measure based on units produced on the basis that this measure best reflects the pattern of transfer of control to the customer. Changes in the total estimated output used in measuring the Company’s progress toward satisfying its performance obligation may result in adjustments to cumulative revenue recognized at the time the change in estimate occurs.</w:t>
      </w:r>
    </w:p>
    <w:p>
      <w:pPr>
        <w:spacing w:after="0" w:line="188"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Company’s obligations pursuant to some private label product agreements may represent partially unsatisfied performance obligations as of the balance sheet date. Such private label product agreements do not have original expected durations of more than one year from contract inception.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Revenues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The Company acts as the principal in substantially all of its customer arrangements and as such, generally records revenues on a gross basis. Revenues exclude any taxes that the Company collects from customers and remits to tax authorities. The Company considers its shipping and handling costs to be costs of contract fulfillment and has made the accounting policy election to record these costs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estimate of probable credit losses relating to trade receivables is determined based on historical experience and other specific account data. Amounts are written off against the allowances for doubtful accounts when the Company determines that a customer account is uncollectible. Such amounts are not material to the Company’s combined financial results.</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September 30, 2020 and 2019 was $62 million and $53 million, respectively. Rebates recorded as a reduction of gross revenues during the years ended September 30, 2020 and 2019, were $267 million and $224 million, respectively. Sales discounts and sales returns were not material.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International(a)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7"/>
        </w:trPr>
        <w:tc>
          <w:tcPr>
            <w:tcW w:w="4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w:t>
            </w:r>
          </w:p>
        </w:tc>
      </w:tr>
      <w:tr>
        <w:trPr>
          <w:trHeight w:val="20"/>
        </w:trPr>
        <w:tc>
          <w:tcPr>
            <w:tcW w:w="4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7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the years ended September 30, 2020 and 2019, no individual country outside of the United States generated revenue that represented more than 10% of total revenues.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to Obtain Revenue Contracts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Due to the nature of the majority of the Company’s products, the Company typically does not incur costs to fulfill a contract in advance of providing the customer with goods or services. The Company’s costs to obtain contracts are comprised of sales commissions which are paid to the Company’s employees or third-party agents. Sales commissions incurred by the Company relate to revenue that is recognized over a period that is less than one year and, as such, the Company has elected a practical expedient provided under ASC 606 to record its expense associated with sales commissions as it is incurred. Sales commissions are recorded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 xml:space="preserve"> in the combined statements of income.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7"/>
          <w:szCs w:val="17"/>
          <w:i w:val="1"/>
          <w:iCs w:val="1"/>
          <w:color w:val="auto"/>
        </w:rPr>
        <w:t>Prepaid expenses and other</w:t>
      </w:r>
      <w:r>
        <w:rPr>
          <w:rFonts w:ascii="Arial" w:cs="Arial" w:eastAsia="Arial" w:hAnsi="Arial"/>
          <w:sz w:val="17"/>
          <w:szCs w:val="17"/>
          <w:color w:val="auto"/>
        </w:rPr>
        <w:t xml:space="preserve"> on the combined balance sheets.</w:t>
      </w:r>
    </w:p>
    <w:p>
      <w:pPr>
        <w:spacing w:after="0" w:line="146"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 xml:space="preserve">The Company’s contract asset balances as of September 30, 2020 and 2019, were $3 million and $9 million, respectively. The reduction in the contract assets balance from September 30, 2019 to September 30, 2020 relates to the transfer of previously capitalized contract assets to </w:t>
      </w:r>
      <w:r>
        <w:rPr>
          <w:rFonts w:ascii="Arial" w:cs="Arial" w:eastAsia="Arial" w:hAnsi="Arial"/>
          <w:sz w:val="17"/>
          <w:szCs w:val="17"/>
          <w:i w:val="1"/>
          <w:iCs w:val="1"/>
          <w:color w:val="auto"/>
        </w:rPr>
        <w:t>Trade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net </w:t>
      </w:r>
      <w:r>
        <w:rPr>
          <w:rFonts w:ascii="Arial" w:cs="Arial" w:eastAsia="Arial" w:hAnsi="Arial"/>
          <w:sz w:val="17"/>
          <w:szCs w:val="17"/>
          <w:color w:val="auto"/>
        </w:rPr>
        <w:t>when the Company’s right to consideration from the customer became unconditional.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Company has no share-based compensation plans. Certain employees of the Company have historically participated in the 2004 Employee and Director Equity-Based Compensation Plan (the “2004 Plan”), which provides long-term incentive compensation to employees and directors consisting of: stock appreciation rights (“SARs”), performance-based restricted stock units, time-vested restricted stock units and other stock awards. All significant awards granted under the plan will settle in shares of BD’s Class A Common Stock and are approved by BD’s Compensation Committee of the Board of Directors. As such, all related equity account balances, other than allocations of compensation expense, remained at the BD level. 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employees who are not dedicated to the Company are included as a component of corporate allocations. The allocation of stock compensation for BD Corporate employees was $5 million in both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amounts and location of compensation cost relating to both the Company’s employees and an allocation for BD Corporate employees included in the combined statements of income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share-based compensation costs recognized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SARs represent the right to receive, upon exercise, shares of common stock having a value equal to the difference between the market price of common stock on the date of exercise and the exercise price on the date of grant. SARs vest over a period of four years and have a term of ten years. The fair value was estimated on the date of grant using a lattice-based binomial option valuation model that uses the following weighted-average assumptions: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gridSpan w:val="3"/>
          </w:tcPr>
          <w:p>
            <w:pPr>
              <w:jc w:val="right"/>
              <w:ind w:right="74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life</w:t>
            </w:r>
          </w:p>
        </w:tc>
        <w:tc>
          <w:tcPr>
            <w:tcW w:w="21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1"/>
              </w:rPr>
              <w:t>7.2 years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Fair value derived</w:t>
            </w:r>
          </w:p>
        </w:tc>
        <w:tc>
          <w:tcPr>
            <w:tcW w:w="3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48.82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51.86</w:t>
            </w:r>
          </w:p>
        </w:tc>
      </w:tr>
    </w:tbl>
    <w:p>
      <w:pPr>
        <w:spacing w:after="0" w:line="20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Expected volatility is based upon historical volatility for BD’s common stock and other factors. The expected life of SARs granted is derived from the output of the lattice-based model, using assumed exercise rates based on historical exercise and termination patterns, and represents the period of time that SARs granted are expected to be outstanding. The risk-free interest rate used is based upon the published U.S. Treasury yield curve in effect at the time of grant for instruments with a similar life. The dividend yield is based upon the most recently declared quarterly dividend as of the grant date.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summarizes activity relating to BD’s SARs held by the Company’s employees as of September 30, 2020 and changes during the year then ended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SARs</w:t>
            </w:r>
          </w:p>
        </w:tc>
        <w:tc>
          <w:tcPr>
            <w:tcW w:w="3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2020</w:t>
            </w:r>
          </w:p>
        </w:tc>
        <w:tc>
          <w:tcPr>
            <w:tcW w:w="58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5860" w:type="dxa"/>
            <w:vAlign w:val="bottom"/>
          </w:tcPr>
          <w:p>
            <w:pPr>
              <w:spacing w:after="0"/>
              <w:rPr>
                <w:sz w:val="15"/>
                <w:szCs w:val="15"/>
                <w:color w:val="auto"/>
              </w:rPr>
            </w:pPr>
          </w:p>
        </w:tc>
        <w:tc>
          <w:tcPr>
            <w:tcW w:w="12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1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5"/>
                <w:szCs w:val="15"/>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October 1</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$211.55</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255.22</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153.19</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233.63</w:t>
            </w:r>
          </w:p>
        </w:tc>
        <w:tc>
          <w:tcPr>
            <w:tcW w:w="5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September 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232.79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Exercisable at September 30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200.28</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BD’s SARs exercised by the Company’s employees during 2020 and 2019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SARs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fair value of SARs vested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Time-Vested Restricted Stock Units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Performance-based restricted stock units cliff vest three years after the date of grant. These units are tied to BD’s performance against pre-established targets over a performance period of three years. The performance measures for fiscal year 2020 were average annual currency-neutral revenue growth and average annual return on invested capital, with the combined factor subject to adjustment based on BD’s relative total shareholder return (measures BD’s stock performance during the performance period against that of peer companies). The performance measures for fiscal year 2019 were relative total shareholder return and average annual return on invested capital. Under BD’s long-term incentive program, the actual payout under these awards may vary from zero to 200% of an employee’s target payout, based on BD’s actual performance over the performance period of three years. The fair value is based on the market price of BD’s stock on the date of grant. Compensation cost initially recognized assumes that the target payout level will be achieved and is adjusted for subsequent changes in the expected outcome of performance-related conditions. For units for which the performance conditions are modified after the date of grant, any incremental increase in the fair value of the modified units, over the original units, is recorded as compensation expense on the date of the modification for vested units, or over the remaining performance period for units not yet vested.</w:t>
      </w:r>
    </w:p>
    <w:p>
      <w:pPr>
        <w:spacing w:after="0" w:line="168"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Time-vested restricted stock unit awards vest on a graded basis over a period of three years. The related share-based compensation expense is recorded over the requisite service period, which is the vesting period. The fair value of all time-vested restricted stock units is based on the market value of BD’s stock on the date of grant.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following table summarizes activity related to BD restricted stock units held by the Company’s employees as of September 30, 2020 and changes during the year then ended: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Performance–Based</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Time–Vested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2020</w:t>
            </w:r>
          </w:p>
        </w:tc>
        <w:tc>
          <w:tcPr>
            <w:tcW w:w="48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16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October 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83"/>
              </w:rPr>
              <w:t>228.28</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245.01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256.56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174.92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Forfeited or canceled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174.92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244.55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Expected to vest at September 30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237.39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200% of target payout for performance based restricted units and 100% of the performance based time-vested units.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Net of expected forfeited units and units in excess of the expected performance payout of 1 thousand and 10 thousand shares, respectively.</w:t>
      </w:r>
    </w:p>
    <w:p>
      <w:pPr>
        <w:spacing w:after="0" w:line="22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weighted average grant date fair value of restricted stock units granted and the total fair value of stock units vested for the Company’s employees during fiscal years 2020 and 2019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Performance-Based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Time-Vested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units granted</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CEEFF"/>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Total fair value of units vested (millions of dollars)</w:t>
            </w: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At September 30, 2020, the weighted average remaining vesting term of performance-based and time-vested restricted stock units for the Company’s employees is 1.39 and 1.71 years,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Compensation Expense and Other Stock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amount of unrecognized compensation expense for all non-vested share-based awards for the Company’s employees as of September 30,</w:t>
      </w:r>
    </w:p>
    <w:p>
      <w:pPr>
        <w:spacing w:after="0" w:line="46"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2020 is approximately $8 million, which is expected to be recognized over a weighted-average remaining life of approximately 2 years. BD has a policy of satisfying share-based payments through either open market purchases or shares held in treasury. As of September 30, 2020, BD has sufficient shares held in treasury to satisfy these payments.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and Other Intangible Assets at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As of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Patents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Patents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Intangible asset amortization expense was $1 million in both 2020 and 2019. The estimated aggregate amortization expense for each of the fiscal years ending September 30, 2021 to 2025 is $1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and Other Risks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 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7"/>
          <w:szCs w:val="17"/>
          <w:i w:val="1"/>
          <w:iCs w:val="1"/>
          <w:color w:val="auto"/>
        </w:rPr>
        <w:t>Other expense, net</w:t>
      </w:r>
      <w:r>
        <w:rPr>
          <w:rFonts w:ascii="Arial" w:cs="Arial" w:eastAsia="Arial" w:hAnsi="Arial"/>
          <w:sz w:val="17"/>
          <w:szCs w:val="17"/>
          <w:color w:val="auto"/>
        </w:rPr>
        <w:t xml:space="preserve"> during the years ending September 30, 2020 and 2019 were immaterial to the Company’s combined financial results.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FASB’s accounting guidance defines fair value as the price that would be received to sell an asset or paid to transfer a liability in an orderly transaction between market participants at the measurement date (exit price).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carrying value of other receivables and account payables contained in the combined balance sheets approximates fair value due to the relatively short-term nature of these accounts.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accordance with authoritative guidance, 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 Impairment losses on such non-financial assets during the years ended September 30, 2020 and 2019 were immaterial to the Company’s combined financial results.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The following table sets forth the percentages of total revenues or gross trade receivables for customers that represent 10% or more of the respective amounts for the periods shown: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Gross Trade Receivables</w:t>
            </w:r>
          </w:p>
        </w:tc>
      </w:tr>
      <w:tr>
        <w:trPr>
          <w:trHeight w:val="142"/>
        </w:trPr>
        <w:tc>
          <w:tcPr>
            <w:tcW w:w="6980" w:type="dxa"/>
            <w:vAlign w:val="bottom"/>
          </w:tcPr>
          <w:p>
            <w:pPr>
              <w:spacing w:after="0"/>
              <w:rPr>
                <w:sz w:val="12"/>
                <w:szCs w:val="12"/>
                <w:color w:val="auto"/>
              </w:rPr>
            </w:pPr>
          </w:p>
        </w:tc>
        <w:tc>
          <w:tcPr>
            <w:tcW w:w="17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Year Ended September 30,</w:t>
            </w:r>
          </w:p>
        </w:tc>
        <w:tc>
          <w:tcPr>
            <w:tcW w:w="44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As of September 30,</w:t>
            </w:r>
          </w:p>
        </w:tc>
        <w:tc>
          <w:tcPr>
            <w:tcW w:w="220" w:type="dxa"/>
            <w:vAlign w:val="bottom"/>
          </w:tcPr>
          <w:p>
            <w:pPr>
              <w:spacing w:after="0"/>
              <w:rPr>
                <w:sz w:val="12"/>
                <w:szCs w:val="12"/>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16%</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*Revenues and gross trade receivables are less than ten percent of the respective totals.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for the years ended September 30, 2020 and 2019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2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27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2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Income tax provision</w:t>
            </w:r>
          </w:p>
        </w:tc>
        <w:tc>
          <w:tcPr>
            <w:tcW w:w="2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371"/>
        </w:trPr>
        <w:tc>
          <w:tcPr>
            <w:tcW w:w="2780" w:type="dxa"/>
            <w:vAlign w:val="bottom"/>
          </w:tcPr>
          <w:p>
            <w:pPr>
              <w:spacing w:after="0"/>
              <w:rPr>
                <w:sz w:val="24"/>
                <w:szCs w:val="24"/>
                <w:color w:val="auto"/>
              </w:rPr>
            </w:pPr>
          </w:p>
        </w:tc>
        <w:tc>
          <w:tcPr>
            <w:tcW w:w="2900" w:type="dxa"/>
            <w:vAlign w:val="bottom"/>
            <w:gridSpan w:val="2"/>
          </w:tcPr>
          <w:p>
            <w:pPr>
              <w:jc w:val="right"/>
              <w:ind w:right="1230"/>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combined financial statements at the time the transaction is recorded, with the offset recorded against </w:t>
      </w:r>
      <w:r>
        <w:rPr>
          <w:rFonts w:ascii="Arial" w:cs="Arial" w:eastAsia="Arial" w:hAnsi="Arial"/>
          <w:sz w:val="17"/>
          <w:szCs w:val="17"/>
          <w:i w:val="1"/>
          <w:iCs w:val="1"/>
          <w:color w:val="auto"/>
        </w:rPr>
        <w:t>Net parent investment</w:t>
      </w:r>
      <w:r>
        <w:rPr>
          <w:rFonts w:ascii="Arial" w:cs="Arial" w:eastAsia="Arial" w:hAnsi="Arial"/>
          <w:sz w:val="17"/>
          <w:szCs w:val="17"/>
          <w:color w:val="auto"/>
        </w:rPr>
        <w: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for the years ended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tax legislation, commonly referred to as the Tax Cuts and Jobs Act (the “Act”), was enacted on December 22, 2017. The Act reduced the U.S. federal corporate tax rate from 35% to 21%, required companies to pay a one-time transition tax on earnings of certain foreign subsidiaries that were previously tax deferred, and created new taxes on certain foreign-sourced earnings. The Act subjects a U.S. shareholder to tax on global intangible low-taxed income (“GILTI”) earned by certain foreign subsidiaries. The Company has elected to account for its GILTI tax due as a period expense in the year the tax is incurred.</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 xml:space="preserve">During fiscal year 2019, the Company finalized its accounting for the income tax effects of the Act. During fiscal year 2019, the Company also changed its assertion with respect to historical unremitted foreign earnings, which resulted in a total tax benefit of $4 million and is included as a component of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fiscal 2019. The Company asserts indefinite reinvestment for all historical unremitted foreign earnings as of September 30 2020 and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 tax payments, other activity, or final decisions in matters that are the subject of controversy in various taxing jurisdictions in which the Company operates.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prior year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At September 30, 2020 and 2019, there are $17 million and $32 million of unrecognized tax benefits and related interest and penalties, respectively, that, if recognized, would affect the effective tax rate. During the fiscal years ended September 30, 2020 and 2019, the Company reported interest and penalties associated with unrecognized tax benefits of $3 million and $4 million, respectively, on the combined statements of income as a component of </w:t>
      </w:r>
      <w:r>
        <w:rPr>
          <w:rFonts w:ascii="Arial" w:cs="Arial" w:eastAsia="Arial" w:hAnsi="Arial"/>
          <w:sz w:val="16"/>
          <w:szCs w:val="16"/>
          <w:i w:val="1"/>
          <w:iCs w:val="1"/>
          <w:color w:val="auto"/>
        </w:rPr>
        <w:t>Income tax provision</w:t>
      </w:r>
      <w:r>
        <w:rPr>
          <w:rFonts w:ascii="Arial" w:cs="Arial" w:eastAsia="Arial" w:hAnsi="Arial"/>
          <w:sz w:val="16"/>
          <w:szCs w:val="16"/>
          <w:color w:val="auto"/>
        </w:rPr>
        <w:t>. BD conducts business and files tax returns in numerous countries and currently has tax audits in progress in a number of tax jurisdictions. In most jurisdictions, the Company has historically been included in BD’s income tax return filings. The IRS has completed its audit of BD’s U.S. income tax returns for fiscal years 2015 and 2017. The IRS is currently examining BD’s U.S. income tax returns for fiscal years 2016, 2018 and 2019. For the other major tax jurisdictions where BD conducts business, tax years are generally open after 2012.</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income taxes at September 30, 2020 and 2019 consisted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w w:val="71"/>
              </w:rPr>
              <w:t>1</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Accruals and reserves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5"/>
                <w:szCs w:val="15"/>
                <w:color w:val="auto"/>
                <w:w w:val="71"/>
              </w:rPr>
              <w:t>8</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12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8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Net deferred tax assets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and net deferred tax liabilities are included in </w:t>
      </w:r>
      <w:r>
        <w:rPr>
          <w:rFonts w:ascii="Arial" w:cs="Arial" w:eastAsia="Arial" w:hAnsi="Arial"/>
          <w:sz w:val="18"/>
          <w:szCs w:val="18"/>
          <w:i w:val="1"/>
          <w:iCs w:val="1"/>
          <w:color w:val="auto"/>
        </w:rPr>
        <w:t>Deferred Income Taxes and Other Liabilities</w:t>
      </w:r>
      <w:r>
        <w:rPr>
          <w:rFonts w:ascii="Arial" w:cs="Arial" w:eastAsia="Arial" w:hAnsi="Arial"/>
          <w:sz w:val="18"/>
          <w:szCs w:val="18"/>
          <w:color w:val="auto"/>
        </w:rPr>
        <w:t xml:space="preserve"> on the combined balance sheets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120" w:right="400" w:firstLine="440"/>
        <w:spacing w:after="0" w:line="296" w:lineRule="auto"/>
        <w:rPr>
          <w:sz w:val="20"/>
          <w:szCs w:val="20"/>
          <w:color w:val="auto"/>
        </w:rPr>
      </w:pPr>
      <w:r>
        <w:rPr>
          <w:rFonts w:ascii="Arial" w:cs="Arial" w:eastAsia="Arial" w:hAnsi="Arial"/>
          <w:sz w:val="16"/>
          <w:szCs w:val="16"/>
          <w:color w:val="auto"/>
        </w:rPr>
        <w:t>Deferred tax assets and liabilities are netted on the combined balance sheets by separate tax jurisdictions. The Company maintains valuation allowances where it is more likely than not that all or a portion of a deferred tax asset will not be realized. As of September 30, 2020 and 2019, all deferred tax assets are more likely than not to be realized. Deferred taxes are not provided on undistributed earnings of foreign subsidiaries that are indefinitely reinvested as of September 30, 2020 and 2019. The determination of the amount of the unrecognized deferred tax liability related to the undistributed earnings is not practicable because of the complexities associated with its hypothetical calculation.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statutory tax rate to the Company’s effective income tax rate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U.S. tax legislation (see discussion above)</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Foreign income tax at rates other than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Effect of research credits</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uncertain tax positions</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net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6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6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fluctuations in the Company’s reported tax rates are primarily due to a favorable impact relating to unrecognized tax benefits in 2020, as well as the geographical mix of income attributable to foreign countries that have income tax rates that vary from the U.S. tax rate.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leases real estate, vehicles, and other equipment which are used in the Company’s manufacturing, administrative, and research and development activities.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identifies a contract that contains a lease as one which conveys a right, either explicitly or implicitly, to control the use of an identified asset in exchange for consideration. The Company’s lease arrangements are generally classified as operating leases. These arrangements have remaining terms ranging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from less than one year to approximately 6 years and the weighted-average remaining lease term of the Company’s leases is approximately 5 years. An option to renew or terminate the current term of a lease arrangement is included in the lease term if the Company is reasonably certain to exercise that option.</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does not recognize a right-of-use asset and lease liability for short-term leases, which have terms of 12 months or less, on its combined balance sheets. For the longer-term lease arrangements that are recognized on the Company’s combined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its combined financial results.</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uses BD’s incremental borrowing rate, which is established based upon the information available at the lease commencement date, to determine the present value of lease payments due under an arrangement. The weighted-average incremental borrowing rate that has been applied to measure the Company’s lease liabilities is 2.20%.</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Company’s lease cost recorded in its combined statements of income for the year ended September 30, 2020 was $2 million under the new lease accounting standard. Rental expense for all operating leases amounted to $2 million in 2019 under the previous lease accounting standard. Cash payments arising from the Company’s lease arrangements are reflected on its combined statements of cash flows as outflows used for operating activities. The right-of-use assets and lease liabilities recognized on the Company’s combined balance sheet as of September 30, 2020 were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60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September 30, 2020</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Right-of-use assets recorded in </w:t>
            </w:r>
            <w:r>
              <w:rPr>
                <w:rFonts w:ascii="Arial" w:cs="Arial" w:eastAsia="Arial" w:hAnsi="Arial"/>
                <w:sz w:val="18"/>
                <w:szCs w:val="18"/>
                <w:i w:val="1"/>
                <w:iCs w:val="1"/>
                <w:color w:val="auto"/>
              </w:rPr>
              <w:t>Other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 xml:space="preserve">Current lease liabilities recorded in </w:t>
            </w:r>
            <w:r>
              <w:rPr>
                <w:rFonts w:ascii="Arial" w:cs="Arial" w:eastAsia="Arial" w:hAnsi="Arial"/>
                <w:sz w:val="18"/>
                <w:szCs w:val="18"/>
                <w:i w:val="1"/>
                <w:iCs w:val="1"/>
                <w:color w:val="auto"/>
              </w:rPr>
              <w:t>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Non-current lease liabilities recorded in </w:t>
            </w:r>
            <w:r>
              <w:rPr>
                <w:rFonts w:ascii="Arial" w:cs="Arial" w:eastAsia="Arial" w:hAnsi="Arial"/>
                <w:sz w:val="18"/>
                <w:szCs w:val="18"/>
                <w:i w:val="1"/>
                <w:iCs w:val="1"/>
                <w:color w:val="auto"/>
              </w:rPr>
              <w:t>Deferred Income Taxes and</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payments due under its operating leases at September 30, 2020 are $1 million for each of the fiscal years ending September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to 2025, and $0 payments are due under operating leases thereafter. There is no imputed interest allocable to the total payments due of $5 million.</w:t>
      </w:r>
    </w:p>
    <w:p>
      <w:pPr>
        <w:spacing w:after="0" w:line="23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Company’s future minimum rental commitments on non-cancelable leases at September 30, 2019, prior to the adoption of the new lease accounting standard, were estimated as $1 million for both fiscal years ending September 30, 2021 and 2022 and no payments were estimated to be due thereafter.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Supplemental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amounts recognized in fiscal years 2020 and 2019 relating to allowances for doubtful accounts and cash discounts, which are netted against trade receivables, are provided in the following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gridSpan w:val="3"/>
          </w:tcPr>
          <w:p>
            <w:pPr>
              <w:jc w:val="right"/>
              <w:ind w:right="167"/>
              <w:spacing w:after="0"/>
              <w:rPr>
                <w:sz w:val="20"/>
                <w:szCs w:val="20"/>
                <w:color w:val="auto"/>
              </w:rPr>
            </w:pPr>
            <w:r>
              <w:rPr>
                <w:rFonts w:ascii="Arial" w:cs="Arial" w:eastAsia="Arial" w:hAnsi="Arial"/>
                <w:sz w:val="14"/>
                <w:szCs w:val="14"/>
                <w:b w:val="1"/>
                <w:bCs w:val="1"/>
                <w:color w:val="auto"/>
                <w:w w:val="98"/>
              </w:rPr>
              <w:t>Allowance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Doubtful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for Cash</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Discounts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80" w:type="dxa"/>
            <w:vAlign w:val="bottom"/>
          </w:tcPr>
          <w:p>
            <w:pPr>
              <w:spacing w:after="0"/>
              <w:rPr>
                <w:sz w:val="18"/>
                <w:szCs w:val="18"/>
                <w:color w:val="auto"/>
              </w:rPr>
            </w:pPr>
          </w:p>
        </w:tc>
        <w:tc>
          <w:tcPr>
            <w:tcW w:w="860" w:type="dxa"/>
            <w:vAlign w:val="bottom"/>
            <w:gridSpan w:val="2"/>
          </w:tcPr>
          <w:p>
            <w:pPr>
              <w:jc w:val="right"/>
              <w:ind w:right="47"/>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2019</w:t>
            </w: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7"/>
              <w:spacing w:after="0"/>
              <w:rPr>
                <w:sz w:val="20"/>
                <w:szCs w:val="20"/>
                <w:color w:val="auto"/>
              </w:rPr>
            </w:pPr>
            <w:r>
              <w:rPr>
                <w:rFonts w:ascii="Arial" w:cs="Arial" w:eastAsia="Arial" w:hAnsi="Arial"/>
                <w:sz w:val="18"/>
                <w:szCs w:val="18"/>
                <w:color w:val="auto"/>
              </w:rPr>
              <w:t>(4)</w:t>
            </w:r>
          </w:p>
        </w:tc>
        <w:tc>
          <w:tcPr>
            <w:tcW w:w="6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Deductions and 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(4)</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40" w:type="dxa"/>
            <w:vAlign w:val="bottom"/>
            <w:gridSpan w:val="3"/>
          </w:tcPr>
          <w:p>
            <w:pPr>
              <w:spacing w:after="0"/>
              <w:rPr>
                <w:sz w:val="20"/>
                <w:szCs w:val="20"/>
                <w:color w:val="auto"/>
              </w:rPr>
            </w:pPr>
            <w:r>
              <w:rPr>
                <w:rFonts w:ascii="Arial" w:cs="Arial" w:eastAsia="Arial" w:hAnsi="Arial"/>
                <w:sz w:val="18"/>
                <w:szCs w:val="18"/>
                <w:color w:val="auto"/>
              </w:rPr>
              <w:t>(a)   Accounts written off.</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440"/>
              <w:spacing w:after="0"/>
              <w:rPr>
                <w:sz w:val="20"/>
                <w:szCs w:val="20"/>
                <w:color w:val="auto"/>
              </w:rPr>
            </w:pPr>
            <w:r>
              <w:rPr>
                <w:rFonts w:ascii="Arial" w:cs="Arial" w:eastAsia="Arial" w:hAnsi="Arial"/>
                <w:sz w:val="18"/>
                <w:szCs w:val="18"/>
                <w:color w:val="auto"/>
              </w:rPr>
              <w:t>Inventories at September 30, 2020 and 2019 consisted of:</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Net at September 30, 2020 and 2019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Buildings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23"/>
        </w:trPr>
        <w:tc>
          <w:tcPr>
            <w:tcW w:w="3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372"/>
        </w:trPr>
        <w:tc>
          <w:tcPr>
            <w:tcW w:w="3440" w:type="dxa"/>
            <w:vAlign w:val="bottom"/>
          </w:tcPr>
          <w:p>
            <w:pPr>
              <w:spacing w:after="0"/>
              <w:rPr>
                <w:sz w:val="24"/>
                <w:szCs w:val="24"/>
                <w:color w:val="auto"/>
              </w:rPr>
            </w:pPr>
          </w:p>
        </w:tc>
        <w:tc>
          <w:tcPr>
            <w:tcW w:w="2340" w:type="dxa"/>
            <w:vAlign w:val="bottom"/>
            <w:gridSpan w:val="2"/>
          </w:tcPr>
          <w:p>
            <w:pPr>
              <w:jc w:val="right"/>
              <w:ind w:right="1330"/>
              <w:spacing w:after="0"/>
              <w:rPr>
                <w:sz w:val="20"/>
                <w:szCs w:val="20"/>
                <w:color w:val="auto"/>
              </w:rPr>
            </w:pPr>
            <w:r>
              <w:rPr>
                <w:rFonts w:ascii="Arial" w:cs="Arial" w:eastAsia="Arial" w:hAnsi="Arial"/>
                <w:sz w:val="18"/>
                <w:szCs w:val="18"/>
                <w:color w:val="auto"/>
              </w:rPr>
              <w:t>F-24</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Long-lived assets, which include property, plant and equipment, net, goodwill and other intangible assets, and other assets by geographic area where located at September 30, 2020 and 2019 is as follows: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Borders>
              <w:bottom w:val="single" w:sz="8" w:color="CCEEFF"/>
            </w:tcBorders>
          </w:tcPr>
          <w:p>
            <w:pPr>
              <w:spacing w:after="0"/>
              <w:rPr>
                <w:sz w:val="20"/>
                <w:szCs w:val="20"/>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United States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7"/>
        </w:trPr>
        <w:tc>
          <w:tcPr>
            <w:tcW w:w="3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503</w:t>
            </w: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0"/>
        </w:trPr>
        <w:tc>
          <w:tcPr>
            <w:tcW w:w="3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has evaluated subsequent events through July 15, 2021, the date the combined financial statements were available to be issued and determined that there were no items to disclose.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F-25</w:t>
      </w:r>
    </w:p>
    <w:sectPr>
      <w:pgSz w:w="11900" w:h="16838" w:orient="portrait"/>
      <w:cols w:equalWidth="0" w:num="1">
        <w:col w:w="10920"/>
      </w:cols>
      <w:pgMar w:left="320" w:top="45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lvl w:ilvl="1">
      <w:lvlJc w:val="left"/>
      <w:lvlText w:val="(%2)"/>
      <w:numFmt w:val="upperLetter"/>
      <w:start w:val="4"/>
    </w:lvl>
    <w:lvl w:ilvl="2">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3"/>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1)"/>
      <w:numFmt w:val="decimal"/>
      <w:start w:val="4"/>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4"/>
    </w:lvl>
  </w:abstractNum>
  <w:abstractNum w:abstractNumId="52">
    <w:nsid w:val="5F5E7FD0"/>
    <w:multiLevelType w:val="hybridMultilevel"/>
    <w:lvl w:ilvl="0">
      <w:lvlJc w:val="left"/>
      <w:lvlText w:val="(%1)"/>
      <w:numFmt w:val="lowerLetter"/>
      <w:start w:val="6"/>
    </w:lvl>
  </w:abstractNum>
  <w:abstractNum w:abstractNumId="53">
    <w:nsid w:val="98A3148"/>
    <w:multiLevelType w:val="hybridMultilevel"/>
    <w:lvl w:ilvl="0">
      <w:lvlJc w:val="left"/>
      <w:lvlText w:val="(%1)"/>
      <w:numFmt w:val="lowerLetter"/>
      <w:start w:val="7"/>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lowerLetter"/>
      <w:start w:val="9"/>
    </w:lvl>
  </w:abstractNum>
  <w:abstractNum w:abstractNumId="56">
    <w:nsid w:val="42C296BD"/>
    <w:multiLevelType w:val="hybridMultilevel"/>
    <w:lvl w:ilvl="0">
      <w:lvlJc w:val="left"/>
      <w:lvlText w:val="(%1)"/>
      <w:numFmt w:val="lowerLetter"/>
      <w:start w:val="11"/>
    </w:lvl>
    <w:lvl w:ilvl="1">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upperLetter"/>
      <w:start w:val="35"/>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upperLetter"/>
      <w:start w:val="4"/>
    </w:lvl>
    <w:lvl w:ilvl="1">
      <w:lvlJc w:val="left"/>
      <w:lvlText w:val="•"/>
      <w:numFmt w:val="bullet"/>
      <w:start w:val="1"/>
    </w:lvl>
  </w:abstractNum>
  <w:abstractNum w:abstractNumId="77">
    <w:nsid w:val="7FFFCA11"/>
    <w:multiLevelType w:val="hybridMultilevel"/>
    <w:lvl w:ilvl="0">
      <w:lvlJc w:val="left"/>
      <w:lvlText w:val="(%1)"/>
      <w:numFmt w:val="decimal"/>
      <w:start w:val="4"/>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Roman"/>
      <w:start w:val="4"/>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2021-12-22T01:12:59Z</dcterms:created>
  <dcterms:modified xsi:type="dcterms:W3CDTF">2021-12-22T01:12:59Z</dcterms:modified>
</cp:coreProperties>
</file>