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Curtis Shaun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Global Manuf./Sup. Chain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37,789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99,398.549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110,703.549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95,323.549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reported in Column 5 of Table I includes shares received by the reporting person as stock dividends.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upon the certification of performance conditions applicable to performance-based restricted stock units awarded to the reporting person pursuant to the Embecta 2022 Employee and Director Equity-Based Compensation Plan (the "Plan").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payment of withholding taxes in connection with the vesting of restricted stock units as previously reported on Table I and performance-based restricted stock units awarded to the reporting person pursuant to the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Shaun Curtis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0125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2025-12-01T20:18:10Z</dcterms:created>
  <dcterms:modified xsi:type="dcterms:W3CDTF">2025-12-01T20:18:10Z</dcterms:modified>
</cp:coreProperties>
</file>