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February 5, 2026, Embecta Corp. issued a press release (the “Press Release”) regarding its results for the quarter ended December 31, 2025. The Press Release is furnished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February 5, 2026.</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20"/>
        <w:spacing w:after="0"/>
        <w:tabs>
          <w:tab w:leader="none" w:pos="5320" w:val="left"/>
          <w:tab w:leader="none" w:pos="5900" w:val="left"/>
        </w:tabs>
        <w:rPr>
          <w:sz w:val="20"/>
          <w:szCs w:val="20"/>
          <w:color w:val="auto"/>
        </w:rPr>
      </w:pPr>
      <w:r>
        <w:rPr>
          <w:rFonts w:ascii="Times New Roman" w:cs="Times New Roman" w:eastAsia="Times New Roman" w:hAnsi="Times New Roman"/>
          <w:sz w:val="18"/>
          <w:szCs w:val="18"/>
          <w:color w:val="auto"/>
        </w:rPr>
        <w:t>Dated: February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First Quarter Fiscal 2026 Financial Results</w:t>
      </w:r>
    </w:p>
    <w:p>
      <w:pPr>
        <w:spacing w:after="0" w:line="2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Feb 5, 2026 (GLOBE NEWSWIRE) – Embecta Corp. (“embecta” or the "Company") (Nasdaq: EMBC), 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month period ended December 31, 2025.</w:t>
      </w:r>
    </w:p>
    <w:p>
      <w:pPr>
        <w:spacing w:after="0" w:line="10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"During the first quarter our results were largely consistent with our expectations," said Devdatt (Dev) Kurdikar, President and Chief Executive Officer of embecta.</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Mr. Kurdikar added, "As we look ahead, we remain focused on pursuing initiatives that will transform the company into a broad-based medical supplies company which serves chronic care patients and drug delivery partners. This includes maintaining our global leadership position in core injection products, expanding our product portfolio, and creating additional financial flexibility through ongoing debt reduction. Given our performance during the first quarter, coupled with our outlook for the remainder of the year, we are maintaining our previously provided guidance for key financial reporting metrics."</w:t>
      </w:r>
    </w:p>
    <w:p>
      <w:pPr>
        <w:sectPr>
          <w:pgSz w:w="11900" w:h="16838" w:orient="portrait"/>
          <w:cols w:equalWidth="0" w:num="1">
            <w:col w:w="11240"/>
          </w:cols>
          <w:pgMar w:left="320" w:top="1440" w:right="339" w:bottom="9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976"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First Quarter Fiscal Year 2026 Financial Highlights</w:t>
      </w:r>
      <w:r>
        <w:rPr>
          <w:rFonts w:ascii="Arial" w:cs="Arial" w:eastAsia="Arial" w:hAnsi="Arial"/>
          <w:sz w:val="17"/>
          <w:szCs w:val="17"/>
          <w:b w:val="1"/>
          <w:bCs w:val="1"/>
          <w:color w:val="auto"/>
        </w:rPr>
        <w:t>:</w:t>
      </w:r>
    </w:p>
    <w:p>
      <w:pPr>
        <w:spacing w:after="0" w:line="15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Reported revenues of $261.2 million, down 0.3% on a reported basis; down 2.0% on an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7.6% on both a reported and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increased 8.4% on a reported basis, and 4.6% on an adjusted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$161.7 million and 61.9%, compared to $157.1 million and 60.0%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$163.5 million and 62.6%, compared to $164.2 million and 62.7%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$83.3 million and 31.9%, compared to $28.7 million and 11.0%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$79.3 million and 30.4%, compared to $80.5 million and 30.7%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$44.1 million and $0.74, compared to $0.0 million and $0.00 in the prior year period</w:t>
      </w:r>
    </w:p>
    <w:p>
      <w:pPr>
        <w:spacing w:after="0" w:line="155"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$42.3 million and $0.71, compared to $38.3 million and $0.65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$97.2 million and 37.2%, compared to $97.3 million and 37.2%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ectPr>
          <w:pgSz w:w="11900" w:h="16838" w:orient="portrait"/>
          <w:cols w:equalWidth="0" w:num="1">
            <w:col w:w="11240"/>
          </w:cols>
          <w:pgMar w:left="320" w:top="1305"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9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7"/>
          <w:szCs w:val="17"/>
          <w:i w:val="1"/>
          <w:iCs w:val="1"/>
          <w:color w:val="auto"/>
        </w:rPr>
        <w:t>Strengthen core business</w:t>
      </w:r>
    </w:p>
    <w:p>
      <w:pPr>
        <w:spacing w:after="0" w:line="153" w:lineRule="exact"/>
        <w:rPr>
          <w:rFonts w:ascii="Arial" w:cs="Arial" w:eastAsia="Arial" w:hAnsi="Arial"/>
          <w:sz w:val="22"/>
          <w:szCs w:val="22"/>
          <w:color w:val="auto"/>
        </w:rPr>
      </w:pPr>
    </w:p>
    <w:p>
      <w:pPr>
        <w:ind w:left="1300" w:hanging="320"/>
        <w:spacing w:after="0" w:line="267" w:lineRule="auto"/>
        <w:tabs>
          <w:tab w:leader="none" w:pos="1293" w:val="left"/>
        </w:tabs>
        <w:numPr>
          <w:ilvl w:val="1"/>
          <w:numId w:val="4"/>
        </w:numPr>
        <w:rPr>
          <w:rFonts w:ascii="Arial" w:cs="Arial" w:eastAsia="Arial" w:hAnsi="Arial"/>
          <w:sz w:val="17"/>
          <w:szCs w:val="17"/>
          <w:color w:val="auto"/>
        </w:rPr>
      </w:pPr>
      <w:r>
        <w:rPr>
          <w:rFonts w:ascii="Arial" w:cs="Arial" w:eastAsia="Arial" w:hAnsi="Arial"/>
          <w:sz w:val="17"/>
          <w:szCs w:val="17"/>
          <w:color w:val="auto"/>
        </w:rPr>
        <w:t>Advanced the brand transition program in International markets with significant completion anticipated by the end of calendar year 2026</w:t>
      </w:r>
    </w:p>
    <w:p>
      <w:pPr>
        <w:spacing w:after="0" w:line="105" w:lineRule="exact"/>
        <w:rPr>
          <w:rFonts w:ascii="Arial" w:cs="Arial" w:eastAsia="Arial" w:hAnsi="Arial"/>
          <w:sz w:val="17"/>
          <w:szCs w:val="17"/>
          <w:color w:val="auto"/>
        </w:rPr>
      </w:pPr>
    </w:p>
    <w:p>
      <w:pPr>
        <w:ind w:left="1300" w:hanging="320"/>
        <w:spacing w:after="0" w:line="267" w:lineRule="auto"/>
        <w:tabs>
          <w:tab w:leader="none" w:pos="1293" w:val="left"/>
        </w:tabs>
        <w:numPr>
          <w:ilvl w:val="1"/>
          <w:numId w:val="4"/>
        </w:numPr>
        <w:rPr>
          <w:rFonts w:ascii="Arial" w:cs="Arial" w:eastAsia="Arial" w:hAnsi="Arial"/>
          <w:sz w:val="17"/>
          <w:szCs w:val="17"/>
          <w:color w:val="auto"/>
        </w:rPr>
      </w:pPr>
      <w:r>
        <w:rPr>
          <w:rFonts w:ascii="Arial" w:cs="Arial" w:eastAsia="Arial" w:hAnsi="Arial"/>
          <w:sz w:val="17"/>
          <w:szCs w:val="17"/>
          <w:color w:val="auto"/>
        </w:rPr>
        <w:t>Strengthened U.S. Medicare business by contracting with an additional Medicare Part D payer for exclusive access and renewing advantaged formulary status with the previously contracted top 3 Medicare Part D payers</w:t>
      </w:r>
    </w:p>
    <w:p>
      <w:pPr>
        <w:spacing w:after="0" w:line="105" w:lineRule="exact"/>
        <w:rPr>
          <w:rFonts w:ascii="Arial" w:cs="Arial" w:eastAsia="Arial" w:hAnsi="Arial"/>
          <w:sz w:val="17"/>
          <w:szCs w:val="17"/>
          <w:color w:val="auto"/>
        </w:rPr>
      </w:pPr>
    </w:p>
    <w:p>
      <w:pPr>
        <w:ind w:left="1300" w:hanging="320"/>
        <w:spacing w:after="0" w:line="267" w:lineRule="auto"/>
        <w:tabs>
          <w:tab w:leader="none" w:pos="1307" w:val="left"/>
        </w:tabs>
        <w:numPr>
          <w:ilvl w:val="1"/>
          <w:numId w:val="4"/>
        </w:numPr>
        <w:rPr>
          <w:rFonts w:ascii="Arial" w:cs="Arial" w:eastAsia="Arial" w:hAnsi="Arial"/>
          <w:sz w:val="17"/>
          <w:szCs w:val="17"/>
          <w:color w:val="auto"/>
        </w:rPr>
      </w:pPr>
      <w:r>
        <w:rPr>
          <w:rFonts w:ascii="Arial" w:cs="Arial" w:eastAsia="Arial" w:hAnsi="Arial"/>
          <w:sz w:val="17"/>
          <w:szCs w:val="17"/>
          <w:color w:val="auto"/>
        </w:rPr>
        <w:t>Finalized product design and completed assembly line equipment installation for market-appropriate pen needles and syringes; manufacturing validation process in progress</w:t>
      </w:r>
    </w:p>
    <w:p>
      <w:pPr>
        <w:spacing w:after="0" w:line="120"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Expand product portfolio</w:t>
      </w:r>
    </w:p>
    <w:p>
      <w:pPr>
        <w:spacing w:after="0" w:line="167" w:lineRule="exact"/>
        <w:rPr>
          <w:rFonts w:ascii="Arial" w:cs="Arial" w:eastAsia="Arial" w:hAnsi="Arial"/>
          <w:sz w:val="17"/>
          <w:szCs w:val="17"/>
          <w:color w:val="auto"/>
        </w:rPr>
      </w:pPr>
    </w:p>
    <w:p>
      <w:pPr>
        <w:ind w:left="1300" w:hanging="320"/>
        <w:spacing w:after="0" w:line="267" w:lineRule="auto"/>
        <w:tabs>
          <w:tab w:leader="none" w:pos="1307" w:val="left"/>
        </w:tabs>
        <w:numPr>
          <w:ilvl w:val="1"/>
          <w:numId w:val="4"/>
        </w:numPr>
        <w:rPr>
          <w:rFonts w:ascii="Arial" w:cs="Arial" w:eastAsia="Arial" w:hAnsi="Arial"/>
          <w:sz w:val="17"/>
          <w:szCs w:val="17"/>
          <w:color w:val="auto"/>
        </w:rPr>
      </w:pPr>
      <w:r>
        <w:rPr>
          <w:rFonts w:ascii="Arial" w:cs="Arial" w:eastAsia="Arial" w:hAnsi="Arial"/>
          <w:sz w:val="17"/>
          <w:szCs w:val="17"/>
          <w:color w:val="auto"/>
        </w:rPr>
        <w:t>Advanced over one third of the greater than 30 identified potential B2B generic partners either into contract negotiations or have executed contracts</w:t>
      </w:r>
    </w:p>
    <w:p>
      <w:pPr>
        <w:spacing w:after="0" w:line="105" w:lineRule="exact"/>
        <w:rPr>
          <w:rFonts w:ascii="Arial" w:cs="Arial" w:eastAsia="Arial" w:hAnsi="Arial"/>
          <w:sz w:val="17"/>
          <w:szCs w:val="17"/>
          <w:color w:val="auto"/>
        </w:rPr>
      </w:pPr>
    </w:p>
    <w:p>
      <w:pPr>
        <w:ind w:left="1300" w:hanging="320"/>
        <w:spacing w:after="0" w:line="267" w:lineRule="auto"/>
        <w:tabs>
          <w:tab w:leader="none" w:pos="1307" w:val="left"/>
        </w:tabs>
        <w:numPr>
          <w:ilvl w:val="1"/>
          <w:numId w:val="4"/>
        </w:numPr>
        <w:rPr>
          <w:rFonts w:ascii="Arial" w:cs="Arial" w:eastAsia="Arial" w:hAnsi="Arial"/>
          <w:sz w:val="17"/>
          <w:szCs w:val="17"/>
          <w:color w:val="auto"/>
        </w:rPr>
      </w:pPr>
      <w:r>
        <w:rPr>
          <w:rFonts w:ascii="Arial" w:cs="Arial" w:eastAsia="Arial" w:hAnsi="Arial"/>
          <w:sz w:val="17"/>
          <w:szCs w:val="17"/>
          <w:color w:val="auto"/>
        </w:rPr>
        <w:t>Continued to make progress on expanding availability of appropriately sized GLP-1 retail packaging for use with weekly injection therapies</w:t>
      </w:r>
    </w:p>
    <w:p>
      <w:pPr>
        <w:spacing w:after="0" w:line="107"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Increase financial flexibility</w:t>
      </w:r>
    </w:p>
    <w:p>
      <w:pPr>
        <w:spacing w:after="0" w:line="167" w:lineRule="exact"/>
        <w:rPr>
          <w:rFonts w:ascii="Arial" w:cs="Arial" w:eastAsia="Arial" w:hAnsi="Arial"/>
          <w:sz w:val="17"/>
          <w:szCs w:val="17"/>
          <w:color w:val="auto"/>
        </w:rPr>
      </w:pPr>
    </w:p>
    <w:p>
      <w:pPr>
        <w:jc w:val="both"/>
        <w:ind w:left="1300" w:hanging="320"/>
        <w:spacing w:after="0" w:line="235" w:lineRule="auto"/>
        <w:tabs>
          <w:tab w:leader="none" w:pos="1307" w:val="left"/>
        </w:tabs>
        <w:numPr>
          <w:ilvl w:val="1"/>
          <w:numId w:val="4"/>
        </w:numPr>
        <w:rPr>
          <w:rFonts w:ascii="Arial" w:cs="Arial" w:eastAsia="Arial" w:hAnsi="Arial"/>
          <w:sz w:val="17"/>
          <w:szCs w:val="17"/>
          <w:color w:val="auto"/>
        </w:rPr>
      </w:pPr>
      <w:r>
        <w:rPr>
          <w:rFonts w:ascii="Arial" w:cs="Arial" w:eastAsia="Arial" w:hAnsi="Arial"/>
          <w:sz w:val="17"/>
          <w:szCs w:val="17"/>
          <w:color w:val="auto"/>
        </w:rPr>
        <w:t>Reduced debt during the fiscal year 2026 first quarter by paying down approximately $37.5 million of outstanding principal under the term loan B facility that had an interest rate of 300 basis points over the secured overnight financing rate (“SOFR”), with a 0.50% SOFR floor</w:t>
      </w:r>
    </w:p>
    <w:p>
      <w:pPr>
        <w:sectPr>
          <w:pgSz w:w="11900" w:h="16838" w:orient="portrait"/>
          <w:cols w:equalWidth="0" w:num="1">
            <w:col w:w="11240"/>
          </w:cols>
          <w:pgMar w:left="320" w:top="1076" w:right="339" w:bottom="1440" w:gutter="0" w:footer="0" w:header="0"/>
        </w:sectPr>
      </w:pPr>
    </w:p>
    <w:bookmarkStart w:id="6" w:name="page7"/>
    <w:bookmarkEnd w:id="6"/>
    <w:p>
      <w:pPr>
        <w:jc w:val="both"/>
        <w:spacing w:after="0"/>
        <w:rPr>
          <w:sz w:val="20"/>
          <w:szCs w:val="20"/>
          <w:color w:val="auto"/>
        </w:rPr>
      </w:pPr>
      <w:r>
        <w:rPr>
          <w:rFonts w:ascii="Arial" w:cs="Arial" w:eastAsia="Arial" w:hAnsi="Arial"/>
          <w:sz w:val="17"/>
          <w:szCs w:val="17"/>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revenue basis, as we present them, may not be comparable to similarly titled measures used by other companies and are not measures of performance presented in accordance with GAAP.</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2026 Results: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December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Reported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Revenues by product family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December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75"/>
        </w:trPr>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197"/>
        </w:trPr>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r>
      <w:tr>
        <w:trPr>
          <w:trHeight w:val="174"/>
        </w:trPr>
        <w:tc>
          <w:tcPr>
            <w:tcW w:w="158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5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1.5 %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8"/>
                <w:szCs w:val="18"/>
                <w:color w:val="auto"/>
              </w:rPr>
            </w:pPr>
          </w:p>
        </w:tc>
      </w:tr>
      <w:tr>
        <w:trPr>
          <w:trHeight w:val="212"/>
        </w:trPr>
        <w:tc>
          <w:tcPr>
            <w:tcW w:w="1580" w:type="dxa"/>
            <w:vAlign w:val="bottom"/>
          </w:tcPr>
          <w:p>
            <w:pPr>
              <w:ind w:left="20"/>
              <w:spacing w:after="0"/>
              <w:rPr>
                <w:sz w:val="20"/>
                <w:szCs w:val="20"/>
                <w:color w:val="auto"/>
              </w:rPr>
            </w:pPr>
            <w:r>
              <w:rPr>
                <w:rFonts w:ascii="Arial" w:cs="Arial" w:eastAsia="Arial" w:hAnsi="Arial"/>
                <w:sz w:val="14"/>
                <w:szCs w:val="14"/>
                <w:color w:val="auto"/>
              </w:rPr>
              <w:t>Syringes</w:t>
            </w:r>
          </w:p>
        </w:tc>
        <w:tc>
          <w:tcPr>
            <w:tcW w:w="24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8"/>
                <w:szCs w:val="18"/>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9"/>
                <w:szCs w:val="19"/>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21"/>
                <w:szCs w:val="21"/>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21"/>
                <w:szCs w:val="21"/>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21"/>
                <w:szCs w:val="2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18"/>
                <w:szCs w:val="18"/>
                <w:color w:val="auto"/>
              </w:rPr>
            </w:pPr>
          </w:p>
        </w:tc>
      </w:tr>
      <w:tr>
        <w:trPr>
          <w:trHeight w:val="210"/>
        </w:trPr>
        <w:tc>
          <w:tcPr>
            <w:tcW w:w="158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261.2</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261.2</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261.9</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261.9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ectPr>
          <w:pgSz w:w="11900" w:h="16838" w:orient="portrait"/>
          <w:cols w:equalWidth="0" w:num="1">
            <w:col w:w="11240"/>
          </w:cols>
          <w:pgMar w:left="320" w:top="819" w:right="339" w:bottom="1440" w:gutter="0" w:footer="0" w:header="0"/>
        </w:sectPr>
      </w:pPr>
    </w:p>
    <w:bookmarkStart w:id="7" w:name="page8"/>
    <w:bookmarkEnd w:id="7"/>
    <w:p>
      <w:pPr>
        <w:spacing w:after="0" w:line="242" w:lineRule="auto"/>
        <w:rPr>
          <w:sz w:val="20"/>
          <w:szCs w:val="20"/>
          <w:color w:val="auto"/>
        </w:rPr>
      </w:pPr>
      <w:r>
        <w:rPr>
          <w:rFonts w:ascii="Arial" w:cs="Arial" w:eastAsia="Arial" w:hAnsi="Arial"/>
          <w:sz w:val="17"/>
          <w:szCs w:val="17"/>
          <w:color w:val="auto"/>
        </w:rPr>
        <w:t>The Company's revenues decreased by $0.7 million, or 0.3%, to $261.2 million for the three months ended December 31, 2025 as compared to revenues of $261.9 million for the three months ended December 31, 2024. Changes in revenues are driven by the volume of goods that the Company sells, the prices it negotiates with customers, and changes in foreign exchange rates. The decrease in revenues was driven by $7.8 million of unfavorable changes in price and a $0.7 million decrease in contract manufacturing revenues related to sales of non-diabetes products to Becton, Dickinson and Company (“BD”), partially offset by $4.6 million associated with the positive impact of foreign currency translation primarily due to the weakening of the U.S. dollar and $3.2 million of favorable changes in volume.</w:t>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auto"/>
        </w:rPr>
        <w:t>Fiscal Year 2026 Updated Financial Guidance: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2026, the Company now expects: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3"/>
          </w:tcPr>
          <w:p>
            <w:pPr>
              <w:ind w:left="700"/>
              <w:spacing w:after="0"/>
              <w:rPr>
                <w:sz w:val="20"/>
                <w:szCs w:val="20"/>
                <w:color w:val="auto"/>
              </w:rPr>
            </w:pPr>
            <w:r>
              <w:rPr>
                <w:rFonts w:ascii="Arial" w:cs="Arial" w:eastAsia="Arial" w:hAnsi="Arial"/>
                <w:sz w:val="16"/>
                <w:szCs w:val="16"/>
                <w:b w:val="1"/>
                <w:bCs w:val="1"/>
                <w:color w:val="auto"/>
              </w:rPr>
              <w:t>Current</w:t>
            </w:r>
          </w:p>
        </w:tc>
        <w:tc>
          <w:tcPr>
            <w:tcW w:w="2000" w:type="dxa"/>
            <w:vAlign w:val="bottom"/>
            <w:gridSpan w:val="2"/>
          </w:tcPr>
          <w:p>
            <w:pPr>
              <w:ind w:left="580"/>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16"/>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Reported Revenues</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$1,093</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$1,093</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Reported Revenue Growth (%)</w:t>
            </w:r>
          </w:p>
        </w:tc>
        <w:tc>
          <w:tcPr>
            <w:tcW w:w="2000" w:type="dxa"/>
            <w:vAlign w:val="bottom"/>
            <w:gridSpan w:val="2"/>
          </w:tcPr>
          <w:p>
            <w:pPr>
              <w:jc w:val="center"/>
              <w:spacing w:after="0"/>
              <w:rPr>
                <w:sz w:val="20"/>
                <w:szCs w:val="20"/>
                <w:color w:val="auto"/>
              </w:rPr>
            </w:pPr>
            <w:r>
              <w:rPr>
                <w:rFonts w:ascii="Arial" w:cs="Arial" w:eastAsia="Arial" w:hAnsi="Arial"/>
                <w:sz w:val="16"/>
                <w:szCs w:val="16"/>
                <w:color w:val="auto"/>
              </w:rPr>
              <w:t>(0.9)% - 1.1%</w:t>
            </w:r>
          </w:p>
        </w:tc>
        <w:tc>
          <w:tcPr>
            <w:tcW w:w="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color w:val="auto"/>
              </w:rPr>
              <w:t>(0.9)% - 1.1%</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Impact of F/X (%)</w:t>
            </w: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w w:val="98"/>
              </w:rPr>
              <w:t>1.2%</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w w:val="98"/>
              </w:rPr>
              <w:t>1.2%</w:t>
            </w:r>
          </w:p>
        </w:tc>
      </w:tr>
      <w:tr>
        <w:trPr>
          <w:trHeight w:val="216"/>
        </w:trPr>
        <w:tc>
          <w:tcPr>
            <w:tcW w:w="7080" w:type="dxa"/>
            <w:vAlign w:val="bottom"/>
            <w:gridSpan w:val="2"/>
          </w:tcPr>
          <w:p>
            <w:pPr>
              <w:ind w:left="140"/>
              <w:spacing w:after="0" w:line="216" w:lineRule="exact"/>
              <w:rPr>
                <w:sz w:val="20"/>
                <w:szCs w:val="20"/>
                <w:color w:val="auto"/>
              </w:rPr>
            </w:pPr>
            <w:r>
              <w:rPr>
                <w:rFonts w:ascii="Arial" w:cs="Arial" w:eastAsia="Arial" w:hAnsi="Arial"/>
                <w:sz w:val="16"/>
                <w:szCs w:val="16"/>
                <w:i w:val="1"/>
                <w:iCs w:val="1"/>
                <w:color w:val="auto"/>
              </w:rPr>
              <w:t xml:space="preserve">Impact of Italian Payback Measure </w:t>
            </w: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w:t>
            </w:r>
          </w:p>
        </w:tc>
        <w:tc>
          <w:tcPr>
            <w:tcW w:w="2000" w:type="dxa"/>
            <w:vAlign w:val="bottom"/>
            <w:gridSpan w:val="2"/>
          </w:tcPr>
          <w:p>
            <w:pPr>
              <w:jc w:val="center"/>
              <w:spacing w:after="0"/>
              <w:rPr>
                <w:sz w:val="20"/>
                <w:szCs w:val="20"/>
                <w:color w:val="auto"/>
              </w:rPr>
            </w:pPr>
            <w:r>
              <w:rPr>
                <w:rFonts w:ascii="Arial" w:cs="Arial" w:eastAsia="Arial" w:hAnsi="Arial"/>
                <w:sz w:val="16"/>
                <w:szCs w:val="16"/>
                <w:i w:val="1"/>
                <w:iCs w:val="1"/>
                <w:color w:val="auto"/>
              </w:rPr>
              <w:t>(0.1)%</w:t>
            </w:r>
          </w:p>
        </w:tc>
        <w:tc>
          <w:tcPr>
            <w:tcW w:w="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i w:val="1"/>
                <w:iCs w:val="1"/>
                <w:color w:val="auto"/>
              </w:rPr>
              <w:t>(0.1)%</w:t>
            </w: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Constant Currency Revenue Growth (%)</w:t>
            </w: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 - 0.0%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 - 0.0%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Operating Margin (%)</w:t>
            </w:r>
          </w:p>
        </w:tc>
        <w:tc>
          <w:tcPr>
            <w:tcW w:w="960" w:type="dxa"/>
            <w:vAlign w:val="bottom"/>
          </w:tcPr>
          <w:p>
            <w:pPr>
              <w:jc w:val="right"/>
              <w:spacing w:after="0"/>
              <w:rPr>
                <w:sz w:val="20"/>
                <w:szCs w:val="20"/>
                <w:color w:val="auto"/>
              </w:rPr>
            </w:pPr>
            <w:r>
              <w:rPr>
                <w:rFonts w:ascii="Arial" w:cs="Arial" w:eastAsia="Arial" w:hAnsi="Arial"/>
                <w:sz w:val="16"/>
                <w:szCs w:val="16"/>
                <w:color w:val="auto"/>
              </w:rPr>
              <w:t>29.0%</w:t>
            </w:r>
          </w:p>
        </w:tc>
        <w:tc>
          <w:tcPr>
            <w:tcW w:w="1040" w:type="dxa"/>
            <w:vAlign w:val="bottom"/>
          </w:tcPr>
          <w:p>
            <w:pPr>
              <w:ind w:left="20"/>
              <w:spacing w:after="0"/>
              <w:rPr>
                <w:sz w:val="20"/>
                <w:szCs w:val="20"/>
                <w:color w:val="auto"/>
              </w:rPr>
            </w:pPr>
            <w:r>
              <w:rPr>
                <w:rFonts w:ascii="Arial" w:cs="Arial" w:eastAsia="Arial" w:hAnsi="Arial"/>
                <w:sz w:val="16"/>
                <w:szCs w:val="16"/>
                <w:color w:val="auto"/>
              </w:rPr>
              <w:t>- 30.0%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w:t>
            </w:r>
          </w:p>
        </w:tc>
        <w:tc>
          <w:tcPr>
            <w:tcW w:w="1040" w:type="dxa"/>
            <w:vAlign w:val="bottom"/>
          </w:tcPr>
          <w:p>
            <w:pPr>
              <w:ind w:left="20"/>
              <w:spacing w:after="0"/>
              <w:rPr>
                <w:sz w:val="20"/>
                <w:szCs w:val="20"/>
                <w:color w:val="auto"/>
              </w:rPr>
            </w:pPr>
            <w:r>
              <w:rPr>
                <w:rFonts w:ascii="Arial" w:cs="Arial" w:eastAsia="Arial" w:hAnsi="Arial"/>
                <w:sz w:val="16"/>
                <w:szCs w:val="16"/>
                <w:color w:val="auto"/>
              </w:rPr>
              <w:t>- 30.0%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Earnings per Diluted Share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$3.00</w:t>
            </w:r>
          </w:p>
        </w:tc>
      </w:tr>
    </w:tbl>
    <w:p>
      <w:pPr>
        <w:spacing w:after="0" w:line="369"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Previous guidance was issued on Nov 25, 2025.</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recognition of changes in estimates associated with the Italian payback measure relating to certain prior years since 2015 recorded in Revenues.</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are unable to present a quantitative reconciliation of our expected adjusted operating margin, and expected adjusted earnings per diluted share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December 31, 2025, the Company had approximately $204.4 million in cash and equivalents and restricted cash and $1.379 billion of debt principal outstanding, and no amount drawn on its $500 million Revolving Credit Facility.</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March 17, 2026 to stockholders of record at the close of business on February 27, 2026.</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2026 Earnings Conference Call: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Management will host a conference call at 8:00 a.m. Eastern Time (ET) on February 5, 2026 to discuss the results of the quarter, provide an update</w:t>
      </w:r>
    </w:p>
    <w:p>
      <w:pPr>
        <w:spacing w:after="0" w:line="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on 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xml:space="preserve">, or access the 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r>
        <w:rPr>
          <w:rFonts w:ascii="Arial" w:cs="Arial" w:eastAsia="Arial" w:hAnsi="Arial"/>
          <w:sz w:val="17"/>
          <w:szCs w:val="17"/>
          <w:color w:val="auto"/>
        </w:rPr>
        <w:t>.</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 webcast replay of the call will be available beginning at 11:00 a.m. ET on February 5, 2026, via the embecta investor relations website and archived on the website for one year.</w:t>
      </w:r>
    </w:p>
    <w:p>
      <w:pPr>
        <w:sectPr>
          <w:pgSz w:w="11900" w:h="16838" w:orient="portrait"/>
          <w:cols w:equalWidth="0" w:num="1">
            <w:col w:w="11240"/>
          </w:cols>
          <w:pgMar w:left="320" w:top="1238" w:right="339" w:bottom="1440" w:gutter="0" w:footer="0" w:header="0"/>
        </w:sectPr>
      </w:pPr>
    </w:p>
    <w:bookmarkStart w:id="9" w:name="page10"/>
    <w:bookmarkEnd w:id="9"/>
    <w:p>
      <w:pPr>
        <w:ind w:left="3560"/>
        <w:spacing w:after="0"/>
        <w:rPr>
          <w:sz w:val="20"/>
          <w:szCs w:val="20"/>
          <w:color w:val="auto"/>
        </w:rPr>
      </w:pPr>
      <w:r>
        <w:rPr>
          <w:rFonts w:ascii="Arial" w:cs="Arial" w:eastAsia="Arial" w:hAnsi="Arial"/>
          <w:sz w:val="18"/>
          <w:szCs w:val="18"/>
          <w:b w:val="1"/>
          <w:bCs w:val="1"/>
          <w:color w:val="auto"/>
        </w:rPr>
        <w:t>Condensed Consolidated Statements of Income</w:t>
      </w:r>
    </w:p>
    <w:p>
      <w:pPr>
        <w:ind w:left="496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7"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Three Months Ended</w:t>
      </w:r>
    </w:p>
    <w:p>
      <w:pPr>
        <w:jc w:val="center"/>
        <w:ind w:left="8140"/>
        <w:spacing w:after="0"/>
        <w:rPr>
          <w:sz w:val="20"/>
          <w:szCs w:val="20"/>
          <w:color w:val="auto"/>
        </w:rPr>
      </w:pPr>
      <w:r>
        <w:rPr>
          <w:rFonts w:ascii="Arial" w:cs="Arial" w:eastAsia="Arial" w:hAnsi="Arial"/>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229"/>
        </w:trPr>
        <w:tc>
          <w:tcPr>
            <w:tcW w:w="8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104.8</w:t>
            </w: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(income) expense, net</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128.4</w:t>
            </w: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8"/>
        </w:trPr>
        <w:tc>
          <w:tcPr>
            <w:tcW w:w="81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8"/>
        </w:trPr>
        <w:tc>
          <w:tcPr>
            <w:tcW w:w="8160" w:type="dxa"/>
            <w:vAlign w:val="bottom"/>
          </w:tcPr>
          <w:p>
            <w:pPr>
              <w:ind w:left="106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60" w:type="dxa"/>
            <w:vAlign w:val="bottom"/>
          </w:tcPr>
          <w:p>
            <w:pPr>
              <w:ind w:left="12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200"/>
          </w:cols>
          <w:pgMar w:left="340" w:top="1255" w:right="359" w:bottom="1440" w:gutter="0" w:footer="0" w:header="0"/>
        </w:sectPr>
      </w:pPr>
    </w:p>
    <w:bookmarkStart w:id="10" w:name="page11"/>
    <w:bookmarkEnd w:id="10"/>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2025</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and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15"/>
        </w:trPr>
        <w:tc>
          <w:tcPr>
            <w:tcW w:w="7380" w:type="dxa"/>
            <w:vAlign w:val="bottom"/>
          </w:tcPr>
          <w:p>
            <w:pPr>
              <w:ind w:left="6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receivables, net (net of allowance for doubtful accounts of $2.0 million and $1.8 million</w:t>
            </w:r>
          </w:p>
        </w:tc>
        <w:tc>
          <w:tcPr>
            <w:tcW w:w="16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as of December 31, 2025 and September 30, 2025, respectively)</w:t>
            </w:r>
          </w:p>
        </w:tc>
        <w:tc>
          <w:tcPr>
            <w:tcW w:w="160" w:type="dxa"/>
            <w:vAlign w:val="bottom"/>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Materials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Finished products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Inventories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1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Prepaid expenses and other</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631.4</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Assets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Accrued expenses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Salaries, wages and related items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debt obligations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finance lease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Contingencies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Common stock, $0.01 par value</w:t>
            </w: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Authorized - 250,000,000</w:t>
            </w: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80" w:type="dxa"/>
            <w:vAlign w:val="bottom"/>
            <w:shd w:val="clear" w:color="auto" w:fill="CCEEFF"/>
          </w:tcPr>
          <w:p>
            <w:pPr>
              <w:ind w:left="700"/>
              <w:spacing w:after="0" w:line="175" w:lineRule="exact"/>
              <w:rPr>
                <w:sz w:val="20"/>
                <w:szCs w:val="20"/>
                <w:color w:val="auto"/>
              </w:rPr>
            </w:pPr>
            <w:r>
              <w:rPr>
                <w:rFonts w:ascii="Arial" w:cs="Arial" w:eastAsia="Arial" w:hAnsi="Arial"/>
                <w:sz w:val="16"/>
                <w:szCs w:val="16"/>
                <w:color w:val="auto"/>
              </w:rPr>
              <w:t>Issued and outstanding - 59,211,992 as of December 31, 2025 and 58,496,113 as of</w:t>
            </w: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September 30,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(285.6)</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(650.6)</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2" w:right="339" w:bottom="1440" w:gutter="0" w:footer="0" w:header="0"/>
        </w:sectPr>
      </w:pPr>
    </w:p>
    <w:bookmarkStart w:id="11" w:name="page12"/>
    <w:bookmarkEnd w:id="11"/>
    <w:p>
      <w:pPr>
        <w:ind w:left="338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6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Three Months Ended</w:t>
      </w:r>
    </w:p>
    <w:p>
      <w:pPr>
        <w:jc w:val="center"/>
        <w:ind w:left="81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10795</wp:posOffset>
            </wp:positionV>
            <wp:extent cx="19373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2"/>
        </w:trPr>
        <w:tc>
          <w:tcPr>
            <w:tcW w:w="81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of property, plant and equipment</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Gain on sale of certain intellectual property rights and long-lived assets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cloud computing arrangements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Trade receivables, net</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Prepaid expenses and other</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Income and other net taxes payable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assets and liabilities, net</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provided by (used for) operating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Capital expenditures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Proceeds from the sale of certain intellectual property rights and long-lived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provided by (used for) investing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long-term debt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finance lease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Dividend payments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Change in Cash and equivalents and restricted cash</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Opening Cash and equivalents and restricted cash</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Closing Cash and equivalents and restricted cash</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12"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(vii) Adjusted Net Income and Adjusted Earnings Per Diluted Share, and (viii) Free Cash Flow.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pgSz w:w="11900" w:h="16838" w:orient="portrait"/>
          <w:cols w:equalWidth="0" w:num="1">
            <w:col w:w="11240"/>
          </w:cols>
          <w:pgMar w:left="320" w:top="1184" w:right="339" w:bottom="1440" w:gutter="0" w:footer="0" w:header="0"/>
        </w:sectPr>
      </w:pPr>
    </w:p>
    <w:bookmarkStart w:id="13" w:name="page14"/>
    <w:bookmarkEnd w:id="13"/>
    <w:p>
      <w:pPr>
        <w:spacing w:after="0" w:line="251" w:lineRule="auto"/>
        <w:rPr>
          <w:sz w:val="20"/>
          <w:szCs w:val="20"/>
          <w:color w:val="auto"/>
        </w:rPr>
      </w:pPr>
      <w:r>
        <w:rPr>
          <w:rFonts w:ascii="Arial" w:cs="Arial" w:eastAsia="Arial" w:hAnsi="Arial"/>
          <w:sz w:val="17"/>
          <w:szCs w:val="17"/>
          <w:color w:val="auto"/>
        </w:rPr>
        <w:t>For the three month periods ended December 31, 2025 and 2024, the reconciliation of (1) GAAP Revenues ("Reported Revenues") to Adjusted Revenues, and (2) GAAP Net income to EBITDA and Adjusted EBITDA was as follows (unaudited, in millions):</w:t>
      </w:r>
    </w:p>
    <w:p>
      <w:pPr>
        <w:spacing w:after="0" w:line="214" w:lineRule="exact"/>
        <w:rPr>
          <w:sz w:val="20"/>
          <w:szCs w:val="20"/>
          <w:color w:val="auto"/>
        </w:rPr>
      </w:pPr>
    </w:p>
    <w:p>
      <w:pPr>
        <w:jc w:val="center"/>
        <w:ind w:left="7520"/>
        <w:spacing w:after="0"/>
        <w:rPr>
          <w:sz w:val="20"/>
          <w:szCs w:val="20"/>
          <w:color w:val="auto"/>
        </w:rPr>
      </w:pPr>
      <w:r>
        <w:rPr>
          <w:rFonts w:ascii="Arial" w:cs="Arial" w:eastAsia="Arial" w:hAnsi="Arial"/>
          <w:sz w:val="16"/>
          <w:szCs w:val="16"/>
          <w:b w:val="1"/>
          <w:bCs w:val="1"/>
          <w:color w:val="auto"/>
        </w:rPr>
        <w:t>Three Months Ended</w:t>
      </w:r>
    </w:p>
    <w:p>
      <w:pPr>
        <w:jc w:val="center"/>
        <w:ind w:left="75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10795</wp:posOffset>
            </wp:positionV>
            <wp:extent cx="2331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75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261.2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261.9</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112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261.9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8"/>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8"/>
        </w:trPr>
        <w:tc>
          <w:tcPr>
            <w:tcW w:w="7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36.6</w:t>
            </w:r>
          </w:p>
        </w:tc>
        <w:tc>
          <w:tcPr>
            <w:tcW w:w="0" w:type="dxa"/>
            <w:vAlign w:val="bottom"/>
          </w:tcPr>
          <w:p>
            <w:pPr>
              <w:spacing w:after="0"/>
              <w:rPr>
                <w:sz w:val="1"/>
                <w:szCs w:val="1"/>
                <w:color w:val="auto"/>
              </w:rPr>
            </w:pPr>
          </w:p>
        </w:tc>
      </w:tr>
      <w:tr>
        <w:trPr>
          <w:trHeight w:val="237"/>
        </w:trPr>
        <w:tc>
          <w:tcPr>
            <w:tcW w:w="754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1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1"/>
                <w:szCs w:val="21"/>
                <w:color w:val="auto"/>
                <w:vertAlign w:val="superscript"/>
              </w:rPr>
              <w:t>(4)</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(Income) expense associated with the discontinued patch pump program </w:t>
            </w:r>
            <w:r>
              <w:rPr>
                <w:rFonts w:ascii="Arial" w:cs="Arial" w:eastAsia="Arial" w:hAnsi="Arial"/>
                <w:sz w:val="21"/>
                <w:szCs w:val="21"/>
                <w:color w:val="auto"/>
                <w:vertAlign w:val="superscript"/>
              </w:rPr>
              <w:t>(5)</w:t>
            </w: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61"/>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37.2 %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37.2 %</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500" w:hanging="388"/>
        <w:spacing w:after="0" w:line="23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months ended December 31, 2025 and 2024, respectively. For the three months ended December 31, 2025, $5.0 million is recorded in Selling and administrative expense, $0.8 million is recorded in Cost of products sold, and $0.1 million is recorded in Research and development expense. For the three months ended, December 31, 2024, $7.4 million is recorded in Selling and administrative expense, $0.9 million is recorded in Other operating (income) expense, net, $0.6 million is recorded in Cost of products sold, and $0.1 million is recorded in Research and development expense.</w:t>
      </w:r>
    </w:p>
    <w:p>
      <w:pPr>
        <w:spacing w:after="0" w:line="14" w:lineRule="exact"/>
        <w:rPr>
          <w:rFonts w:ascii="Arial" w:cs="Arial" w:eastAsia="Arial" w:hAnsi="Arial"/>
          <w:sz w:val="14"/>
          <w:szCs w:val="14"/>
          <w:color w:val="auto"/>
        </w:rPr>
      </w:pPr>
    </w:p>
    <w:p>
      <w:pPr>
        <w:jc w:val="both"/>
        <w:ind w:left="500" w:hanging="388"/>
        <w:spacing w:after="0" w:line="225"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December 31, 2025, approximately $3.1 million is recorded in Other operating (income) expense, net, $1.4 is recorded in Cost of products sold, and $0.3 million is recorded in Research and development expense. For the three months ended December 31, 2024, approximately $10.2 million is recorded in Other operating (income) expense, net and $0.2 million is recorded in Cost of products sold.</w:t>
      </w:r>
    </w:p>
    <w:p>
      <w:pPr>
        <w:spacing w:after="0" w:line="12" w:lineRule="exact"/>
        <w:rPr>
          <w:rFonts w:ascii="Arial" w:cs="Arial" w:eastAsia="Arial" w:hAnsi="Arial"/>
          <w:sz w:val="14"/>
          <w:szCs w:val="14"/>
          <w:color w:val="auto"/>
        </w:rPr>
      </w:pPr>
    </w:p>
    <w:p>
      <w:pPr>
        <w:jc w:val="both"/>
        <w:ind w:left="500" w:hanging="388"/>
        <w:spacing w:after="0" w:line="23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For the three months ended December 31, 2025, $0.2 million is recorded in Research and development expense. For the three months ended December 31, 2024, $0.3 million is recorded in Research and development expense and $0.1 million is recorded in Cost of products sold.</w:t>
      </w:r>
    </w:p>
    <w:p>
      <w:pPr>
        <w:spacing w:after="0" w:line="2"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recognized in Other operating (income) expense, net.</w:t>
      </w:r>
    </w:p>
    <w:p>
      <w:pPr>
        <w:spacing w:after="0" w:line="40" w:lineRule="exact"/>
        <w:rPr>
          <w:rFonts w:ascii="Arial" w:cs="Arial" w:eastAsia="Arial" w:hAnsi="Arial"/>
          <w:sz w:val="14"/>
          <w:szCs w:val="14"/>
          <w:color w:val="auto"/>
        </w:rPr>
      </w:pPr>
    </w:p>
    <w:p>
      <w:pPr>
        <w:jc w:val="both"/>
        <w:ind w:left="500" w:hanging="388"/>
        <w:spacing w:after="0" w:line="224"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income and expenses incurred during the three months ended December 31, 2025 and 2024 associated with the discontinued patch pump program, excluding those program costs classified above within Depreciation and amortization and Stock-based compensation expense. These items are primarily one-time in nature that we do not view as fundamental to operate our core business. The items primarily consist of severance-related costs, asset impairments, contract termination costs, a gain on sale of certain assets, and other operating costs. For the three months ended December 31, 2025, a $10.1 million gain is recorded in Other operating (income) expense, net, a $0.4 million charge is recorded in Research and development expense, and a $0.1 million charge is recorded in Cost of products sold. For the three months ended December 31, 2024, $18.0 million is recorded in Research and development expense, $13.4 million is recorded in Other operating (income) expense, net, $6.5 million is recorded in Cost of products sold, and $0.5 million is recorded in Selling and administrative expense.</w:t>
      </w:r>
    </w:p>
    <w:p>
      <w:pPr>
        <w:sectPr>
          <w:pgSz w:w="11900" w:h="16838" w:orient="portrait"/>
          <w:cols w:equalWidth="0" w:num="1">
            <w:col w:w="11240"/>
          </w:cols>
          <w:pgMar w:left="320" w:top="1170" w:right="339" w:bottom="1440" w:gutter="0" w:footer="0" w:header="0"/>
        </w:sectPr>
      </w:pPr>
    </w:p>
    <w:bookmarkStart w:id="14" w:name="page15"/>
    <w:bookmarkEnd w:id="14"/>
    <w:p>
      <w:pPr>
        <w:jc w:val="both"/>
        <w:spacing w:after="0" w:line="249" w:lineRule="auto"/>
        <w:rPr>
          <w:sz w:val="20"/>
          <w:szCs w:val="20"/>
          <w:color w:val="auto"/>
        </w:rPr>
      </w:pPr>
      <w:r>
        <w:rPr>
          <w:rFonts w:ascii="Arial" w:cs="Arial" w:eastAsia="Arial" w:hAnsi="Arial"/>
          <w:sz w:val="17"/>
          <w:szCs w:val="17"/>
          <w:color w:val="auto"/>
        </w:rPr>
        <w:t>For the three month periods ended December 31, 2025 and 2024, the reconciliations of (1) GAAP Revenues ("Reported Revenues") to Adjusted Revenues (2) GAAP Gross Profit and Gross Margin to Adjusted Gross Profit and Adjusted Gross Margin, (3) GAAP Operating Income and Operating Margin to Adjusted Operating Income and Adjusted Operating Income Margin, (4) GAAP Net Income Per Diluted Share to Adjusted Net Income Per Diluted Share, and (5) Free Cash Flow are as follows (unaudited in millions, except per share amounts): were as follows (unaudited in millions, except per share amounts):</w:t>
      </w:r>
    </w:p>
    <w:p>
      <w:pPr>
        <w:spacing w:after="0" w:line="230" w:lineRule="exact"/>
        <w:rPr>
          <w:sz w:val="20"/>
          <w:szCs w:val="20"/>
          <w:color w:val="auto"/>
        </w:rPr>
      </w:pPr>
    </w:p>
    <w:p>
      <w:pPr>
        <w:jc w:val="center"/>
        <w:ind w:left="7520"/>
        <w:spacing w:after="0"/>
        <w:rPr>
          <w:sz w:val="20"/>
          <w:szCs w:val="20"/>
          <w:color w:val="auto"/>
        </w:rPr>
      </w:pPr>
      <w:r>
        <w:rPr>
          <w:rFonts w:ascii="Arial" w:cs="Arial" w:eastAsia="Arial" w:hAnsi="Arial"/>
          <w:sz w:val="16"/>
          <w:szCs w:val="16"/>
          <w:b w:val="1"/>
          <w:bCs w:val="1"/>
          <w:color w:val="auto"/>
        </w:rPr>
        <w:t>Three Months Ended</w:t>
      </w:r>
    </w:p>
    <w:p>
      <w:pPr>
        <w:jc w:val="center"/>
        <w:ind w:left="75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10795</wp:posOffset>
            </wp:positionV>
            <wp:extent cx="2331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21"/>
        </w:trPr>
        <w:tc>
          <w:tcPr>
            <w:tcW w:w="75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261.2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261.9</w:t>
            </w: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112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2"/>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261.9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7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157.1</w:t>
            </w:r>
          </w:p>
        </w:tc>
      </w:tr>
      <w:tr>
        <w:trPr>
          <w:trHeight w:val="222"/>
        </w:trPr>
        <w:tc>
          <w:tcPr>
            <w:tcW w:w="7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61.9 %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60.0 %</w:t>
            </w:r>
          </w:p>
        </w:tc>
      </w:tr>
      <w:tr>
        <w:trPr>
          <w:trHeight w:val="21"/>
        </w:trPr>
        <w:tc>
          <w:tcPr>
            <w:tcW w:w="7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r>
      <w:tr>
        <w:trPr>
          <w:trHeight w:val="243"/>
        </w:trPr>
        <w:tc>
          <w:tcPr>
            <w:tcW w:w="754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120" w:type="dxa"/>
            <w:vAlign w:val="bottom"/>
          </w:tcPr>
          <w:p>
            <w:pPr>
              <w:spacing w:after="0"/>
              <w:rPr>
                <w:sz w:val="21"/>
                <w:szCs w:val="21"/>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r>
      <w:tr>
        <w:trPr>
          <w:trHeight w:val="243"/>
        </w:trPr>
        <w:tc>
          <w:tcPr>
            <w:tcW w:w="7540" w:type="dxa"/>
            <w:vAlign w:val="bottom"/>
          </w:tcPr>
          <w:p>
            <w:pPr>
              <w:ind w:left="20"/>
              <w:spacing w:after="0"/>
              <w:rPr>
                <w:sz w:val="20"/>
                <w:szCs w:val="20"/>
                <w:color w:val="auto"/>
              </w:rPr>
            </w:pPr>
            <w:r>
              <w:rPr>
                <w:rFonts w:ascii="Arial" w:cs="Arial" w:eastAsia="Arial" w:hAnsi="Arial"/>
                <w:sz w:val="16"/>
                <w:szCs w:val="16"/>
                <w:color w:val="auto"/>
              </w:rPr>
              <w:t xml:space="preserve">Expense associated with the discontinued patch pump program </w:t>
            </w:r>
            <w:r>
              <w:rPr>
                <w:rFonts w:ascii="Arial" w:cs="Arial" w:eastAsia="Arial" w:hAnsi="Arial"/>
                <w:sz w:val="21"/>
                <w:szCs w:val="21"/>
                <w:color w:val="auto"/>
                <w:vertAlign w:val="superscript"/>
              </w:rPr>
              <w:t>(4)</w:t>
            </w:r>
          </w:p>
        </w:tc>
        <w:tc>
          <w:tcPr>
            <w:tcW w:w="1120" w:type="dxa"/>
            <w:vAlign w:val="bottom"/>
          </w:tcPr>
          <w:p>
            <w:pPr>
              <w:spacing w:after="0"/>
              <w:rPr>
                <w:sz w:val="21"/>
                <w:szCs w:val="21"/>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6.5</w:t>
            </w: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163.5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164.2</w:t>
            </w:r>
          </w:p>
        </w:tc>
      </w:tr>
      <w:tr>
        <w:trPr>
          <w:trHeight w:val="222"/>
        </w:trPr>
        <w:tc>
          <w:tcPr>
            <w:tcW w:w="7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62.6 %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62.7 %</w:t>
            </w:r>
          </w:p>
        </w:tc>
      </w:tr>
    </w:tbl>
    <w:p>
      <w:pPr>
        <w:spacing w:after="0" w:line="147" w:lineRule="exact"/>
        <w:rPr>
          <w:sz w:val="20"/>
          <w:szCs w:val="20"/>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29"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One-time stand-up costs incurred are primarily attributed to brand transition.</w:t>
      </w:r>
    </w:p>
    <w:p>
      <w:pPr>
        <w:spacing w:after="0" w:line="40" w:lineRule="exact"/>
        <w:rPr>
          <w:rFonts w:ascii="Arial" w:cs="Arial" w:eastAsia="Arial" w:hAnsi="Arial"/>
          <w:sz w:val="14"/>
          <w:szCs w:val="14"/>
          <w:color w:val="auto"/>
        </w:rPr>
      </w:pPr>
    </w:p>
    <w:p>
      <w:pPr>
        <w:jc w:val="both"/>
        <w:ind w:left="500" w:hanging="388"/>
        <w:spacing w:after="0"/>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w:t>
      </w:r>
    </w:p>
    <w:p>
      <w:pPr>
        <w:spacing w:after="0" w:line="164" w:lineRule="exact"/>
        <w:rPr>
          <w:rFonts w:ascii="Arial" w:cs="Arial" w:eastAsia="Arial" w:hAnsi="Arial"/>
          <w:sz w:val="14"/>
          <w:szCs w:val="14"/>
          <w:color w:val="auto"/>
        </w:rPr>
      </w:pPr>
    </w:p>
    <w:p>
      <w:pPr>
        <w:jc w:val="both"/>
        <w:ind w:left="500" w:hanging="388"/>
        <w:spacing w:after="0"/>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expenses incurred for the three months ended December 31, 2025 and December 31, 2024 associated with the discontinued patch pump program. These items are primarily one-time in nature that we do not view as fundamental to operate our core business. The costs primarily consist of asset impairments and other operating costs.</w:t>
      </w:r>
    </w:p>
    <w:p>
      <w:pPr>
        <w:sectPr>
          <w:pgSz w:w="11900" w:h="16838" w:orient="portrait"/>
          <w:cols w:equalWidth="0" w:num="1">
            <w:col w:w="11240"/>
          </w:cols>
          <w:pgMar w:left="320" w:top="1076" w:right="339" w:bottom="1440" w:gutter="0" w:footer="0" w:header="0"/>
        </w:sectPr>
      </w:pPr>
    </w:p>
    <w:bookmarkStart w:id="15" w:name="page16"/>
    <w:bookmarkEnd w:id="15"/>
    <w:p>
      <w:pPr>
        <w:jc w:val="center"/>
        <w:ind w:left="7520"/>
        <w:spacing w:after="0"/>
        <w:rPr>
          <w:sz w:val="20"/>
          <w:szCs w:val="20"/>
          <w:color w:val="auto"/>
        </w:rPr>
      </w:pPr>
      <w:r>
        <w:rPr>
          <w:rFonts w:ascii="Arial" w:cs="Arial" w:eastAsia="Arial" w:hAnsi="Arial"/>
          <w:sz w:val="16"/>
          <w:szCs w:val="16"/>
          <w:b w:val="1"/>
          <w:bCs w:val="1"/>
          <w:color w:val="auto"/>
        </w:rPr>
        <w:t>Three Months Ended</w:t>
      </w:r>
    </w:p>
    <w:p>
      <w:pPr>
        <w:jc w:val="center"/>
        <w:ind w:left="75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10795</wp:posOffset>
            </wp:positionV>
            <wp:extent cx="2331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21"/>
        </w:trPr>
        <w:tc>
          <w:tcPr>
            <w:tcW w:w="75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83.3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28.7</w:t>
            </w:r>
          </w:p>
        </w:tc>
      </w:tr>
      <w:tr>
        <w:trPr>
          <w:trHeight w:val="222"/>
        </w:trPr>
        <w:tc>
          <w:tcPr>
            <w:tcW w:w="7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31.9 %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11.0 %</w:t>
            </w:r>
          </w:p>
        </w:tc>
      </w:tr>
      <w:tr>
        <w:trPr>
          <w:trHeight w:val="21"/>
        </w:trPr>
        <w:tc>
          <w:tcPr>
            <w:tcW w:w="7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r>
      <w:tr>
        <w:trPr>
          <w:trHeight w:val="243"/>
        </w:trPr>
        <w:tc>
          <w:tcPr>
            <w:tcW w:w="754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060" w:type="dxa"/>
            <w:vAlign w:val="bottom"/>
          </w:tcPr>
          <w:p>
            <w:pPr>
              <w:spacing w:after="0"/>
              <w:rPr>
                <w:sz w:val="21"/>
                <w:szCs w:val="21"/>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10.4</w:t>
            </w: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r>
      <w:tr>
        <w:trPr>
          <w:trHeight w:val="243"/>
        </w:trPr>
        <w:tc>
          <w:tcPr>
            <w:tcW w:w="754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1060" w:type="dxa"/>
            <w:vAlign w:val="bottom"/>
          </w:tcPr>
          <w:p>
            <w:pPr>
              <w:spacing w:after="0"/>
              <w:rPr>
                <w:sz w:val="21"/>
                <w:szCs w:val="21"/>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1.1</w:t>
            </w: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(Income) expense associated with the discontinued patch pump program </w:t>
            </w:r>
            <w:r>
              <w:rPr>
                <w:rFonts w:ascii="Arial" w:cs="Arial" w:eastAsia="Arial" w:hAnsi="Arial"/>
                <w:sz w:val="21"/>
                <w:szCs w:val="21"/>
                <w:color w:val="auto"/>
                <w:vertAlign w:val="superscript"/>
              </w:rPr>
              <w:t>(5)</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39.6</w:t>
            </w: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139"/>
              <w:spacing w:after="0"/>
              <w:rPr>
                <w:sz w:val="20"/>
                <w:szCs w:val="20"/>
                <w:color w:val="auto"/>
              </w:rPr>
            </w:pPr>
            <w:r>
              <w:rPr>
                <w:rFonts w:ascii="Arial" w:cs="Arial" w:eastAsia="Arial" w:hAnsi="Arial"/>
                <w:sz w:val="16"/>
                <w:szCs w:val="16"/>
                <w:b w:val="1"/>
                <w:bCs w:val="1"/>
                <w:color w:val="auto"/>
              </w:rPr>
              <w:t>79.3</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80.5</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10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30.4 %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30.7 %</w:t>
            </w:r>
          </w:p>
        </w:tc>
      </w:tr>
      <w:tr>
        <w:trPr>
          <w:trHeight w:val="216"/>
        </w:trPr>
        <w:tc>
          <w:tcPr>
            <w:tcW w:w="7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r>
      <w:tr>
        <w:trPr>
          <w:trHeight w:val="215"/>
        </w:trPr>
        <w:tc>
          <w:tcPr>
            <w:tcW w:w="7540" w:type="dxa"/>
            <w:vAlign w:val="bottom"/>
          </w:tcPr>
          <w:p>
            <w:pPr>
              <w:ind w:left="240"/>
              <w:spacing w:after="0"/>
              <w:rPr>
                <w:sz w:val="20"/>
                <w:szCs w:val="20"/>
                <w:color w:val="auto"/>
              </w:rPr>
            </w:pPr>
            <w:r>
              <w:rPr>
                <w:rFonts w:ascii="Arial" w:cs="Arial" w:eastAsia="Arial" w:hAnsi="Arial"/>
                <w:sz w:val="16"/>
                <w:szCs w:val="16"/>
                <w:color w:val="auto"/>
              </w:rPr>
              <w:t>Adjustments:</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
        </w:trPr>
        <w:tc>
          <w:tcPr>
            <w:tcW w:w="7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GAAP Income tax benefit</w:t>
            </w:r>
          </w:p>
        </w:tc>
        <w:tc>
          <w:tcPr>
            <w:tcW w:w="10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r>
      <w:tr>
        <w:trPr>
          <w:trHeight w:val="243"/>
        </w:trPr>
        <w:tc>
          <w:tcPr>
            <w:tcW w:w="7540" w:type="dxa"/>
            <w:vAlign w:val="bottom"/>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060" w:type="dxa"/>
            <w:vAlign w:val="bottom"/>
          </w:tcPr>
          <w:p>
            <w:pPr>
              <w:spacing w:after="0"/>
              <w:rPr>
                <w:sz w:val="21"/>
                <w:szCs w:val="21"/>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0.3</w:t>
            </w:r>
          </w:p>
        </w:tc>
      </w:tr>
      <w:tr>
        <w:trPr>
          <w:trHeight w:val="243"/>
        </w:trPr>
        <w:tc>
          <w:tcPr>
            <w:tcW w:w="7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w:t>
            </w:r>
          </w:p>
        </w:tc>
      </w:tr>
      <w:tr>
        <w:trPr>
          <w:trHeight w:val="243"/>
        </w:trPr>
        <w:tc>
          <w:tcPr>
            <w:tcW w:w="7540" w:type="dxa"/>
            <w:vAlign w:val="bottom"/>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060" w:type="dxa"/>
            <w:vAlign w:val="bottom"/>
          </w:tcPr>
          <w:p>
            <w:pPr>
              <w:spacing w:after="0"/>
              <w:rPr>
                <w:sz w:val="21"/>
                <w:szCs w:val="21"/>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0.4</w:t>
            </w:r>
          </w:p>
        </w:tc>
      </w:tr>
      <w:tr>
        <w:trPr>
          <w:trHeight w:val="243"/>
        </w:trPr>
        <w:tc>
          <w:tcPr>
            <w:tcW w:w="7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r>
      <w:tr>
        <w:trPr>
          <w:trHeight w:val="243"/>
        </w:trPr>
        <w:tc>
          <w:tcPr>
            <w:tcW w:w="7540" w:type="dxa"/>
            <w:vAlign w:val="bottom"/>
          </w:tcPr>
          <w:p>
            <w:pPr>
              <w:ind w:left="240"/>
              <w:spacing w:after="0"/>
              <w:rPr>
                <w:sz w:val="20"/>
                <w:szCs w:val="20"/>
                <w:color w:val="auto"/>
              </w:rPr>
            </w:pPr>
            <w:r>
              <w:rPr>
                <w:rFonts w:ascii="Arial" w:cs="Arial" w:eastAsia="Arial" w:hAnsi="Arial"/>
                <w:sz w:val="16"/>
                <w:szCs w:val="16"/>
                <w:color w:val="auto"/>
              </w:rPr>
              <w:t xml:space="preserve">(Income) expense associated with the discontinued patch pump program </w:t>
            </w:r>
            <w:r>
              <w:rPr>
                <w:rFonts w:ascii="Arial" w:cs="Arial" w:eastAsia="Arial" w:hAnsi="Arial"/>
                <w:sz w:val="21"/>
                <w:szCs w:val="21"/>
                <w:color w:val="auto"/>
                <w:vertAlign w:val="superscript"/>
              </w:rPr>
              <w:t>(5)</w:t>
            </w:r>
          </w:p>
        </w:tc>
        <w:tc>
          <w:tcPr>
            <w:tcW w:w="1060" w:type="dxa"/>
            <w:vAlign w:val="bottom"/>
          </w:tcPr>
          <w:p>
            <w:pPr>
              <w:spacing w:after="0"/>
              <w:rPr>
                <w:sz w:val="21"/>
                <w:szCs w:val="21"/>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39.6</w:t>
            </w:r>
          </w:p>
        </w:tc>
      </w:tr>
      <w:tr>
        <w:trPr>
          <w:trHeight w:val="243"/>
        </w:trPr>
        <w:tc>
          <w:tcPr>
            <w:tcW w:w="7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1"/>
                <w:szCs w:val="21"/>
                <w:color w:val="auto"/>
                <w:vertAlign w:val="superscript"/>
              </w:rPr>
              <w:t>(6)</w:t>
            </w:r>
          </w:p>
        </w:tc>
        <w:tc>
          <w:tcPr>
            <w:tcW w:w="10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w:t>
            </w:r>
          </w:p>
        </w:tc>
      </w:tr>
      <w:tr>
        <w:trPr>
          <w:trHeight w:val="216"/>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139"/>
              <w:spacing w:after="0"/>
              <w:rPr>
                <w:sz w:val="20"/>
                <w:szCs w:val="20"/>
                <w:color w:val="auto"/>
              </w:rPr>
            </w:pPr>
            <w:r>
              <w:rPr>
                <w:rFonts w:ascii="Arial" w:cs="Arial" w:eastAsia="Arial" w:hAnsi="Arial"/>
                <w:sz w:val="16"/>
                <w:szCs w:val="16"/>
                <w:b w:val="1"/>
                <w:bCs w:val="1"/>
                <w:color w:val="auto"/>
              </w:rPr>
              <w:t>42.3</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38.3</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i w:val="1"/>
                <w:iCs w:val="1"/>
                <w:color w:val="auto"/>
                <w:w w:val="89"/>
              </w:rPr>
              <w:t>$</w:t>
            </w:r>
          </w:p>
        </w:tc>
        <w:tc>
          <w:tcPr>
            <w:tcW w:w="720" w:type="dxa"/>
            <w:vAlign w:val="bottom"/>
          </w:tcPr>
          <w:p>
            <w:pPr>
              <w:jc w:val="right"/>
              <w:ind w:right="139"/>
              <w:spacing w:after="0"/>
              <w:rPr>
                <w:sz w:val="20"/>
                <w:szCs w:val="20"/>
                <w:color w:val="auto"/>
              </w:rPr>
            </w:pPr>
            <w:r>
              <w:rPr>
                <w:rFonts w:ascii="Arial" w:cs="Arial" w:eastAsia="Arial" w:hAnsi="Arial"/>
                <w:sz w:val="16"/>
                <w:szCs w:val="16"/>
                <w:b w:val="1"/>
                <w:bCs w:val="1"/>
                <w:i w:val="1"/>
                <w:iCs w:val="1"/>
                <w:color w:val="auto"/>
              </w:rPr>
              <w:t>0.74</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i w:val="1"/>
                <w:iCs w:val="1"/>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w:t>
            </w:r>
          </w:p>
        </w:tc>
      </w:tr>
      <w:tr>
        <w:trPr>
          <w:trHeight w:val="21"/>
        </w:trPr>
        <w:tc>
          <w:tcPr>
            <w:tcW w:w="7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i w:val="1"/>
                <w:iCs w:val="1"/>
                <w:color w:val="auto"/>
                <w:w w:val="89"/>
              </w:rPr>
              <w:t>$</w:t>
            </w: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i w:val="1"/>
                <w:iCs w:val="1"/>
                <w:color w:val="auto"/>
              </w:rPr>
              <w:t>0.71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i w:val="1"/>
                <w:iCs w:val="1"/>
                <w:color w:val="auto"/>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0.65</w:t>
            </w:r>
          </w:p>
        </w:tc>
      </w:tr>
      <w:tr>
        <w:trPr>
          <w:trHeight w:val="95"/>
        </w:trPr>
        <w:tc>
          <w:tcPr>
            <w:tcW w:w="7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weighted average number of shares outstanding (in thousands)</w:t>
            </w:r>
          </w:p>
        </w:tc>
        <w:tc>
          <w:tcPr>
            <w:tcW w:w="10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8"/>
              </w:rPr>
              <w:t>58,796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57,952</w:t>
            </w: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
        </w:trPr>
        <w:tc>
          <w:tcPr>
            <w:tcW w:w="7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awards and equity units (share equivalent)</w:t>
            </w:r>
          </w:p>
        </w:tc>
        <w:tc>
          <w:tcPr>
            <w:tcW w:w="10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670</w:t>
            </w: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Diluted weighted average shares outstanding (in thousands)</w:t>
            </w:r>
          </w:p>
        </w:tc>
        <w:tc>
          <w:tcPr>
            <w:tcW w:w="1060" w:type="dxa"/>
            <w:vAlign w:val="bottom"/>
          </w:tcPr>
          <w:p>
            <w:pPr>
              <w:spacing w:after="0"/>
              <w:rPr>
                <w:sz w:val="19"/>
                <w:szCs w:val="19"/>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59,290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58,622</w:t>
            </w:r>
          </w:p>
        </w:tc>
      </w:tr>
    </w:tbl>
    <w:p>
      <w:pPr>
        <w:spacing w:after="0" w:line="254" w:lineRule="exact"/>
        <w:rPr>
          <w:sz w:val="20"/>
          <w:szCs w:val="20"/>
          <w:color w:val="auto"/>
        </w:rPr>
      </w:pPr>
    </w:p>
    <w:p>
      <w:pPr>
        <w:ind w:left="480" w:hanging="388"/>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jc w:val="both"/>
        <w:ind w:left="480" w:hanging="388"/>
        <w:spacing w:after="0" w:line="225"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December 31, 2025, approximately $3.1 million is recorded in Other operating (income) expense, net, $1.4 is recorded in Cost of products sold, and $0.3 million is recorded in Research and development expense. For the three months ended December 31, 2024, approximately $10.2 million is recorded in Other operating (income) expense, net and $0.2 million is recorded in Cost of products sold.</w:t>
      </w:r>
    </w:p>
    <w:p>
      <w:pPr>
        <w:jc w:val="both"/>
        <w:ind w:left="480" w:hanging="388"/>
        <w:spacing w:after="0" w:line="231"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For the three months ended December 31, 2025, $0.2 million is recorded in Research and development expense. For the three months ended December 31, 2024, $0.3 million is recorded in Research and development expense and $0.1 million is recorded in Cost of products sold.</w:t>
      </w:r>
    </w:p>
    <w:p>
      <w:pPr>
        <w:spacing w:after="0" w:line="13" w:lineRule="exact"/>
        <w:rPr>
          <w:rFonts w:ascii="Arial" w:cs="Arial" w:eastAsia="Arial" w:hAnsi="Arial"/>
          <w:sz w:val="14"/>
          <w:szCs w:val="14"/>
          <w:color w:val="auto"/>
        </w:rPr>
      </w:pPr>
    </w:p>
    <w:p>
      <w:pPr>
        <w:jc w:val="both"/>
        <w:ind w:left="480" w:hanging="388"/>
        <w:spacing w:after="0" w:line="231"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Company's separation from BD. For the three months ended December 31, 2025, $0.2 million is recorded in Selling and administrative expense. For the three months ended December 31, 2024, $1.1 million is recorded in Selling and administrative expense.</w:t>
      </w:r>
    </w:p>
    <w:p>
      <w:pPr>
        <w:spacing w:after="0" w:line="14" w:lineRule="exact"/>
        <w:rPr>
          <w:rFonts w:ascii="Arial" w:cs="Arial" w:eastAsia="Arial" w:hAnsi="Arial"/>
          <w:sz w:val="14"/>
          <w:szCs w:val="14"/>
          <w:color w:val="auto"/>
        </w:rPr>
      </w:pPr>
    </w:p>
    <w:p>
      <w:pPr>
        <w:jc w:val="both"/>
        <w:ind w:left="480" w:hanging="388"/>
        <w:spacing w:after="0" w:line="225"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income and expenses incurred during the three months ended December 31, 2025 and 2024 associated with the discontinued patch pump program. These items are primarily one-time in nature that we do not view as fundamental to operate our core business. The items primarily consist of severance-related costs, asset impairments, contract termination costs, a gain on sale of certain assets, and other operating costs. During the three months ended December 31, 2025, a $10.1 million gain is recorded in Other operating (income) expense, net, a $0.5 million charge is recorded in Research and development expense, and a $0.1 million charge is recorded in Cost of products sold. During the three months ended December 31, 2024, $18.3 million is recorded in Research and development expense, $14.3 million is recorded in Other operating (income) expense, net, $6.5 million is recorded in Cost of products sold, and $0.5 million is recorded in Selling and administrative expense.</w:t>
      </w:r>
    </w:p>
    <w:p>
      <w:pPr>
        <w:spacing w:after="0" w:line="12" w:lineRule="exact"/>
        <w:rPr>
          <w:rFonts w:ascii="Arial" w:cs="Arial" w:eastAsia="Arial" w:hAnsi="Arial"/>
          <w:sz w:val="14"/>
          <w:szCs w:val="14"/>
          <w:color w:val="auto"/>
        </w:rPr>
      </w:pPr>
    </w:p>
    <w:p>
      <w:pPr>
        <w:jc w:val="both"/>
        <w:ind w:left="480" w:hanging="388"/>
        <w:spacing w:after="0" w:line="235" w:lineRule="auto"/>
        <w:tabs>
          <w:tab w:leader="none" w:pos="47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 for the three months ended December 31, 2025 was 23.0%. The non-GAAP effective tax rate for the three months ended December 31, 2024 was 25.0%.</w:t>
      </w:r>
    </w:p>
    <w:p>
      <w:pPr>
        <w:sectPr>
          <w:pgSz w:w="11900" w:h="16838" w:orient="portrait"/>
          <w:cols w:equalWidth="0" w:num="1">
            <w:col w:w="11220"/>
          </w:cols>
          <w:pgMar w:left="340" w:top="128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360" w:type="dxa"/>
            <w:vAlign w:val="bottom"/>
            <w:tcBorders>
              <w:bottom w:val="single" w:sz="8" w:color="auto"/>
            </w:tcBorders>
          </w:tcPr>
          <w:p>
            <w:pPr>
              <w:spacing w:after="0"/>
              <w:rPr>
                <w:sz w:val="18"/>
                <w:szCs w:val="18"/>
                <w:color w:val="auto"/>
              </w:rPr>
            </w:pPr>
          </w:p>
        </w:tc>
      </w:tr>
      <w:tr>
        <w:trPr>
          <w:trHeight w:val="472"/>
        </w:trPr>
        <w:tc>
          <w:tcPr>
            <w:tcW w:w="778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24"/>
                <w:szCs w:val="24"/>
                <w:color w:val="auto"/>
              </w:rPr>
            </w:pPr>
          </w:p>
        </w:tc>
      </w:tr>
      <w:tr>
        <w:trPr>
          <w:trHeight w:val="21"/>
        </w:trPr>
        <w:tc>
          <w:tcPr>
            <w:tcW w:w="7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1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(5.3)</w:t>
            </w:r>
          </w:p>
        </w:tc>
      </w:tr>
      <w:tr>
        <w:trPr>
          <w:trHeight w:val="215"/>
        </w:trPr>
        <w:tc>
          <w:tcPr>
            <w:tcW w:w="7780" w:type="dxa"/>
            <w:vAlign w:val="bottom"/>
          </w:tcPr>
          <w:p>
            <w:pPr>
              <w:ind w:left="240"/>
              <w:spacing w:after="0"/>
              <w:rPr>
                <w:sz w:val="20"/>
                <w:szCs w:val="20"/>
                <w:color w:val="auto"/>
              </w:rPr>
            </w:pPr>
            <w:r>
              <w:rPr>
                <w:rFonts w:ascii="Arial" w:cs="Arial" w:eastAsia="Arial" w:hAnsi="Arial"/>
                <w:sz w:val="16"/>
                <w:szCs w:val="16"/>
                <w:color w:val="auto"/>
              </w:rPr>
              <w:t>Less: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w:t>
            </w: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Non-GAAP Free Cash Flow</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16.6</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(6.8)</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7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About Embecta</w:t>
      </w:r>
    </w:p>
    <w:p>
      <w:pPr>
        <w:spacing w:after="0" w:line="1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embecta is a global diabetes care company that is leveraging its nearly 100-year legacy in insulin delivery to empower people with diabetes to live their best life through innovative solutions, partnerships and the passion of approximately 2,000 employees around the globe. For more information, visit </w:t>
      </w:r>
      <w:r>
        <w:rPr>
          <w:rFonts w:ascii="Arial" w:cs="Arial" w:eastAsia="Arial" w:hAnsi="Arial"/>
          <w:sz w:val="17"/>
          <w:szCs w:val="17"/>
          <w:color w:val="0000FF"/>
        </w:rPr>
        <w:t>embecta.com</w:t>
      </w:r>
      <w:r>
        <w:rPr>
          <w:rFonts w:ascii="Arial" w:cs="Arial" w:eastAsia="Arial" w:hAnsi="Arial"/>
          <w:sz w:val="17"/>
          <w:szCs w:val="17"/>
          <w:color w:val="auto"/>
        </w:rPr>
        <w:t xml:space="preserve"> or follow our social channels on </w:t>
      </w:r>
      <w:r>
        <w:rPr>
          <w:rFonts w:ascii="Arial" w:cs="Arial" w:eastAsia="Arial" w:hAnsi="Arial"/>
          <w:sz w:val="17"/>
          <w:szCs w:val="17"/>
          <w:color w:val="0000FF"/>
        </w:rPr>
        <w:t>LinkedIn</w:t>
      </w:r>
      <w:r>
        <w:rPr>
          <w:rFonts w:ascii="Arial" w:cs="Arial" w:eastAsia="Arial" w:hAnsi="Arial"/>
          <w:sz w:val="17"/>
          <w:szCs w:val="17"/>
          <w:color w:val="auto"/>
        </w:rPr>
        <w:t xml:space="preserve">, </w:t>
      </w:r>
      <w:r>
        <w:rPr>
          <w:rFonts w:ascii="Arial" w:cs="Arial" w:eastAsia="Arial" w:hAnsi="Arial"/>
          <w:sz w:val="17"/>
          <w:szCs w:val="17"/>
          <w:color w:val="0000FF"/>
        </w:rPr>
        <w:t>Facebook</w:t>
      </w:r>
      <w:r>
        <w:rPr>
          <w:rFonts w:ascii="Arial" w:cs="Arial" w:eastAsia="Arial" w:hAnsi="Arial"/>
          <w:sz w:val="17"/>
          <w:szCs w:val="17"/>
          <w:color w:val="auto"/>
        </w:rPr>
        <w:t xml:space="preserve">, and </w:t>
      </w:r>
      <w:r>
        <w:rPr>
          <w:rFonts w:ascii="Arial" w:cs="Arial" w:eastAsia="Arial" w:hAnsi="Arial"/>
          <w:sz w:val="17"/>
          <w:szCs w:val="17"/>
          <w:color w:val="0000FF"/>
        </w:rPr>
        <w:t>Instagram</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“goal” or similar expressions, we are making forward-looking statements. For example, embecta is using forward-looking statements when it discusses its fiscal 2026 financial guidance, executing on value creation drivers, transforming embecta into a broad-based medical supplies company serving chronic care patients and drug delivery partners, maintaining its global leadership position, expectations related to the impact of incremental tariffs, brand transition plan timing, our ability to expand in other markets, strengthening our core business, expanding our product portfolio, and increasing our financial flexibility, including through debt reduction.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costs incurred from newly instituted tariffs by the U.S. government and certain foreign governments on raw materials and products, fluctuations in the cost and availability of raw materials or components used in its products, the ability to maintain favorable supplier arrangements and relationships, and the potential adverse effects of any disruption in the availability of such items; (vi) the impact of the global trade environment resulting from newly instituted tariffs causing certain foreign governments, private purchasers and others to consider transitioning away from products originating from certain countries (including the U.S.) in favor of buying “local” products and local manufacturers and competitors to attempt to capitalize on these sentiments and engage in aggressive competitive pricing or other strategies to divert customers away from embecta; (vii) changes in reimbursement practices of governments or private payers or other cost containment measures; (viii) the adverse financial impact resulting from unfavorable changes in foreign currency exchange rates, as well as regional, national and foreign economic factors, including inflation, deflation, and fluctuations in interest rates; (ix) the impact of changes in U.S. federal laws and policy that could affect fiscal and tax policies, healthcare and international trade, including import and export regulation and international trade agreements; (x) any new pandemic, or any geopolitical instability, including disruptions in its operations and supply chains; (xi) new or changing laws and regulations, or changes in enforcement practices, including laws relating to healthcare, environmental protection, trade, monetary and fiscal policies, taxation and licensing and regulatory requirements for products; (xii) the expected benefits of the separation from BD; (xiii) risks associated with embecta’s indebtedness; (xiv) the risk that ongoing dis-synergy costs, costs of restructuring and other costs incurred in connection with the separation from BD will exceed our estimates of these costs; (xv) the risk that it will be more difficult than expected to effect embecta’s full separation from BD; (xvi) the risks related to timely and successfully completing the brand transition, including any resulting regulatory registration and license delays and interruptions in the transition of the rebranded products into commercial operations, networks, operations and end-to-end product flow and end-user access; (xvii) expectations related to the costs, profitability, timing and the estimated financial impact of, and charges and savings associated with, the restructuring plans we announced; (xviii) risks associated with not completing strategic collaborative partnerships and acquisitions for innovative technologies, complementary product lines, and new markets; and (xix)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ectPr>
          <w:pgSz w:w="11900" w:h="16838" w:orient="portrait"/>
          <w:cols w:equalWidth="0" w:num="1">
            <w:col w:w="11240"/>
          </w:cols>
          <w:pgMar w:left="320" w:top="107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CONTACTS</w:t>
      </w:r>
    </w:p>
    <w:p>
      <w:pPr>
        <w:spacing w:after="0" w:line="232" w:lineRule="auto"/>
        <w:rPr>
          <w:sz w:val="20"/>
          <w:szCs w:val="20"/>
          <w:color w:val="auto"/>
        </w:rPr>
      </w:pPr>
      <w:r>
        <w:rPr>
          <w:rFonts w:ascii="Arial" w:cs="Arial" w:eastAsia="Arial" w:hAnsi="Arial"/>
          <w:sz w:val="17"/>
          <w:szCs w:val="17"/>
          <w:b w:val="1"/>
          <w:bCs w:val="1"/>
          <w:color w:val="auto"/>
        </w:rPr>
        <w:t>Investors:</w:t>
      </w:r>
    </w:p>
    <w:p>
      <w:pPr>
        <w:spacing w:after="0" w:line="232" w:lineRule="auto"/>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3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0000FF"/>
        </w:rPr>
        <w:t>Contact IR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Sr. Director, Corporate Communications</w:t>
      </w:r>
    </w:p>
    <w:p>
      <w:pPr>
        <w:spacing w:after="0" w:line="221" w:lineRule="auto"/>
        <w:rPr>
          <w:sz w:val="20"/>
          <w:szCs w:val="20"/>
          <w:color w:val="auto"/>
        </w:rPr>
      </w:pPr>
      <w:r>
        <w:rPr>
          <w:rFonts w:ascii="Arial" w:cs="Arial" w:eastAsia="Arial" w:hAnsi="Arial"/>
          <w:sz w:val="17"/>
          <w:szCs w:val="17"/>
          <w:color w:val="auto"/>
        </w:rPr>
        <w:t>908-821-6922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00FF"/>
        </w:rPr>
        <w:t>Contact Media Relations</w:t>
      </w:r>
    </w:p>
    <w:sectPr>
      <w:pgSz w:w="11900" w:h="16838" w:orient="portrait"/>
      <w:cols w:equalWidth="0" w:num="1">
        <w:col w:w="10139"/>
      </w:cols>
      <w:pgMar w:left="320" w:top="10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2026-02-05T05:57:47Z</dcterms:created>
  <dcterms:modified xsi:type="dcterms:W3CDTF">2026-02-05T05:57:47Z</dcterms:modified>
</cp:coreProperties>
</file>