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876935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1065530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148590</wp:posOffset>
            </wp:positionV>
            <wp:extent cx="14827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180975</wp:posOffset>
            </wp:positionV>
            <wp:extent cx="14827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7"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3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80"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001-41186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1405890"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57467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842645</wp:posOffset>
            </wp:positionV>
            <wp:extent cx="14827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139700</wp:posOffset>
            </wp:positionV>
            <wp:extent cx="14827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8272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20" w:type="dxa"/>
            <w:vAlign w:val="bottom"/>
          </w:tcPr>
          <w:p>
            <w:pPr>
              <w:jc w:val="right"/>
              <w:ind w:right="178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78"/>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82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0"/>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8"/>
                <w:szCs w:val="18"/>
                <w:b w:val="1"/>
                <w:bCs w:val="1"/>
                <w:color w:val="auto"/>
                <w:w w:val="99"/>
              </w:rPr>
              <w:t>300 Kimball Drive, Suite 300, Parsippany, New Jersey</w:t>
            </w:r>
          </w:p>
        </w:tc>
        <w:tc>
          <w:tcPr>
            <w:tcW w:w="3420" w:type="dxa"/>
            <w:vAlign w:val="bottom"/>
          </w:tcPr>
          <w:p>
            <w:pPr>
              <w:jc w:val="right"/>
              <w:ind w:right="200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06"/>
        </w:trPr>
        <w:tc>
          <w:tcPr>
            <w:tcW w:w="7820" w:type="dxa"/>
            <w:vAlign w:val="bottom"/>
            <w:gridSpan w:val="3"/>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420" w:type="dxa"/>
            <w:vAlign w:val="bottom"/>
          </w:tcPr>
          <w:p>
            <w:pPr>
              <w:jc w:val="center"/>
              <w:ind w:right="110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50"/>
        </w:trPr>
        <w:tc>
          <w:tcPr>
            <w:tcW w:w="680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(862) 401-0000</w:t>
            </w:r>
          </w:p>
        </w:tc>
        <w:tc>
          <w:tcPr>
            <w:tcW w:w="1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60"/>
        </w:trPr>
        <w:tc>
          <w:tcPr>
            <w:tcW w:w="7820" w:type="dxa"/>
            <w:vAlign w:val="bottom"/>
            <w:gridSpan w:val="3"/>
          </w:tcPr>
          <w:p>
            <w:pPr>
              <w:jc w:val="center"/>
              <w:ind w:left="33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3420" w:type="dxa"/>
            <w:vAlign w:val="bottom"/>
          </w:tcPr>
          <w:p>
            <w:pPr>
              <w:spacing w:after="0"/>
              <w:rPr>
                <w:sz w:val="22"/>
                <w:szCs w:val="22"/>
                <w:color w:val="auto"/>
              </w:rPr>
            </w:pPr>
          </w:p>
        </w:tc>
      </w:tr>
      <w:tr>
        <w:trPr>
          <w:trHeight w:val="199"/>
        </w:trPr>
        <w:tc>
          <w:tcPr>
            <w:tcW w:w="4460" w:type="dxa"/>
            <w:vAlign w:val="bottom"/>
          </w:tcPr>
          <w:p>
            <w:pPr>
              <w:spacing w:after="0"/>
              <w:rPr>
                <w:sz w:val="17"/>
                <w:szCs w:val="17"/>
                <w:color w:val="auto"/>
              </w:rPr>
            </w:pPr>
          </w:p>
        </w:tc>
        <w:tc>
          <w:tcPr>
            <w:tcW w:w="23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c>
          <w:tcPr>
            <w:tcW w:w="3420" w:type="dxa"/>
            <w:vAlign w:val="bottom"/>
          </w:tcPr>
          <w:p>
            <w:pPr>
              <w:spacing w:after="0"/>
              <w:rPr>
                <w:sz w:val="17"/>
                <w:szCs w:val="17"/>
                <w:color w:val="auto"/>
              </w:rPr>
            </w:pPr>
          </w:p>
        </w:tc>
      </w:tr>
      <w:tr>
        <w:trPr>
          <w:trHeight w:val="1054"/>
        </w:trPr>
        <w:tc>
          <w:tcPr>
            <w:tcW w:w="44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4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4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01"/>
        </w:trPr>
        <w:tc>
          <w:tcPr>
            <w:tcW w:w="4720" w:type="dxa"/>
            <w:vAlign w:val="bottom"/>
            <w:gridSpan w:val="2"/>
          </w:tcPr>
          <w:p>
            <w:pPr>
              <w:jc w:val="center"/>
              <w:ind w:right="1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2100" w:type="dxa"/>
            <w:vAlign w:val="bottom"/>
            <w:gridSpan w:val="2"/>
          </w:tcPr>
          <w:p>
            <w:pPr>
              <w:jc w:val="center"/>
              <w:ind w:right="120"/>
              <w:spacing w:after="0" w:line="201"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43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The Nasdaq Stock Market LLC (Nasdaq Global Select</w:t>
            </w:r>
          </w:p>
        </w:tc>
      </w:tr>
      <w:tr>
        <w:trPr>
          <w:trHeight w:val="238"/>
        </w:trPr>
        <w:tc>
          <w:tcPr>
            <w:tcW w:w="4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Market)</w:t>
            </w:r>
          </w:p>
        </w:tc>
      </w:tr>
    </w:tbl>
    <w:p>
      <w:pPr>
        <w:spacing w:after="0" w:line="306" w:lineRule="exact"/>
        <w:rPr>
          <w:sz w:val="20"/>
          <w:szCs w:val="20"/>
          <w:color w:val="auto"/>
        </w:rPr>
      </w:pPr>
    </w:p>
    <w:p>
      <w:pPr>
        <w:jc w:val="both"/>
        <w:spacing w:after="0" w:line="22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303"/>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92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64" w:lineRule="exact"/>
        <w:rPr>
          <w:sz w:val="20"/>
          <w:szCs w:val="20"/>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Embecta Corp. common stock outstanding as of May 2, 2025 was 58,442,508 shares,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990600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74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4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0480" w:type="dxa"/>
            <w:vAlign w:val="bottom"/>
            <w:gridSpan w:val="16"/>
            <w:vMerge w:val="continue"/>
          </w:tcPr>
          <w:p>
            <w:pPr>
              <w:spacing w:after="0"/>
              <w:rPr>
                <w:sz w:val="15"/>
                <w:szCs w:val="15"/>
                <w:color w:val="auto"/>
              </w:rPr>
            </w:pPr>
          </w:p>
        </w:tc>
        <w:tc>
          <w:tcPr>
            <w:tcW w:w="74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w:t>
            </w:r>
          </w:p>
        </w:tc>
        <w:tc>
          <w:tcPr>
            <w:tcW w:w="24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6360" w:type="dxa"/>
            <w:vAlign w:val="bottom"/>
            <w:gridSpan w:val="8"/>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5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w:t>
            </w:r>
          </w:p>
        </w:tc>
        <w:tc>
          <w:tcPr>
            <w:tcW w:w="4200" w:type="dxa"/>
            <w:vAlign w:val="bottom"/>
            <w:gridSpan w:val="2"/>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Equity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420" w:type="dxa"/>
            <w:vAlign w:val="bottom"/>
            <w:gridSpan w:val="3"/>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4.</w:t>
            </w: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020" w:type="dxa"/>
            <w:vAlign w:val="bottom"/>
            <w:gridSpan w:val="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4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80" w:type="dxa"/>
            <w:vAlign w:val="bottom"/>
            <w:gridSpan w:val="1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7880" w:type="dxa"/>
            <w:vAlign w:val="bottom"/>
            <w:gridSpan w:val="10"/>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6"/>
        </w:trPr>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Item 6.</w:t>
            </w:r>
          </w:p>
        </w:tc>
        <w:tc>
          <w:tcPr>
            <w:tcW w:w="87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37"/>
        </w:trPr>
        <w:tc>
          <w:tcPr>
            <w:tcW w:w="1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6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40" w:type="dxa"/>
            <w:vAlign w:val="bottom"/>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80" w:type="dxa"/>
            <w:vAlign w:val="bottom"/>
          </w:tcPr>
          <w:p>
            <w:pPr>
              <w:spacing w:after="0"/>
              <w:rPr>
                <w:sz w:val="16"/>
                <w:szCs w:val="16"/>
                <w:color w:val="auto"/>
              </w:rPr>
            </w:pPr>
          </w:p>
        </w:tc>
      </w:tr>
      <w:tr>
        <w:trPr>
          <w:trHeight w:val="214"/>
        </w:trPr>
        <w:tc>
          <w:tcPr>
            <w:tcW w:w="46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208"/>
        </w:trPr>
        <w:tc>
          <w:tcPr>
            <w:tcW w:w="460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46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46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Gross Profit</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04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204"/>
        </w:trPr>
        <w:tc>
          <w:tcPr>
            <w:tcW w:w="4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Pr>
          <w:p>
            <w:pPr>
              <w:spacing w:after="0"/>
              <w:rPr>
                <w:sz w:val="17"/>
                <w:szCs w:val="17"/>
                <w:color w:val="auto"/>
              </w:rPr>
            </w:pPr>
          </w:p>
        </w:tc>
        <w:tc>
          <w:tcPr>
            <w:tcW w:w="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286.6</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Operating Income</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7"/>
                <w:szCs w:val="17"/>
                <w:color w:val="auto"/>
              </w:rPr>
            </w:pPr>
          </w:p>
        </w:tc>
        <w:tc>
          <w:tcPr>
            <w:tcW w:w="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10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204"/>
        </w:trPr>
        <w:tc>
          <w:tcPr>
            <w:tcW w:w="46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tcBorders>
              <w:top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7"/>
                <w:szCs w:val="17"/>
                <w:color w:val="auto"/>
              </w:rPr>
            </w:pP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7"/>
                <w:szCs w:val="17"/>
                <w:color w:val="auto"/>
              </w:rPr>
            </w:pPr>
          </w:p>
        </w:tc>
        <w:tc>
          <w:tcPr>
            <w:tcW w:w="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33"/>
        </w:trPr>
        <w:tc>
          <w:tcPr>
            <w:tcW w:w="46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46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1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r>
      <w:tr>
        <w:trPr>
          <w:trHeight w:val="210"/>
        </w:trPr>
        <w:tc>
          <w:tcPr>
            <w:tcW w:w="4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18"/>
                <w:szCs w:val="18"/>
                <w:color w:val="auto"/>
              </w:rPr>
            </w:pP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78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80" w:type="dxa"/>
            <w:vAlign w:val="bottom"/>
          </w:tcPr>
          <w:p>
            <w:pPr>
              <w:spacing w:after="0"/>
              <w:rPr>
                <w:sz w:val="16"/>
                <w:szCs w:val="16"/>
                <w:color w:val="auto"/>
              </w:rPr>
            </w:pPr>
          </w:p>
        </w:tc>
      </w:tr>
      <w:tr>
        <w:trPr>
          <w:trHeight w:val="214"/>
        </w:trPr>
        <w:tc>
          <w:tcPr>
            <w:tcW w:w="46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208"/>
        </w:trPr>
        <w:tc>
          <w:tcPr>
            <w:tcW w:w="4600" w:type="dxa"/>
            <w:vAlign w:val="bottom"/>
          </w:tcPr>
          <w:p>
            <w:pPr>
              <w:spacing w:after="0"/>
              <w:rPr>
                <w:sz w:val="18"/>
                <w:szCs w:val="18"/>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4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23"/>
        </w:trPr>
        <w:tc>
          <w:tcPr>
            <w:tcW w:w="46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3"/>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1080" w:type="dxa"/>
            <w:vAlign w:val="bottom"/>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18"/>
                <w:szCs w:val="18"/>
                <w:color w:val="auto"/>
              </w:rPr>
            </w:pP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33"/>
        </w:trPr>
        <w:tc>
          <w:tcPr>
            <w:tcW w:w="4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2"/>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209"/>
        </w:trPr>
        <w:tc>
          <w:tcPr>
            <w:tcW w:w="74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Cash and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Trade receivables, net (net of allowance for doubtful accounts of $2.6 million and $2.8 million as of</w:t>
            </w:r>
          </w:p>
        </w:tc>
        <w:tc>
          <w:tcPr>
            <w:tcW w:w="260" w:type="dxa"/>
            <w:vAlign w:val="bottom"/>
            <w:shd w:val="clear" w:color="auto" w:fill="CCEEFF"/>
          </w:tcPr>
          <w:p>
            <w:pPr>
              <w:spacing w:after="0"/>
              <w:rPr>
                <w:sz w:val="16"/>
                <w:szCs w:val="16"/>
                <w:color w:val="auto"/>
              </w:rPr>
            </w:pP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193.0</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March 31, 2025 and September 30, 2024, respectively)</w:t>
            </w:r>
          </w:p>
        </w:tc>
        <w:tc>
          <w:tcPr>
            <w:tcW w:w="260" w:type="dxa"/>
            <w:vAlign w:val="bottom"/>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Materials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0" w:type="dxa"/>
            <w:vAlign w:val="bottom"/>
          </w:tcPr>
          <w:p>
            <w:pPr>
              <w:spacing w:after="0"/>
              <w:rPr>
                <w:sz w:val="1"/>
                <w:szCs w:val="1"/>
                <w:color w:val="auto"/>
              </w:rPr>
            </w:pPr>
          </w:p>
        </w:tc>
      </w:tr>
      <w:tr>
        <w:trPr>
          <w:trHeight w:val="210"/>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Work in process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Finished products</w:t>
            </w:r>
          </w:p>
        </w:tc>
        <w:tc>
          <w:tcPr>
            <w:tcW w:w="26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0" w:type="dxa"/>
            <w:vAlign w:val="bottom"/>
          </w:tcPr>
          <w:p>
            <w:pPr>
              <w:spacing w:after="0"/>
              <w:rPr>
                <w:sz w:val="1"/>
                <w:szCs w:val="1"/>
                <w:color w:val="auto"/>
              </w:rPr>
            </w:pPr>
          </w:p>
        </w:tc>
      </w:tr>
      <w:tr>
        <w:trPr>
          <w:trHeight w:val="204"/>
        </w:trPr>
        <w:tc>
          <w:tcPr>
            <w:tcW w:w="740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Amounts due from Becton, Dickinson and Company</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761.0</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Assets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210.2</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4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Amounts due to Becton, Dickinson and Company</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Salaries, wages and related items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Current debt obligations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Income taxes</w:t>
            </w:r>
          </w:p>
        </w:tc>
        <w:tc>
          <w:tcPr>
            <w:tcW w:w="26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374.0</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1,565.3</w:t>
            </w:r>
          </w:p>
        </w:tc>
        <w:tc>
          <w:tcPr>
            <w:tcW w:w="0" w:type="dxa"/>
            <w:vAlign w:val="bottom"/>
          </w:tcPr>
          <w:p>
            <w:pPr>
              <w:spacing w:after="0"/>
              <w:rPr>
                <w:sz w:val="1"/>
                <w:szCs w:val="1"/>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Contingencies (Note 6)</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Embecta Corp. Equity</w:t>
            </w:r>
          </w:p>
        </w:tc>
        <w:tc>
          <w:tcPr>
            <w:tcW w:w="2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Authorized - 250,000,000</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30"/>
        </w:trPr>
        <w:tc>
          <w:tcPr>
            <w:tcW w:w="740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Issued and outstanding - 58,327,015 as of March 31, 2025 and 57,707,285 as of September 30, 2024</w:t>
            </w:r>
          </w:p>
        </w:tc>
        <w:tc>
          <w:tcPr>
            <w:tcW w:w="260" w:type="dxa"/>
            <w:vAlign w:val="bottom"/>
            <w:vMerge w:val="continue"/>
            <w:shd w:val="clear" w:color="auto" w:fill="CCEEFF"/>
          </w:tcPr>
          <w:p>
            <w:pPr>
              <w:spacing w:after="0"/>
              <w:rPr>
                <w:sz w:val="19"/>
                <w:szCs w:val="19"/>
                <w:color w:val="auto"/>
              </w:rPr>
            </w:pPr>
          </w:p>
        </w:tc>
        <w:tc>
          <w:tcPr>
            <w:tcW w:w="16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Accumulated deficit</w:t>
            </w:r>
          </w:p>
        </w:tc>
        <w:tc>
          <w:tcPr>
            <w:tcW w:w="260" w:type="dxa"/>
            <w:vAlign w:val="bottom"/>
            <w:tcBorders>
              <w:bottom w:val="single" w:sz="8" w:color="CCEEFF"/>
            </w:tcBorders>
            <w:shd w:val="clear" w:color="auto" w:fill="CCEEFF"/>
          </w:tcPr>
          <w:p>
            <w:pPr>
              <w:spacing w:after="0"/>
              <w:rPr>
                <w:sz w:val="19"/>
                <w:szCs w:val="19"/>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(493.5)</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0" w:type="dxa"/>
            <w:vAlign w:val="bottom"/>
          </w:tcPr>
          <w:p>
            <w:pPr>
              <w:spacing w:after="0"/>
              <w:rPr>
                <w:sz w:val="1"/>
                <w:szCs w:val="1"/>
                <w:color w:val="auto"/>
              </w:rPr>
            </w:pPr>
          </w:p>
        </w:tc>
      </w:tr>
      <w:tr>
        <w:trPr>
          <w:trHeight w:val="210"/>
        </w:trPr>
        <w:tc>
          <w:tcPr>
            <w:tcW w:w="740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(292.8)</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40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Total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(738.3)</w:t>
            </w:r>
          </w:p>
        </w:tc>
        <w:tc>
          <w:tcPr>
            <w:tcW w:w="0" w:type="dxa"/>
            <w:vAlign w:val="bottom"/>
          </w:tcPr>
          <w:p>
            <w:pPr>
              <w:spacing w:after="0"/>
              <w:rPr>
                <w:sz w:val="1"/>
                <w:szCs w:val="1"/>
                <w:color w:val="auto"/>
              </w:rPr>
            </w:pPr>
          </w:p>
        </w:tc>
      </w:tr>
      <w:tr>
        <w:trPr>
          <w:trHeight w:val="204"/>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1,120.2</w:t>
            </w: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1,285.3</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300"/>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1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12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w w:val="98"/>
              </w:rPr>
              <w:t>Capital</w:t>
            </w:r>
          </w:p>
        </w:tc>
        <w:tc>
          <w:tcPr>
            <w:tcW w:w="14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(Loss) Income</w:t>
            </w:r>
          </w:p>
        </w:tc>
        <w:tc>
          <w:tcPr>
            <w:tcW w:w="240" w:type="dxa"/>
            <w:vAlign w:val="bottom"/>
          </w:tcPr>
          <w:p>
            <w:pPr>
              <w:spacing w:after="0"/>
              <w:rPr>
                <w:sz w:val="17"/>
                <w:szCs w:val="17"/>
                <w:color w:val="auto"/>
              </w:rPr>
            </w:pPr>
          </w:p>
        </w:tc>
        <w:tc>
          <w:tcPr>
            <w:tcW w:w="90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2024</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57,573,497</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(793.5)</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87,936</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57,661,433</w:t>
            </w:r>
          </w:p>
        </w:tc>
        <w:tc>
          <w:tcPr>
            <w:tcW w:w="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0" w:type="dxa"/>
            <w:vAlign w:val="bottom"/>
          </w:tcPr>
          <w:p>
            <w:pPr>
              <w:spacing w:after="0"/>
              <w:rPr>
                <w:sz w:val="1"/>
                <w:szCs w:val="1"/>
                <w:color w:val="auto"/>
              </w:rPr>
            </w:pPr>
          </w:p>
        </w:tc>
      </w:tr>
      <w:tr>
        <w:trPr>
          <w:trHeight w:val="250"/>
        </w:trPr>
        <w:tc>
          <w:tcPr>
            <w:tcW w:w="388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2025</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58,131,759</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(768.8)</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($0.15 per share)</w:t>
            </w: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195,256</w:t>
            </w: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58,327,015</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3880" w:type="dxa"/>
            <w:vAlign w:val="bottom"/>
          </w:tcPr>
          <w:p>
            <w:pPr>
              <w:spacing w:after="0"/>
              <w:rPr>
                <w:sz w:val="16"/>
                <w:szCs w:val="16"/>
                <w:color w:val="auto"/>
              </w:rPr>
            </w:pPr>
          </w:p>
        </w:tc>
        <w:tc>
          <w:tcPr>
            <w:tcW w:w="2100" w:type="dxa"/>
            <w:vAlign w:val="bottom"/>
            <w:gridSpan w:val="3"/>
          </w:tcPr>
          <w:p>
            <w:pPr>
              <w:jc w:val="right"/>
              <w:ind w:right="388"/>
              <w:spacing w:after="0"/>
              <w:rPr>
                <w:sz w:val="20"/>
                <w:szCs w:val="20"/>
                <w:color w:val="auto"/>
              </w:rPr>
            </w:pPr>
            <w:r>
              <w:rPr>
                <w:rFonts w:ascii="Times New Roman" w:cs="Times New Roman" w:eastAsia="Times New Roman" w:hAnsi="Times New Roman"/>
                <w:sz w:val="14"/>
                <w:szCs w:val="14"/>
                <w:color w:val="auto"/>
              </w:rPr>
              <w:t>Common Stock</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color w:val="auto"/>
              </w:rPr>
              <w:t>Accumulated</w:t>
            </w: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8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Additional Paid-In</w:t>
            </w: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Accumulated</w:t>
            </w:r>
          </w:p>
        </w:tc>
        <w:tc>
          <w:tcPr>
            <w:tcW w:w="100" w:type="dxa"/>
            <w:vAlign w:val="bottom"/>
          </w:tcPr>
          <w:p>
            <w:pPr>
              <w:spacing w:after="0"/>
              <w:rPr>
                <w:sz w:val="14"/>
                <w:szCs w:val="14"/>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Comprehensive</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880" w:type="dxa"/>
            <w:vAlign w:val="bottom"/>
          </w:tcPr>
          <w:p>
            <w:pPr>
              <w:spacing w:after="0"/>
              <w:rPr>
                <w:sz w:val="17"/>
                <w:szCs w:val="17"/>
                <w:color w:val="auto"/>
              </w:rPr>
            </w:pP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Par Value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Deficit</w:t>
            </w:r>
          </w:p>
        </w:tc>
        <w:tc>
          <w:tcPr>
            <w:tcW w:w="10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color w:val="auto"/>
              </w:rPr>
              <w:t>(Loss) Income</w:t>
            </w:r>
          </w:p>
        </w:tc>
        <w:tc>
          <w:tcPr>
            <w:tcW w:w="260" w:type="dxa"/>
            <w:vAlign w:val="bottom"/>
          </w:tcPr>
          <w:p>
            <w:pPr>
              <w:spacing w:after="0"/>
              <w:rPr>
                <w:sz w:val="17"/>
                <w:szCs w:val="17"/>
                <w:color w:val="auto"/>
              </w:rPr>
            </w:pPr>
          </w:p>
        </w:tc>
        <w:tc>
          <w:tcPr>
            <w:tcW w:w="8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2023</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57,333,353</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(309.1)</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(821.7)</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income, net of taxes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($0.30 per share)</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328,080</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57,661,433</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(510.0)</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(769.6)</w:t>
            </w: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1, 2024</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57,707,285</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(738.3)</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Income</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Other comprehensive (loss), net of taxes</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 plans</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0" w:type="dxa"/>
            <w:vAlign w:val="bottom"/>
          </w:tcPr>
          <w:p>
            <w:pPr>
              <w:spacing w:after="0"/>
              <w:rPr>
                <w:sz w:val="1"/>
                <w:szCs w:val="1"/>
                <w:color w:val="auto"/>
              </w:rPr>
            </w:pPr>
          </w:p>
        </w:tc>
      </w:tr>
      <w:tr>
        <w:trPr>
          <w:trHeight w:val="23"/>
        </w:trPr>
        <w:tc>
          <w:tcPr>
            <w:tcW w:w="38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Dividends and dividend equivalents declared ($0.30 per share)</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93"/>
        </w:trPr>
        <w:tc>
          <w:tcPr>
            <w:tcW w:w="3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Issuance of shares related to stock-based compensation plans</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619,730</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23"/>
        </w:trPr>
        <w:tc>
          <w:tcPr>
            <w:tcW w:w="38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58,327,015</w:t>
            </w: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(493.5)</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(736.2)</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4" w:lineRule="exact"/>
        <w:rPr>
          <w:sz w:val="20"/>
          <w:szCs w:val="20"/>
          <w:color w:val="auto"/>
        </w:rPr>
      </w:pP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jc w:val="center"/>
        <w:ind w:left="7920"/>
        <w:spacing w:after="0"/>
        <w:rPr>
          <w:sz w:val="20"/>
          <w:szCs w:val="20"/>
          <w:color w:val="auto"/>
        </w:rPr>
      </w:pPr>
      <w:r>
        <w:rPr>
          <w:rFonts w:ascii="Times New Roman" w:cs="Times New Roman" w:eastAsia="Times New Roman" w:hAnsi="Times New Roman"/>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8890</wp:posOffset>
            </wp:positionV>
            <wp:extent cx="20916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940" w:type="dxa"/>
            <w:vAlign w:val="bottom"/>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6"/>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210"/>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net income to derive net cash provided by operating activities:</w:t>
            </w:r>
          </w:p>
        </w:tc>
        <w:tc>
          <w:tcPr>
            <w:tcW w:w="1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Impairment of property, plant and equipment</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Deferred income taxes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Change in operating assets and liabilities: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Trade receivables, net</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Inventories</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Due from/due to Becton, Dickinson and Company</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r>
      <w:tr>
        <w:trPr>
          <w:trHeight w:val="210"/>
        </w:trPr>
        <w:tc>
          <w:tcPr>
            <w:tcW w:w="794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Accounts payable, accrued expenses and other current liabilities</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Income and other net taxes payable</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0"/>
        </w:trPr>
        <w:tc>
          <w:tcPr>
            <w:tcW w:w="7940" w:type="dxa"/>
            <w:vAlign w:val="bottom"/>
          </w:tcPr>
          <w:p>
            <w:pPr>
              <w:ind w:left="96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r>
      <w:tr>
        <w:trPr>
          <w:trHeight w:val="192"/>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r>
      <w:tr>
        <w:trPr>
          <w:trHeight w:val="31"/>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Capital expenditures</w:t>
            </w:r>
          </w:p>
        </w:tc>
        <w:tc>
          <w:tcPr>
            <w:tcW w:w="1060" w:type="dxa"/>
            <w:vAlign w:val="bottom"/>
            <w:tcBorders>
              <w:bottom w:val="single" w:sz="8" w:color="CCEEFF"/>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1060" w:type="dxa"/>
            <w:vAlign w:val="bottom"/>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10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0"/>
        </w:trPr>
        <w:tc>
          <w:tcPr>
            <w:tcW w:w="794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10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Dividend payments</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(82.5)</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33"/>
        </w:trPr>
        <w:tc>
          <w:tcPr>
            <w:tcW w:w="79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106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Change in Cash and equivalents and restricted cash</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33"/>
        </w:trPr>
        <w:tc>
          <w:tcPr>
            <w:tcW w:w="7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79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Opening Cash and equivalents and restricted cash</w:t>
            </w:r>
          </w:p>
        </w:tc>
        <w:tc>
          <w:tcPr>
            <w:tcW w:w="10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326.5</w:t>
            </w:r>
          </w:p>
        </w:tc>
      </w:tr>
      <w:tr>
        <w:trPr>
          <w:trHeight w:val="204"/>
        </w:trPr>
        <w:tc>
          <w:tcPr>
            <w:tcW w:w="7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Closing Cash and equivalents and restricted cash</w:t>
            </w:r>
          </w:p>
        </w:tc>
        <w:tc>
          <w:tcPr>
            <w:tcW w:w="1060" w:type="dxa"/>
            <w:vAlign w:val="bottom"/>
            <w:tcBorders>
              <w:top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00" w:type="dxa"/>
            <w:vAlign w:val="bottom"/>
          </w:tcPr>
          <w:p>
            <w:pPr>
              <w:spacing w:after="0"/>
              <w:rPr>
                <w:sz w:val="17"/>
                <w:szCs w:val="17"/>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306.5</w:t>
            </w:r>
          </w:p>
        </w:tc>
      </w:tr>
      <w:tr>
        <w:trPr>
          <w:trHeight w:val="33"/>
        </w:trPr>
        <w:tc>
          <w:tcPr>
            <w:tcW w:w="79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the Unaudited Condensed Consolidated Financial Statements.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Background</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The Company primarily sells products to wholesalers and distributors that sell to retail and institutional channels who in turn sell to patients or use the products to deliver insulin injections to patients.</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w:t>
      </w:r>
    </w:p>
    <w:p>
      <w:pPr>
        <w:spacing w:after="0" w:line="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accompanying unaudited financial statements have been prepared in accordance with U.S. Generally Accepted Accounting Principles (“GAAP”) and with the instructions to Form 10-Q and Article 10 of Regulation S-X. Accordingly, certain information and disclosures required by GAAP for complete consolidated financial statements are not included herein. The results of operations of any interim period are not necessarily indicative of the results of operations for the full year. In the Company's opinion, all adjustments necessary for a fair statement of these interim statements have been included and are of a normal and recurring nature. All intercompany transactions and accounts within Embecta have been eliminated. These interim statements should be read in conjunction with the audited financial statements and notes thereto included in Embecta's Annual Report on Form 10-K for the year ended September 30, 2024, filed with the Securities and Exchange Commission on December 11, 2024 (the “2024 Form 10-K”).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or assumptions affect reported assets, liabilities, revenues and expenses, depreciable and amortizable lives, sales returns and allowances, rebate accruals, inventory reserves and taxes on income as reflected in the Condensed Consolidated Financial Statements. Actual results could differ from these estimates.</w:t>
      </w:r>
    </w:p>
    <w:p>
      <w:pPr>
        <w:spacing w:after="0" w:line="121" w:lineRule="exact"/>
        <w:rPr>
          <w:sz w:val="20"/>
          <w:szCs w:val="20"/>
          <w:color w:val="auto"/>
        </w:rPr>
      </w:pPr>
    </w:p>
    <w:p>
      <w:pPr>
        <w:ind w:right="1640"/>
        <w:spacing w:after="0" w:line="369" w:lineRule="auto"/>
        <w:rPr>
          <w:sz w:val="20"/>
          <w:szCs w:val="20"/>
          <w:color w:val="auto"/>
        </w:rPr>
      </w:pPr>
      <w:r>
        <w:rPr>
          <w:rFonts w:ascii="Times New Roman" w:cs="Times New Roman" w:eastAsia="Times New Roman" w:hAnsi="Times New Roman"/>
          <w:sz w:val="18"/>
          <w:szCs w:val="18"/>
          <w:i w:val="1"/>
          <w:iCs w:val="1"/>
          <w:color w:val="auto"/>
        </w:rPr>
        <w:t>The following provides updates to the Company's "Summary of Significant Accounting Policies" as disclosed in the 2024 Form 10-K. Restructuring Costs</w:t>
      </w: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records liabilities for costs associated with exit or disposal activities in the period in which the liability is incurred. In accordance with existing benefit arrangements, future employee termination costs to be incurred in conjunction with involuntary separations are accrued when such separations are probable and estimable. When accruing these costs, the Company will recognize the amount that is the best estimate. Costs for one-time termination benefits are recognized at the date the employee is notified, unless the employee is required to render services beyond a minimum retention period, in which case the benefits are expensed ratably over the service period. Liabilities for other costs associated with a restructuring activity are measured at fair value and are recognized when the liability is incurred. Other costs primarily consist of contract termination fees and other costs related to restructuring activities and are expensed when incurred. In connection with exit and disposal activities, the Company also assesses the recoverability of long-lived assets employed in the business. Additional disclosures regarding the Company’s accounting for restructuring costs are provided in Note 4.</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new material accounting standards adopted in the second quarter of fiscal year 2025.</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2023, the Financial Accounting Standard Board ("FASB") issued Accounting Standards Update ("ASU") 2023-07, Segment Reporting (Topic 280): Improvements to Reportable Segment Disclosures, which modifies the disclosure and presentation requirements of reportable segments. This update is effective for the Company beginning with its fiscal year 2025 reporting and for interim reporting beginning with its fiscal year 2026. While this accounting standard will increase disclosures, it will not have a material impact on the Company’s Consolidated Financial Statement results.</w:t>
      </w:r>
    </w:p>
    <w:p>
      <w:pPr>
        <w:spacing w:after="0" w:line="6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This update is effective for the Company beginning with its fiscal year 2026 reporting. While this accounting standard will increase disclosures, it will not have a material impact on the Company’s Consolidated Financial Statement results.</w:t>
      </w:r>
    </w:p>
    <w:p>
      <w:pPr>
        <w:spacing w:after="0" w:line="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(Subtopic 220-40), to improve disclosures about an entity's expenses including more detailed information about the components of expenses in</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commonly presented expense captions. This update is effective for the Company beginning with its fiscal year 2028 reporting and for interim reporting beginning with its fiscal year 2029. While this accounting standard will increase disclosures, it is not expected to have a material impact on the Company’s Consolidated Financial Statement results.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Third Party Arrangements and Related Party Disclosures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2A29"/>
        </w:rPr>
        <w:t>On April 1, 2022, Embecta and Becton, Dickinson and Company ("BD") entered into a Separation and Distribution Agreement (the "Separation and Distribution Agreement"). Pursuant to the Separation and Distribution Agreement, BD agreed to spin off its diabetes care business (the "Diabetes Care Business") into Embecta, a new, publicly traded company (the "Separation").</w:t>
      </w:r>
    </w:p>
    <w:p>
      <w:pPr>
        <w:spacing w:after="0" w:line="4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 xml:space="preserve">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 In addition, the Company entered into a series of agreements with BD that govern aspects of Embecta's relationship with BD following the Separation which include, but are not limited to the Transition Services Agreements ("TSA"), </w:t>
      </w:r>
      <w:r>
        <w:rPr>
          <w:rFonts w:ascii="Times New Roman" w:cs="Times New Roman" w:eastAsia="Times New Roman" w:hAnsi="Times New Roman"/>
          <w:sz w:val="18"/>
          <w:szCs w:val="18"/>
          <w:color w:val="2B2A29"/>
        </w:rPr>
        <w:t>Trade Receivables Factoring Agreements ("Factoring Agreements"),</w:t>
      </w:r>
      <w:r>
        <w:rPr>
          <w:rFonts w:ascii="Times New Roman" w:cs="Times New Roman" w:eastAsia="Times New Roman" w:hAnsi="Times New Roman"/>
          <w:sz w:val="18"/>
          <w:szCs w:val="18"/>
          <w:color w:val="auto"/>
        </w:rPr>
        <w:t xml:space="preserve"> Distribution Agreements, Cannula Supply Agreement, Tax Matters Agreement, Logistics Services Agreement ("LSA"), employee matters agreement, an intellectual property matters agreement, local support services agreements, certain other manufacturing arrangements and a process services agreement and lease agreement for a manufacturing facility located in Holdrege, Nebraska. Certain of these agreements have expired or terminated as disclosed in the 2024 Form 10-K.</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details on the rights and responsibilities of the parties under these agreements refer to Note 4 to the Consolidated Financial Statements in the 2024 Form 10-K.</w:t>
      </w:r>
    </w:p>
    <w:p>
      <w:pPr>
        <w:spacing w:after="0" w:line="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amounts due from BD under the above agreements were $17.0 million and $7.5 million at March 31, 2025 and are included in </w:t>
      </w:r>
      <w:r>
        <w:rPr>
          <w:rFonts w:ascii="Times New Roman" w:cs="Times New Roman" w:eastAsia="Times New Roman" w:hAnsi="Times New Roman"/>
          <w:sz w:val="18"/>
          <w:szCs w:val="18"/>
          <w:i w:val="1"/>
          <w:iCs w:val="1"/>
          <w:color w:val="auto"/>
        </w:rPr>
        <w:t>Amounts due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Becton, Dickinson and Company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Trade receivables, net</w:t>
      </w:r>
      <w:r>
        <w:rPr>
          <w:rFonts w:ascii="Times New Roman" w:cs="Times New Roman" w:eastAsia="Times New Roman" w:hAnsi="Times New Roman"/>
          <w:sz w:val="18"/>
          <w:szCs w:val="18"/>
          <w:color w:val="auto"/>
        </w:rPr>
        <w:t>, respectively. The amounts due to BD under these agreements were $20.7 million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$4.3 million at March 31, 2025 and are included in </w:t>
      </w:r>
      <w:r>
        <w:rPr>
          <w:rFonts w:ascii="Times New Roman" w:cs="Times New Roman" w:eastAsia="Times New Roman" w:hAnsi="Times New Roman"/>
          <w:sz w:val="18"/>
          <w:szCs w:val="18"/>
          <w:i w:val="1"/>
          <w:iCs w:val="1"/>
          <w:color w:val="auto"/>
        </w:rPr>
        <w:t>Amounts due to Becton, Dickinson and Company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Accounts payable</w:t>
      </w:r>
      <w:r>
        <w:rPr>
          <w:rFonts w:ascii="Times New Roman" w:cs="Times New Roman" w:eastAsia="Times New Roman" w:hAnsi="Times New Roman"/>
          <w:sz w:val="18"/>
          <w:szCs w:val="18"/>
          <w:color w:val="auto"/>
        </w:rPr>
        <w:t>, respectively.</w:t>
      </w:r>
    </w:p>
    <w:p>
      <w:pPr>
        <w:spacing w:after="0" w:line="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closing of the transfers of certain assets and liabilities related to the Diabetes Care Business in certain jurisdictions, including India, as contemplated by the Separation and Distribution Agreement did not occur at Separation. The transfer of the relevant local assets and liabilities in India are expected to close at a future date. As of March 31, 2025, the amounts related to certain assets and liabilities in these jurisdictions are not material to the Company’s Condensed Consolidated Financial Statements.</w:t>
      </w: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Restructuring Charges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November 22, 2024, the Company’s Board of Directors approved a plan to discontinue internal and external investment in the research and development of the Company's patch pump program. As a result, the Company incurred organizational restructuring plan (the "Patch Pump Restructuring Plan") costs during the three and six months ended March 31, 2025. This Patch Pump Restructuring Plan is substantially complete as of March 31, 2025, with the cumulative pretax costs to be incurred by the Company to implement the Patch Pump Restructuring Plan estimated to be $30.0 million to $40.0 million. The Company plans to refocus its investment on its core business while looking to optimize free cash flow and strengthen its balance sheet by paying down debt.</w:t>
      </w:r>
    </w:p>
    <w:p>
      <w:pPr>
        <w:spacing w:after="0" w:line="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second quarter of fiscal year 2025, the Company initiated a restructuring plan (the "2025 Restructuring Plan") to streamline the organization and optimize resources. As a result, the Company incurred organizational restructuring plan costs during the three and six months ended March 31, 2025. The Company expects these restructuring actions to be substantially completed by the end of fiscal year 2025, with the cumulative pretax costs to be incurred by the Company to implement the 2025 Restructuring Plan estimated to be $4.0 million to $5.0 million.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charges related to the restructuring programs by type of cost for the periods ended: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gridSpan w:val="8"/>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 March 31, 2025</w:t>
            </w:r>
          </w:p>
        </w:tc>
        <w:tc>
          <w:tcPr>
            <w:tcW w:w="140" w:type="dxa"/>
            <w:vAlign w:val="bottom"/>
          </w:tcPr>
          <w:p>
            <w:pPr>
              <w:spacing w:after="0"/>
              <w:rPr>
                <w:sz w:val="18"/>
                <w:szCs w:val="18"/>
                <w:color w:val="auto"/>
              </w:rPr>
            </w:pPr>
          </w:p>
        </w:tc>
        <w:tc>
          <w:tcPr>
            <w:tcW w:w="3500" w:type="dxa"/>
            <w:vAlign w:val="bottom"/>
            <w:gridSpan w:val="7"/>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Six months ended March 31, 2025</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6"/>
                <w:szCs w:val="16"/>
                <w:b w:val="1"/>
                <w:bCs w:val="1"/>
                <w:color w:val="auto"/>
              </w:rPr>
              <w:t>Employee</w:t>
            </w:r>
          </w:p>
        </w:tc>
        <w:tc>
          <w:tcPr>
            <w:tcW w:w="1240" w:type="dxa"/>
            <w:vAlign w:val="bottom"/>
            <w:gridSpan w:val="3"/>
          </w:tcPr>
          <w:p>
            <w:pPr>
              <w:jc w:val="right"/>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Non-Employee</w:t>
            </w:r>
          </w:p>
        </w:tc>
        <w:tc>
          <w:tcPr>
            <w:tcW w:w="240" w:type="dxa"/>
            <w:vAlign w:val="bottom"/>
          </w:tcPr>
          <w:p>
            <w:pPr>
              <w:spacing w:after="0"/>
              <w:rPr>
                <w:sz w:val="15"/>
                <w:szCs w:val="15"/>
                <w:color w:val="auto"/>
              </w:rPr>
            </w:pPr>
          </w:p>
        </w:tc>
        <w:tc>
          <w:tcPr>
            <w:tcW w:w="10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5"/>
                <w:szCs w:val="15"/>
                <w:color w:val="auto"/>
              </w:rPr>
            </w:pPr>
          </w:p>
        </w:tc>
        <w:tc>
          <w:tcPr>
            <w:tcW w:w="1120" w:type="dxa"/>
            <w:vAlign w:val="bottom"/>
            <w:gridSpan w:val="2"/>
          </w:tcPr>
          <w:p>
            <w:pPr>
              <w:jc w:val="center"/>
              <w:ind w:right="220"/>
              <w:spacing w:after="0" w:line="181" w:lineRule="exact"/>
              <w:rPr>
                <w:sz w:val="20"/>
                <w:szCs w:val="20"/>
                <w:color w:val="auto"/>
              </w:rPr>
            </w:pPr>
            <w:r>
              <w:rPr>
                <w:rFonts w:ascii="Times New Roman" w:cs="Times New Roman" w:eastAsia="Times New Roman" w:hAnsi="Times New Roman"/>
                <w:sz w:val="16"/>
                <w:szCs w:val="16"/>
                <w:b w:val="1"/>
                <w:bCs w:val="1"/>
                <w:color w:val="auto"/>
              </w:rPr>
              <w:t>Employee</w:t>
            </w:r>
          </w:p>
        </w:tc>
        <w:tc>
          <w:tcPr>
            <w:tcW w:w="1240" w:type="dxa"/>
            <w:vAlign w:val="bottom"/>
            <w:gridSpan w:val="3"/>
          </w:tcPr>
          <w:p>
            <w:pPr>
              <w:jc w:val="center"/>
              <w:ind w:right="100"/>
              <w:spacing w:after="0" w:line="181" w:lineRule="exact"/>
              <w:rPr>
                <w:sz w:val="20"/>
                <w:szCs w:val="20"/>
                <w:color w:val="auto"/>
              </w:rPr>
            </w:pPr>
            <w:r>
              <w:rPr>
                <w:rFonts w:ascii="Times New Roman" w:cs="Times New Roman" w:eastAsia="Times New Roman" w:hAnsi="Times New Roman"/>
                <w:sz w:val="16"/>
                <w:szCs w:val="16"/>
                <w:b w:val="1"/>
                <w:bCs w:val="1"/>
                <w:color w:val="auto"/>
              </w:rPr>
              <w:t>Non-Employee</w:t>
            </w:r>
          </w:p>
        </w:tc>
        <w:tc>
          <w:tcPr>
            <w:tcW w:w="240" w:type="dxa"/>
            <w:vAlign w:val="bottom"/>
          </w:tcPr>
          <w:p>
            <w:pPr>
              <w:spacing w:after="0"/>
              <w:rPr>
                <w:sz w:val="15"/>
                <w:szCs w:val="15"/>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24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200" w:type="dxa"/>
            <w:vAlign w:val="bottom"/>
          </w:tcPr>
          <w:p>
            <w:pPr>
              <w:spacing w:after="0"/>
              <w:rPr>
                <w:sz w:val="19"/>
                <w:szCs w:val="19"/>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Related</w:t>
            </w:r>
          </w:p>
        </w:tc>
        <w:tc>
          <w:tcPr>
            <w:tcW w:w="2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80" w:type="dxa"/>
            <w:vAlign w:val="bottom"/>
            <w:tcBorders>
              <w:top w:val="single" w:sz="8" w:color="auto"/>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33"/>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0" w:type="dxa"/>
            <w:vAlign w:val="bottom"/>
          </w:tcPr>
          <w:p>
            <w:pPr>
              <w:spacing w:after="0"/>
              <w:rPr>
                <w:sz w:val="1"/>
                <w:szCs w:val="1"/>
                <w:color w:val="auto"/>
              </w:rPr>
            </w:pPr>
          </w:p>
        </w:tc>
      </w:tr>
      <w:tr>
        <w:trPr>
          <w:trHeight w:val="210"/>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0" w:type="dxa"/>
            <w:vAlign w:val="bottom"/>
          </w:tcPr>
          <w:p>
            <w:pPr>
              <w:spacing w:after="0"/>
              <w:rPr>
                <w:sz w:val="1"/>
                <w:szCs w:val="1"/>
                <w:color w:val="auto"/>
              </w:rPr>
            </w:pPr>
          </w:p>
        </w:tc>
      </w:tr>
      <w:tr>
        <w:trPr>
          <w:trHeight w:val="33"/>
        </w:trPr>
        <w:tc>
          <w:tcPr>
            <w:tcW w:w="3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3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Employee termination costs are associated with actual headcount reductions, including involuntary headcount reductions which were probable and could be reasonably estimated.</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Non-employee related costs are associated with termination of contracts and long-lived asset impairments which are discussed further in Note 15 and Note 16.</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charges and spending relating to restructuring program activities for the six months ended March 31,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Employee</w:t>
            </w:r>
          </w:p>
        </w:tc>
        <w:tc>
          <w:tcPr>
            <w:tcW w:w="124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Non-Employee</w:t>
            </w:r>
          </w:p>
        </w:tc>
        <w:tc>
          <w:tcPr>
            <w:tcW w:w="260" w:type="dxa"/>
            <w:vAlign w:val="bottom"/>
          </w:tcPr>
          <w:p>
            <w:pPr>
              <w:spacing w:after="0"/>
              <w:rPr>
                <w:sz w:val="16"/>
                <w:szCs w:val="16"/>
                <w:color w:val="auto"/>
              </w:rPr>
            </w:pPr>
          </w:p>
        </w:tc>
        <w:tc>
          <w:tcPr>
            <w:tcW w:w="900" w:type="dxa"/>
            <w:vAlign w:val="bottom"/>
            <w:vMerge w:val="restart"/>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25"/>
        </w:trPr>
        <w:tc>
          <w:tcPr>
            <w:tcW w:w="7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Termination</w:t>
            </w:r>
          </w:p>
        </w:tc>
        <w:tc>
          <w:tcPr>
            <w:tcW w:w="200" w:type="dxa"/>
            <w:vAlign w:val="bottom"/>
          </w:tcPr>
          <w:p>
            <w:pPr>
              <w:spacing w:after="0"/>
              <w:rPr>
                <w:sz w:val="19"/>
                <w:szCs w:val="19"/>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Related</w:t>
            </w:r>
          </w:p>
        </w:tc>
        <w:tc>
          <w:tcPr>
            <w:tcW w:w="2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Charged to expense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w:t>
            </w:r>
          </w:p>
        </w:tc>
        <w:tc>
          <w:tcPr>
            <w:tcW w:w="0" w:type="dxa"/>
            <w:vAlign w:val="bottom"/>
          </w:tcPr>
          <w:p>
            <w:pPr>
              <w:spacing w:after="0"/>
              <w:rPr>
                <w:sz w:val="1"/>
                <w:szCs w:val="1"/>
                <w:color w:val="auto"/>
              </w:rPr>
            </w:pPr>
          </w:p>
        </w:tc>
      </w:tr>
      <w:tr>
        <w:trPr>
          <w:trHeight w:val="33"/>
        </w:trPr>
        <w:tc>
          <w:tcPr>
            <w:tcW w:w="7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0" w:type="dxa"/>
            <w:vAlign w:val="bottom"/>
          </w:tcPr>
          <w:p>
            <w:pPr>
              <w:spacing w:after="0"/>
              <w:rPr>
                <w:sz w:val="1"/>
                <w:szCs w:val="1"/>
                <w:color w:val="auto"/>
              </w:rPr>
            </w:pPr>
          </w:p>
        </w:tc>
      </w:tr>
      <w:tr>
        <w:trPr>
          <w:trHeight w:val="210"/>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adjustments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33"/>
        </w:trPr>
        <w:tc>
          <w:tcPr>
            <w:tcW w:w="7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600" w:type="dxa"/>
            <w:vAlign w:val="bottom"/>
            <w:tcBorders>
              <w:bottom w:val="single" w:sz="8" w:color="CCEEFF"/>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6"/>
                <w:szCs w:val="16"/>
                <w:color w:val="auto"/>
              </w:rPr>
              <w:t xml:space="preserve">Balance at March 31, 2025 </w:t>
            </w:r>
            <w:r>
              <w:rPr>
                <w:rFonts w:ascii="Times New Roman" w:cs="Times New Roman" w:eastAsia="Times New Roman" w:hAnsi="Times New Roman"/>
                <w:sz w:val="21"/>
                <w:szCs w:val="21"/>
                <w:color w:val="auto"/>
                <w:vertAlign w:val="superscript"/>
              </w:rPr>
              <w:t>(a)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As of March 31, 2025, $5.6 million is recorded in </w:t>
      </w:r>
      <w:r>
        <w:rPr>
          <w:rFonts w:ascii="Times New Roman" w:cs="Times New Roman" w:eastAsia="Times New Roman" w:hAnsi="Times New Roman"/>
          <w:sz w:val="18"/>
          <w:szCs w:val="18"/>
          <w:i w:val="1"/>
          <w:iCs w:val="1"/>
          <w:color w:val="auto"/>
        </w:rPr>
        <w:t>Salaries, wages and related items</w:t>
      </w:r>
      <w:r>
        <w:rPr>
          <w:rFonts w:ascii="Times New Roman" w:cs="Times New Roman" w:eastAsia="Times New Roman" w:hAnsi="Times New Roman"/>
          <w:sz w:val="18"/>
          <w:szCs w:val="18"/>
          <w:color w:val="auto"/>
        </w:rPr>
        <w:t xml:space="preserve"> and $1.1 million is recorded in </w:t>
      </w:r>
      <w:r>
        <w:rPr>
          <w:rFonts w:ascii="Times New Roman" w:cs="Times New Roman" w:eastAsia="Times New Roman" w:hAnsi="Times New Roman"/>
          <w:sz w:val="18"/>
          <w:szCs w:val="18"/>
          <w:i w:val="1"/>
          <w:iCs w:val="1"/>
          <w:color w:val="auto"/>
        </w:rPr>
        <w:t>Accrued expenses.</w:t>
      </w:r>
    </w:p>
    <w:p>
      <w:pPr>
        <w:spacing w:after="0" w:line="200" w:lineRule="exact"/>
        <w:rPr>
          <w:sz w:val="20"/>
          <w:szCs w:val="20"/>
          <w:color w:val="auto"/>
        </w:rPr>
      </w:pPr>
    </w:p>
    <w:p>
      <w:pPr>
        <w:spacing w:after="0" w:line="2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798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82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r>
      <w:tr>
        <w:trPr>
          <w:trHeight w:val="33"/>
        </w:trPr>
        <w:tc>
          <w:tcPr>
            <w:tcW w:w="4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46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4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the Separation</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associated with the discontinued patch pump program</w:t>
            </w: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optimization and severance related costs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3"/>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33"/>
        </w:trPr>
        <w:tc>
          <w:tcPr>
            <w:tcW w:w="4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Separation, the Company incurred separation and stand-up costs. The costs incurred primarily consist of costs associated with accounting, auditing, legal services, marketing, supply chain, employee retention, brand transition, and certain other costs to establish certain systems and services, including but not limited to, information technology, procurement, quality and regulatory affairs, medical affairs, tax and treasury services, distribution logistics, and shared services infrastructure support for order-to-cash, source-to-pay, and record-to-report, which, for clarity, includes enterprise resource plan ("ERP") system (“Business Continuity Processes”) and stand-alone functions to assist with the transition to being a stand-alone entity.</w:t>
      </w:r>
    </w:p>
    <w:p>
      <w:pPr>
        <w:spacing w:after="0" w:line="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 both the three and six months ended March 31, 2025 and 2024, the Company recognized costs associated with the amortization of cloud computing arrangements which is further discussed in Note 11.</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March 31, 2025, the Company recognized costs associated with the discontinuation of the patch pump program which is further discussed in Note 4.</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both the three and six months ended March 31, 2025 and 2024, the Company incurred restructuring, business optimization, and severance related costs associated with standing up and optimizing the organization.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Contingencies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was not a party to any material legal proceedings at March 31, 2025 or September 30, 2024, nor is it a party to any material legal proceedings as of the date of issuance of these Condensed Consolidated Financial Statements.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Revenues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policies for recognizing revenue have not changed from those described in the 2024 Form 10-K. The Company sells syringes, pen needles and other products used in the management of diabetes which are primarily sold to wholesalers and distributors that sell to retail and institutional channels who in turn sell to patients or use the products to deliver insulin injections to patients. End-users of the Company’s products include healthcare institutions, physicians, life science researchers, clinical laboratories, the pharmaceutical industry, and the general public.</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Measurement of Revenues</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Condensed Consolidated Financial Statements.</w:t>
      </w:r>
    </w:p>
    <w:p>
      <w:pPr>
        <w:spacing w:after="0" w:line="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gross revenues are subject to a variety of gross-to-net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in transit to the Company’s distributors, as well as the estimated lag time between the sale of product and the payment of corresponding rebates.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liability attributed to variable consideration at March 31, 2025 and September 30, 2024 was $128.4 million and $149.6 million, respectively. Sales deductions recorded as a reduction of gross revenues for the three months ended March 31, 2025 and 2024 were $143.2 million and $138.5 million, respectively. Sales deductions recorded as a reduction of gross revenues for the six months ended March 31, 2025 and 2024 were $293.3 million and $265.2 million, respectively.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Disaggregation of revenue by geographic region and product line is provided within Note 8.</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does not have contract liabilities. Contract assets consist of the Company’s right to consideration that is conditional upon its future performance pursuant to private label agreements and are presented within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in the Condensed Consolidated Balance Sheets.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 asset balance was $1.2 million as of both March 31, 2025 and September 30, 2024.</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and Geographical Data</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in which discrete financial information is available for evaluation by the chief operating decision-maker (“CODM”) in making decisions regarding assessing business performance and allocating resources and capital. Management has concluded that the Company operates in one segment based upon the information used by the CODM in evaluating the performance of the Company’s business and allocating resources and capital.</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large and small key account managers that call on payers, retailers, wholesalers and institutional customers, and field-based territory managers that call on health care providers and pharmacies. In certain markets within Europe, the Company has dedicated sales representatives and in certain regions of the Middle East and Africa, the Company has distribution agreements. In Asia, the Company has distribution agreements, and in China the Company relies on its own commercial team to support sales execution. In Latin America, the Company maintains distribution agreements and direct sales representatives.</w:t>
      </w:r>
    </w:p>
    <w:p>
      <w:pPr>
        <w:spacing w:after="0" w:line="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disaggregates its revenue by geography and product line as management believes these categories best depict how the nature, amount, and timing of revenues and cash flows are affected by economic factors.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as follows: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2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7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r>
      <w:tr>
        <w:trPr>
          <w:trHeight w:val="33"/>
        </w:trPr>
        <w:tc>
          <w:tcPr>
            <w:tcW w:w="12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12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122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United States</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296.2</w:t>
            </w:r>
          </w:p>
        </w:tc>
      </w:tr>
      <w:tr>
        <w:trPr>
          <w:trHeight w:val="243"/>
        </w:trPr>
        <w:tc>
          <w:tcPr>
            <w:tcW w:w="4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International</w:t>
            </w:r>
            <w:r>
              <w:rPr>
                <w:rFonts w:ascii="Times New Roman" w:cs="Times New Roman" w:eastAsia="Times New Roman" w:hAnsi="Times New Roman"/>
                <w:sz w:val="21"/>
                <w:szCs w:val="21"/>
                <w:color w:val="auto"/>
                <w:vertAlign w:val="superscript"/>
              </w:rPr>
              <w:t>(1)</w:t>
            </w:r>
          </w:p>
        </w:tc>
        <w:tc>
          <w:tcPr>
            <w:tcW w:w="104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1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139.6</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268.3</w:t>
            </w:r>
          </w:p>
        </w:tc>
      </w:tr>
      <w:tr>
        <w:trPr>
          <w:trHeight w:val="261"/>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40" w:type="dxa"/>
            <w:vAlign w:val="bottom"/>
            <w:tcBorders>
              <w:bottom w:val="single" w:sz="8" w:color="CCEEFF"/>
            </w:tcBorders>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58"/>
        </w:trPr>
        <w:tc>
          <w:tcPr>
            <w:tcW w:w="1220" w:type="dxa"/>
            <w:vAlign w:val="bottom"/>
            <w:tcBorders>
              <w:bottom w:val="single" w:sz="8" w:color="auto"/>
            </w:tcBorders>
          </w:tcPr>
          <w:p>
            <w:pPr>
              <w:spacing w:after="0"/>
              <w:rPr>
                <w:sz w:val="22"/>
                <w:szCs w:val="22"/>
                <w:color w:val="auto"/>
              </w:rPr>
            </w:pPr>
          </w:p>
        </w:tc>
        <w:tc>
          <w:tcPr>
            <w:tcW w:w="33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bl>
    <w:p>
      <w:pPr>
        <w:spacing w:after="0" w:line="175" w:lineRule="exact"/>
        <w:rPr>
          <w:sz w:val="20"/>
          <w:szCs w:val="20"/>
          <w:color w:val="auto"/>
        </w:rPr>
      </w:pPr>
    </w:p>
    <w:p>
      <w:pPr>
        <w:ind w:left="340" w:hanging="332"/>
        <w:spacing w:after="0" w:line="225" w:lineRule="auto"/>
        <w:tabs>
          <w:tab w:leader="none" w:pos="328"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For the three and six months ended March 31, 2025 and 2024, no individual country outside of the United States generated net revenues that represented more than 10.0% of total revenues.</w:t>
      </w: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product line are as follows:</w:t>
      </w:r>
    </w:p>
    <w:p>
      <w:pPr>
        <w:sectPr>
          <w:pgSz w:w="11900" w:h="16838" w:orient="portrait"/>
          <w:cols w:equalWidth="0" w:num="1">
            <w:col w:w="11240"/>
          </w:cols>
          <w:pgMar w:left="320" w:top="226" w:right="339" w:bottom="1440" w:gutter="0" w:footer="0" w:header="0"/>
        </w:sectPr>
      </w:pPr>
    </w:p>
    <w:p>
      <w:pPr>
        <w:spacing w:after="0" w:line="17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21590</wp:posOffset>
            </wp:positionV>
            <wp:extent cx="20828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6" w:lineRule="exact"/>
        <w:rPr>
          <w:sz w:val="20"/>
          <w:szCs w:val="20"/>
          <w:color w:val="auto"/>
        </w:rPr>
      </w:pPr>
    </w:p>
    <w:p>
      <w:pPr>
        <w:ind w:left="508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Six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wp:posOffset>
            </wp:positionH>
            <wp:positionV relativeFrom="paragraph">
              <wp:posOffset>21590</wp:posOffset>
            </wp:positionV>
            <wp:extent cx="22028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6"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41" w:lineRule="exact"/>
        <w:rPr>
          <w:sz w:val="20"/>
          <w:szCs w:val="20"/>
          <w:color w:val="auto"/>
        </w:rPr>
      </w:pPr>
    </w:p>
    <w:p>
      <w:pPr>
        <w:sectPr>
          <w:pgSz w:w="11900" w:h="16838" w:orient="portrait"/>
          <w:cols w:equalWidth="0" w:num="2">
            <w:col w:w="7780" w:space="720"/>
            <w:col w:w="2740"/>
          </w:cols>
          <w:pgMar w:left="320" w:top="226"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44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 Needles</w:t>
            </w:r>
          </w:p>
        </w:tc>
        <w:tc>
          <w:tcPr>
            <w:tcW w:w="620" w:type="dxa"/>
            <w:vAlign w:val="bottom"/>
            <w:tcBorders>
              <w:top w:val="single" w:sz="8" w:color="auto"/>
              <w:bottom w:val="single" w:sz="8" w:color="CCEEFF"/>
            </w:tcBorders>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188.3</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CCEEFF"/>
            </w:tcBorders>
            <w:shd w:val="clear" w:color="auto" w:fill="CCEEFF"/>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428.0</w:t>
            </w:r>
          </w:p>
        </w:tc>
      </w:tr>
      <w:tr>
        <w:trPr>
          <w:trHeight w:val="210"/>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Syringes</w:t>
            </w:r>
          </w:p>
        </w:tc>
        <w:tc>
          <w:tcPr>
            <w:tcW w:w="6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w:t>
            </w:r>
          </w:p>
        </w:tc>
      </w:tr>
      <w:tr>
        <w:trPr>
          <w:trHeight w:val="33"/>
        </w:trPr>
        <w:tc>
          <w:tcPr>
            <w:tcW w:w="1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3"/>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Safety</w:t>
            </w:r>
          </w:p>
        </w:tc>
        <w:tc>
          <w:tcPr>
            <w:tcW w:w="6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0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r>
      <w:tr>
        <w:trPr>
          <w:trHeight w:val="243"/>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w:t>
            </w:r>
            <w:r>
              <w:rPr>
                <w:rFonts w:ascii="Times New Roman" w:cs="Times New Roman" w:eastAsia="Times New Roman" w:hAnsi="Times New Roman"/>
                <w:sz w:val="21"/>
                <w:szCs w:val="21"/>
                <w:color w:val="auto"/>
                <w:vertAlign w:val="superscript"/>
              </w:rPr>
              <w:t>(2)</w:t>
            </w:r>
          </w:p>
        </w:tc>
        <w:tc>
          <w:tcPr>
            <w:tcW w:w="6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r>
      <w:tr>
        <w:trPr>
          <w:trHeight w:val="243"/>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Contract Manufacturing</w:t>
            </w:r>
          </w:p>
        </w:tc>
        <w:tc>
          <w:tcPr>
            <w:tcW w:w="6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0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620" w:type="dxa"/>
            <w:vAlign w:val="bottom"/>
            <w:tcBorders>
              <w:top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00" w:type="dxa"/>
            <w:vAlign w:val="bottom"/>
          </w:tcPr>
          <w:p>
            <w:pPr>
              <w:spacing w:after="0"/>
              <w:rPr>
                <w:sz w:val="17"/>
                <w:szCs w:val="17"/>
                <w:color w:val="auto"/>
              </w:rPr>
            </w:pPr>
          </w:p>
        </w:tc>
        <w:tc>
          <w:tcPr>
            <w:tcW w:w="640" w:type="dxa"/>
            <w:vAlign w:val="bottom"/>
            <w:tcBorders>
              <w:top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00" w:type="dxa"/>
            <w:vAlign w:val="bottom"/>
          </w:tcPr>
          <w:p>
            <w:pPr>
              <w:spacing w:after="0"/>
              <w:rPr>
                <w:sz w:val="17"/>
                <w:szCs w:val="17"/>
                <w:color w:val="auto"/>
              </w:rPr>
            </w:pPr>
          </w:p>
        </w:tc>
        <w:tc>
          <w:tcPr>
            <w:tcW w:w="660" w:type="dxa"/>
            <w:vAlign w:val="bottom"/>
            <w:tcBorders>
              <w:top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520.9</w:t>
            </w:r>
          </w:p>
        </w:tc>
        <w:tc>
          <w:tcPr>
            <w:tcW w:w="100" w:type="dxa"/>
            <w:vAlign w:val="bottom"/>
          </w:tcPr>
          <w:p>
            <w:pPr>
              <w:spacing w:after="0"/>
              <w:rPr>
                <w:sz w:val="17"/>
                <w:szCs w:val="17"/>
                <w:color w:val="auto"/>
              </w:rPr>
            </w:pPr>
          </w:p>
        </w:tc>
        <w:tc>
          <w:tcPr>
            <w:tcW w:w="66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564.5</w:t>
            </w:r>
          </w:p>
        </w:tc>
      </w:tr>
      <w:tr>
        <w:trPr>
          <w:trHeight w:val="33"/>
        </w:trPr>
        <w:tc>
          <w:tcPr>
            <w:tcW w:w="12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12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1"/>
        </w:trPr>
        <w:tc>
          <w:tcPr>
            <w:tcW w:w="1220" w:type="dxa"/>
            <w:vAlign w:val="bottom"/>
            <w:tcBorders>
              <w:bottom w:val="single" w:sz="8" w:color="auto"/>
            </w:tcBorders>
          </w:tcPr>
          <w:p>
            <w:pPr>
              <w:spacing w:after="0"/>
              <w:rPr>
                <w:sz w:val="24"/>
                <w:szCs w:val="24"/>
                <w:color w:val="auto"/>
              </w:rPr>
            </w:pPr>
          </w:p>
        </w:tc>
        <w:tc>
          <w:tcPr>
            <w:tcW w:w="3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pacing w:after="0" w:line="131"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Other includes product sales for swabs and other accessories.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Stock-Based Compensation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Total stock-based compensation expense for the three and six months ended March 31, 2025 and 2024 and the respective income tax benefits recognized by the Company in the Condensed Consolidated Statements of Income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20" w:type="dxa"/>
            <w:vAlign w:val="bottom"/>
          </w:tcPr>
          <w:p>
            <w:pPr>
              <w:spacing w:after="0"/>
              <w:rPr>
                <w:sz w:val="18"/>
                <w:szCs w:val="18"/>
                <w:color w:val="auto"/>
              </w:rPr>
            </w:pPr>
          </w:p>
        </w:tc>
        <w:tc>
          <w:tcPr>
            <w:tcW w:w="28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462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1"/>
        </w:trPr>
        <w:tc>
          <w:tcPr>
            <w:tcW w:w="46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33"/>
        </w:trPr>
        <w:tc>
          <w:tcPr>
            <w:tcW w:w="46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1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operating expense</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6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Stock-Based Compensation Expense</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169"/>
        </w:trPr>
        <w:tc>
          <w:tcPr>
            <w:tcW w:w="4620" w:type="dxa"/>
            <w:vAlign w:val="bottom"/>
          </w:tcPr>
          <w:p>
            <w:pPr>
              <w:ind w:left="20"/>
              <w:spacing w:after="0" w:line="169" w:lineRule="exact"/>
              <w:rPr>
                <w:sz w:val="20"/>
                <w:szCs w:val="20"/>
                <w:color w:val="auto"/>
              </w:rPr>
            </w:pPr>
            <w:r>
              <w:rPr>
                <w:rFonts w:ascii="Times New Roman" w:cs="Times New Roman" w:eastAsia="Times New Roman" w:hAnsi="Times New Roman"/>
                <w:sz w:val="16"/>
                <w:szCs w:val="16"/>
                <w:color w:val="auto"/>
              </w:rPr>
              <w:t>Tax benefit associated with stock-based compensation costs</w:t>
            </w:r>
          </w:p>
        </w:tc>
        <w:tc>
          <w:tcPr>
            <w:tcW w:w="1120" w:type="dxa"/>
            <w:vAlign w:val="bottom"/>
            <w:tcBorders>
              <w:top w:val="single" w:sz="8" w:color="auto"/>
            </w:tcBorders>
            <w:vMerge w:val="restart"/>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4"/>
                <w:szCs w:val="14"/>
                <w:color w:val="auto"/>
              </w:rPr>
            </w:pPr>
          </w:p>
        </w:tc>
        <w:tc>
          <w:tcPr>
            <w:tcW w:w="1160" w:type="dxa"/>
            <w:vAlign w:val="bottom"/>
            <w:tcBorders>
              <w:top w:val="single" w:sz="8" w:color="auto"/>
            </w:tcBorders>
            <w:vMerge w:val="restart"/>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4"/>
                <w:szCs w:val="14"/>
                <w:color w:val="auto"/>
              </w:rPr>
            </w:pPr>
          </w:p>
        </w:tc>
        <w:tc>
          <w:tcPr>
            <w:tcW w:w="360" w:type="dxa"/>
            <w:vAlign w:val="bottom"/>
            <w:tcBorders>
              <w:top w:val="single" w:sz="8" w:color="auto"/>
            </w:tcBorders>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8"/>
        </w:trPr>
        <w:tc>
          <w:tcPr>
            <w:tcW w:w="46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recognized</w:t>
            </w:r>
          </w:p>
        </w:tc>
        <w:tc>
          <w:tcPr>
            <w:tcW w:w="112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classification of award for the three and six 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2024:</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4580" w:type="dxa"/>
            <w:vAlign w:val="bottom"/>
          </w:tcPr>
          <w:p>
            <w:pPr>
              <w:spacing w:after="0"/>
              <w:rPr>
                <w:sz w:val="18"/>
                <w:szCs w:val="18"/>
                <w:color w:val="auto"/>
              </w:rPr>
            </w:pPr>
          </w:p>
        </w:tc>
        <w:tc>
          <w:tcPr>
            <w:tcW w:w="28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r>
      <w:tr>
        <w:trPr>
          <w:trHeight w:val="33"/>
        </w:trPr>
        <w:tc>
          <w:tcPr>
            <w:tcW w:w="458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4580" w:type="dxa"/>
            <w:vAlign w:val="bottom"/>
          </w:tcPr>
          <w:p>
            <w:pPr>
              <w:spacing w:after="0"/>
              <w:rPr>
                <w:sz w:val="17"/>
                <w:szCs w:val="17"/>
                <w:color w:val="auto"/>
              </w:rPr>
            </w:pPr>
          </w:p>
        </w:tc>
        <w:tc>
          <w:tcPr>
            <w:tcW w:w="11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45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Awards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Liability Awards</w:t>
            </w:r>
          </w:p>
        </w:tc>
        <w:tc>
          <w:tcPr>
            <w:tcW w:w="112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33"/>
        </w:trPr>
        <w:tc>
          <w:tcPr>
            <w:tcW w:w="45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ind w:right="9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0"/>
        </w:trPr>
        <w:tc>
          <w:tcPr>
            <w:tcW w:w="45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total stock-based compensation expense by award type for the three and six months ended March 31, 2025 and 2024:</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60" w:type="dxa"/>
            <w:vAlign w:val="bottom"/>
          </w:tcPr>
          <w:p>
            <w:pPr>
              <w:spacing w:after="0"/>
              <w:rPr>
                <w:sz w:val="18"/>
                <w:szCs w:val="18"/>
                <w:color w:val="auto"/>
              </w:rPr>
            </w:pPr>
          </w:p>
        </w:tc>
        <w:tc>
          <w:tcPr>
            <w:tcW w:w="284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80" w:type="dxa"/>
            <w:vAlign w:val="bottom"/>
            <w:gridSpan w:val="4"/>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c>
          <w:tcPr>
            <w:tcW w:w="480" w:type="dxa"/>
            <w:vAlign w:val="bottom"/>
          </w:tcPr>
          <w:p>
            <w:pPr>
              <w:spacing w:after="0"/>
              <w:rPr>
                <w:sz w:val="18"/>
                <w:szCs w:val="18"/>
                <w:color w:val="auto"/>
              </w:rPr>
            </w:pPr>
          </w:p>
        </w:tc>
      </w:tr>
      <w:tr>
        <w:trPr>
          <w:trHeight w:val="33"/>
        </w:trPr>
        <w:tc>
          <w:tcPr>
            <w:tcW w:w="4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6"/>
        </w:trPr>
        <w:tc>
          <w:tcPr>
            <w:tcW w:w="4660" w:type="dxa"/>
            <w:vAlign w:val="bottom"/>
          </w:tcPr>
          <w:p>
            <w:pPr>
              <w:spacing w:after="0"/>
              <w:rPr>
                <w:sz w:val="17"/>
                <w:szCs w:val="17"/>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Pr>
          <w:p>
            <w:pPr>
              <w:spacing w:after="0"/>
              <w:rPr>
                <w:sz w:val="17"/>
                <w:szCs w:val="17"/>
                <w:color w:val="auto"/>
              </w:rPr>
            </w:pPr>
          </w:p>
        </w:tc>
      </w:tr>
      <w:tr>
        <w:trPr>
          <w:trHeight w:val="31"/>
        </w:trPr>
        <w:tc>
          <w:tcPr>
            <w:tcW w:w="4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16"/>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Time-Vested Restricted Stock Units (TVUs)</w:t>
            </w: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r>
      <w:tr>
        <w:trPr>
          <w:trHeight w:val="210"/>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Performance-Based Restricted Stock Units (PSUs)</w:t>
            </w:r>
          </w:p>
        </w:tc>
        <w:tc>
          <w:tcPr>
            <w:tcW w:w="1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4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43"/>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Appreciation Rights (SARs)</w:t>
            </w: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04"/>
        </w:trPr>
        <w:tc>
          <w:tcPr>
            <w:tcW w:w="4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1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tcPr>
          <w:p>
            <w:pPr>
              <w:spacing w:after="0"/>
              <w:rPr>
                <w:sz w:val="17"/>
                <w:szCs w:val="17"/>
                <w:color w:val="auto"/>
              </w:rPr>
            </w:pPr>
          </w:p>
        </w:tc>
        <w:tc>
          <w:tcPr>
            <w:tcW w:w="1180" w:type="dxa"/>
            <w:vAlign w:val="bottom"/>
            <w:tcBorders>
              <w:top w:val="single" w:sz="8" w:color="auto"/>
            </w:tcBorders>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80" w:type="dxa"/>
            <w:vAlign w:val="bottom"/>
          </w:tcPr>
          <w:p>
            <w:pPr>
              <w:spacing w:after="0"/>
              <w:rPr>
                <w:sz w:val="17"/>
                <w:szCs w:val="17"/>
                <w:color w:val="auto"/>
              </w:rPr>
            </w:pP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00" w:type="dxa"/>
            <w:vAlign w:val="bottom"/>
          </w:tcPr>
          <w:p>
            <w:pPr>
              <w:spacing w:after="0"/>
              <w:rPr>
                <w:sz w:val="17"/>
                <w:szCs w:val="17"/>
                <w:color w:val="auto"/>
              </w:rPr>
            </w:pP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33"/>
        </w:trPr>
        <w:tc>
          <w:tcPr>
            <w:tcW w:w="46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Time Vested Restricted Stock Units ("TVUs")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B2A29"/>
        </w:rPr>
        <w:t xml:space="preserve">During the six </w:t>
      </w:r>
      <w:r>
        <w:rPr>
          <w:rFonts w:ascii="Times New Roman" w:cs="Times New Roman" w:eastAsia="Times New Roman" w:hAnsi="Times New Roman"/>
          <w:sz w:val="18"/>
          <w:szCs w:val="18"/>
          <w:color w:val="000000"/>
        </w:rPr>
        <w:t>months ended March 31, 2025</w:t>
      </w:r>
      <w:r>
        <w:rPr>
          <w:rFonts w:ascii="Times New Roman" w:cs="Times New Roman" w:eastAsia="Times New Roman" w:hAnsi="Times New Roman"/>
          <w:sz w:val="18"/>
          <w:szCs w:val="18"/>
          <w:color w:val="2B2A29"/>
        </w:rPr>
        <w:t>, Embecta granted 1,541,980 restricted stock units ("RSUs") in the form of TVUs to employees. TVUs vest on a graded basis over a period of three years. The related stock-based compensation</w:t>
      </w:r>
    </w:p>
    <w:p>
      <w:pPr>
        <w:sectPr>
          <w:pgSz w:w="11900" w:h="16838" w:orient="portrait"/>
          <w:cols w:equalWidth="0" w:num="1">
            <w:col w:w="11240"/>
          </w:cols>
          <w:pgMar w:left="320" w:top="226" w:right="339" w:bottom="1440" w:gutter="0" w:footer="0" w:header="0"/>
          <w:type w:val="continuous"/>
        </w:sect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B2A29"/>
        </w:rPr>
        <w:t>expense is recorded over the requisite service period, which is the vesting period or is based on retirement eligibility. These awards accumulate dividend equivalents, which are provided as additional units and are subject to the same vesting requirements as the underlying grant.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TVUs outstanding as of March 31, 2025 and changes during the six months ended March 31, 2025 are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12"/>
        </w:trPr>
        <w:tc>
          <w:tcPr>
            <w:tcW w:w="794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TVUs (in thousands)</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21.34</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March 31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19.60</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March 31</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2,256.2</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19.66</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*Includes accumulated nonvested dividend equivalents</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TVUs distributed include shares withheld for taxes that are not formally issued to the market.</w:t>
      </w: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grant date fair value of TVUs granted during the six months ended March 31, 2025 is $18.55 and the total fair value of TVUs vested during the six months ended March 31, 2025 is $18.8 million.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the weighted average remaining vesting term of TVUs is 1.9 years.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B2A29"/>
        </w:rPr>
        <w:t>Performance Based Restricted Stock Units ("PSUs")</w:t>
      </w:r>
    </w:p>
    <w:p>
      <w:pPr>
        <w:spacing w:after="0" w:line="11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six months ended March 31, 2025</w:t>
      </w:r>
      <w:r>
        <w:rPr>
          <w:rFonts w:ascii="Times New Roman" w:cs="Times New Roman" w:eastAsia="Times New Roman" w:hAnsi="Times New Roman"/>
          <w:sz w:val="18"/>
          <w:szCs w:val="18"/>
          <w:color w:val="2B2A29"/>
        </w:rPr>
        <w:t xml:space="preserve">, Embecta awarded 538,031 RSUs in the form of PSUs to certain executive officers and employees which cliff vest after three years, subject to continued employment of the recipients and the achievement of certain performance metric targets. The Company has identified certain performance metrics associated with these awards and certain targets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for each separately-vesting tranche over the requisite service period based on the fair value at each reporting date. The requisite service period is equal to the vesting period or is based on retirement eligibility. These awards accumulate dividend equivalents, which are provided as additional units and are subject to the same vesting requirements as the underlying grant. As of </w:t>
      </w:r>
      <w:r>
        <w:rPr>
          <w:rFonts w:ascii="Times New Roman" w:cs="Times New Roman" w:eastAsia="Times New Roman" w:hAnsi="Times New Roman"/>
          <w:sz w:val="18"/>
          <w:szCs w:val="18"/>
          <w:color w:val="000000"/>
        </w:rPr>
        <w:t>March 31, 2025</w:t>
      </w:r>
      <w:r>
        <w:rPr>
          <w:rFonts w:ascii="Times New Roman" w:cs="Times New Roman" w:eastAsia="Times New Roman" w:hAnsi="Times New Roman"/>
          <w:sz w:val="18"/>
          <w:szCs w:val="18"/>
          <w:color w:val="2B2A29"/>
        </w:rPr>
        <w:t>, there were 975,546 RSUs in the form of PSUs that have been awarded, inclusive of accumulated dividend equivalents, for which a grant date has not yet been established.</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PSUs outstanding as of March 31, 2025 and changes during the six months ended March 31, 2025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tcPr>
          <w:p>
            <w:pPr>
              <w:spacing w:after="0"/>
              <w:rPr>
                <w:sz w:val="16"/>
                <w:szCs w:val="16"/>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Stock Units (in</w:t>
            </w:r>
          </w:p>
        </w:tc>
        <w:tc>
          <w:tcPr>
            <w:tcW w:w="14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225"/>
        </w:trPr>
        <w:tc>
          <w:tcPr>
            <w:tcW w:w="7940" w:type="dxa"/>
            <w:vAlign w:val="bottom"/>
          </w:tcPr>
          <w:p>
            <w:pPr>
              <w:spacing w:after="0"/>
              <w:rPr>
                <w:sz w:val="19"/>
                <w:szCs w:val="19"/>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thousands)</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Grant Date Fair Value</w:t>
            </w:r>
          </w:p>
        </w:tc>
        <w:tc>
          <w:tcPr>
            <w:tcW w:w="0" w:type="dxa"/>
            <w:vAlign w:val="bottom"/>
          </w:tcPr>
          <w:p>
            <w:pPr>
              <w:spacing w:after="0"/>
              <w:rPr>
                <w:sz w:val="1"/>
                <w:szCs w:val="1"/>
                <w:color w:val="auto"/>
              </w:rPr>
            </w:pPr>
          </w:p>
        </w:tc>
      </w:tr>
      <w:tr>
        <w:trPr>
          <w:trHeight w:val="223"/>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October 1</w:t>
            </w: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18.17</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18.70</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0" w:type="dxa"/>
            <w:vAlign w:val="bottom"/>
          </w:tcPr>
          <w:p>
            <w:pPr>
              <w:spacing w:after="0"/>
              <w:rPr>
                <w:sz w:val="1"/>
                <w:szCs w:val="1"/>
                <w:color w:val="auto"/>
              </w:rPr>
            </w:pPr>
          </w:p>
        </w:tc>
      </w:tr>
      <w:tr>
        <w:trPr>
          <w:trHeight w:val="33"/>
        </w:trPr>
        <w:tc>
          <w:tcPr>
            <w:tcW w:w="79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at March 31</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Expected to vest at March 31</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7940" w:type="dxa"/>
            <w:vAlign w:val="bottom"/>
            <w:vMerge w:val="continue"/>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w:t>
            </w:r>
          </w:p>
        </w:tc>
        <w:tc>
          <w:tcPr>
            <w:tcW w:w="10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0" w:type="dxa"/>
            <w:vAlign w:val="bottom"/>
          </w:tcPr>
          <w:p>
            <w:pPr>
              <w:spacing w:after="0"/>
              <w:rPr>
                <w:sz w:val="1"/>
                <w:szCs w:val="1"/>
                <w:color w:val="auto"/>
              </w:rPr>
            </w:pPr>
          </w:p>
        </w:tc>
      </w:tr>
      <w:tr>
        <w:trPr>
          <w:trHeight w:val="33"/>
        </w:trPr>
        <w:tc>
          <w:tcPr>
            <w:tcW w:w="79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*Includes accumulated nonvested dividend equivalents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2025, the weighted average remaining vesting term of PSUs is 0.6 years.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1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summary of stock appreciation rights ("SARs") outstanding as of March 31, 2025 and changes during the six months ended March 31, 2025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5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120" w:type="dxa"/>
            <w:vAlign w:val="bottom"/>
          </w:tcPr>
          <w:p>
            <w:pPr>
              <w:spacing w:after="0"/>
              <w:rPr>
                <w:sz w:val="16"/>
                <w:szCs w:val="16"/>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239"/>
        </w:trPr>
        <w:tc>
          <w:tcPr>
            <w:tcW w:w="4580" w:type="dxa"/>
            <w:vAlign w:val="bottom"/>
          </w:tcPr>
          <w:p>
            <w:pPr>
              <w:spacing w:after="0"/>
              <w:rPr>
                <w:sz w:val="20"/>
                <w:szCs w:val="20"/>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SARs (in thousands)</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20" w:type="dxa"/>
            <w:vAlign w:val="bottom"/>
          </w:tcPr>
          <w:p>
            <w:pPr>
              <w:spacing w:after="0"/>
              <w:rPr>
                <w:sz w:val="20"/>
                <w:szCs w:val="20"/>
                <w:color w:val="auto"/>
              </w:rPr>
            </w:pPr>
          </w:p>
        </w:tc>
        <w:tc>
          <w:tcPr>
            <w:tcW w:w="14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October 1</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148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Exercised*</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Forfeited, canceled or expired</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w:t>
            </w: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1,597.4</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29.12</w:t>
            </w:r>
          </w:p>
        </w:tc>
        <w:tc>
          <w:tcPr>
            <w:tcW w:w="100" w:type="dxa"/>
            <w:vAlign w:val="bottom"/>
          </w:tcPr>
          <w:p>
            <w:pPr>
              <w:spacing w:after="0"/>
              <w:rPr>
                <w:sz w:val="17"/>
                <w:szCs w:val="17"/>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at March 31</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1,563.1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Exercisable at March 31</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580" w:type="dxa"/>
            <w:vAlign w:val="bottom"/>
            <w:vMerge w:val="continue"/>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973.2</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28.09</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5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58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*The amounts exercised include shares withheld for taxes that are not formally issued to the market.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3,400 SARs were exercised during the six months ended March 31, 2025. The intrinsic value and grant date fair value of SARs exercised was immaterial.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Unrecognized Stock-Based Compensation Expense and Other Stock Plans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unrecognized compensation expense for all non-vested stock-based awards granted as of March 31, 2025, is approximately $39.6 million which is expected to be recognized over a weighted-average remaining life of approximately 2.1 years. At March 31, 2025, 3.1 million shares were authorized for future grants under the Company's 2022 Employee and Director Equity Based Compensation Plan, as amended.</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Goodwill and Other Intangible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and Other Intangible Assets consisted of:</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September 30, 2024</w:t>
            </w:r>
          </w:p>
        </w:tc>
        <w:tc>
          <w:tcPr>
            <w:tcW w:w="0" w:type="dxa"/>
            <w:vAlign w:val="bottom"/>
          </w:tcPr>
          <w:p>
            <w:pPr>
              <w:spacing w:after="0"/>
              <w:rPr>
                <w:sz w:val="1"/>
                <w:szCs w:val="1"/>
                <w:color w:val="auto"/>
              </w:rPr>
            </w:pPr>
          </w:p>
        </w:tc>
      </w:tr>
      <w:tr>
        <w:trPr>
          <w:trHeight w:val="33"/>
        </w:trPr>
        <w:tc>
          <w:tcPr>
            <w:tcW w:w="7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Amortized intangible assets</w:t>
            </w: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30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Patents – gross</w:t>
            </w: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0"/>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5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Patents – net</w:t>
            </w: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0" w:type="dxa"/>
            <w:vAlign w:val="bottom"/>
          </w:tcPr>
          <w:p>
            <w:pPr>
              <w:spacing w:after="0"/>
              <w:rPr>
                <w:sz w:val="1"/>
                <w:szCs w:val="1"/>
                <w:color w:val="auto"/>
              </w:rPr>
            </w:pPr>
          </w:p>
        </w:tc>
      </w:tr>
      <w:tr>
        <w:trPr>
          <w:trHeight w:val="204"/>
        </w:trPr>
        <w:tc>
          <w:tcPr>
            <w:tcW w:w="73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Customer Relationships and Other – gross</w:t>
            </w:r>
          </w:p>
        </w:tc>
        <w:tc>
          <w:tcPr>
            <w:tcW w:w="1520" w:type="dxa"/>
            <w:vAlign w:val="bottom"/>
            <w:tcBorders>
              <w:top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33"/>
        </w:trPr>
        <w:tc>
          <w:tcPr>
            <w:tcW w:w="7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4"/>
        </w:trPr>
        <w:tc>
          <w:tcPr>
            <w:tcW w:w="73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 and Other – net</w:t>
            </w:r>
          </w:p>
        </w:tc>
        <w:tc>
          <w:tcPr>
            <w:tcW w:w="1520" w:type="dxa"/>
            <w:vAlign w:val="bottom"/>
            <w:tcBorders>
              <w:top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amortized intangible assets</w:t>
            </w: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04"/>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5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33"/>
        </w:trPr>
        <w:tc>
          <w:tcPr>
            <w:tcW w:w="73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1"/>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Goodwill and Other Intangible Assets</w:t>
            </w:r>
          </w:p>
        </w:tc>
        <w:tc>
          <w:tcPr>
            <w:tcW w:w="1520" w:type="dxa"/>
            <w:vAlign w:val="bottom"/>
            <w:tcBorders>
              <w:bottom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Cloud Computing Arrangements</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The Company capitalizes costs associated with the development of cloud computing arrangements in a manner consistent with internally developed software. Capitalized costs are included in </w:t>
      </w:r>
      <w:r>
        <w:rPr>
          <w:rFonts w:ascii="Times New Roman" w:cs="Times New Roman" w:eastAsia="Times New Roman" w:hAnsi="Times New Roman"/>
          <w:sz w:val="18"/>
          <w:szCs w:val="18"/>
          <w:i w:val="1"/>
          <w:iCs w:val="1"/>
          <w:color w:val="auto"/>
        </w:rPr>
        <w:t>Prepaid expenses and other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Deferred Income Taxes and Other Assets.</w:t>
      </w:r>
      <w:r>
        <w:rPr>
          <w:rFonts w:ascii="Times New Roman" w:cs="Times New Roman" w:eastAsia="Times New Roman" w:hAnsi="Times New Roman"/>
          <w:sz w:val="18"/>
          <w:szCs w:val="18"/>
          <w:color w:val="auto"/>
        </w:rPr>
        <w:t xml:space="preserve"> Capitalized costs to implement cloud computing arrangements at cost and accumulated amortization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Short-term portion</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10.2</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portion</w:t>
            </w:r>
          </w:p>
        </w:tc>
        <w:tc>
          <w:tcPr>
            <w:tcW w:w="15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1360"/>
              <w:spacing w:after="0"/>
              <w:rPr>
                <w:sz w:val="20"/>
                <w:szCs w:val="20"/>
                <w:color w:val="auto"/>
              </w:rPr>
            </w:pPr>
            <w:r>
              <w:rPr>
                <w:rFonts w:ascii="Times New Roman" w:cs="Times New Roman" w:eastAsia="Times New Roman" w:hAnsi="Times New Roman"/>
                <w:sz w:val="16"/>
                <w:szCs w:val="16"/>
                <w:color w:val="auto"/>
              </w:rPr>
              <w:t>60.6</w:t>
            </w: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w:t>
            </w:r>
          </w:p>
        </w:tc>
        <w:tc>
          <w:tcPr>
            <w:tcW w:w="1500" w:type="dxa"/>
            <w:vAlign w:val="bottom"/>
            <w:tcBorders>
              <w:bottom w:val="single" w:sz="8" w:color="CCEEFF"/>
            </w:tcBorders>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70.8</w:t>
            </w:r>
          </w:p>
        </w:tc>
      </w:tr>
      <w:tr>
        <w:trPr>
          <w:trHeight w:val="210"/>
        </w:trPr>
        <w:tc>
          <w:tcPr>
            <w:tcW w:w="7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500" w:type="dxa"/>
            <w:vAlign w:val="bottom"/>
          </w:tcPr>
          <w:p>
            <w:pPr>
              <w:spacing w:after="0"/>
              <w:rPr>
                <w:sz w:val="18"/>
                <w:szCs w:val="18"/>
                <w:color w:val="auto"/>
              </w:rPr>
            </w:pPr>
          </w:p>
        </w:tc>
        <w:tc>
          <w:tcPr>
            <w:tcW w:w="4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(11.6)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ind w:left="1380"/>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7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4"/>
        </w:trPr>
        <w:tc>
          <w:tcPr>
            <w:tcW w:w="7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Capitalized implementation costs, net</w:t>
            </w:r>
          </w:p>
        </w:tc>
        <w:tc>
          <w:tcPr>
            <w:tcW w:w="1500" w:type="dxa"/>
            <w:vAlign w:val="bottom"/>
            <w:shd w:val="clear" w:color="auto" w:fill="CCEEFF"/>
          </w:tcPr>
          <w:p>
            <w:pPr>
              <w:jc w:val="right"/>
              <w:ind w:right="131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shd w:val="clear" w:color="auto" w:fill="CCEEFF"/>
          </w:tcPr>
          <w:p>
            <w:pPr>
              <w:ind w:left="1360"/>
              <w:spacing w:after="0"/>
              <w:rPr>
                <w:sz w:val="20"/>
                <w:szCs w:val="20"/>
                <w:color w:val="auto"/>
              </w:rPr>
            </w:pPr>
            <w:r>
              <w:rPr>
                <w:rFonts w:ascii="Times New Roman" w:cs="Times New Roman" w:eastAsia="Times New Roman" w:hAnsi="Times New Roman"/>
                <w:sz w:val="16"/>
                <w:szCs w:val="16"/>
                <w:color w:val="auto"/>
              </w:rPr>
              <w:t>64.5</w:t>
            </w:r>
          </w:p>
        </w:tc>
      </w:tr>
      <w:tr>
        <w:trPr>
          <w:trHeight w:val="33"/>
        </w:trPr>
        <w:tc>
          <w:tcPr>
            <w:tcW w:w="73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Costs amortized during the </w:t>
      </w:r>
      <w:r>
        <w:rPr>
          <w:rFonts w:ascii="Times New Roman" w:cs="Times New Roman" w:eastAsia="Times New Roman" w:hAnsi="Times New Roman"/>
          <w:sz w:val="18"/>
          <w:szCs w:val="18"/>
          <w:color w:val="2B2A29"/>
        </w:rPr>
        <w:t>three and six months ended March 31, 2025 and</w:t>
      </w:r>
      <w:r>
        <w:rPr>
          <w:rFonts w:ascii="Times New Roman" w:cs="Times New Roman" w:eastAsia="Times New Roman" w:hAnsi="Times New Roman"/>
          <w:sz w:val="18"/>
          <w:szCs w:val="18"/>
          <w:color w:val="auto"/>
        </w:rPr>
        <w:t xml:space="preserve"> 2024 are included in </w:t>
      </w: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xml:space="preserve"> and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3340" w:type="dxa"/>
            <w:vAlign w:val="bottom"/>
            <w:gridSpan w:val="2"/>
          </w:tcPr>
          <w:p>
            <w:pPr>
              <w:ind w:left="1140"/>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c>
          <w:tcPr>
            <w:tcW w:w="420" w:type="dxa"/>
            <w:vAlign w:val="bottom"/>
          </w:tcPr>
          <w:p>
            <w:pPr>
              <w:spacing w:after="0"/>
              <w:rPr>
                <w:sz w:val="18"/>
                <w:szCs w:val="18"/>
                <w:color w:val="auto"/>
              </w:rPr>
            </w:pPr>
          </w:p>
        </w:tc>
      </w:tr>
      <w:tr>
        <w:trPr>
          <w:trHeight w:val="33"/>
        </w:trPr>
        <w:tc>
          <w:tcPr>
            <w:tcW w:w="5760" w:type="dxa"/>
            <w:vAlign w:val="bottom"/>
            <w:gridSpan w:val="2"/>
          </w:tcPr>
          <w:p>
            <w:pPr>
              <w:spacing w:after="0"/>
              <w:rPr>
                <w:sz w:val="2"/>
                <w:szCs w:val="2"/>
                <w:color w:val="auto"/>
              </w:rPr>
            </w:pPr>
          </w:p>
        </w:tc>
        <w:tc>
          <w:tcPr>
            <w:tcW w:w="17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06"/>
        </w:trPr>
        <w:tc>
          <w:tcPr>
            <w:tcW w:w="4600" w:type="dxa"/>
            <w:vAlign w:val="bottom"/>
          </w:tcPr>
          <w:p>
            <w:pPr>
              <w:spacing w:after="0"/>
              <w:rPr>
                <w:sz w:val="17"/>
                <w:szCs w:val="17"/>
                <w:color w:val="auto"/>
              </w:rPr>
            </w:pPr>
          </w:p>
        </w:tc>
        <w:tc>
          <w:tcPr>
            <w:tcW w:w="11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72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4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7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top w:val="single" w:sz="8" w:color="auto"/>
            </w:tcBorders>
          </w:tcPr>
          <w:p>
            <w:pPr>
              <w:spacing w:after="0"/>
              <w:rPr>
                <w:sz w:val="17"/>
                <w:szCs w:val="17"/>
                <w:color w:val="auto"/>
              </w:rPr>
            </w:pPr>
          </w:p>
        </w:tc>
      </w:tr>
      <w:tr>
        <w:trPr>
          <w:trHeight w:val="31"/>
        </w:trPr>
        <w:tc>
          <w:tcPr>
            <w:tcW w:w="46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04"/>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160" w:type="dxa"/>
            <w:vAlign w:val="bottom"/>
            <w:shd w:val="clear" w:color="auto" w:fill="CCEEFF"/>
          </w:tcPr>
          <w:p>
            <w:pPr>
              <w:spacing w:after="0"/>
              <w:rPr>
                <w:sz w:val="17"/>
                <w:szCs w:val="17"/>
                <w:color w:val="auto"/>
              </w:rPr>
            </w:pPr>
          </w:p>
        </w:tc>
        <w:tc>
          <w:tcPr>
            <w:tcW w:w="172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rPr>
              <w:t>2.7</w:t>
            </w:r>
          </w:p>
        </w:tc>
        <w:tc>
          <w:tcPr>
            <w:tcW w:w="164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rPr>
              <w:t>1.2</w:t>
            </w:r>
          </w:p>
        </w:tc>
        <w:tc>
          <w:tcPr>
            <w:tcW w:w="1700" w:type="dxa"/>
            <w:vAlign w:val="bottom"/>
            <w:shd w:val="clear" w:color="auto" w:fill="CCEEFF"/>
          </w:tcPr>
          <w:p>
            <w:pPr>
              <w:jc w:val="right"/>
              <w:ind w:right="1199"/>
              <w:spacing w:after="0"/>
              <w:rPr>
                <w:sz w:val="20"/>
                <w:szCs w:val="20"/>
                <w:color w:val="auto"/>
              </w:rPr>
            </w:pPr>
            <w:r>
              <w:rPr>
                <w:rFonts w:ascii="Times New Roman" w:cs="Times New Roman" w:eastAsia="Times New Roman" w:hAnsi="Times New Roman"/>
                <w:sz w:val="16"/>
                <w:szCs w:val="16"/>
                <w:color w:val="auto"/>
              </w:rPr>
              <w:t>5.2</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46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cloud computing arrangement assets in-service have remaining useful lives which range from approximately two to eight years.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31, 2022, Embecta entered into a credit agreement (the “Credit Agreement”), providing for:</w:t>
      </w:r>
    </w:p>
    <w:p>
      <w:pPr>
        <w:spacing w:after="0" w:line="104" w:lineRule="exact"/>
        <w:rPr>
          <w:sz w:val="20"/>
          <w:szCs w:val="20"/>
          <w:color w:val="auto"/>
        </w:rPr>
      </w:pPr>
    </w:p>
    <w:p>
      <w:pPr>
        <w:jc w:val="both"/>
        <w:ind w:left="900" w:hanging="568"/>
        <w:spacing w:after="0" w:line="250" w:lineRule="auto"/>
        <w:tabs>
          <w:tab w:leader="none" w:pos="895" w:val="left"/>
        </w:tabs>
        <w:numPr>
          <w:ilvl w:val="0"/>
          <w:numId w:val="5"/>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Term Loan B Facility (the "Term Loan") in the amount of $950.0 million, with a </w:t>
      </w:r>
      <w:r>
        <w:rPr>
          <w:rFonts w:ascii="Times New Roman" w:cs="Times New Roman" w:eastAsia="Times New Roman" w:hAnsi="Times New Roman"/>
          <w:sz w:val="18"/>
          <w:szCs w:val="18"/>
          <w:color w:val="2B2A29"/>
        </w:rPr>
        <w:t>seven</w:t>
      </w:r>
      <w:r>
        <w:rPr>
          <w:rFonts w:ascii="Times New Roman" w:cs="Times New Roman" w:eastAsia="Times New Roman" w:hAnsi="Times New Roman"/>
          <w:sz w:val="18"/>
          <w:szCs w:val="18"/>
          <w:color w:val="auto"/>
        </w:rPr>
        <w:t xml:space="preserve">-year </w:t>
      </w:r>
      <w:r>
        <w:rPr>
          <w:rFonts w:ascii="Times New Roman" w:cs="Times New Roman" w:eastAsia="Times New Roman" w:hAnsi="Times New Roman"/>
          <w:sz w:val="18"/>
          <w:szCs w:val="18"/>
          <w:color w:val="2B2A29"/>
        </w:rPr>
        <w:t>term that matures in March 2029. The 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rate is 300 basis points over the secured overnight financing rate (“SOFR”), with a 0.50% SOFR floor. The Term Loan was issued at a discount of 0.50%. Principal and interest payments on the Term Loan commenced on June 30, 2022. Such quarterly principal payments are calculated as 0.25% of the initial principal amount, with the remaining balance payable upon maturity; </w:t>
      </w:r>
      <w:r>
        <w:rPr>
          <w:rFonts w:ascii="Times New Roman" w:cs="Times New Roman" w:eastAsia="Times New Roman" w:hAnsi="Times New Roman"/>
          <w:sz w:val="18"/>
          <w:szCs w:val="18"/>
          <w:color w:val="000000"/>
        </w:rPr>
        <w:t>and</w:t>
      </w:r>
    </w:p>
    <w:p>
      <w:pPr>
        <w:spacing w:after="0" w:line="82" w:lineRule="exact"/>
        <w:rPr>
          <w:rFonts w:ascii="Times New Roman" w:cs="Times New Roman" w:eastAsia="Times New Roman" w:hAnsi="Times New Roman"/>
          <w:sz w:val="18"/>
          <w:szCs w:val="18"/>
          <w:color w:val="2B2A29"/>
        </w:rPr>
      </w:pPr>
    </w:p>
    <w:p>
      <w:pPr>
        <w:jc w:val="both"/>
        <w:ind w:left="900" w:hanging="568"/>
        <w:spacing w:after="0" w:line="244" w:lineRule="auto"/>
        <w:tabs>
          <w:tab w:leader="none" w:pos="895" w:val="left"/>
        </w:tabs>
        <w:numPr>
          <w:ilvl w:val="0"/>
          <w:numId w:val="5"/>
        </w:numPr>
        <w:rPr>
          <w:rFonts w:ascii="Times New Roman" w:cs="Times New Roman" w:eastAsia="Times New Roman" w:hAnsi="Times New Roman"/>
          <w:sz w:val="18"/>
          <w:szCs w:val="18"/>
          <w:color w:val="2B2A29"/>
        </w:rPr>
      </w:pPr>
      <w:r>
        <w:rPr>
          <w:rFonts w:ascii="Times New Roman" w:cs="Times New Roman" w:eastAsia="Times New Roman" w:hAnsi="Times New Roman"/>
          <w:sz w:val="18"/>
          <w:szCs w:val="18"/>
          <w:color w:val="auto"/>
        </w:rPr>
        <w:t xml:space="preserve">a Revolving Credit Facility (the "Revolving Credit Facility") in an aggregate principal amount of up to $500.0 million, with a </w:t>
      </w:r>
      <w:r>
        <w:rPr>
          <w:rFonts w:ascii="Times New Roman" w:cs="Times New Roman" w:eastAsia="Times New Roman" w:hAnsi="Times New Roman"/>
          <w:sz w:val="18"/>
          <w:szCs w:val="18"/>
          <w:color w:val="2B2A29"/>
        </w:rPr>
        <w:t>five</w:t>
      </w:r>
      <w:r>
        <w:rPr>
          <w:rFonts w:ascii="Times New Roman" w:cs="Times New Roman" w:eastAsia="Times New Roman" w:hAnsi="Times New Roman"/>
          <w:sz w:val="18"/>
          <w:szCs w:val="18"/>
          <w:color w:val="auto"/>
        </w:rPr>
        <w:t xml:space="preserve">-year term that matures in 2027. </w:t>
      </w:r>
      <w:r>
        <w:rPr>
          <w:rFonts w:ascii="Times New Roman" w:cs="Times New Roman" w:eastAsia="Times New Roman" w:hAnsi="Times New Roman"/>
          <w:sz w:val="18"/>
          <w:szCs w:val="18"/>
          <w:color w:val="2B2A29"/>
        </w:rPr>
        <w:t>Borrowings under the Revolving Credit Facility bear interest, at Embecta’s option, at an annual rate equal to (a)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B2A29"/>
        </w:rPr>
        <w:t xml:space="preserve">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 w:cs="Times New Roman" w:eastAsia="Times New Roman" w:hAnsi="Times New Roman"/>
          <w:sz w:val="18"/>
          <w:szCs w:val="18"/>
          <w:color w:val="000000"/>
        </w:rPr>
        <w:t>As of March 31, 2025, no amount has been drawn on the Revolving Credit</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Facility.</w:t>
      </w:r>
    </w:p>
    <w:p>
      <w:pPr>
        <w:spacing w:after="0" w:line="8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The Credit Agreement and the indentures for Embecta's outstanding 5.00% senior secured notes due February 2030 (the "5.00% Notes") and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senior secured notes due February 2030 (the "</w:t>
      </w:r>
      <w:r>
        <w:rPr>
          <w:rFonts w:ascii="Times New Roman" w:cs="Times New Roman" w:eastAsia="Times New Roman" w:hAnsi="Times New Roman"/>
          <w:sz w:val="18"/>
          <w:szCs w:val="18"/>
          <w:color w:val="2B2A29"/>
        </w:rPr>
        <w:t>6.75%</w:t>
      </w:r>
      <w:r>
        <w:rPr>
          <w:rFonts w:ascii="Times New Roman" w:cs="Times New Roman" w:eastAsia="Times New Roman" w:hAnsi="Times New Roman"/>
          <w:sz w:val="18"/>
          <w:szCs w:val="18"/>
          <w:color w:val="auto"/>
        </w:rPr>
        <w:t xml:space="preserve">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the 5.00% Notes and </w:t>
      </w:r>
      <w:r>
        <w:rPr>
          <w:rFonts w:ascii="Times New Roman" w:cs="Times New Roman" w:eastAsia="Times New Roman" w:hAnsi="Times New Roman"/>
          <w:sz w:val="18"/>
          <w:szCs w:val="18"/>
          <w:color w:val="2B2A29"/>
        </w:rPr>
        <w:t xml:space="preserve">6.75% </w:t>
      </w:r>
      <w:r>
        <w:rPr>
          <w:rFonts w:ascii="Times New Roman" w:cs="Times New Roman" w:eastAsia="Times New Roman" w:hAnsi="Times New Roman"/>
          <w:sz w:val="18"/>
          <w:szCs w:val="18"/>
          <w:color w:val="000000"/>
        </w:rPr>
        <w:t>Notes. In addition, the Credit Agreement contains covenants that will limit, among other things, Embecta’s ability to prepay, redeem or repurchase</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its subordinated and junior lien debt, incur additional debt, make acquisitions, merge with other entities, pay dividends or distributions, redeem or repurchase equity interests, and create or become subject to liens. As of March 31, 2025, we were in compliance with all of such covenants. The credit agreement and the senior secured notes are secured by substantially all assets of Embecta and each subsidiary guarantor, subject to certain exceptions.</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March 31, 2025:</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 due March 2029</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841.5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 due February 2030</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5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2B2A29"/>
              </w:rPr>
              <w:t xml:space="preserve">6.75% </w:t>
            </w:r>
            <w:r>
              <w:rPr>
                <w:rFonts w:ascii="Times New Roman" w:cs="Times New Roman" w:eastAsia="Times New Roman" w:hAnsi="Times New Roman"/>
                <w:sz w:val="16"/>
                <w:szCs w:val="16"/>
                <w:color w:val="000000"/>
              </w:rPr>
              <w:t>Notes due February 2030</w:t>
            </w:r>
          </w:p>
        </w:tc>
        <w:tc>
          <w:tcPr>
            <w:tcW w:w="54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1,541.5</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2"/>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1,509.1</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The debt issuance costs on the Term Loan, </w:t>
      </w:r>
      <w:r>
        <w:rPr>
          <w:rFonts w:ascii="Times New Roman" w:cs="Times New Roman" w:eastAsia="Times New Roman" w:hAnsi="Times New Roman"/>
          <w:sz w:val="18"/>
          <w:szCs w:val="18"/>
          <w:color w:val="000000"/>
        </w:rPr>
        <w:t>5.00%</w:t>
      </w:r>
      <w:r>
        <w:rPr>
          <w:rFonts w:ascii="Times New Roman" w:cs="Times New Roman" w:eastAsia="Times New Roman" w:hAnsi="Times New Roman"/>
          <w:sz w:val="18"/>
          <w:szCs w:val="18"/>
          <w:color w:val="2B2A29"/>
        </w:rPr>
        <w:t xml:space="preserve"> Notes, 6.75% </w:t>
      </w:r>
      <w:r>
        <w:rPr>
          <w:rFonts w:ascii="Times New Roman" w:cs="Times New Roman" w:eastAsia="Times New Roman" w:hAnsi="Times New Roman"/>
          <w:sz w:val="18"/>
          <w:szCs w:val="18"/>
          <w:color w:val="000000"/>
        </w:rPr>
        <w:t>Notes</w:t>
      </w:r>
      <w:r>
        <w:rPr>
          <w:rFonts w:ascii="Times New Roman" w:cs="Times New Roman" w:eastAsia="Times New Roman" w:hAnsi="Times New Roman"/>
          <w:sz w:val="18"/>
          <w:szCs w:val="18"/>
          <w:color w:val="2B2A29"/>
        </w:rPr>
        <w:t xml:space="preserve"> and the discount on the Term Loan are reported in the Condensed Consolidated Balance Sheets as a reduction of debt and are amortized as a component of </w:t>
      </w:r>
      <w:r>
        <w:rPr>
          <w:rFonts w:ascii="Times New Roman" w:cs="Times New Roman" w:eastAsia="Times New Roman" w:hAnsi="Times New Roman"/>
          <w:sz w:val="18"/>
          <w:szCs w:val="18"/>
          <w:i w:val="1"/>
          <w:iCs w:val="1"/>
          <w:color w:val="2B2A29"/>
        </w:rPr>
        <w:t>Interest expense, net</w:t>
      </w:r>
      <w:r>
        <w:rPr>
          <w:rFonts w:ascii="Times New Roman" w:cs="Times New Roman" w:eastAsia="Times New Roman" w:hAnsi="Times New Roman"/>
          <w:sz w:val="18"/>
          <w:szCs w:val="18"/>
          <w:color w:val="2B2A29"/>
        </w:rPr>
        <w:t xml:space="preserve"> over the term of the related debt using the effective interest method. During the six months ended </w:t>
      </w:r>
      <w:r>
        <w:rPr>
          <w:rFonts w:ascii="Times New Roman" w:cs="Times New Roman" w:eastAsia="Times New Roman" w:hAnsi="Times New Roman"/>
          <w:sz w:val="18"/>
          <w:szCs w:val="18"/>
          <w:color w:val="000000"/>
        </w:rPr>
        <w:t>March 31, 2025, the Company recorded approximately $4.1 million of amortization on deferred debt issuance costs</w:t>
      </w:r>
      <w:r>
        <w:rPr>
          <w:rFonts w:ascii="Times New Roman" w:cs="Times New Roman" w:eastAsia="Times New Roman" w:hAnsi="Times New Roman"/>
          <w:sz w:val="18"/>
          <w:szCs w:val="18"/>
          <w:color w:val="2B2A29"/>
        </w:rPr>
        <w:t xml:space="preserve"> </w:t>
      </w:r>
      <w:r>
        <w:rPr>
          <w:rFonts w:ascii="Times New Roman" w:cs="Times New Roman" w:eastAsia="Times New Roman" w:hAnsi="Times New Roman"/>
          <w:sz w:val="18"/>
          <w:szCs w:val="18"/>
          <w:color w:val="000000"/>
        </w:rPr>
        <w:t>and discounts.</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During the six months ended </w:t>
      </w:r>
      <w:r>
        <w:rPr>
          <w:rFonts w:ascii="Times New Roman" w:cs="Times New Roman" w:eastAsia="Times New Roman" w:hAnsi="Times New Roman"/>
          <w:sz w:val="18"/>
          <w:szCs w:val="18"/>
          <w:color w:val="2B2A29"/>
        </w:rPr>
        <w:t>March 31, 2025</w:t>
      </w:r>
      <w:r>
        <w:rPr>
          <w:rFonts w:ascii="Times New Roman" w:cs="Times New Roman" w:eastAsia="Times New Roman" w:hAnsi="Times New Roman"/>
          <w:sz w:val="18"/>
          <w:szCs w:val="18"/>
          <w:color w:val="auto"/>
        </w:rPr>
        <w:t xml:space="preserve">, the Company made interest payments of $52.5 million on debt outstanding. The weighted-average interest rate on total borrowings as of </w:t>
      </w:r>
      <w:r>
        <w:rPr>
          <w:rFonts w:ascii="Times New Roman" w:cs="Times New Roman" w:eastAsia="Times New Roman" w:hAnsi="Times New Roman"/>
          <w:sz w:val="18"/>
          <w:szCs w:val="18"/>
          <w:color w:val="2B2A29"/>
        </w:rPr>
        <w:t>March 31, 2025</w:t>
      </w:r>
      <w:r>
        <w:rPr>
          <w:rFonts w:ascii="Times New Roman" w:cs="Times New Roman" w:eastAsia="Times New Roman" w:hAnsi="Times New Roman"/>
          <w:sz w:val="18"/>
          <w:szCs w:val="18"/>
          <w:color w:val="auto"/>
        </w:rPr>
        <w:t xml:space="preserve"> is 6.5%.</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six months ended</w:t>
      </w:r>
      <w:r>
        <w:rPr>
          <w:rFonts w:ascii="Times New Roman" w:cs="Times New Roman" w:eastAsia="Times New Roman" w:hAnsi="Times New Roman"/>
          <w:sz w:val="18"/>
          <w:szCs w:val="18"/>
          <w:color w:val="2B2A29"/>
        </w:rPr>
        <w:t xml:space="preserve"> March 31, 2025, the Company paid an aggregate principal amount of approximately </w:t>
      </w:r>
      <w:r>
        <w:rPr>
          <w:rFonts w:ascii="Times New Roman" w:cs="Times New Roman" w:eastAsia="Times New Roman" w:hAnsi="Times New Roman"/>
          <w:sz w:val="18"/>
          <w:szCs w:val="18"/>
          <w:color w:val="000000"/>
        </w:rPr>
        <w:t>$59.8 million</w:t>
      </w:r>
      <w:r>
        <w:rPr>
          <w:rFonts w:ascii="Times New Roman" w:cs="Times New Roman" w:eastAsia="Times New Roman" w:hAnsi="Times New Roman"/>
          <w:sz w:val="18"/>
          <w:szCs w:val="18"/>
          <w:color w:val="2B2A29"/>
        </w:rPr>
        <w:t xml:space="preserve"> on the Term Loan, of which </w:t>
      </w:r>
      <w:r>
        <w:rPr>
          <w:rFonts w:ascii="Times New Roman" w:cs="Times New Roman" w:eastAsia="Times New Roman" w:hAnsi="Times New Roman"/>
          <w:sz w:val="18"/>
          <w:szCs w:val="18"/>
          <w:color w:val="000000"/>
        </w:rPr>
        <w:t>$55.0 million</w:t>
      </w:r>
      <w:r>
        <w:rPr>
          <w:rFonts w:ascii="Times New Roman" w:cs="Times New Roman" w:eastAsia="Times New Roman" w:hAnsi="Times New Roman"/>
          <w:sz w:val="18"/>
          <w:szCs w:val="18"/>
          <w:color w:val="2B2A29"/>
        </w:rPr>
        <w:t xml:space="preserve"> was discretionary. Debt extinguishment charges as a result of this discretionary prepayment were not material to the Company's Condensed Consolidated Statements of Income.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fiscal years and thereafter is as follows: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508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2029</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w:t>
            </w: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674.9</w:t>
            </w:r>
          </w:p>
        </w:tc>
      </w:tr>
    </w:tbl>
    <w:p>
      <w:pPr>
        <w:spacing w:after="0" w:line="1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2B2A29"/>
        </w:rPr>
        <w:t>The estimated fair value of long-term debt (including current portion) at March 31, 2025 was $1,477.4 million compared with a carrying value (which includes a reduction for unamortized debt issuance costs and discounts) of $1,518.6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Earnings per Share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calculation of earnings per basic and diluted common share for the </w:t>
      </w:r>
      <w:r>
        <w:rPr>
          <w:rFonts w:ascii="Times New Roman" w:cs="Times New Roman" w:eastAsia="Times New Roman" w:hAnsi="Times New Roman"/>
          <w:sz w:val="18"/>
          <w:szCs w:val="18"/>
          <w:color w:val="2B2A29"/>
        </w:rPr>
        <w:t>three and six months ended March 31, 2025 and</w:t>
      </w:r>
      <w:r>
        <w:rPr>
          <w:rFonts w:ascii="Times New Roman" w:cs="Times New Roman" w:eastAsia="Times New Roman" w:hAnsi="Times New Roman"/>
          <w:sz w:val="18"/>
          <w:szCs w:val="18"/>
          <w:color w:val="auto"/>
        </w:rPr>
        <w:t xml:space="preserve"> 2024 </w:t>
      </w:r>
      <w:r>
        <w:rPr>
          <w:rFonts w:ascii="Times New Roman" w:cs="Times New Roman" w:eastAsia="Times New Roman" w:hAnsi="Times New Roman"/>
          <w:sz w:val="18"/>
          <w:szCs w:val="18"/>
          <w:color w:val="2B2A29"/>
        </w:rPr>
        <w:t>was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2720" w:type="dxa"/>
            <w:vAlign w:val="bottom"/>
            <w:gridSpan w:val="4"/>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80" w:type="dxa"/>
            <w:vAlign w:val="bottom"/>
          </w:tcPr>
          <w:p>
            <w:pPr>
              <w:spacing w:after="0"/>
              <w:rPr>
                <w:sz w:val="16"/>
                <w:szCs w:val="16"/>
                <w:color w:val="auto"/>
              </w:rPr>
            </w:pPr>
          </w:p>
        </w:tc>
      </w:tr>
      <w:tr>
        <w:trPr>
          <w:trHeight w:val="214"/>
        </w:trPr>
        <w:tc>
          <w:tcPr>
            <w:tcW w:w="45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980" w:type="dxa"/>
            <w:vAlign w:val="bottom"/>
            <w:tcBorders>
              <w:bottom w:val="single" w:sz="8" w:color="auto"/>
            </w:tcBorders>
          </w:tcPr>
          <w:p>
            <w:pPr>
              <w:spacing w:after="0"/>
              <w:rPr>
                <w:sz w:val="18"/>
                <w:szCs w:val="18"/>
                <w:color w:val="auto"/>
              </w:rPr>
            </w:pPr>
          </w:p>
        </w:tc>
      </w:tr>
      <w:tr>
        <w:trPr>
          <w:trHeight w:val="235"/>
        </w:trPr>
        <w:tc>
          <w:tcPr>
            <w:tcW w:w="4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i w:val="1"/>
                <w:iCs w:val="1"/>
                <w:color w:val="auto"/>
              </w:rPr>
              <w:t>($ in millions and shares in thousands, except per share amounts)</w:t>
            </w:r>
          </w:p>
        </w:tc>
        <w:tc>
          <w:tcPr>
            <w:tcW w:w="10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4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w:t>
            </w:r>
          </w:p>
        </w:tc>
      </w:tr>
      <w:tr>
        <w:trPr>
          <w:trHeight w:val="162"/>
        </w:trPr>
        <w:tc>
          <w:tcPr>
            <w:tcW w:w="4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4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Basic weighted average number of shares outstanding</w:t>
            </w: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58,290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57,687</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58,119</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57,580</w:t>
            </w:r>
          </w:p>
        </w:tc>
      </w:tr>
      <w:tr>
        <w:trPr>
          <w:trHeight w:val="24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Stock awards and equity units (share equivalent)</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24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Diluted weighted average shares outstanding</w:t>
            </w:r>
          </w:p>
        </w:tc>
        <w:tc>
          <w:tcPr>
            <w:tcW w:w="104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58,547</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57,807</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58,656</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57,976</w:t>
            </w:r>
          </w:p>
        </w:tc>
      </w:tr>
      <w:tr>
        <w:trPr>
          <w:trHeight w:val="162"/>
        </w:trPr>
        <w:tc>
          <w:tcPr>
            <w:tcW w:w="4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4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Earnings per common share - Basic</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r>
      <w:tr>
        <w:trPr>
          <w:trHeight w:val="240"/>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Earnings per common share - Diluted</w:t>
            </w:r>
          </w:p>
        </w:tc>
        <w:tc>
          <w:tcPr>
            <w:tcW w:w="104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Pr>
          <w:p>
            <w:pPr>
              <w:spacing w:after="0"/>
              <w:rPr>
                <w:sz w:val="20"/>
                <w:szCs w:val="20"/>
                <w:color w:val="auto"/>
              </w:rPr>
            </w:pPr>
          </w:p>
        </w:tc>
        <w:tc>
          <w:tcPr>
            <w:tcW w:w="1020" w:type="dxa"/>
            <w:vAlign w:val="bottom"/>
          </w:tcPr>
          <w:p>
            <w:pPr>
              <w:jc w:val="right"/>
              <w:ind w:right="8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Pr>
          <w:p>
            <w:pPr>
              <w:spacing w:after="0"/>
              <w:rPr>
                <w:sz w:val="20"/>
                <w:szCs w:val="20"/>
                <w:color w:val="auto"/>
              </w:rPr>
            </w:pP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20"/>
                <w:szCs w:val="20"/>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r>
      <w:tr>
        <w:trPr>
          <w:trHeight w:val="165"/>
        </w:trPr>
        <w:tc>
          <w:tcPr>
            <w:tcW w:w="45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237"/>
        </w:trPr>
        <w:tc>
          <w:tcPr>
            <w:tcW w:w="4540" w:type="dxa"/>
            <w:vAlign w:val="bottom"/>
          </w:tcPr>
          <w:p>
            <w:pPr>
              <w:spacing w:after="0"/>
              <w:rPr>
                <w:sz w:val="20"/>
                <w:szCs w:val="20"/>
                <w:color w:val="auto"/>
              </w:rPr>
            </w:pPr>
            <w:r>
              <w:rPr>
                <w:rFonts w:ascii="Times New Roman" w:cs="Times New Roman" w:eastAsia="Times New Roman" w:hAnsi="Times New Roman"/>
                <w:sz w:val="16"/>
                <w:szCs w:val="16"/>
                <w:color w:val="auto"/>
              </w:rPr>
              <w:t>Antidilutive Shares (millions)</w:t>
            </w:r>
          </w:p>
        </w:tc>
        <w:tc>
          <w:tcPr>
            <w:tcW w:w="10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bl>
    <w:p>
      <w:pPr>
        <w:spacing w:after="0" w:line="2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Earnings per diluted share is computed by giving effect to all potentially dilutive stock awards that are outstanding. The computation of earnings per diluted share excludes the effect of the potential exercise of stock-based awards, when the effect of the potential exercise would be anti-dilutive.</w:t>
      </w:r>
    </w:p>
    <w:p>
      <w:pPr>
        <w:sectPr>
          <w:pgSz w:w="11900" w:h="16838" w:orient="portrait"/>
          <w:cols w:equalWidth="0" w:num="1">
            <w:col w:w="11240"/>
          </w:cols>
          <w:pgMar w:left="320" w:top="226" w:right="3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income tax in the various jurisdictions in which it operates. A significant portion of the Company's earnings are taxed in jurisdictions with tax rates that are lower than the statutory tax rate of the United States. The effective tax rate can change from quarter to quarter because of variability in global pretax income or geographical mix of the Company's earnings, changes in tax laws and matters related to tax audits.</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tax rates were 34.4% and (191.9)% for the three months ended March 31, 2025 and 2024, respectively. The increase in the Company's effective tax rate compared to the prior period is primarily due to the absence of non-recurring tax benefits recognized in the prior period related to withholding taxes on undistributed foreign earnings and tax reserves, partially offset by favorable tax impacts primarily resulting from overall higher earnings reflected in the current period.</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tax rates were 33.0% and (102.5)% for the six months ended March 31, 2025 and 2024, respectively. The increase in the Company's effective tax rate compared to the prior period is primarily due to the absence of non-recurring tax benefits recognized in the prior period related to withholding taxes on undistributed foreign earnings, Swiss tax law changes and tax reserves, partially offset by favorable tax impacts primarily resulting from overall higher earnings reflected in the current period.</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Financial Instruments and Fair Value Measurements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reconciles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restricted cash</w:t>
      </w:r>
      <w:r>
        <w:rPr>
          <w:rFonts w:ascii="Times New Roman" w:cs="Times New Roman" w:eastAsia="Times New Roman" w:hAnsi="Times New Roman"/>
          <w:sz w:val="18"/>
          <w:szCs w:val="18"/>
          <w:color w:val="auto"/>
        </w:rPr>
        <w:t xml:space="preserve"> reported within the Condensed Consolidated Balance Sheets as of March 31, 2025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to the total amounts shown in the Condensed Consolidated Statements of Cash Flows: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8"/>
                <w:szCs w:val="18"/>
                <w:color w:val="auto"/>
              </w:rPr>
            </w:pPr>
          </w:p>
        </w:tc>
        <w:tc>
          <w:tcPr>
            <w:tcW w:w="168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3"/>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267.5</w:t>
            </w:r>
          </w:p>
        </w:tc>
      </w:tr>
      <w:tr>
        <w:trPr>
          <w:trHeight w:val="213"/>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37"/>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equivalents and restricted cash</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 xml:space="preserve">Cash and equivalents as of March 31, 2025 includes cash held in money market funds and other cash equivalents. All cash and equivalents are Level 1 in the fair value hierarchy. Interest income on </w:t>
      </w:r>
      <w:r>
        <w:rPr>
          <w:rFonts w:ascii="Times New Roman" w:cs="Times New Roman" w:eastAsia="Times New Roman" w:hAnsi="Times New Roman"/>
          <w:sz w:val="18"/>
          <w:szCs w:val="18"/>
          <w:i w:val="1"/>
          <w:iCs w:val="1"/>
          <w:color w:val="auto"/>
        </w:rPr>
        <w:t>Cash and equivalents</w:t>
      </w:r>
      <w:r>
        <w:rPr>
          <w:rFonts w:ascii="Times New Roman" w:cs="Times New Roman" w:eastAsia="Times New Roman" w:hAnsi="Times New Roman"/>
          <w:sz w:val="18"/>
          <w:szCs w:val="18"/>
          <w:color w:val="auto"/>
        </w:rPr>
        <w:t xml:space="preserve"> was $1.3 million and $2.9 million for the three months ended March 31, 2025 and 2024, respectively, and $3.1 million and $6.3 million for the six months ended March 31, 2025 and 2024, respectively, and is included as a component of </w:t>
      </w:r>
      <w:r>
        <w:rPr>
          <w:rFonts w:ascii="Times New Roman" w:cs="Times New Roman" w:eastAsia="Times New Roman" w:hAnsi="Times New Roman"/>
          <w:sz w:val="18"/>
          <w:szCs w:val="18"/>
          <w:i w:val="1"/>
          <w:iCs w:val="1"/>
          <w:color w:val="auto"/>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net</w:t>
      </w:r>
      <w:r>
        <w:rPr>
          <w:rFonts w:ascii="Times New Roman" w:cs="Times New Roman" w:eastAsia="Times New Roman" w:hAnsi="Times New Roman"/>
          <w:sz w:val="18"/>
          <w:szCs w:val="18"/>
          <w:color w:val="auto"/>
        </w:rPr>
        <w:t>. Restricted cash consists of cash not readily available for use in the Company's operating activities. The Company's restricted cash balance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pledged as collateral for bank guarantees related to certain customer performance guarantees and property leases internationally.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Risks and Related Strategies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has foreign currency exposures throughout Europe, Asia, Canada and Latin America. Transactional currency exposures that arise from entering into transactions, generally on an intercompany basis, in non-hyperinflationary countries that are denominated in currencies other than the functional currency are mitigated primarily through the use of forward contracts.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notional amounts of the Company’s foreign currency-related derivative instruments were as follows as of March 31, 2025 and September 30, 2024:</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8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Hedge Designation</w:t>
            </w:r>
          </w:p>
        </w:tc>
        <w:tc>
          <w:tcPr>
            <w:tcW w:w="240" w:type="dxa"/>
            <w:vAlign w:val="bottom"/>
          </w:tcPr>
          <w:p>
            <w:pPr>
              <w:spacing w:after="0"/>
              <w:rPr>
                <w:sz w:val="18"/>
                <w:szCs w:val="18"/>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80" w:type="dxa"/>
            <w:vAlign w:val="bottom"/>
          </w:tcPr>
          <w:p>
            <w:pPr>
              <w:spacing w:after="0"/>
              <w:rPr>
                <w:sz w:val="18"/>
                <w:szCs w:val="18"/>
                <w:color w:val="auto"/>
              </w:rPr>
            </w:pPr>
          </w:p>
        </w:tc>
        <w:tc>
          <w:tcPr>
            <w:tcW w:w="170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3"/>
        </w:trPr>
        <w:tc>
          <w:tcPr>
            <w:tcW w:w="5480" w:type="dxa"/>
            <w:vAlign w:val="bottom"/>
            <w:tcBorders>
              <w:top w:val="single" w:sz="8" w:color="CCEEFF"/>
            </w:tcBorders>
            <w:shd w:val="clear" w:color="auto" w:fill="CCEEFF"/>
          </w:tcPr>
          <w:p>
            <w:pPr>
              <w:ind w:left="20"/>
              <w:spacing w:after="0" w:line="213" w:lineRule="exact"/>
              <w:rPr>
                <w:sz w:val="20"/>
                <w:szCs w:val="20"/>
                <w:color w:val="auto"/>
              </w:rPr>
            </w:pPr>
            <w:r>
              <w:rPr>
                <w:rFonts w:ascii="Times New Roman" w:cs="Times New Roman" w:eastAsia="Times New Roman" w:hAnsi="Times New Roman"/>
                <w:sz w:val="16"/>
                <w:szCs w:val="16"/>
                <w:color w:val="auto"/>
              </w:rPr>
              <w:t>Foreign exchange contracts</w:t>
            </w:r>
            <w:r>
              <w:rPr>
                <w:rFonts w:ascii="Times New Roman" w:cs="Times New Roman" w:eastAsia="Times New Roman" w:hAnsi="Times New Roman"/>
                <w:sz w:val="21"/>
                <w:szCs w:val="21"/>
                <w:color w:val="auto"/>
                <w:vertAlign w:val="superscript"/>
              </w:rPr>
              <w:t>(a)</w:t>
            </w: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Undesignated</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71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both"/>
        <w:ind w:left="340" w:hanging="332"/>
        <w:spacing w:after="0" w:line="258" w:lineRule="auto"/>
        <w:tabs>
          <w:tab w:leader="none" w:pos="331"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 hedges of transactional foreign exchange exposures resulting primarily from intercompany payables and receivables. Gains and losses on these instruments are recognized immediately in Other income (expense), net. These gains and losses are largely offset by gains and losses on the underlying hedged items, as well as the hedging costs associated with the derivative instruments. Gains and losses recognized to date on these instruments were not material to the Company's Condensed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In the first half of fiscal year 2025, the Company recorded a non-cash asset impairment charge of $10.4 million to write down the carrying value of certain property and equipment as a result of the Company's plan to discontinue the patch pump program. $6.1 million was recorded to </w:t>
      </w: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xml:space="preserve"> and $4.3 million was recorded to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 The amount recognized was recorded to adjust the carrying amount of assets to the assets' fair values, which were estimated, based upon a market participant's perspective, using Level 3 measurements, including values estimated using the income approach.</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Three of the Company’s customers represented at least 10.0% of total gross revenues individually and, in the aggregate, represented approximately 40.8% for the three months ended March 31, 2025, and three of the Company's customers represented at least 10.0% of total gross revenues individually and, in the aggregate, represented approximately 41.4% of total revenues for the six months ended March 31, 2025.</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Two of the Company's customers represented at least 10.0% of total gross trade receivables individually and, in the aggregate, represented approximately 32.3% as of March 31, 2025.</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trade receivables are due from public and private entities involved in the healthcare industry. The Company does not normally require collateral from its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Property, Plant and Equipment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consisted of:</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19"/>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Buildings</w:t>
            </w:r>
          </w:p>
        </w:tc>
        <w:tc>
          <w:tcPr>
            <w:tcW w:w="1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w:t>
            </w:r>
          </w:p>
        </w:tc>
      </w:tr>
      <w:tr>
        <w:trPr>
          <w:trHeight w:val="33"/>
        </w:trPr>
        <w:tc>
          <w:tcPr>
            <w:tcW w:w="6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2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Machinery, equipment and fixtures</w:t>
            </w:r>
          </w:p>
        </w:tc>
        <w:tc>
          <w:tcPr>
            <w:tcW w:w="17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607.3</w:t>
            </w:r>
          </w:p>
        </w:tc>
      </w:tr>
      <w:tr>
        <w:trPr>
          <w:trHeight w:val="21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7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33"/>
        </w:trPr>
        <w:tc>
          <w:tcPr>
            <w:tcW w:w="6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04"/>
        </w:trPr>
        <w:tc>
          <w:tcPr>
            <w:tcW w:w="6400" w:type="dxa"/>
            <w:vAlign w:val="bottom"/>
          </w:tcPr>
          <w:p>
            <w:pPr>
              <w:spacing w:after="0"/>
              <w:rPr>
                <w:sz w:val="17"/>
                <w:szCs w:val="17"/>
                <w:color w:val="auto"/>
              </w:rPr>
            </w:pPr>
          </w:p>
        </w:tc>
        <w:tc>
          <w:tcPr>
            <w:tcW w:w="1780" w:type="dxa"/>
            <w:vAlign w:val="bottom"/>
            <w:tcBorders>
              <w:top w:val="single" w:sz="8" w:color="auto"/>
            </w:tcBorders>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754.0</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779.1</w:t>
            </w:r>
          </w:p>
        </w:tc>
      </w:tr>
      <w:tr>
        <w:trPr>
          <w:trHeight w:val="33"/>
        </w:trPr>
        <w:tc>
          <w:tcPr>
            <w:tcW w:w="64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43"/>
        </w:trPr>
        <w:tc>
          <w:tcPr>
            <w:tcW w:w="6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7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(488.7)</w:t>
            </w:r>
          </w:p>
        </w:tc>
      </w:tr>
      <w:tr>
        <w:trPr>
          <w:trHeight w:val="204"/>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Property, Plant and Equipment, Net</w:t>
            </w:r>
          </w:p>
        </w:tc>
        <w:tc>
          <w:tcPr>
            <w:tcW w:w="1780" w:type="dxa"/>
            <w:vAlign w:val="bottom"/>
            <w:tcBorders>
              <w:top w:val="single" w:sz="8" w:color="auto"/>
            </w:tcBorders>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00" w:type="dxa"/>
            <w:vAlign w:val="bottom"/>
          </w:tcPr>
          <w:p>
            <w:pPr>
              <w:spacing w:after="0"/>
              <w:rPr>
                <w:sz w:val="17"/>
                <w:szCs w:val="17"/>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2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290.4</w:t>
            </w:r>
          </w:p>
        </w:tc>
      </w:tr>
      <w:tr>
        <w:trPr>
          <w:trHeight w:val="33"/>
        </w:trPr>
        <w:tc>
          <w:tcPr>
            <w:tcW w:w="64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1"/>
        </w:trPr>
        <w:tc>
          <w:tcPr>
            <w:tcW w:w="640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the first half of fiscal year 2025, the Company recorded a non-cash asset impairment charge of $10.4 million to write down the carrying value of certain property and equipment as a result of the Company's plan to discontinue the patch pump program. $6.1 million was recorded to </w:t>
      </w:r>
      <w:r>
        <w:rPr>
          <w:rFonts w:ascii="Times New Roman" w:cs="Times New Roman" w:eastAsia="Times New Roman" w:hAnsi="Times New Roman"/>
          <w:sz w:val="18"/>
          <w:szCs w:val="18"/>
          <w:i w:val="1"/>
          <w:iCs w:val="1"/>
          <w:color w:val="auto"/>
        </w:rPr>
        <w:t>Cost of products sold</w:t>
      </w:r>
      <w:r>
        <w:rPr>
          <w:rFonts w:ascii="Times New Roman" w:cs="Times New Roman" w:eastAsia="Times New Roman" w:hAnsi="Times New Roman"/>
          <w:sz w:val="18"/>
          <w:szCs w:val="18"/>
          <w:color w:val="auto"/>
        </w:rPr>
        <w:t xml:space="preserve"> and $4.3 million was recorded to </w:t>
      </w:r>
      <w:r>
        <w:rPr>
          <w:rFonts w:ascii="Times New Roman" w:cs="Times New Roman" w:eastAsia="Times New Roman" w:hAnsi="Times New Roman"/>
          <w:sz w:val="18"/>
          <w:szCs w:val="18"/>
          <w:i w:val="1"/>
          <w:iCs w:val="1"/>
          <w:color w:val="auto"/>
        </w:rPr>
        <w:t>Research and development expense</w:t>
      </w:r>
      <w:r>
        <w:rPr>
          <w:rFonts w:ascii="Times New Roman" w:cs="Times New Roman" w:eastAsia="Times New Roman" w:hAnsi="Times New Roman"/>
          <w:sz w:val="18"/>
          <w:szCs w:val="18"/>
          <w:color w:val="auto"/>
        </w:rPr>
        <w:t>.</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Leases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finance lease assets and liabilities are attributed to its manufacturing site in Holdrege, Nebraska, which has an initial term of ten years and an option for the Company to extend the lease term for an additional period of up to five years. This lease is classified as a finance lease because the present value of the sum of the lease payments associated with the lease exceeds substantially all of the fair value of the manufacturing site.</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operating leases primarily relate to its real estate leases that are not classified as finance leases.</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Lease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leases are included in its Condensed Consolidated Balance Sheets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620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September 30, 2024</w:t>
            </w:r>
          </w:p>
        </w:tc>
      </w:tr>
      <w:tr>
        <w:trPr>
          <w:trHeight w:val="206"/>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18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860" w:type="dxa"/>
            <w:vAlign w:val="bottom"/>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30.8</w:t>
            </w:r>
          </w:p>
        </w:tc>
      </w:tr>
      <w:tr>
        <w:trPr>
          <w:trHeight w:val="33"/>
        </w:trPr>
        <w:tc>
          <w:tcPr>
            <w:tcW w:w="62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1"/>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Finance Lease Assets</w:t>
            </w:r>
          </w:p>
        </w:tc>
        <w:tc>
          <w:tcPr>
            <w:tcW w:w="1860" w:type="dxa"/>
            <w:vAlign w:val="bottom"/>
            <w:tcBorders>
              <w:bottom w:val="single" w:sz="8" w:color="CCEEFF"/>
            </w:tcBorders>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30.8</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55"/>
        </w:trPr>
        <w:tc>
          <w:tcPr>
            <w:tcW w:w="62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120" w:type="dxa"/>
            <w:vAlign w:val="bottom"/>
          </w:tcPr>
          <w:p>
            <w:pPr>
              <w:spacing w:after="0"/>
              <w:rPr>
                <w:sz w:val="4"/>
                <w:szCs w:val="4"/>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finance lease liabilities</w:t>
            </w:r>
          </w:p>
        </w:tc>
        <w:tc>
          <w:tcPr>
            <w:tcW w:w="1860" w:type="dxa"/>
            <w:vAlign w:val="bottom"/>
            <w:tcBorders>
              <w:bottom w:val="single" w:sz="8" w:color="CCEEFF"/>
            </w:tcBorders>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 Current Finance Lease Liabilities</w:t>
            </w:r>
          </w:p>
        </w:tc>
        <w:tc>
          <w:tcPr>
            <w:tcW w:w="1860" w:type="dxa"/>
            <w:vAlign w:val="bottom"/>
          </w:tcPr>
          <w:p>
            <w:pPr>
              <w:spacing w:after="0"/>
              <w:rPr>
                <w:sz w:val="18"/>
                <w:szCs w:val="18"/>
                <w:color w:val="auto"/>
              </w:rPr>
            </w:pP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r>
      <w:tr>
        <w:trPr>
          <w:trHeight w:val="33"/>
        </w:trPr>
        <w:tc>
          <w:tcPr>
            <w:tcW w:w="62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61"/>
        </w:trPr>
        <w:tc>
          <w:tcPr>
            <w:tcW w:w="62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1860" w:type="dxa"/>
            <w:vAlign w:val="bottom"/>
            <w:tcBorders>
              <w:bottom w:val="single" w:sz="8" w:color="CCEEFF"/>
            </w:tcBorders>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33.6</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6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22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86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1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12.5</w:t>
            </w: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6.8 %</w:t>
            </w:r>
          </w:p>
        </w:tc>
      </w:tr>
      <w:tr>
        <w:trPr>
          <w:trHeight w:val="33"/>
        </w:trPr>
        <w:tc>
          <w:tcPr>
            <w:tcW w:w="6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108"/>
        </w:trPr>
        <w:tc>
          <w:tcPr>
            <w:tcW w:w="6200" w:type="dxa"/>
            <w:vAlign w:val="bottom"/>
            <w:shd w:val="clear" w:color="auto" w:fill="CCEEFF"/>
          </w:tcPr>
          <w:p>
            <w:pPr>
              <w:spacing w:after="0"/>
              <w:rPr>
                <w:sz w:val="9"/>
                <w:szCs w:val="9"/>
                <w:color w:val="auto"/>
              </w:rPr>
            </w:pPr>
          </w:p>
        </w:tc>
        <w:tc>
          <w:tcPr>
            <w:tcW w:w="18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120" w:type="dxa"/>
            <w:vAlign w:val="bottom"/>
            <w:shd w:val="clear" w:color="auto" w:fill="CCEEFF"/>
          </w:tcPr>
          <w:p>
            <w:pPr>
              <w:spacing w:after="0"/>
              <w:rPr>
                <w:sz w:val="9"/>
                <w:szCs w:val="9"/>
                <w:color w:val="auto"/>
              </w:rPr>
            </w:pPr>
          </w:p>
        </w:tc>
      </w:tr>
      <w:tr>
        <w:trPr>
          <w:trHeight w:val="212"/>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1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31"/>
        </w:trPr>
        <w:tc>
          <w:tcPr>
            <w:tcW w:w="6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60" w:type="dxa"/>
            <w:vAlign w:val="bottom"/>
            <w:tcBorders>
              <w:bottom w:val="single" w:sz="8" w:color="CCEEFF"/>
            </w:tcBorders>
            <w:shd w:val="clear" w:color="auto" w:fill="CCEEFF"/>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22.6</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Assets</w:t>
            </w:r>
          </w:p>
        </w:tc>
        <w:tc>
          <w:tcPr>
            <w:tcW w:w="1860" w:type="dxa"/>
            <w:vAlign w:val="bottom"/>
            <w:tcBorders>
              <w:top w:val="single" w:sz="8" w:color="auto"/>
            </w:tcBorders>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22.6</w:t>
            </w:r>
          </w:p>
        </w:tc>
      </w:tr>
      <w:tr>
        <w:trPr>
          <w:trHeight w:val="33"/>
        </w:trPr>
        <w:tc>
          <w:tcPr>
            <w:tcW w:w="62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expenses</w:t>
            </w:r>
          </w:p>
        </w:tc>
        <w:tc>
          <w:tcPr>
            <w:tcW w:w="1860" w:type="dxa"/>
            <w:vAlign w:val="bottom"/>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6.0</w:t>
            </w:r>
          </w:p>
        </w:tc>
      </w:tr>
      <w:tr>
        <w:trPr>
          <w:trHeight w:val="33"/>
        </w:trPr>
        <w:tc>
          <w:tcPr>
            <w:tcW w:w="6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Taxes and Other Liabilities</w:t>
            </w:r>
          </w:p>
        </w:tc>
        <w:tc>
          <w:tcPr>
            <w:tcW w:w="18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11.9</w:t>
            </w:r>
          </w:p>
        </w:tc>
      </w:tr>
      <w:tr>
        <w:trPr>
          <w:trHeight w:val="204"/>
        </w:trPr>
        <w:tc>
          <w:tcPr>
            <w:tcW w:w="62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1860" w:type="dxa"/>
            <w:vAlign w:val="bottom"/>
            <w:tcBorders>
              <w:top w:val="single" w:sz="8" w:color="auto"/>
            </w:tcBorders>
          </w:tcPr>
          <w:p>
            <w:pPr>
              <w:jc w:val="right"/>
              <w:ind w:right="167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7"/>
                <w:szCs w:val="17"/>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21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17.9</w:t>
            </w:r>
          </w:p>
        </w:tc>
      </w:tr>
      <w:tr>
        <w:trPr>
          <w:trHeight w:val="33"/>
        </w:trPr>
        <w:tc>
          <w:tcPr>
            <w:tcW w:w="62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0"/>
        </w:trPr>
        <w:tc>
          <w:tcPr>
            <w:tcW w:w="620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r>
        <w:trPr>
          <w:trHeight w:val="75"/>
        </w:trPr>
        <w:tc>
          <w:tcPr>
            <w:tcW w:w="620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120" w:type="dxa"/>
            <w:vAlign w:val="bottom"/>
            <w:shd w:val="clear" w:color="auto" w:fill="CCEEFF"/>
          </w:tcPr>
          <w:p>
            <w:pPr>
              <w:spacing w:after="0"/>
              <w:rPr>
                <w:sz w:val="6"/>
                <w:szCs w:val="6"/>
                <w:color w:val="auto"/>
              </w:rPr>
            </w:pPr>
          </w:p>
        </w:tc>
      </w:tr>
      <w:tr>
        <w:trPr>
          <w:trHeight w:val="210"/>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1860" w:type="dxa"/>
            <w:vAlign w:val="bottom"/>
          </w:tcPr>
          <w:p>
            <w:pPr>
              <w:spacing w:after="0"/>
              <w:rPr>
                <w:sz w:val="18"/>
                <w:szCs w:val="18"/>
                <w:color w:val="auto"/>
              </w:rPr>
            </w:pP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62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1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33"/>
        </w:trPr>
        <w:tc>
          <w:tcPr>
            <w:tcW w:w="620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for the six months ended March 31, 2025 and 2024 were as follows: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Right of use assets obtained in exchange for lease liabilities</w:t>
            </w:r>
          </w:p>
        </w:tc>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33"/>
        </w:trPr>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3"/>
        </w:trPr>
        <w:tc>
          <w:tcPr>
            <w:tcW w:w="6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w:t>
            </w:r>
          </w:p>
        </w:tc>
        <w:tc>
          <w:tcPr>
            <w:tcW w:w="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520"/>
        </w:trPr>
        <w:tc>
          <w:tcPr>
            <w:tcW w:w="6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196"/>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for amounts included in the measurement of lease liabilities</w:t>
            </w:r>
          </w:p>
        </w:tc>
        <w:tc>
          <w:tcPr>
            <w:tcW w:w="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33"/>
        </w:trPr>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23"/>
        </w:trPr>
        <w:tc>
          <w:tcPr>
            <w:tcW w:w="6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920" w:type="dxa"/>
            <w:vAlign w:val="bottom"/>
            <w:tcBorders>
              <w:bottom w:val="single" w:sz="8" w:color="CCEEFF"/>
            </w:tcBorders>
            <w:gridSpan w:val="2"/>
            <w:shd w:val="clear" w:color="auto" w:fill="CCEEFF"/>
          </w:tcPr>
          <w:p>
            <w:pPr>
              <w:jc w:val="right"/>
              <w:ind w:right="17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2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0"/>
        </w:trPr>
        <w:tc>
          <w:tcPr>
            <w:tcW w:w="6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w:t>
            </w: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33"/>
        </w:trPr>
        <w:tc>
          <w:tcPr>
            <w:tcW w:w="6380" w:type="dxa"/>
            <w:vAlign w:val="bottom"/>
          </w:tcPr>
          <w:p>
            <w:pPr>
              <w:spacing w:after="0"/>
              <w:rPr>
                <w:sz w:val="2"/>
                <w:szCs w:val="2"/>
                <w:color w:val="auto"/>
              </w:rPr>
            </w:pPr>
          </w:p>
        </w:tc>
        <w:tc>
          <w:tcPr>
            <w:tcW w:w="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10"/>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w:t>
            </w: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6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the Company's finance and operating lease liabilities as of March 31, 2025 by fiscal year are as follows:</w:t>
      </w: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4160" w:type="dxa"/>
            <w:vAlign w:val="bottom"/>
          </w:tcPr>
          <w:p>
            <w:pPr>
              <w:spacing w:after="0"/>
              <w:rPr>
                <w:sz w:val="18"/>
                <w:szCs w:val="18"/>
                <w:color w:val="auto"/>
              </w:rPr>
            </w:pPr>
          </w:p>
        </w:tc>
        <w:tc>
          <w:tcPr>
            <w:tcW w:w="178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Finance Leases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00" w:type="dxa"/>
            <w:vAlign w:val="bottom"/>
          </w:tcPr>
          <w:p>
            <w:pPr>
              <w:spacing w:after="0"/>
              <w:rPr>
                <w:sz w:val="18"/>
                <w:szCs w:val="18"/>
                <w:color w:val="auto"/>
              </w:rPr>
            </w:pPr>
          </w:p>
        </w:tc>
        <w:tc>
          <w:tcPr>
            <w:tcW w:w="174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1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780" w:type="dxa"/>
            <w:vAlign w:val="bottom"/>
            <w:tcBorders>
              <w:top w:val="single" w:sz="8" w:color="auto"/>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33"/>
        </w:trPr>
        <w:tc>
          <w:tcPr>
            <w:tcW w:w="4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23"/>
        </w:trPr>
        <w:tc>
          <w:tcPr>
            <w:tcW w:w="41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2029</w:t>
            </w:r>
          </w:p>
        </w:tc>
        <w:tc>
          <w:tcPr>
            <w:tcW w:w="178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0"/>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6"/>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204"/>
        </w:trPr>
        <w:tc>
          <w:tcPr>
            <w:tcW w:w="41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17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33"/>
        </w:trPr>
        <w:tc>
          <w:tcPr>
            <w:tcW w:w="416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1"/>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780" w:type="dxa"/>
            <w:vAlign w:val="bottom"/>
            <w:tcBorders>
              <w:bottom w:val="single" w:sz="8" w:color="CCEEFF"/>
            </w:tcBorders>
            <w:shd w:val="clear" w:color="auto" w:fill="CCEEFF"/>
          </w:tcPr>
          <w:p>
            <w:pPr>
              <w:jc w:val="right"/>
              <w:ind w:right="1599"/>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74"/>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6" w:right="339" w:bottom="1440" w:gutter="0" w:footer="0" w:header="0"/>
        </w:sect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jc w:val="right"/>
        <w:ind w:right="220"/>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Factors Affecting Forward-Looking Statements</w:t>
      </w:r>
    </w:p>
    <w:p>
      <w:pPr>
        <w:spacing w:after="0" w:line="10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Condensed Consolidated Financial Statements and accompanying notes contained elsewhere in this Quarterly Report on Form 10-Q. This discussion contains a number of forward-looking statements, all of which are based on our current expectations and could be affected by the uncertainties and other factors described throughout this discussion and analysis, particularly in the section “Cautionary Statement Concerning Forward-Looking Statements.”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are a leading global medical device company focused on providing solutions to improve the health and well-being of people living with diabetes. In the 100-year history of our business, we believe that our products have become some of the most widely recognized and respected brands in diabetes management in the world. We estimate that our products are used by approximately 30 million people in over 100 countries for insulin administration and to aid with the daily management of diabetes. Our business traces its origins to 1924, when BD developed the first dedicated insulin syringe. Since then, we have built a world-class organization with an unique manufacturing, supply chain and commercial footprint.</w:t>
      </w:r>
    </w:p>
    <w:p>
      <w:pPr>
        <w:spacing w:after="0" w:line="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a broad portfolio of marketed products, including a variety of pen needles, syringes and safety injection devices.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shield that can be activated with one-hand after the injection to help prevent needlestick exposure and injury during injection and disposal.</w:t>
      </w:r>
    </w:p>
    <w:p>
      <w:pPr>
        <w:spacing w:after="0" w:line="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primarily sell our products to wholesalers and distributors that sell to retail and institutional channels who in turn sell to patients or use the products to deliver insulin injections to patients.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Results of Operations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spacing w:after="0" w:line="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Pricing Pressures. We face significant pricing pressures from competitors in the pen needle and insulin syringe categories who not only can provide competitive products at lower costs, but also provide payors and customers with more choices for formulary partners in these categories. In addition, the increased scrutiny by regulators on healthcare spending, which accelerated in light of the COVID-19 pandemic, along with a shift towards volume-based procurement and group purchasing organizations, which generally values lower cost over product features, benefits and quality, have placed significant pressure on Embecta to lower price in both developed and emerging markets. These trends may reduce our operating margins, which are only partially offset by our ability to differentiate our products and sell at higher prices.</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 This has forced providers to provide clinical evidence to differentiate their products.</w:t>
      </w:r>
    </w:p>
    <w:p>
      <w:pPr>
        <w:spacing w:after="0" w:line="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Global Trade. The current global economic environment has been recently influenced by rapidly changing new tariff policies instituted by the United States ("U.S.") government and foreign governments. As a global company that both imports raw materials and products into the U.S. and distributes products and raw materials originating from the U.S. to global manufacturing sites and markets, these new tariffs may have a financial impact on our cost of goods, our profit margins, our business generally and our global distribution strategy. These new tariffs have also caused foreign governments and private purchasers to consider transitioning away from products originating from certain countries (including the U.S.) in favor of buying “local” products, which may impact the company’s business and operations.</w:t>
      </w: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Changes in Clinical Practice. Introduction of new drugs and increased penetration of oral and once-weekly anti-diabetic drugs (e.g., SGLT-2s), GLP-1s and GLP-1 combination products have delayed initiation of insulin therapy and contributed to less demand for our products. New drug therapies, including weekly insulin, are targeted to challenge the current diabetes treatment paradigm, including the frequency insulin is dosed (weekly vs. daily injections) and amount of insulin used. Additionally, insulin therapy in developed markets continues to transition to infusion pumps.</w:t>
      </w:r>
    </w:p>
    <w:p>
      <w:pPr>
        <w:spacing w:after="0" w:line="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Decentralization of Chronic Care. Many countries are facing an aging population and a rapidly growing number of people living 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spacing w:after="0" w:line="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 Given our global business, we expect recently announced tariffs will result in additional cost for us and our suppliers as well as influencing potential future decisions by foreign governments and private purchasers to source non-U.S., “locally” manufactured products instead of products originating from certain countries (including the U.S.). We will continue to monitor the evolving tariff environment and we will focus on optimizing operations and leveraging existing strategies to reduce the impact from tariffs.</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November 22, 2024, the Company's Board of Directors approved a plan to discontinue internal and external investment in the research and development of our patch pump program. Restructuring actions associated with the Patch Pump Restructuring Plan to discontinue the patch pump program are substantially complete as of March 31, 2025. Total cumulative pretax costs to be incurred by the Company to implement the Patch Pump Restructuring Plan are estimated to be between $30.0 million to $40.0 million. In addition, we discontinued our commercial operation plans for the insulin delivery system, including the previous intended limited launch. The Company plans to refocus its investment on its core business while looking to optimize free cash flow and strengthen its balance sheet by paying down debt.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2025, the Company initiated restructuring actions in connection with the 2025 Restructuring Plan to streamline the organization and optimize resources. The Company expects the 2025 Restructuring Plan to be substantially completed by the end of fiscal year 2025. Total cumulative pretax costs to be incurred by the Company to implement the 2025 Restructuring Plan are estimated to be between $4.0 million to $5.0 million.</w:t>
      </w:r>
    </w:p>
    <w:p>
      <w:pPr>
        <w:spacing w:after="0" w:line="6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continue to monitor the conflict in Ukraine and the associated sanctions and other restrictions. We also are monitoring the Israel-Hamas war and Houthi attacks on commercial shipping vessels and other naval vessels. As of May 9, 2025, there is no material impact to our business operations and financial performance as a result of the aforementioned conflicts. However, the full impact of the conflicts on our business operations and financial performance remains uncertain and will depend on future developments, including the severity and duration of the conflicts and their impact on regional and global economic conditions. We will continue to monitor these conflicts and assess the related restrictions and other effects on our business.</w:t>
      </w:r>
    </w:p>
    <w:p>
      <w:pPr>
        <w:spacing w:after="0" w:line="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addition, our revenues and results of operations have been affected by various fluctuations in macroeconomic conditions and regulatory and policy changes, both on a global level and in particular markets, which include inflation and slowing economic growth and contractions, a changing interest rate environment, supply chain interruptions, tariff policy changes, volatility in capital markets and the availability of credit, tax rates and the rate of exchange between the United States dollar and foreign currencies. The nature and extent of the impact of these factors among others varies by region and remains uncertain and unpredictable and may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unaudited Condensed Consolidated Statements of Income are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ind w:left="780"/>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c>
          <w:tcPr>
            <w:tcW w:w="920" w:type="dxa"/>
            <w:vAlign w:val="bottom"/>
            <w:tcBorders>
              <w:bottom w:val="single" w:sz="8" w:color="auto"/>
            </w:tcBorders>
          </w:tcPr>
          <w:p>
            <w:pPr>
              <w:spacing w:after="0"/>
              <w:rPr>
                <w:sz w:val="18"/>
                <w:szCs w:val="18"/>
                <w:color w:val="auto"/>
              </w:rPr>
            </w:pPr>
          </w:p>
        </w:tc>
      </w:tr>
      <w:tr>
        <w:trPr>
          <w:trHeight w:val="209"/>
        </w:trPr>
        <w:tc>
          <w:tcPr>
            <w:tcW w:w="30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31"/>
        </w:trPr>
        <w:tc>
          <w:tcPr>
            <w:tcW w:w="3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6"/>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259.0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products sold</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3.4</w:t>
            </w:r>
          </w:p>
        </w:tc>
      </w:tr>
      <w:tr>
        <w:trPr>
          <w:trHeight w:val="33"/>
        </w:trPr>
        <w:tc>
          <w:tcPr>
            <w:tcW w:w="3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164.1</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371.3</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(13.5)</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w:t>
            </w:r>
          </w:p>
        </w:tc>
        <w:tc>
          <w:tcPr>
            <w:tcW w:w="8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(12.0)</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(26.7)</w:t>
            </w: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operating expenses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(37.5)</w:t>
            </w:r>
          </w:p>
        </w:tc>
      </w:tr>
      <w:tr>
        <w:trPr>
          <w:trHeight w:val="204"/>
        </w:trPr>
        <w:tc>
          <w:tcPr>
            <w:tcW w:w="3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101.2</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286.6</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(19.9)</w:t>
            </w:r>
          </w:p>
        </w:tc>
      </w:tr>
      <w:tr>
        <w:trPr>
          <w:trHeight w:val="33"/>
        </w:trPr>
        <w:tc>
          <w:tcPr>
            <w:tcW w:w="3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7"/>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8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w:t>
            </w: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8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(62.0)</w:t>
            </w: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261.6</w:t>
            </w: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45.0</w:t>
            </w: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(146.8)</w:t>
            </w:r>
          </w:p>
        </w:tc>
      </w:tr>
      <w:tr>
        <w:trPr>
          <w:trHeight w:val="204"/>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tcBorders>
              <w:top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tcPr>
          <w:p>
            <w:pPr>
              <w:spacing w:after="0"/>
              <w:rPr>
                <w:sz w:val="17"/>
                <w:szCs w:val="17"/>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(52.0)</w:t>
            </w:r>
          </w:p>
        </w:tc>
      </w:tr>
      <w:tr>
        <w:trPr>
          <w:trHeight w:val="33"/>
        </w:trPr>
        <w:tc>
          <w:tcPr>
            <w:tcW w:w="30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10"/>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3"/>
        </w:trPr>
        <w:tc>
          <w:tcPr>
            <w:tcW w:w="3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3"/>
        </w:trPr>
        <w:tc>
          <w:tcPr>
            <w:tcW w:w="3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800" w:type="dxa"/>
            <w:vAlign w:val="bottom"/>
            <w:tcBorders>
              <w:bottom w:val="single" w:sz="8" w:color="CCEEFF"/>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r>
      <w:tr>
        <w:trPr>
          <w:trHeight w:val="210"/>
        </w:trPr>
        <w:tc>
          <w:tcPr>
            <w:tcW w:w="3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w:t>
            </w:r>
          </w:p>
        </w:tc>
      </w:tr>
    </w:tbl>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Summary (on a comparative basis)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three months ended March 31, 2025 were as follows:</w:t>
      </w:r>
    </w:p>
    <w:p>
      <w:pPr>
        <w:spacing w:after="0" w:line="144" w:lineRule="exact"/>
        <w:rPr>
          <w:sz w:val="20"/>
          <w:szCs w:val="20"/>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$28.2 million to $259.0 million from $287.2 million;</w:t>
      </w:r>
    </w:p>
    <w:p>
      <w:pPr>
        <w:spacing w:after="0" w:line="144" w:lineRule="exact"/>
        <w:rPr>
          <w:rFonts w:ascii="Times New Roman" w:cs="Times New Roman" w:eastAsia="Times New Roman" w:hAnsi="Times New Roman"/>
          <w:sz w:val="18"/>
          <w:szCs w:val="18"/>
          <w:color w:val="auto"/>
        </w:rPr>
      </w:pPr>
    </w:p>
    <w:p>
      <w:pPr>
        <w:ind w:left="980" w:hanging="324"/>
        <w:spacing w:after="0" w:line="282" w:lineRule="auto"/>
        <w:tabs>
          <w:tab w:leader="none" w:pos="97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$21.3 million to $164.1 million from $185.4 million. Gross profit as a percent of revenue was 63.4%, as compared to 64.6% in the prior year comparative period;</w:t>
      </w:r>
    </w:p>
    <w:p>
      <w:pPr>
        <w:spacing w:after="0" w:line="8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by $23.7 million to $62.9 million from $39.2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by $5.4 million to $23.5 million from $28.9 million.</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March 31, 2025 Summary (on a comparative basis)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financial results for the six months ended March 31, 2025 were as follows:</w:t>
      </w:r>
    </w:p>
    <w:p>
      <w:pPr>
        <w:spacing w:after="0" w:line="144"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decreased by $43.6 million to $520.9 million from $564.5 million;</w:t>
      </w:r>
    </w:p>
    <w:p>
      <w:pPr>
        <w:spacing w:after="0" w:line="144" w:lineRule="exact"/>
        <w:rPr>
          <w:rFonts w:ascii="Times New Roman" w:cs="Times New Roman" w:eastAsia="Times New Roman" w:hAnsi="Times New Roman"/>
          <w:sz w:val="18"/>
          <w:szCs w:val="18"/>
          <w:color w:val="auto"/>
        </w:rPr>
      </w:pPr>
    </w:p>
    <w:p>
      <w:pPr>
        <w:ind w:left="980" w:hanging="324"/>
        <w:spacing w:after="0" w:line="266" w:lineRule="auto"/>
        <w:tabs>
          <w:tab w:leader="none" w:pos="97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decreased by $50.1 million to $321.2 million, from $371.3 million. Gross profit as a percent of revenue was 61.7%, as compared to 65.8% in the prior year comparative period;</w:t>
      </w:r>
    </w:p>
    <w:p>
      <w:pPr>
        <w:spacing w:after="0" w:line="9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increased by $6.9 million to $91.6 million from $84.7 million;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by $25.5 million to $23.5 million from $49.0 million.</w:t>
      </w:r>
    </w:p>
    <w:p>
      <w:pPr>
        <w:spacing w:after="0" w:line="200" w:lineRule="exact"/>
        <w:rPr>
          <w:sz w:val="20"/>
          <w:szCs w:val="20"/>
          <w:color w:val="auto"/>
        </w:rPr>
      </w:pP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revenues decreased by $28.2 million, or 9.8%, to $259.0 million for the three months ended March 31, 2025 as compared to revenues of $287.2 million for the three months ended March 31, 2024. Changes in revenues are driven by the volume of goods that the Company sells, the prices it negotiates with customers, and changes in foreign exchange rates. The decrease in revenues was driven by $26.6 million of unfavorable changes in volume and $6.0 million associated with the negative impact of foreign currency translation primarily due to the strengthening of the U.S. dollar. This was partially offset by $2.5 million of favorable changes in price and a $1.9 million increase in contract manufacturing revenues related to sales of non-diabetes products to BD.</w:t>
      </w:r>
    </w:p>
    <w:p>
      <w:pPr>
        <w:spacing w:after="0" w:line="1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revenues decreased by $43.6 million, or 7.7%, to $520.9 million for the six months ended March 31, 2025 as compared to revenues of $564.5 million for the six months ended March 31, 2024. The decrease in revenues was driven by $44.5 million of unfavorable changes in volume and $8.0 million associated with the negative impact of foreign currency translation primarily due to the strengthening of the U.S. dollar. This was partially offset by a $4.8 million increase in contract manufacturing revenues related to sales of non-diabetes products to BD and $4.1 million of favorable changes in price.</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products sold</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 of products sold decreased by $6.9 million, or 6.8%, to $94.9 million for the three months ended March 31, 2025 as compared to $101.8 million for the three months ended March 31, 2024. Cost of products sold as a percentage of revenues was 36.6% for the three months ended March 31, 2025 as compared to 35.4% for the three months ended March 31, 2024. The decrease in cost of products sold for the three month comparative period was primarily driven by lower volumes partially offset by the impact of net changes in profit in inventory adjustments period over period.</w:t>
      </w:r>
    </w:p>
    <w:p>
      <w:pPr>
        <w:spacing w:after="0" w:line="12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Cost of products sold increased by $6.5 million, or 3.4%, to $199.7 million for the six months ended March 31, 2025 as compared to $193.2 million for the six months ended March 31, 2024. Cost of products sold as a percentage of revenues was 38.3% for the six months ended March 31, 2025 as compared to 34.2% in the six months ended March 31, 2024. The increase in cost of products sold for the six month comparative period was primarily driven by the impact of net changes from profit in inventory adjustments period over period and a non-cash asset impairment charge recorded in the first quarter of fiscal year 2025 to write down the carrying value of certain property and equipment as a result of the Company's Patch Pump Restructuring Plan. This was partially offset by lower volumes in the current period compared to the prior year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Selling and administrative expenses decreased by $12.7 million, or 13.8%, to $79.6 million for the three months ended March 31, 2025 as compared to</w:t>
      </w:r>
    </w:p>
    <w:p>
      <w:pPr>
        <w:spacing w:after="0" w:line="27"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8"/>
          <w:szCs w:val="18"/>
          <w:color w:val="auto"/>
        </w:rPr>
        <w:t>$92.3 million for the three months ended March 31, 2024. Selling and administrative expenses decreased by $21.9 million, or 12.0%, to $160.7 million for the six months ended March 31, 2025 as compared to $182.6 million for the six months ended March 31, 2024. The decrease for both the three and six month comparative periods was primarily driven by lower TSA and LSA costs with BD in addition to lower compensation and marketing expense recognized in the current periods.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Research and development expenses decreased by $10.4 million, or 56.5%, to $8.0 million for the three months ended March 31, 2025 as compared to $18.4 million for the three months ended March 31, 2024. Research and development expenses decreased by $10.3 million, or 26.7%, to $28.3 million for the six months ended March 31, 2025 as compared to $38.6 million for the six months ended March 31, 2024. The decrease for both the three and six month comparative periods was primarily driven by a reduction in payments made in connection with the development of our insulin patch pump program in the current periods as compared to the prior periods, given the discontinuation of the patch pump program. We expect our research and development expenses to decrease sequentially in fiscal year 2025 compared to fiscal year 2024.</w:t>
      </w: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600" w:type="dxa"/>
            <w:vAlign w:val="bottom"/>
          </w:tcPr>
          <w:p>
            <w:pPr>
              <w:spacing w:after="0"/>
              <w:rPr>
                <w:sz w:val="18"/>
                <w:szCs w:val="18"/>
                <w:color w:val="auto"/>
              </w:rPr>
            </w:pPr>
          </w:p>
        </w:tc>
        <w:tc>
          <w:tcPr>
            <w:tcW w:w="282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0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Six months ended March 31,</w:t>
            </w:r>
          </w:p>
        </w:tc>
      </w:tr>
      <w:tr>
        <w:trPr>
          <w:trHeight w:val="33"/>
        </w:trPr>
        <w:tc>
          <w:tcPr>
            <w:tcW w:w="4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6"/>
        </w:trPr>
        <w:tc>
          <w:tcPr>
            <w:tcW w:w="4600" w:type="dxa"/>
            <w:vAlign w:val="bottom"/>
          </w:tcPr>
          <w:p>
            <w:pPr>
              <w:spacing w:after="0"/>
              <w:rPr>
                <w:sz w:val="17"/>
                <w:szCs w:val="17"/>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31"/>
        </w:trPr>
        <w:tc>
          <w:tcPr>
            <w:tcW w:w="46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6"/>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related to the Separation</w:t>
            </w:r>
          </w:p>
        </w:tc>
        <w:tc>
          <w:tcPr>
            <w:tcW w:w="108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cloud computing arrangements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associated with the discontinued patch pump program</w:t>
            </w:r>
          </w:p>
        </w:tc>
        <w:tc>
          <w:tcPr>
            <w:tcW w:w="108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Business optimization and severance related costs</w:t>
            </w:r>
          </w:p>
        </w:tc>
        <w:tc>
          <w:tcPr>
            <w:tcW w:w="10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33"/>
        </w:trPr>
        <w:tc>
          <w:tcPr>
            <w:tcW w:w="46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04"/>
        </w:trPr>
        <w:tc>
          <w:tcPr>
            <w:tcW w:w="4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080" w:type="dxa"/>
            <w:vAlign w:val="bottom"/>
            <w:tcBorders>
              <w:top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ind w:right="95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tcPr>
          <w:p>
            <w:pPr>
              <w:spacing w:after="0"/>
              <w:rPr>
                <w:sz w:val="17"/>
                <w:szCs w:val="17"/>
                <w:color w:val="auto"/>
              </w:rPr>
            </w:pPr>
          </w:p>
        </w:tc>
        <w:tc>
          <w:tcPr>
            <w:tcW w:w="360" w:type="dxa"/>
            <w:vAlign w:val="bottom"/>
            <w:tcBorders>
              <w:top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w:t>
            </w:r>
          </w:p>
        </w:tc>
      </w:tr>
      <w:tr>
        <w:trPr>
          <w:trHeight w:val="33"/>
        </w:trPr>
        <w:tc>
          <w:tcPr>
            <w:tcW w:w="46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6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operating expenses incurred primarily consist of the following:</w:t>
      </w:r>
    </w:p>
    <w:p>
      <w:pPr>
        <w:spacing w:after="0" w:line="117" w:lineRule="exact"/>
        <w:rPr>
          <w:sz w:val="20"/>
          <w:szCs w:val="20"/>
          <w:color w:val="auto"/>
        </w:rPr>
      </w:pPr>
    </w:p>
    <w:p>
      <w:pPr>
        <w:jc w:val="both"/>
        <w:ind w:left="660" w:hanging="328"/>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auditing, legal services, marketing, supply chain, employee retention, costs associated with the implementation of our new ERP system and other Business Continuity Processes, costs associated with brand transition, and certain other costs to establish certain stand-alone functions to assist with the transition to being a stand-alone entity</w:t>
      </w:r>
    </w:p>
    <w:p>
      <w:pPr>
        <w:spacing w:after="0" w:line="8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related costs associated with the optimization of certain business functions as we transition to being a stand-alone entity;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and contract termination costs associated with the discontinued patch pump program;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recognized associated with the amortization of cloud computing arrangements.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Interest expense, net decreased by $1.1 million to $26.7 million for the three months ended March 31, 2025 as compared to $27.8 million for the three months ended March 31, 2024. Interest expense, net decreased by $0.9 million to $54.6 million for the six months ended March 31, 2025 as compared to $55.5 million for the six months ended March 31, 2024. The change for both periods was relatively flat. It remains unclear whether the United States Federal Reserve will increase or decrease the benchmark interest rate during the remainder of fiscal 2025. An increase in the benchmark interest rate would result in an increase in interest expense on our variable rate debt and a decrease in the benchmark interest rate would result in a decrease in interest expense on our variable rate debt.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income (expense), net, was $(0.4) million and $(1.5) million for the three months ended March 31, 2025 and 2024, respectively. Other income (expense), net was $(1.9) million and $(5.0) million for the six months ended March 31, 2025 and 2024, respectively. The costs incurred for the three and six month periods ended March 31, 2025 are primarily attributed to unfavorable impacts from foreign exchange. The costs incurred for the three and six month periods ended March 31, 2024, are primarily attributed to amounts due to BD for income taxes payable incurred in deferred jurisdictions where BD is considered the primary obligor. We do not expect to incur any additional amounts where BD is considered the primary obligor in the current fiscal year.</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 (benefit)</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tax rates were 34.4% and (191.9)% for the three months ended March 31, 2025 and 2024, respectively. The increase in the Company's effective tax rate compared to the prior period is primarily due to the absence of non-recurring tax benefits recognized in the prior period related to withholding taxes on undistributed foreign earnings and tax reserves, partially offset by favorable tax impacts primarily resulting from overall higher earnings reflected in the current period.</w:t>
      </w:r>
    </w:p>
    <w:p>
      <w:pPr>
        <w:spacing w:after="0" w:line="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effective tax rates were 33.0% and (102.5)% for the six months ended March 31, 2025 and 2024, respectively. The increase in the Company's effective tax rate compared to the prior period is primarily due to the absence of non-recurring tax benefits recognized in the prior period related to withholding taxes on undistributed foreign earnings, Swiss tax law changes and tax reserves, partially offset by favorable tax impacts primarily resulting from overall higher earnings reflected in the current period.</w:t>
      </w: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our cash and our cash equivalents and cash from operations, together with our borrowing capacity under our Revolving Credit Facility, will provide sufficient financial flexibility to fund seasonal and other working capital requirements, capital expenditures, debt service requirements and other obligations, cash dividends on common shares and additional growth opportunities for the foreseeable future. However, should it become necessary, we believe that our credit profile should provide us with access to additional financing in order to fund normal business operations, make interest payments, fund growth opportunities and satisfy upcoming debt maturities.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Embecta's total debt outstanding as of March 31,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Loan</w:t>
            </w: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841.5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5.00% Notes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500.0</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2B2A29"/>
              </w:rPr>
              <w:t xml:space="preserve">6.75% </w:t>
            </w:r>
            <w:r>
              <w:rPr>
                <w:rFonts w:ascii="Times New Roman" w:cs="Times New Roman" w:eastAsia="Times New Roman" w:hAnsi="Times New Roman"/>
                <w:sz w:val="16"/>
                <w:szCs w:val="16"/>
                <w:color w:val="000000"/>
              </w:rPr>
              <w:t>Notes</w:t>
            </w:r>
          </w:p>
        </w:tc>
        <w:tc>
          <w:tcPr>
            <w:tcW w:w="54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200.0</w:t>
            </w:r>
          </w:p>
        </w:tc>
      </w:tr>
      <w:tr>
        <w:trPr>
          <w:trHeight w:val="204"/>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principal debt issued</w:t>
            </w:r>
          </w:p>
        </w:tc>
        <w:tc>
          <w:tcPr>
            <w:tcW w:w="5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1,541.5</w:t>
            </w:r>
          </w:p>
        </w:tc>
      </w:tr>
      <w:tr>
        <w:trPr>
          <w:trHeight w:val="33"/>
        </w:trPr>
        <w:tc>
          <w:tcPr>
            <w:tcW w:w="9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3"/>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debt obligations</w:t>
            </w:r>
          </w:p>
        </w:tc>
        <w:tc>
          <w:tcPr>
            <w:tcW w:w="54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r>
      <w:tr>
        <w:trPr>
          <w:trHeight w:val="21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debt issuance costs and discounts</w:t>
            </w:r>
          </w:p>
        </w:tc>
        <w:tc>
          <w:tcPr>
            <w:tcW w:w="540" w:type="dxa"/>
            <w:vAlign w:val="bottom"/>
          </w:tcPr>
          <w:p>
            <w:pPr>
              <w:spacing w:after="0"/>
              <w:rPr>
                <w:sz w:val="18"/>
                <w:szCs w:val="18"/>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w:t>
            </w:r>
          </w:p>
        </w:tc>
      </w:tr>
      <w:tr>
        <w:trPr>
          <w:trHeight w:val="33"/>
        </w:trPr>
        <w:tc>
          <w:tcPr>
            <w:tcW w:w="96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1"/>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1,509.1</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 of principal payments required on long-term debt for the next five years and thereafter is as follows:</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508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50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833.3</w:t>
            </w:r>
          </w:p>
        </w:tc>
      </w:tr>
      <w:tr>
        <w:trPr>
          <w:trHeight w:val="210"/>
        </w:trPr>
        <w:tc>
          <w:tcPr>
            <w:tcW w:w="5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50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674.9</w:t>
            </w: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measures relating to our total debt outstanding as of March 31, 2025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w:t>
            </w:r>
          </w:p>
        </w:tc>
        <w:tc>
          <w:tcPr>
            <w:tcW w:w="380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1,518.6</w:t>
            </w:r>
          </w:p>
        </w:tc>
      </w:tr>
      <w:tr>
        <w:trPr>
          <w:trHeight w:val="148"/>
        </w:trPr>
        <w:tc>
          <w:tcPr>
            <w:tcW w:w="628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debt as a percentage of total debt</w:t>
            </w:r>
          </w:p>
        </w:tc>
        <w:tc>
          <w:tcPr>
            <w:tcW w:w="38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r>
      <w:tr>
        <w:trPr>
          <w:trHeight w:val="237"/>
        </w:trPr>
        <w:tc>
          <w:tcPr>
            <w:tcW w:w="6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cost of total debt</w:t>
            </w:r>
          </w:p>
        </w:tc>
        <w:tc>
          <w:tcPr>
            <w:tcW w:w="38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r>
    </w:tbl>
    <w:p>
      <w:pPr>
        <w:spacing w:after="0" w:line="19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credit agreement and the indentures for the 5.00% Notes and the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indentures governing the 5.00% Notes and the 6.75%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March 31, 2025, we were in compliance with all of such covenants. The credit agreement and the senior secured notes are secured by substantially all assets of Embecta and each subsidiary guarantor, subject to certain exceptions.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B2A29"/>
        </w:rPr>
        <w:t xml:space="preserve">During the </w:t>
      </w:r>
      <w:r>
        <w:rPr>
          <w:rFonts w:ascii="Times New Roman" w:cs="Times New Roman" w:eastAsia="Times New Roman" w:hAnsi="Times New Roman"/>
          <w:sz w:val="18"/>
          <w:szCs w:val="18"/>
          <w:color w:val="000000"/>
        </w:rPr>
        <w:t>six months ended</w:t>
      </w:r>
      <w:r>
        <w:rPr>
          <w:rFonts w:ascii="Times New Roman" w:cs="Times New Roman" w:eastAsia="Times New Roman" w:hAnsi="Times New Roman"/>
          <w:sz w:val="18"/>
          <w:szCs w:val="18"/>
          <w:color w:val="2B2A29"/>
        </w:rPr>
        <w:t xml:space="preserve"> March 31, 2025, the Company paid an aggregate principal amount of approximately </w:t>
      </w:r>
      <w:r>
        <w:rPr>
          <w:rFonts w:ascii="Times New Roman" w:cs="Times New Roman" w:eastAsia="Times New Roman" w:hAnsi="Times New Roman"/>
          <w:sz w:val="18"/>
          <w:szCs w:val="18"/>
          <w:color w:val="000000"/>
        </w:rPr>
        <w:t>$59.8 million</w:t>
      </w:r>
      <w:r>
        <w:rPr>
          <w:rFonts w:ascii="Times New Roman" w:cs="Times New Roman" w:eastAsia="Times New Roman" w:hAnsi="Times New Roman"/>
          <w:sz w:val="18"/>
          <w:szCs w:val="18"/>
          <w:color w:val="2B2A29"/>
        </w:rPr>
        <w:t xml:space="preserve"> on the Term Loan, of which </w:t>
      </w:r>
      <w:r>
        <w:rPr>
          <w:rFonts w:ascii="Times New Roman" w:cs="Times New Roman" w:eastAsia="Times New Roman" w:hAnsi="Times New Roman"/>
          <w:sz w:val="18"/>
          <w:szCs w:val="18"/>
          <w:color w:val="000000"/>
        </w:rPr>
        <w:t>$55.0 million</w:t>
      </w:r>
      <w:r>
        <w:rPr>
          <w:rFonts w:ascii="Times New Roman" w:cs="Times New Roman" w:eastAsia="Times New Roman" w:hAnsi="Times New Roman"/>
          <w:sz w:val="18"/>
          <w:szCs w:val="18"/>
          <w:color w:val="2B2A29"/>
        </w:rPr>
        <w:t xml:space="preserve"> was discretionary. Debt extinguishment charges as a result of this discretionary prepayment were not material to the Company's Condensed Consolidated Statements of Income.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During the six months ended </w:t>
      </w:r>
      <w:r>
        <w:rPr>
          <w:rFonts w:ascii="Times New Roman" w:cs="Times New Roman" w:eastAsia="Times New Roman" w:hAnsi="Times New Roman"/>
          <w:sz w:val="18"/>
          <w:szCs w:val="18"/>
          <w:color w:val="2B2A29"/>
        </w:rPr>
        <w:t>March 31, 2025</w:t>
      </w:r>
      <w:r>
        <w:rPr>
          <w:rFonts w:ascii="Times New Roman" w:cs="Times New Roman" w:eastAsia="Times New Roman" w:hAnsi="Times New Roman"/>
          <w:sz w:val="18"/>
          <w:szCs w:val="18"/>
          <w:color w:val="auto"/>
        </w:rPr>
        <w:t>, the Company made interest payments of $52.5 million on debt outstanding.</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may, from time to time, seek to retire or repurchase our outstanding debt through cash purchases and/or exchanges for equity or debt, in open-market purchase, or privately negotiated transactions, or otherwise may redeem some or all of our debt pursuant to its terms. Such repurchases or exchanges, if any, will depend upon various factors existing at the time, including prevailing market conditions, our liquidity requirements, contractual restrictions and other factors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there can be no assurance as to which, if any, of these alternatives, or combination thereof, we may choose to pursue in the future.</w:t>
      </w:r>
    </w:p>
    <w:p>
      <w:pPr>
        <w:spacing w:after="0" w:line="6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For additional information related to the Company's debt related activities, refer to Note 12 within the </w:t>
      </w:r>
      <w:r>
        <w:rPr>
          <w:rFonts w:ascii="Times New Roman" w:cs="Times New Roman" w:eastAsia="Times New Roman" w:hAnsi="Times New Roman"/>
          <w:sz w:val="18"/>
          <w:szCs w:val="18"/>
          <w:i w:val="1"/>
          <w:iCs w:val="1"/>
          <w:color w:val="auto"/>
        </w:rPr>
        <w:t>Notes to Condensed Consolidated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Statements </w:t>
      </w:r>
      <w:r>
        <w:rPr>
          <w:rFonts w:ascii="Times New Roman" w:cs="Times New Roman" w:eastAsia="Times New Roman" w:hAnsi="Times New Roman"/>
          <w:sz w:val="18"/>
          <w:szCs w:val="18"/>
          <w:color w:val="auto"/>
        </w:rPr>
        <w:t>within this Form 10-Q.</w:t>
      </w:r>
    </w:p>
    <w:p>
      <w:pPr>
        <w:spacing w:after="0" w:line="200" w:lineRule="exact"/>
        <w:rPr>
          <w:sz w:val="20"/>
          <w:szCs w:val="20"/>
          <w:color w:val="auto"/>
        </w:rPr>
      </w:pPr>
    </w:p>
    <w:p>
      <w:pPr>
        <w:spacing w:after="0" w:line="2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Maturities of our finance lease and operating lease liabilities as of March 31, 2025 by fiscal year are as follows:</w:t>
      </w: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180" w:type="dxa"/>
            <w:vAlign w:val="bottom"/>
          </w:tcPr>
          <w:p>
            <w:pPr>
              <w:spacing w:after="0"/>
              <w:rPr>
                <w:sz w:val="18"/>
                <w:szCs w:val="18"/>
                <w:color w:val="auto"/>
              </w:rPr>
            </w:pPr>
          </w:p>
        </w:tc>
        <w:tc>
          <w:tcPr>
            <w:tcW w:w="17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520" w:type="dxa"/>
            <w:vAlign w:val="bottom"/>
          </w:tcPr>
          <w:p>
            <w:pPr>
              <w:spacing w:after="0"/>
              <w:rPr>
                <w:sz w:val="18"/>
                <w:szCs w:val="18"/>
                <w:color w:val="auto"/>
              </w:rPr>
            </w:pPr>
          </w:p>
        </w:tc>
        <w:tc>
          <w:tcPr>
            <w:tcW w:w="1720" w:type="dxa"/>
            <w:vAlign w:val="bottom"/>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9"/>
        </w:trPr>
        <w:tc>
          <w:tcPr>
            <w:tcW w:w="41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2025</w:t>
            </w:r>
          </w:p>
        </w:tc>
        <w:tc>
          <w:tcPr>
            <w:tcW w:w="1760" w:type="dxa"/>
            <w:vAlign w:val="bottom"/>
            <w:tcBorders>
              <w:top w:val="single" w:sz="8" w:color="auto"/>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2026</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2027</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2028</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33"/>
        </w:trPr>
        <w:tc>
          <w:tcPr>
            <w:tcW w:w="4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3"/>
        </w:trPr>
        <w:tc>
          <w:tcPr>
            <w:tcW w:w="41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2029</w:t>
            </w:r>
          </w:p>
        </w:tc>
        <w:tc>
          <w:tcPr>
            <w:tcW w:w="176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r>
      <w:tr>
        <w:trPr>
          <w:trHeight w:val="210"/>
        </w:trPr>
        <w:tc>
          <w:tcPr>
            <w:tcW w:w="4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Thereafter</w:t>
            </w:r>
          </w:p>
        </w:tc>
        <w:tc>
          <w:tcPr>
            <w:tcW w:w="1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w:t>
            </w:r>
          </w:p>
        </w:tc>
      </w:tr>
      <w:tr>
        <w:trPr>
          <w:trHeight w:val="33"/>
        </w:trPr>
        <w:tc>
          <w:tcPr>
            <w:tcW w:w="418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17"/>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1760" w:type="dxa"/>
            <w:vAlign w:val="bottom"/>
            <w:tcBorders>
              <w:bottom w:val="single" w:sz="8" w:color="CCEEFF"/>
            </w:tcBorders>
            <w:shd w:val="clear" w:color="auto" w:fill="CCEEFF"/>
          </w:tcPr>
          <w:p>
            <w:pPr>
              <w:jc w:val="right"/>
              <w:ind w:right="157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w:t>
            </w:r>
          </w:p>
        </w:tc>
      </w:tr>
      <w:tr>
        <w:trPr>
          <w:trHeight w:val="20"/>
        </w:trPr>
        <w:tc>
          <w:tcPr>
            <w:tcW w:w="41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bl>
    <w:p>
      <w:pPr>
        <w:spacing w:after="0" w:line="155" w:lineRule="exact"/>
        <w:rPr>
          <w:sz w:val="20"/>
          <w:szCs w:val="20"/>
          <w:color w:val="auto"/>
        </w:rPr>
      </w:pPr>
    </w:p>
    <w:p>
      <w:pPr>
        <w:ind w:right="380"/>
        <w:spacing w:after="0" w:line="400"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leases, refer to Note 17 within the </w:t>
      </w:r>
      <w:r>
        <w:rPr>
          <w:rFonts w:ascii="Times New Roman" w:cs="Times New Roman" w:eastAsia="Times New Roman" w:hAnsi="Times New Roman"/>
          <w:sz w:val="18"/>
          <w:szCs w:val="18"/>
          <w:i w:val="1"/>
          <w:iCs w:val="1"/>
          <w:color w:val="auto"/>
        </w:rPr>
        <w:t>Notes to Condensed Consolidated Financial Statements</w:t>
      </w:r>
      <w:r>
        <w:rPr>
          <w:rFonts w:ascii="Times New Roman" w:cs="Times New Roman" w:eastAsia="Times New Roman" w:hAnsi="Times New Roman"/>
          <w:sz w:val="18"/>
          <w:szCs w:val="18"/>
          <w:color w:val="auto"/>
        </w:rPr>
        <w:t xml:space="preserve"> of this Form 10-Q. </w:t>
      </w:r>
      <w:r>
        <w:rPr>
          <w:rFonts w:ascii="Times New Roman" w:cs="Times New Roman" w:eastAsia="Times New Roman" w:hAnsi="Times New Roman"/>
          <w:sz w:val="18"/>
          <w:szCs w:val="18"/>
          <w:b w:val="1"/>
          <w:bCs w:val="1"/>
          <w:i w:val="1"/>
          <w:iCs w:val="1"/>
          <w:color w:val="auto"/>
        </w:rPr>
        <w:t>Factoring Agreements</w:t>
      </w:r>
    </w:p>
    <w:p>
      <w:pPr>
        <w:spacing w:after="0" w:line="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conjunction with the Separation, we entered into the Factoring Agreements with BD. Embecta owed BD a service fee calculated as 0.1% of annual revenues related to countries subject to the Factoring Agreements, in exchange for the services provided by BD pursuant to the Factoring Agreements.</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2024, all Factoring Agreements between Embecta and BD had expired and terminated as a result of our implementation and onboarding of certain Business Continuity Processes in North America, and certain jurisdictions in Europe and Asia.</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Access to Capital and Credit Ratings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2025 and June 2024, Moody’s Investor Services and Standard &amp; Poor’s Ratings Services published updates to our credit ratings. Our Moody's Investors Services credit rating is B1 and our Standard &amp; Poor's Rating Services credit rating is B+.</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equivalents and restricted cash were $212.3 million as of March 31, 2025 as compared to $274.2 million as of September 30,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uses of cash that contributed to the $61.9 million decrease were: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2024 Cash and equivalents and restricted cash balance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274.2</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for investing activities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for financing activities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equivalents and restricted cash</w:t>
            </w: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31, 2025 Cash and equivalents and restricted cash balance</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212.3</w:t>
            </w:r>
          </w:p>
        </w:tc>
      </w:tr>
      <w:tr>
        <w:trPr>
          <w:trHeight w:val="20"/>
        </w:trPr>
        <w:tc>
          <w:tcPr>
            <w:tcW w:w="9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operating activities was primarily attributable to:</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162"/>
        </w:trPr>
        <w:tc>
          <w:tcPr>
            <w:tcW w:w="96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Non-cash adjustments related to depreciation and amortization, impairment of property, plant and equipment, stock-based compensation, and</w:t>
            </w:r>
          </w:p>
        </w:tc>
        <w:tc>
          <w:tcPr>
            <w:tcW w:w="6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6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accounts payable and accrued expenses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trade receivables</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inventories</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amounts due from/due to Becton, Dickinson and Company</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prepaid expenses and other</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income and other net taxes payable</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other assets and liabilities, net</w:t>
            </w:r>
          </w:p>
        </w:tc>
        <w:tc>
          <w:tcPr>
            <w:tcW w:w="6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0" w:type="dxa"/>
            <w:vAlign w:val="bottom"/>
          </w:tcPr>
          <w:p>
            <w:pPr>
              <w:spacing w:after="0"/>
              <w:rPr>
                <w:sz w:val="1"/>
                <w:szCs w:val="1"/>
                <w:color w:val="auto"/>
              </w:rPr>
            </w:pPr>
          </w:p>
        </w:tc>
      </w:tr>
      <w:tr>
        <w:trPr>
          <w:trHeight w:val="212"/>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0" w:type="dxa"/>
            <w:vAlign w:val="bottom"/>
          </w:tcPr>
          <w:p>
            <w:pPr>
              <w:spacing w:after="0"/>
              <w:rPr>
                <w:sz w:val="1"/>
                <w:szCs w:val="1"/>
                <w:color w:val="auto"/>
              </w:rPr>
            </w:pPr>
          </w:p>
        </w:tc>
      </w:tr>
      <w:tr>
        <w:trPr>
          <w:trHeight w:val="20"/>
        </w:trPr>
        <w:tc>
          <w:tcPr>
            <w:tcW w:w="96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accounts payable and accrued expenses is primarily attributed to timing of payments to vendors and annual bonus payments.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trade receivables is primarily attributed to the timing of sales.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inventories is primarily attributed to actions taken to build inventory to support the execution of our brand transition program.</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 in amounts due from/due to Becton, Dickinson and Company is attributed to the timing of payments associated with certain agreements effectuated at Separation.</w:t>
      </w:r>
    </w:p>
    <w:p>
      <w:pPr>
        <w:spacing w:after="0" w:line="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change in prepaid expenses and other is primarily attributed to payments received from BD associated with the transfer of certain assets and liabilities related to the Diabetes Care Business in certain jurisdictions that closed in the first half of fiscal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income and other net taxes payable is primarily attributed to timing of required tax payments.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other assets and liabilities, net is primarily attributed to costs capitalized attributed to cloud computing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movements related to working capital were due to timing of payments and receipts of cash in the ordinary course of business.</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was comprised of capital expenditures of $1.6 million for the six months ended March 31, 2025 to support our business and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for financing activities was primarily attributable to:</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 payments</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3"/>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long-term debt</w:t>
            </w:r>
          </w:p>
        </w:tc>
        <w:tc>
          <w:tcPr>
            <w:tcW w:w="6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w:t>
            </w:r>
          </w:p>
        </w:tc>
      </w:tr>
      <w:tr>
        <w:trPr>
          <w:trHeight w:val="21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Payments related to tax withholding for stock-based compensation</w:t>
            </w:r>
          </w:p>
        </w:tc>
        <w:tc>
          <w:tcPr>
            <w:tcW w:w="6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Payments on finance lease</w:t>
            </w:r>
          </w:p>
        </w:tc>
        <w:tc>
          <w:tcPr>
            <w:tcW w:w="6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w:t>
            </w:r>
          </w:p>
        </w:tc>
      </w:tr>
      <w:tr>
        <w:trPr>
          <w:trHeight w:val="237"/>
        </w:trPr>
        <w:tc>
          <w:tcPr>
            <w:tcW w:w="9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contractual obligations as of March 31, 2025,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material costs associated with operating and maintaining our information technology infrastructure. Lease obligations include lease agreements for which a contract has been signed even if the lease has not yet commenced. Refer to "Item 7. Management's Discussion and Analysis of Financial Condition and Results of Operations" in the 2024 Form 10-K for further details. As of March 31, 2025, there have been no material changes to our contractual obligations outside the ordinary course of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significant accounting policies, which include management’s best estimates and judgments, are included in Note 3 to the Consolidated Financial Statements included in the 2024 Form 10-K. A discussion of accounting estimates considered critical because of the potential for a significant impact on the financial statements due to the inherent uncertainty in such estimates are disclosed in the Critical Accounting Policies section of Management’s Discussion and Analysis of Financial Condition and Results of Operations included in the 2024 Form 10-K. There have been no changes to our critical accounting policies as of March 31, 2025.</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This Quarterly Report on Form 10-Q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the Patch Pump Restructuring Plan, the 2025 Restructuring Plan, expectations related to the impact of incremental tariffs, brand transition, future product development, anticipated product and regulatory clearances, approvals, and launches,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w:t>
      </w:r>
    </w:p>
    <w:p>
      <w:pPr>
        <w:spacing w:after="0" w:line="81" w:lineRule="exact"/>
        <w:rPr>
          <w:sz w:val="20"/>
          <w:szCs w:val="20"/>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that could adversely affect Embecta’s operations, including adoption of new drug therapies for treatment of diabetes, new product introductions by Embecta’s competitors, the development of new technologies, lower cost producers that create pricing pressure, and consolidation resulting in companies with greater scale and market presence than Embecta.</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Embecta is unable to replace the services, including the Business Continuity Processes, that BD currently provides to it on substantially similar terms as the terms on which BD is providing these services under the transaction agreements or that BD terminates such services.</w:t>
      </w:r>
    </w:p>
    <w:p>
      <w:pPr>
        <w:spacing w:after="0" w:line="6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BD to perform its obligations under the various separation agreements entered into in connection with the Separation and distribution, including the cannula supply agreement.</w:t>
      </w:r>
    </w:p>
    <w:p>
      <w:pPr>
        <w:spacing w:after="0" w:line="4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events that adversely affect the sale or profitability of one of Embecta’s key products or the revenue delivered from sales to its key customers.</w:t>
      </w:r>
    </w:p>
    <w:p>
      <w:pPr>
        <w:spacing w:after="0" w:line="115" w:lineRule="exact"/>
        <w:rPr>
          <w:rFonts w:ascii="Times New Roman" w:cs="Times New Roman" w:eastAsia="Times New Roman" w:hAnsi="Times New Roman"/>
          <w:sz w:val="17"/>
          <w:szCs w:val="17"/>
          <w:color w:val="auto"/>
        </w:rPr>
      </w:pPr>
    </w:p>
    <w:p>
      <w:pPr>
        <w:jc w:val="both"/>
        <w:ind w:left="66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including costs incurred from the new tariffs instituted by the U.S. government and certain foreign governments on raw materials and products,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spacing w:after="0" w:line="82" w:lineRule="exact"/>
        <w:rPr>
          <w:rFonts w:ascii="Times New Roman" w:cs="Times New Roman" w:eastAsia="Times New Roman" w:hAnsi="Times New Roman"/>
          <w:sz w:val="18"/>
          <w:szCs w:val="18"/>
          <w:color w:val="auto"/>
        </w:rPr>
      </w:pPr>
    </w:p>
    <w:p>
      <w:pPr>
        <w:jc w:val="both"/>
        <w:ind w:left="660" w:right="140" w:hanging="328"/>
        <w:spacing w:after="0" w:line="25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as a result of the current global trade environment from the newly instituted tariffs, certain foreign governments, private purchasers and other customers in certain countries may consider transitioning away from products originating from certain countries (including the U.S.) in favor of buying “local” products.</w:t>
      </w:r>
    </w:p>
    <w:p>
      <w:pPr>
        <w:spacing w:after="0" w:line="82"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obtain clearance from the U.S. Food and Drug Administration of any product, to market and sell such products successfully, to anticipate the needs of people with diabetes, and future business decisions by Embecta and its competitors.</w:t>
      </w:r>
    </w:p>
    <w:p>
      <w:pPr>
        <w:spacing w:after="0" w:line="5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practices of governments or private payers or other cost containment measures.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financial impact resulting from unfavorable changes in foreign currency exchange rates, as well as regional, national and foreign economic factors, including inflation, deflation, and fluctuations in interest rates, and their potential effect on its operating performance.</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United States, federal laws and policy that could affect fiscal and tax policies, healthcare and international trade, including import and export regulation, tariffs and international trade agreements. In particular, tariffs or other trade barriers imposed by the United States or other countries could adversely impact its supply chain costs or otherwise adversely impact its results of operations.</w:t>
      </w:r>
    </w:p>
    <w:p>
      <w:pPr>
        <w:spacing w:after="0" w:line="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impact of pandemics or geopolitical instability on Embecta’s business, including disruptions in its operations and supply chains.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w:t>
      </w: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benefits of the Separation from BD.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indebtedness and our use of indebtedness available to us.</w:t>
      </w:r>
    </w:p>
    <w:p>
      <w:pPr>
        <w:spacing w:after="0" w:line="10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dis-synergy costs, costs of restructuring transactions and other costs incurred in connection with the Separation will exceed Embecta's estimates.</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Separation on Embecta's businesses and the risk that the Separation, including brand transition timelines and efforts, may be more difficult, time-consuming or costly than expected, the impact on its resources, systems, including ERP, procedures and controls, diversion of management’s attention and the impact on relationships with customers, suppliers, employees and other business counterparties.</w:t>
      </w:r>
    </w:p>
    <w:p>
      <w:pPr>
        <w:spacing w:after="0" w:line="6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Embecta’s ability to timely and successfully complete the brand transition, including any resulting regulatory delays of transferring or obtaining registrations and licenses in the “Embecta” name, interruptions in, or customer confusion from, the replacement and transfer of the rebranded product into the current commercialization, supply and distribution networks, or other issues arising out of system, supply chain logistics, administrative and adjudicative operations transitions in the end-to-end product flow and end-user access.</w:t>
      </w:r>
    </w:p>
    <w:p>
      <w:pPr>
        <w:spacing w:after="0" w:line="6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expectations related to the costs, profitability, timing and the estimated financial impact of, and charges associated with, the Patch Pump Program Restructuring Plan and the 2025 Restructuring Plan.</w:t>
      </w:r>
    </w:p>
    <w:p>
      <w:pPr>
        <w:spacing w:after="0" w:line="40"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we may not complete strategic collaborative partnerships and acquisition opportunities that enable us to accelerate our growth or strategic collaborative opportunities that give us access to innovative technologies, complementary product lines, and new markets.</w:t>
      </w:r>
    </w:p>
    <w:p>
      <w:pPr>
        <w:spacing w:after="0" w:line="67"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material weakness identified in our internal control over financial reporting and our ability to remediate such material weakness.</w:t>
      </w:r>
    </w:p>
    <w:p>
      <w:pPr>
        <w:spacing w:after="0" w:line="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“Risk Factors,” included within the 2024 Form 10-K.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in information reported since the filing of the 2024 Form 10-K except as follows: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w:t>
      </w: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15, </w:t>
      </w:r>
      <w:r>
        <w:rPr>
          <w:rFonts w:ascii="Times New Roman" w:cs="Times New Roman" w:eastAsia="Times New Roman" w:hAnsi="Times New Roman"/>
          <w:sz w:val="18"/>
          <w:szCs w:val="18"/>
          <w:i w:val="1"/>
          <w:iCs w:val="1"/>
          <w:color w:val="auto"/>
        </w:rPr>
        <w:t xml:space="preserve">Financial Instruments and Fair Value Measurements </w:t>
      </w:r>
      <w:r>
        <w:rPr>
          <w:rFonts w:ascii="Times New Roman" w:cs="Times New Roman" w:eastAsia="Times New Roman" w:hAnsi="Times New Roman"/>
          <w:sz w:val="18"/>
          <w:szCs w:val="18"/>
          <w:color w:val="auto"/>
        </w:rPr>
        <w:t>of the Notes to Condensed Consolidated Financial Statements for further information.</w:t>
      </w: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Consequently, foreign currency exchange contracts would not subject us to material risk due to exchange rate movements, because gains and losses on these contracts offset gains and losses on the assets, liabilities or transactions being hedged.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 Our interest rate risk relates primarily to our Term Loan. The interest rate is set at 300 basis points over SOFR, with a 0.50% SOFR floor.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outstanding borrowings at March 31, 2025, a 100 basis points change in interest rates would have impacted interest expense on the Term Loan by $8.5 million on an annualized basis. To the extent we borrow on our Revolving Credit Facility, we will be subject to risks related to changes in SOFR.</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design and operation of our disclosure controls and procedures (as defined in Rule 13a-15(e) under the Securities Exchange Act of 1934), as amended. Based upon that evaluation as of March 31, 2025, our Chief Executive Officer and Chief Financial Officer each concluded that, as of the end of such period, our disclosure controls and procedures were not effective due to the material weakness in our internal control over financial reporting, as described in Management's Report on Internal Control Over Financial Reporting in "Item 9A. Control and Procedures" in the Annual Report on Form 10-K for the year ended September 30, 2024.</w:t>
      </w:r>
    </w:p>
    <w:p>
      <w:pPr>
        <w:spacing w:after="0" w:line="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2022, the Company commenced the process of implementing a new ERP system and other Business Continuity Processes to replace the existing systems provided by BD. The ERP system is designed to accurately maintain the Company's financial records used to report operating results. The implementation of the ERP system and other Business Continuity Processes is highly complex and has occurred and will continue to occur in phases across our geographies. The implementations of North America, EMEA, Asia and Greater China were completed in phases within fiscal years 2023 and 2024. The Latin America implementation was completed in the first quarter of fiscal year 2025. The implementation for India is expected to be completed in the third quarter of fiscal year 2025, subject to the timely receipt of the required government and health authority approvals. A standardized internal control framework is implemented as the Company moves away from relying on BD’s systems and controls. Since the final phase has not been completed as of the date of this Quarterly Report on Form 10-Q, the Company continues to rely on certain processes and internal control over financial reporting performed by BD.</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Remediation Plan</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Upon the identification of the material weakness, management immediately effectuated a plan to remediate the design and operation of the related control activities. The execution of this plan is in progress and will continue through completion. Remediation activities in process include, but are not limited to the following actions:</w:t>
      </w:r>
    </w:p>
    <w:p>
      <w:pPr>
        <w:spacing w:after="0" w:line="8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design of processes and internal controls related to certain account reconciliations and certain analyses;</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executing a robust and formal training program regarding diligence in control performance and Sarbanes-Oxley Act requirements and emphasis of certain finance policies;</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enhanced oversight and governance over account reconciliations and certain financial analyses;</w:t>
      </w:r>
    </w:p>
    <w:p>
      <w:pPr>
        <w:spacing w:after="0" w:line="4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control documentation and design to include additional procedures regarding confirmation of the completeness and accuracy of data used to perform controls and the precision of control activities; and</w:t>
      </w:r>
    </w:p>
    <w:p>
      <w:pPr>
        <w:spacing w:after="0" w:line="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leveraging existing technology to develop enhanced reporting and to drive process efficiencies and automation.</w:t>
      </w:r>
    </w:p>
    <w:p>
      <w:pPr>
        <w:spacing w:after="0" w:line="10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is committed to remediating the material weakness. The ongoing actions are subject to management review, as well as oversight from the Audit Committee. When fully implemented and operational, the Company believes the measures described above will remediate the underlying cause of the material weakness and will strengthen the Company's internal control over financial reporting. However, the Company will not be able to fully remediate this material weakness until these steps have been completed and have been operating effectively for a sufficient period of time. The Company may also identify additional measures that may be required to remediate the material weakness in its internal control over financial reporting, necessitating further action. The Company will continue to build on the progress made in the remediation plan. A determination cannot be made on when the remediation plan will be fully completed, and the Company cannot provide any assurance that these remediation efforts will be successful or that internal control over financial reporting will be effective as a result of these efforts.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working towards executing the remediation plan to address the material weakness. However, none of these efforts have resulted in the remediation of the material weakness as of March 31, 2025. There have been no changes in internal control over financial reporting during the three months ended March 31, 2025, that have materially affected, or are reasonably likely to materially affect, our internal control over financial reporting.</w:t>
      </w:r>
    </w:p>
    <w:p>
      <w:pPr>
        <w:spacing w:after="0" w:line="3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Embecta’s risk factors from those described in “Risk Factors” included within the 2024 Form 10-K, except for the addition of the following risk factor:</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Trade actions, such as tariffs, retaliatory tariffs, and private or governmental “buy local” initiatives could adversely and unexpectedly impact our business.</w:t>
      </w:r>
    </w:p>
    <w:p>
      <w:pPr>
        <w:spacing w:after="0" w:line="1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Given that a significant amount of our raw materials, components and products are sold and distributed globally, the actions by the U.S. government or foreign governments could impact both the availability and cost of our products. Most notably, new tariffs are and could be levied on raw materials and products shipped to the U.S., and raw materials and products that originate from the U.S. and are distributed globally. For example, in April 2025, the new administration in the U.S. increased tariff rates, subject to evolving exemptions, on numerous products from a range of nations and has announced its intentions to potentially increase or decrease current tariffs, impose additional tariffs, and/or expand or reduce tariffs on raw materials and goods imported from various countries. While subject to future changes, in April 2025, imported steel from all countries globally were assigned a new tariff rate on top of any country or product specific rates and the U.S. imposed a universal baseline tariff rate on all imports globally, although steel products subject to these tariffs are currently exempted from the additional baseline tariff rate. China, Canada, Mexico and other countries have been assigned special additional rates, which are also subject to ongoing changes. As noted above, we export certain raw materials and products to other countries that have and may take future actions in response to these tariffs. For example, in March 2025, Canada imposed an additional surtax on certain U.S. goods. We also face uncertainty in the interpretation of new tariffs and their applicability, including with respect to customs valuation, product classification and country-of-origin determinations. Although we and our suppliers seek to comply with applicable customs laws and regulations, the application of rules regarding new tariffs can be subject to varying interpretations or future re-interpretations. It is possible that U.S. or other relevant authorities could, upon review or audit, disagree with the valuation, rules of origin or classification methods applied to certain products. Any such disagreement could result in the retroactive assessment of additional duties with interest, the imposition of penalties, or other enforcement actions without the ability to mitigate such penalties, thereby adversely affecting our operations or financial results. Furthermore, certain of our competitors may be better positioned than us to withstand or react to border taxes, tariffs or other restrictions on global trade and as a result, we may lose market share to such competitors. Finally, certain governmental and private purchasers have threatened to or may restrict the purchase of products from the U.S. in favor of “buying local,” which may impact the company’s products. We cannot control the duration or depth of any of the above such actions which may increase our product costs, reduce our margins, potentially decrease the competitiveness of our products, or result in loss of certain contracts. These actions could have a negative effect on our business, results of operations, or financial condition.</w:t>
      </w: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04"/>
        </w:trPr>
        <w:tc>
          <w:tcPr>
            <w:tcW w:w="1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9800" w:type="dxa"/>
            <w:vAlign w:val="bottom"/>
            <w:gridSpan w:val="5"/>
          </w:tcPr>
          <w:p>
            <w:pPr>
              <w:ind w:left="43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3"/>
        </w:trPr>
        <w:tc>
          <w:tcPr>
            <w:tcW w:w="1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45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tcPr>
          <w:p>
            <w:pPr>
              <w:spacing w:after="0"/>
              <w:rPr>
                <w:sz w:val="24"/>
                <w:szCs w:val="24"/>
                <w:color w:val="auto"/>
              </w:rPr>
            </w:pPr>
          </w:p>
        </w:tc>
        <w:tc>
          <w:tcPr>
            <w:tcW w:w="53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 Rule 13a–14(a)</w:t>
            </w:r>
          </w:p>
        </w:tc>
        <w:tc>
          <w:tcPr>
            <w:tcW w:w="4500" w:type="dxa"/>
            <w:vAlign w:val="bottom"/>
            <w:gridSpan w:val="3"/>
          </w:tcPr>
          <w:p>
            <w:pPr>
              <w:spacing w:after="0"/>
              <w:rPr>
                <w:sz w:val="24"/>
                <w:szCs w:val="24"/>
                <w:color w:val="auto"/>
              </w:rPr>
            </w:pPr>
          </w:p>
        </w:tc>
      </w:tr>
      <w:tr>
        <w:trPr>
          <w:trHeight w:val="50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SEC Rule 13a–14(a)</w:t>
            </w: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40" w:type="dxa"/>
            <w:vAlign w:val="bottom"/>
            <w:shd w:val="clear" w:color="auto" w:fill="0000FF"/>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50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Rule 13a–14(b) and Section 1350 of Chapter 63 of Title 18 of the U.S. Code</w:t>
            </w:r>
          </w:p>
        </w:tc>
      </w:tr>
      <w:tr>
        <w:trPr>
          <w:trHeight w:val="50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4"/>
                <w:szCs w:val="24"/>
                <w:color w:val="auto"/>
              </w:rPr>
            </w:pPr>
          </w:p>
        </w:tc>
        <w:tc>
          <w:tcPr>
            <w:tcW w:w="92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Rule 13a–14(b) and Section 1350 of Chapter 63 of Title 18 of the U.S. Code</w:t>
            </w:r>
          </w:p>
        </w:tc>
        <w:tc>
          <w:tcPr>
            <w:tcW w:w="4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r>
      <w:tr>
        <w:trPr>
          <w:trHeight w:val="52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materials from this report, formatted in iXBRL (Inline eXtensible Business Reporting Language): (i) the Condensed</w:t>
            </w:r>
          </w:p>
        </w:tc>
      </w:t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Consolidated Statements of Income, (ii) the Condensed Consolidated Statements of Comprehensive Income, (iii) the Condensed</w:t>
            </w:r>
          </w:p>
        </w:tc>
      </w:tr>
      <w:tr>
        <w:trPr>
          <w:trHeight w:val="203"/>
        </w:trPr>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0" w:type="dxa"/>
            <w:vAlign w:val="bottom"/>
            <w:gridSpan w:val="5"/>
          </w:tcPr>
          <w:p>
            <w:pPr>
              <w:spacing w:after="0" w:line="202" w:lineRule="exact"/>
              <w:rPr>
                <w:sz w:val="20"/>
                <w:szCs w:val="20"/>
                <w:color w:val="auto"/>
              </w:rPr>
            </w:pPr>
            <w:r>
              <w:rPr>
                <w:rFonts w:ascii="Times New Roman" w:cs="Times New Roman" w:eastAsia="Times New Roman" w:hAnsi="Times New Roman"/>
                <w:sz w:val="18"/>
                <w:szCs w:val="18"/>
                <w:color w:val="auto"/>
              </w:rPr>
              <w:t>Consolidated Balance Sheets, (iv) the Condensed Consolidated Statements of Equity, (v) the Condensed Consolidated Statements of</w:t>
            </w:r>
          </w:p>
        </w:tc>
      </w:tr>
      <w:tr>
        <w:trPr>
          <w:trHeight w:val="234"/>
        </w:trPr>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Cash Flows, and (vi) Notes to Condensed Consolidated Financial Statements.</w:t>
            </w:r>
          </w:p>
        </w:tc>
      </w:tr>
      <w:tr>
        <w:trPr>
          <w:trHeight w:val="52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9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52" w:lineRule="exact"/>
        <w:rPr>
          <w:sz w:val="20"/>
          <w:szCs w:val="20"/>
          <w:color w:val="auto"/>
        </w:rPr>
      </w:pPr>
    </w:p>
    <w:p>
      <w:pPr>
        <w:ind w:left="560" w:hanging="534"/>
        <w:spacing w:after="0"/>
        <w:tabs>
          <w:tab w:leader="none" w:pos="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50" w:lineRule="exact"/>
        <w:rPr>
          <w:sz w:val="20"/>
          <w:szCs w:val="20"/>
          <w:color w:val="auto"/>
        </w:rPr>
      </w:pPr>
    </w:p>
    <w:p>
      <w:pPr>
        <w:ind w:left="560" w:hanging="534"/>
        <w:spacing w:after="0"/>
        <w:tabs>
          <w:tab w:leader="none" w:pos="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Dollar amounts are in millions except per share amounts or as otherwise specified.</w:t>
      </w:r>
    </w:p>
    <w:p>
      <w:pPr>
        <w:ind w:left="10880"/>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137795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6"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EMBECTA CORP.</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Devdatt Kurdikar</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Devdatt Kurdikar</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Jacob Elguicze</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Jacob Elguicze</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57"/>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Anthony Roth</w:t>
            </w:r>
          </w:p>
        </w:tc>
      </w:tr>
      <w:tr>
        <w:trPr>
          <w:trHeight w:val="241"/>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Date: May 9, 2025</w:t>
            </w:r>
          </w:p>
        </w:tc>
        <w:tc>
          <w:tcPr>
            <w:tcW w:w="5380" w:type="dxa"/>
            <w:vAlign w:val="bottom"/>
            <w:tcBorders>
              <w:bottom w:val="single" w:sz="8" w:color="auto"/>
            </w:tcBorders>
          </w:tcPr>
          <w:p>
            <w:pPr>
              <w:spacing w:after="0"/>
              <w:rPr>
                <w:sz w:val="20"/>
                <w:szCs w:val="20"/>
                <w:color w:val="auto"/>
              </w:rPr>
            </w:pPr>
          </w:p>
        </w:tc>
      </w:tr>
      <w:tr>
        <w:trPr>
          <w:trHeight w:val="243"/>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Name: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Roth</w:t>
            </w:r>
          </w:p>
        </w:tc>
      </w:tr>
      <w:tr>
        <w:trPr>
          <w:trHeight w:val="257"/>
        </w:trPr>
        <w:tc>
          <w:tcPr>
            <w:tcW w:w="5840" w:type="dxa"/>
            <w:vAlign w:val="bottom"/>
          </w:tcPr>
          <w:p>
            <w:pPr>
              <w:ind w:left="494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Controller and Chief Accounting Officer</w:t>
            </w:r>
          </w:p>
        </w:tc>
      </w:tr>
      <w:tr>
        <w:trPr>
          <w:trHeight w:val="256"/>
        </w:trPr>
        <w:tc>
          <w:tcPr>
            <w:tcW w:w="5840" w:type="dxa"/>
            <w:vAlign w:val="bottom"/>
          </w:tcPr>
          <w:p>
            <w:pPr>
              <w:spacing w:after="0"/>
              <w:rPr>
                <w:sz w:val="22"/>
                <w:szCs w:val="22"/>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1240"/>
          </w:cols>
          <w:pgMar w:left="320" w:top="226"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Devdatt Kurdikar, certify that:</w:t>
      </w:r>
    </w:p>
    <w:p>
      <w:pPr>
        <w:spacing w:after="0" w:line="144"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8" w:lineRule="exact"/>
        <w:rPr>
          <w:rFonts w:ascii="Times New Roman" w:cs="Times New Roman" w:eastAsia="Times New Roman" w:hAnsi="Times New Roman"/>
          <w:sz w:val="18"/>
          <w:szCs w:val="18"/>
          <w:color w:val="auto"/>
        </w:rPr>
      </w:pPr>
    </w:p>
    <w:p>
      <w:pPr>
        <w:ind w:left="660" w:right="60" w:hanging="328"/>
        <w:spacing w:after="0" w:line="242"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8"/>
          <w:szCs w:val="18"/>
          <w:color w:val="auto"/>
        </w:rPr>
      </w:pPr>
    </w:p>
    <w:p>
      <w:pPr>
        <w:jc w:val="both"/>
        <w:ind w:left="660" w:right="860" w:hanging="328"/>
        <w:spacing w:after="0" w:line="296" w:lineRule="auto"/>
        <w:tabs>
          <w:tab w:leader="none" w:pos="65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7"/>
          <w:szCs w:val="17"/>
          <w:color w:val="auto"/>
        </w:rPr>
      </w:pPr>
    </w:p>
    <w:p>
      <w:pPr>
        <w:ind w:left="660" w:right="80" w:hanging="328"/>
        <w:spacing w:after="0" w:line="258"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1" w:lineRule="exact"/>
        <w:rPr>
          <w:rFonts w:ascii="Times New Roman" w:cs="Times New Roman" w:eastAsia="Times New Roman" w:hAnsi="Times New Roman"/>
          <w:sz w:val="18"/>
          <w:szCs w:val="18"/>
          <w:color w:val="auto"/>
        </w:rPr>
      </w:pPr>
    </w:p>
    <w:p>
      <w:pPr>
        <w:ind w:left="340" w:right="1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0"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Jacob Elguicze, certify that:</w:t>
      </w:r>
    </w:p>
    <w:p>
      <w:pPr>
        <w:spacing w:after="0" w:line="144"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Embecta Corp.;</w:t>
      </w:r>
    </w:p>
    <w:p>
      <w:pPr>
        <w:spacing w:after="0" w:line="144" w:lineRule="exact"/>
        <w:rPr>
          <w:rFonts w:ascii="Times New Roman" w:cs="Times New Roman" w:eastAsia="Times New Roman" w:hAnsi="Times New Roman"/>
          <w:sz w:val="18"/>
          <w:szCs w:val="18"/>
          <w:color w:val="auto"/>
        </w:rPr>
      </w:pPr>
    </w:p>
    <w:p>
      <w:pPr>
        <w:jc w:val="both"/>
        <w:ind w:left="340" w:right="44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340" w:right="20" w:hanging="332"/>
        <w:spacing w:after="0" w:line="24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8"/>
          <w:szCs w:val="18"/>
          <w:color w:val="auto"/>
        </w:rPr>
      </w:pPr>
    </w:p>
    <w:p>
      <w:pPr>
        <w:ind w:left="660" w:right="380" w:hanging="328"/>
        <w:spacing w:after="0" w:line="258" w:lineRule="auto"/>
        <w:tabs>
          <w:tab w:leader="none" w:pos="6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1"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8" w:lineRule="exact"/>
        <w:rPr>
          <w:rFonts w:ascii="Times New Roman" w:cs="Times New Roman" w:eastAsia="Times New Roman" w:hAnsi="Times New Roman"/>
          <w:sz w:val="17"/>
          <w:szCs w:val="17"/>
          <w:color w:val="auto"/>
        </w:rPr>
      </w:pPr>
    </w:p>
    <w:p>
      <w:pPr>
        <w:ind w:left="660" w:right="80" w:hanging="328"/>
        <w:spacing w:after="0" w:line="250"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0"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March 31, 2025 as filed with the Securities and Exchange Commission (the “Report”),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Devdatt Kurdikar, the Chief Executive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25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Devdatt Kurdikar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17145</wp:posOffset>
            </wp:positionV>
            <wp:extent cx="28543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Devdatt Kurdikar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92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108"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Pursuant to 18 U.S.C. Section 1350, in connection with the Quarterly Report on Form 10-Q of Embecta Corp. for the quarter ended March 31, 2025 as filed with the Securities and Exchange Commission (the “Report”),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Jacob Elguicze, the Chief Financial Officer of Embecta Corp., certify that, to the best of my knowledge:</w:t>
      </w:r>
    </w:p>
    <w:p>
      <w:pPr>
        <w:spacing w:after="0" w:line="131"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Report fully complies with the requirements of Section 13(a) or 15(d) of the Securities Exchange Act of 1934; and</w:t>
      </w:r>
    </w:p>
    <w:p>
      <w:pPr>
        <w:spacing w:after="0" w:line="10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2025</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26035</wp:posOffset>
            </wp:positionV>
            <wp:extent cx="285432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4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Jacob Elguicze</w:t>
      </w:r>
    </w:p>
    <w:p>
      <w:pPr>
        <w:spacing w:after="0" w:line="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lowerLetter"/>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2025-05-09T10:54:30Z</dcterms:created>
  <dcterms:modified xsi:type="dcterms:W3CDTF">2025-05-09T10:54:30Z</dcterms:modified>
</cp:coreProperties>
</file>