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U</w:t>
      </w:r>
      <w:r>
        <w:rPr>
          <w:rFonts w:ascii="Times New Roman" w:cs="Times New Roman" w:eastAsia="Times New Roman" w:hAnsi="Times New Roman"/>
          <w:sz w:val="14"/>
          <w:szCs w:val="14"/>
          <w:b w:val="1"/>
          <w:bCs w:val="1"/>
          <w:color w:val="auto"/>
        </w:rPr>
        <w:t>nited</w:t>
      </w:r>
      <w:r>
        <w:rPr>
          <w:rFonts w:ascii="Times New Roman" w:cs="Times New Roman" w:eastAsia="Times New Roman" w:hAnsi="Times New Roman"/>
          <w:sz w:val="22"/>
          <w:szCs w:val="22"/>
          <w:b w:val="1"/>
          <w:bCs w:val="1"/>
          <w:color w:val="auto"/>
        </w:rPr>
        <w:t xml:space="preserve"> S</w:t>
      </w:r>
      <w:r>
        <w:rPr>
          <w:rFonts w:ascii="Times New Roman" w:cs="Times New Roman" w:eastAsia="Times New Roman" w:hAnsi="Times New Roman"/>
          <w:sz w:val="14"/>
          <w:szCs w:val="14"/>
          <w:b w:val="1"/>
          <w:bCs w:val="1"/>
          <w:color w:val="auto"/>
        </w:rPr>
        <w:t>tates</w:t>
      </w:r>
    </w:p>
    <w:p>
      <w:pPr>
        <w:spacing w:after="0" w:line="8"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w:t>
      </w:r>
      <w:r>
        <w:rPr>
          <w:rFonts w:ascii="Times New Roman" w:cs="Times New Roman" w:eastAsia="Times New Roman" w:hAnsi="Times New Roman"/>
          <w:sz w:val="14"/>
          <w:szCs w:val="14"/>
          <w:b w:val="1"/>
          <w:bCs w:val="1"/>
          <w:color w:val="auto"/>
        </w:rPr>
        <w:t>ecurities and</w:t>
      </w:r>
      <w:r>
        <w:rPr>
          <w:rFonts w:ascii="Times New Roman" w:cs="Times New Roman" w:eastAsia="Times New Roman" w:hAnsi="Times New Roman"/>
          <w:sz w:val="22"/>
          <w:szCs w:val="22"/>
          <w:b w:val="1"/>
          <w:bCs w:val="1"/>
          <w:color w:val="auto"/>
        </w:rPr>
        <w:t xml:space="preserve"> E</w:t>
      </w:r>
      <w:r>
        <w:rPr>
          <w:rFonts w:ascii="Times New Roman" w:cs="Times New Roman" w:eastAsia="Times New Roman" w:hAnsi="Times New Roman"/>
          <w:sz w:val="14"/>
          <w:szCs w:val="14"/>
          <w:b w:val="1"/>
          <w:bCs w:val="1"/>
          <w:color w:val="auto"/>
        </w:rPr>
        <w:t>xchange</w:t>
      </w:r>
      <w:r>
        <w:rPr>
          <w:rFonts w:ascii="Times New Roman" w:cs="Times New Roman" w:eastAsia="Times New Roman" w:hAnsi="Times New Roman"/>
          <w:sz w:val="22"/>
          <w:szCs w:val="22"/>
          <w:b w:val="1"/>
          <w:bCs w:val="1"/>
          <w:color w:val="auto"/>
        </w:rPr>
        <w:t xml:space="preserve"> C</w:t>
      </w:r>
      <w:r>
        <w:rPr>
          <w:rFonts w:ascii="Times New Roman" w:cs="Times New Roman" w:eastAsia="Times New Roman" w:hAnsi="Times New Roman"/>
          <w:sz w:val="14"/>
          <w:szCs w:val="14"/>
          <w:b w:val="1"/>
          <w:bCs w:val="1"/>
          <w:color w:val="auto"/>
        </w:rPr>
        <w:t>ommission</w:t>
      </w: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W</w:t>
      </w:r>
      <w:r>
        <w:rPr>
          <w:rFonts w:ascii="Times New Roman" w:cs="Times New Roman" w:eastAsia="Times New Roman" w:hAnsi="Times New Roman"/>
          <w:sz w:val="14"/>
          <w:szCs w:val="14"/>
          <w:b w:val="1"/>
          <w:bCs w:val="1"/>
          <w:color w:val="auto"/>
        </w:rPr>
        <w:t>ashington</w:t>
      </w:r>
      <w:r>
        <w:rPr>
          <w:rFonts w:ascii="Times New Roman" w:cs="Times New Roman" w:eastAsia="Times New Roman" w:hAnsi="Times New Roman"/>
          <w:sz w:val="22"/>
          <w:szCs w:val="22"/>
          <w:b w:val="1"/>
          <w:bCs w:val="1"/>
          <w:color w:val="auto"/>
        </w:rPr>
        <w:t>, D.C. 20549</w:t>
      </w:r>
    </w:p>
    <w:p>
      <w:pPr>
        <w:spacing w:after="0" w:line="394"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22"/>
          <w:szCs w:val="22"/>
          <w:b w:val="1"/>
          <w:bCs w:val="1"/>
          <w:color w:val="auto"/>
        </w:rPr>
        <w:t>SCHEDULE 13G</w:t>
      </w:r>
    </w:p>
    <w:p>
      <w:pPr>
        <w:spacing w:after="0" w:line="21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Under the Securities Exchange Act of 1934</w:t>
      </w:r>
    </w:p>
    <w:p>
      <w:pPr>
        <w:spacing w:after="0" w:line="225"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(Amendment No. 1)*</w:t>
      </w:r>
    </w:p>
    <w:p>
      <w:pPr>
        <w:spacing w:after="0" w:line="200" w:lineRule="exact"/>
        <w:rPr>
          <w:sz w:val="24"/>
          <w:szCs w:val="24"/>
          <w:color w:val="auto"/>
        </w:rPr>
      </w:pPr>
    </w:p>
    <w:p>
      <w:pPr>
        <w:spacing w:after="0" w:line="200" w:lineRule="exact"/>
        <w:rPr>
          <w:sz w:val="24"/>
          <w:szCs w:val="24"/>
          <w:color w:val="auto"/>
        </w:rPr>
      </w:pPr>
    </w:p>
    <w:p>
      <w:pPr>
        <w:spacing w:after="0" w:line="257"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EMBECTA CORP.</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(Name of Issuer)</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(Title of Class of Securities)</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29082K105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(CUSIP Number)</w:t>
      </w:r>
    </w:p>
    <w:p>
      <w:pPr>
        <w:spacing w:after="0" w:line="200" w:lineRule="exact"/>
        <w:rPr>
          <w:sz w:val="24"/>
          <w:szCs w:val="24"/>
          <w:color w:val="auto"/>
        </w:rPr>
      </w:pPr>
    </w:p>
    <w:p>
      <w:pPr>
        <w:spacing w:after="0" w:line="241"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NOVEMBER 30, 2023</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19685</wp:posOffset>
            </wp:positionV>
            <wp:extent cx="7132320" cy="1714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(Date of Event Which Requires Filing of this Statement)</w:t>
      </w:r>
    </w:p>
    <w:p>
      <w:pPr>
        <w:spacing w:after="0" w:line="200" w:lineRule="exact"/>
        <w:rPr>
          <w:sz w:val="24"/>
          <w:szCs w:val="24"/>
          <w:color w:val="auto"/>
        </w:rPr>
      </w:pPr>
    </w:p>
    <w:p>
      <w:pPr>
        <w:spacing w:after="0" w:line="200" w:lineRule="exact"/>
        <w:rPr>
          <w:sz w:val="24"/>
          <w:szCs w:val="24"/>
          <w:color w:val="auto"/>
        </w:rPr>
      </w:pPr>
    </w:p>
    <w:p>
      <w:pPr>
        <w:spacing w:after="0" w:line="261"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Check the appropriate box to designate the rule pursuant to which this Schedule is filed:</w:t>
      </w:r>
    </w:p>
    <w:p>
      <w:pPr>
        <w:spacing w:after="0" w:line="225" w:lineRule="exact"/>
        <w:rPr>
          <w:sz w:val="24"/>
          <w:szCs w:val="24"/>
          <w:color w:val="auto"/>
        </w:rPr>
      </w:pPr>
    </w:p>
    <w:tbl>
      <w:tblPr>
        <w:tblLayout w:type="fixed"/>
        <w:tblInd w:w="0" w:type="dxa"/>
        <w:tblCellMar>
          <w:top w:w="0" w:type="dxa"/>
          <w:left w:w="0" w:type="dxa"/>
          <w:bottom w:w="0" w:type="dxa"/>
          <w:right w:w="0" w:type="dxa"/>
        </w:tblCellMar>
      </w:tblPr>
      <w:tr>
        <w:trPr>
          <w:trHeight w:val="216"/>
        </w:trPr>
        <w:tc>
          <w:tcPr>
            <w:tcW w:w="700" w:type="dxa"/>
            <w:vAlign w:val="bottom"/>
            <w:gridSpan w:val="2"/>
          </w:tcPr>
          <w:p>
            <w:pPr>
              <w:spacing w:after="0"/>
              <w:rPr>
                <w:sz w:val="20"/>
                <w:szCs w:val="20"/>
                <w:color w:val="auto"/>
              </w:rPr>
            </w:pPr>
            <w:r>
              <w:rPr>
                <w:rFonts w:ascii="Times New Roman" w:cs="Times New Roman" w:eastAsia="Times New Roman" w:hAnsi="Times New Roman"/>
                <w:sz w:val="18"/>
                <w:szCs w:val="18"/>
                <w:color w:val="auto"/>
              </w:rPr>
              <w:t>[ X ]</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Rule 13d-1(b)</w:t>
            </w:r>
          </w:p>
        </w:tc>
      </w:tr>
      <w:tr>
        <w:trPr>
          <w:trHeight w:val="216"/>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9"/>
              </w:rPr>
              <w:t>Rule 13d-1(c)</w:t>
            </w:r>
          </w:p>
        </w:tc>
      </w:tr>
      <w:tr>
        <w:trPr>
          <w:trHeight w:val="234"/>
        </w:trPr>
        <w:tc>
          <w:tcPr>
            <w:tcW w:w="180" w:type="dxa"/>
            <w:vAlign w:val="bottom"/>
          </w:tcPr>
          <w:p>
            <w:pPr>
              <w:spacing w:after="0"/>
              <w:rPr>
                <w:sz w:val="20"/>
                <w:szCs w:val="20"/>
                <w:color w:val="auto"/>
              </w:rPr>
            </w:pPr>
            <w:r>
              <w:rPr>
                <w:rFonts w:ascii="Times New Roman" w:cs="Times New Roman" w:eastAsia="Times New Roman" w:hAnsi="Times New Roman"/>
                <w:sz w:val="18"/>
                <w:szCs w:val="18"/>
                <w:color w:val="auto"/>
              </w:rPr>
              <w:t>[</w:t>
            </w:r>
          </w:p>
        </w:tc>
        <w:tc>
          <w:tcPr>
            <w:tcW w:w="520" w:type="dxa"/>
            <w:vAlign w:val="bottom"/>
          </w:tcPr>
          <w:p>
            <w:pPr>
              <w:jc w:val="right"/>
              <w:ind w:right="250"/>
              <w:spacing w:after="0"/>
              <w:rPr>
                <w:sz w:val="20"/>
                <w:szCs w:val="20"/>
                <w:color w:val="auto"/>
              </w:rPr>
            </w:pPr>
            <w:r>
              <w:rPr>
                <w:rFonts w:ascii="Times New Roman" w:cs="Times New Roman" w:eastAsia="Times New Roman" w:hAnsi="Times New Roman"/>
                <w:sz w:val="18"/>
                <w:szCs w:val="18"/>
                <w:color w:val="auto"/>
              </w:rPr>
              <w:t>]</w:t>
            </w:r>
          </w:p>
        </w:tc>
        <w:tc>
          <w:tcPr>
            <w:tcW w:w="1380" w:type="dxa"/>
            <w:vAlign w:val="bottom"/>
          </w:tcPr>
          <w:p>
            <w:pPr>
              <w:ind w:left="360"/>
              <w:spacing w:after="0"/>
              <w:rPr>
                <w:sz w:val="20"/>
                <w:szCs w:val="20"/>
                <w:color w:val="auto"/>
              </w:rPr>
            </w:pPr>
            <w:r>
              <w:rPr>
                <w:rFonts w:ascii="Times New Roman" w:cs="Times New Roman" w:eastAsia="Times New Roman" w:hAnsi="Times New Roman"/>
                <w:sz w:val="18"/>
                <w:szCs w:val="18"/>
                <w:color w:val="auto"/>
                <w:w w:val="98"/>
              </w:rPr>
              <w:t>Rule 13d-1(d)</w:t>
            </w:r>
          </w:p>
        </w:tc>
      </w:tr>
    </w:tbl>
    <w:p>
      <w:pPr>
        <w:spacing w:after="0" w:line="200" w:lineRule="exact"/>
        <w:rPr>
          <w:sz w:val="24"/>
          <w:szCs w:val="24"/>
          <w:color w:val="auto"/>
        </w:rPr>
      </w:pPr>
    </w:p>
    <w:p>
      <w:pPr>
        <w:spacing w:after="0" w:line="214" w:lineRule="exact"/>
        <w:rPr>
          <w:sz w:val="24"/>
          <w:szCs w:val="24"/>
          <w:color w:val="auto"/>
        </w:rPr>
      </w:pPr>
    </w:p>
    <w:p>
      <w:pPr>
        <w:spacing w:after="0" w:line="282" w:lineRule="auto"/>
        <w:rPr>
          <w:sz w:val="20"/>
          <w:szCs w:val="20"/>
          <w:color w:val="auto"/>
        </w:rPr>
      </w:pPr>
      <w:r>
        <w:rPr>
          <w:rFonts w:ascii="Times New Roman" w:cs="Times New Roman" w:eastAsia="Times New Roman" w:hAnsi="Times New Roman"/>
          <w:sz w:val="18"/>
          <w:szCs w:val="18"/>
          <w:color w:val="auto"/>
        </w:rPr>
        <w:t>*The remainder of this cover page shall be filled out for a reporting person’s initial filing on this form with respect to the subject class of securities, and for any subsequent amendment containing information which would alter the disclosures provided in a prior cover page.</w:t>
      </w:r>
    </w:p>
    <w:p>
      <w:pPr>
        <w:spacing w:after="0" w:line="162" w:lineRule="exact"/>
        <w:rPr>
          <w:sz w:val="24"/>
          <w:szCs w:val="24"/>
          <w:color w:val="auto"/>
        </w:rPr>
      </w:pPr>
    </w:p>
    <w:p>
      <w:pPr>
        <w:ind w:right="120"/>
        <w:spacing w:after="0" w:line="266" w:lineRule="auto"/>
        <w:rPr>
          <w:sz w:val="20"/>
          <w:szCs w:val="20"/>
          <w:color w:val="auto"/>
        </w:rPr>
      </w:pPr>
      <w:r>
        <w:rPr>
          <w:rFonts w:ascii="Times New Roman" w:cs="Times New Roman" w:eastAsia="Times New Roman" w:hAnsi="Times New Roman"/>
          <w:sz w:val="18"/>
          <w:szCs w:val="18"/>
          <w:color w:val="auto"/>
        </w:rPr>
        <w:t>The information required in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w:t>
      </w:r>
    </w:p>
    <w:p>
      <w:pPr>
        <w:spacing w:after="0" w:line="172" w:lineRule="exact"/>
        <w:rPr>
          <w:sz w:val="24"/>
          <w:szCs w:val="24"/>
          <w:color w:val="auto"/>
        </w:rPr>
      </w:pPr>
    </w:p>
    <w:p>
      <w:pPr>
        <w:jc w:val="center"/>
        <w:ind w:right="-79"/>
        <w:spacing w:after="0"/>
        <w:rPr>
          <w:sz w:val="20"/>
          <w:szCs w:val="20"/>
          <w:color w:val="auto"/>
        </w:rPr>
      </w:pPr>
      <w:r>
        <w:rPr>
          <w:rFonts w:ascii="Times New Roman" w:cs="Times New Roman" w:eastAsia="Times New Roman" w:hAnsi="Times New Roman"/>
          <w:sz w:val="18"/>
          <w:szCs w:val="18"/>
          <w:b w:val="1"/>
          <w:bCs w:val="1"/>
          <w:color w:val="auto"/>
        </w:rPr>
        <w:t>Page 1 of 9 Pages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80"/>
          </w:cols>
          <w:pgMar w:left="320" w:top="432" w:right="399" w:bottom="1440" w:gutter="0" w:footer="0" w:header="0"/>
        </w:sectPr>
      </w:pPr>
    </w:p>
    <w:bookmarkStart w:id="1" w:name="page2"/>
    <w:bookmarkEnd w:id="1"/>
    <w:p>
      <w:pPr>
        <w:spacing w:after="0"/>
        <w:rPr>
          <w:sz w:val="20"/>
          <w:szCs w:val="20"/>
          <w:color w:val="auto"/>
        </w:rPr>
      </w:pPr>
      <w:r>
        <w:rPr>
          <w:rFonts w:ascii="Times New Roman" w:cs="Times New Roman" w:eastAsia="Times New Roman" w:hAnsi="Times New Roman"/>
          <w:sz w:val="18"/>
          <w:szCs w:val="18"/>
          <w:b w:val="1"/>
          <w:bCs w:val="1"/>
          <w:color w:val="auto"/>
        </w:rPr>
        <w:t>CUSIP No. 29082K105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680" w:hanging="402"/>
        <w:spacing w:after="0"/>
        <w:tabs>
          <w:tab w:leader="none" w:pos="6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Names of Reporting Persons</w:t>
      </w:r>
    </w:p>
    <w:p>
      <w:pPr>
        <w:spacing w:after="0" w:line="229" w:lineRule="exact"/>
        <w:rPr>
          <w:rFonts w:ascii="Times New Roman" w:cs="Times New Roman" w:eastAsia="Times New Roman" w:hAnsi="Times New Roman"/>
          <w:sz w:val="18"/>
          <w:szCs w:val="18"/>
          <w:b w:val="1"/>
          <w:bCs w:val="1"/>
          <w:color w:val="auto"/>
        </w:rPr>
      </w:pPr>
    </w:p>
    <w:p>
      <w:pPr>
        <w:ind w:left="6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American Century Capital Portfolios, Inc.</w:t>
      </w:r>
    </w:p>
    <w:p>
      <w:pPr>
        <w:spacing w:after="0" w:line="200" w:lineRule="exact"/>
        <w:rPr>
          <w:rFonts w:ascii="Times New Roman" w:cs="Times New Roman" w:eastAsia="Times New Roman" w:hAnsi="Times New Roman"/>
          <w:sz w:val="18"/>
          <w:szCs w:val="18"/>
          <w:b w:val="1"/>
          <w:bCs w:val="1"/>
          <w:color w:val="auto"/>
        </w:rPr>
      </w:pPr>
    </w:p>
    <w:p>
      <w:pPr>
        <w:spacing w:after="0" w:line="264" w:lineRule="exact"/>
        <w:rPr>
          <w:rFonts w:ascii="Times New Roman" w:cs="Times New Roman" w:eastAsia="Times New Roman" w:hAnsi="Times New Roman"/>
          <w:sz w:val="18"/>
          <w:szCs w:val="18"/>
          <w:b w:val="1"/>
          <w:bCs w:val="1"/>
          <w:color w:val="auto"/>
        </w:rPr>
      </w:pPr>
    </w:p>
    <w:p>
      <w:pPr>
        <w:ind w:left="680" w:hanging="402"/>
        <w:spacing w:after="0"/>
        <w:tabs>
          <w:tab w:leader="none" w:pos="6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29" w:lineRule="exact"/>
        <w:rPr>
          <w:rFonts w:ascii="Times New Roman" w:cs="Times New Roman" w:eastAsia="Times New Roman" w:hAnsi="Times New Roman"/>
          <w:sz w:val="18"/>
          <w:szCs w:val="18"/>
          <w:b w:val="1"/>
          <w:bCs w:val="1"/>
          <w:color w:val="auto"/>
        </w:rPr>
      </w:pPr>
    </w:p>
    <w:p>
      <w:pPr>
        <w:ind w:left="1260" w:hanging="393"/>
        <w:spacing w:after="0"/>
        <w:tabs>
          <w:tab w:leader="none" w:pos="12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color w:val="auto"/>
        </w:rPr>
      </w:pPr>
    </w:p>
    <w:p>
      <w:pPr>
        <w:ind w:left="1260" w:hanging="398"/>
        <w:spacing w:after="0"/>
        <w:tabs>
          <w:tab w:leader="none" w:pos="1260" w:val="left"/>
        </w:tabs>
        <w:numPr>
          <w:ilvl w:val="1"/>
          <w:numId w:val="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680" w:hanging="402"/>
        <w:spacing w:after="0"/>
        <w:tabs>
          <w:tab w:leader="none" w:pos="6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84" w:lineRule="exact"/>
        <w:rPr>
          <w:rFonts w:ascii="Times New Roman" w:cs="Times New Roman" w:eastAsia="Times New Roman" w:hAnsi="Times New Roman"/>
          <w:sz w:val="18"/>
          <w:szCs w:val="18"/>
          <w:b w:val="1"/>
          <w:bCs w:val="1"/>
          <w:color w:val="auto"/>
        </w:rPr>
      </w:pPr>
    </w:p>
    <w:p>
      <w:pPr>
        <w:ind w:left="680" w:right="7760" w:hanging="402"/>
        <w:spacing w:after="0" w:line="537" w:lineRule="auto"/>
        <w:tabs>
          <w:tab w:leader="none" w:pos="680" w:val="left"/>
        </w:tabs>
        <w:numPr>
          <w:ilvl w:val="0"/>
          <w:numId w:val="1"/>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Maryland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71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714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714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2160" w:type="dxa"/>
            <w:vAlign w:val="bottom"/>
          </w:tcPr>
          <w:p>
            <w:pPr>
              <w:spacing w:after="0"/>
              <w:rPr>
                <w:sz w:val="20"/>
                <w:szCs w:val="20"/>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5.</w:t>
            </w: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2,039,405</w:t>
            </w:r>
          </w:p>
        </w:tc>
        <w:tc>
          <w:tcPr>
            <w:tcW w:w="0" w:type="dxa"/>
            <w:vAlign w:val="bottom"/>
          </w:tcPr>
          <w:p>
            <w:pPr>
              <w:spacing w:after="0"/>
              <w:rPr>
                <w:sz w:val="1"/>
                <w:szCs w:val="1"/>
                <w:color w:val="auto"/>
              </w:rPr>
            </w:pPr>
          </w:p>
        </w:tc>
      </w:tr>
      <w:tr>
        <w:trPr>
          <w:trHeight w:val="223"/>
        </w:trPr>
        <w:tc>
          <w:tcPr>
            <w:tcW w:w="216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700" w:type="dxa"/>
            <w:vAlign w:val="bottom"/>
            <w:tcBorders>
              <w:bottom w:val="single" w:sz="8" w:color="auto"/>
            </w:tcBorders>
          </w:tcPr>
          <w:p>
            <w:pPr>
              <w:spacing w:after="0"/>
              <w:rPr>
                <w:sz w:val="19"/>
                <w:szCs w:val="19"/>
                <w:color w:val="auto"/>
              </w:rPr>
            </w:pPr>
          </w:p>
        </w:tc>
        <w:tc>
          <w:tcPr>
            <w:tcW w:w="528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160" w:type="dxa"/>
            <w:vAlign w:val="bottom"/>
            <w:vMerge w:val="continue"/>
          </w:tcPr>
          <w:p>
            <w:pPr>
              <w:spacing w:after="0"/>
              <w:rPr>
                <w:sz w:val="17"/>
                <w:szCs w:val="17"/>
                <w:color w:val="auto"/>
              </w:rPr>
            </w:pPr>
          </w:p>
        </w:tc>
        <w:tc>
          <w:tcPr>
            <w:tcW w:w="7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6.</w:t>
            </w:r>
          </w:p>
        </w:tc>
        <w:tc>
          <w:tcPr>
            <w:tcW w:w="5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700" w:type="dxa"/>
            <w:vAlign w:val="bottom"/>
            <w:vMerge w:val="continue"/>
          </w:tcPr>
          <w:p>
            <w:pPr>
              <w:spacing w:after="0"/>
              <w:rPr>
                <w:sz w:val="18"/>
                <w:szCs w:val="18"/>
                <w:color w:val="auto"/>
              </w:rPr>
            </w:pPr>
          </w:p>
        </w:tc>
        <w:tc>
          <w:tcPr>
            <w:tcW w:w="528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70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216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w:t>
            </w:r>
          </w:p>
        </w:tc>
        <w:tc>
          <w:tcPr>
            <w:tcW w:w="700" w:type="dxa"/>
            <w:vAlign w:val="bottom"/>
            <w:vMerge w:val="restart"/>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7.</w:t>
            </w:r>
          </w:p>
        </w:tc>
        <w:tc>
          <w:tcPr>
            <w:tcW w:w="528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700" w:type="dxa"/>
            <w:vAlign w:val="bottom"/>
            <w:vMerge w:val="continue"/>
          </w:tcPr>
          <w:p>
            <w:pPr>
              <w:spacing w:after="0"/>
              <w:rPr>
                <w:sz w:val="18"/>
                <w:szCs w:val="18"/>
                <w:color w:val="auto"/>
              </w:rPr>
            </w:pPr>
          </w:p>
        </w:tc>
        <w:tc>
          <w:tcPr>
            <w:tcW w:w="528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2,039,405</w:t>
            </w:r>
          </w:p>
        </w:tc>
        <w:tc>
          <w:tcPr>
            <w:tcW w:w="0" w:type="dxa"/>
            <w:vAlign w:val="bottom"/>
          </w:tcPr>
          <w:p>
            <w:pPr>
              <w:spacing w:after="0"/>
              <w:rPr>
                <w:sz w:val="1"/>
                <w:szCs w:val="1"/>
                <w:color w:val="auto"/>
              </w:rPr>
            </w:pPr>
          </w:p>
        </w:tc>
      </w:tr>
      <w:tr>
        <w:trPr>
          <w:trHeight w:val="241"/>
        </w:trPr>
        <w:tc>
          <w:tcPr>
            <w:tcW w:w="216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700" w:type="dxa"/>
            <w:vAlign w:val="bottom"/>
            <w:tcBorders>
              <w:bottom w:val="single" w:sz="8" w:color="auto"/>
            </w:tcBorders>
          </w:tcPr>
          <w:p>
            <w:pPr>
              <w:spacing w:after="0"/>
              <w:rPr>
                <w:sz w:val="20"/>
                <w:szCs w:val="20"/>
                <w:color w:val="auto"/>
              </w:rPr>
            </w:pPr>
          </w:p>
        </w:tc>
        <w:tc>
          <w:tcPr>
            <w:tcW w:w="528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2160" w:type="dxa"/>
            <w:vAlign w:val="bottom"/>
          </w:tcPr>
          <w:p>
            <w:pPr>
              <w:spacing w:after="0"/>
              <w:rPr>
                <w:sz w:val="24"/>
                <w:szCs w:val="24"/>
                <w:color w:val="auto"/>
              </w:rPr>
            </w:pPr>
          </w:p>
        </w:tc>
        <w:tc>
          <w:tcPr>
            <w:tcW w:w="700" w:type="dxa"/>
            <w:vAlign w:val="bottom"/>
          </w:tcPr>
          <w:p>
            <w:pPr>
              <w:jc w:val="right"/>
              <w:ind w:right="110"/>
              <w:spacing w:after="0"/>
              <w:rPr>
                <w:sz w:val="20"/>
                <w:szCs w:val="20"/>
                <w:color w:val="auto"/>
              </w:rPr>
            </w:pPr>
            <w:r>
              <w:rPr>
                <w:rFonts w:ascii="Times New Roman" w:cs="Times New Roman" w:eastAsia="Times New Roman" w:hAnsi="Times New Roman"/>
                <w:sz w:val="18"/>
                <w:szCs w:val="18"/>
                <w:b w:val="1"/>
                <w:bCs w:val="1"/>
                <w:color w:val="auto"/>
              </w:rPr>
              <w:t>8.</w:t>
            </w:r>
          </w:p>
        </w:tc>
        <w:tc>
          <w:tcPr>
            <w:tcW w:w="528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280"/>
              <w:spacing w:after="0"/>
              <w:rPr>
                <w:sz w:val="20"/>
                <w:szCs w:val="20"/>
                <w:color w:val="auto"/>
              </w:rPr>
            </w:pPr>
            <w:r>
              <w:rPr>
                <w:rFonts w:ascii="Times New Roman" w:cs="Times New Roman" w:eastAsia="Times New Roman" w:hAnsi="Times New Roman"/>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2,039,405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680" w:hanging="447"/>
        <w:spacing w:after="0"/>
        <w:tabs>
          <w:tab w:leader="none" w:pos="680" w:val="left"/>
        </w:tabs>
        <w:numPr>
          <w:ilvl w:val="0"/>
          <w:numId w:val="2"/>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(9) Excludes Certain Shares</w:t>
      </w:r>
    </w:p>
    <w:p>
      <w:pPr>
        <w:spacing w:after="0" w:line="31" w:lineRule="exact"/>
        <w:rPr>
          <w:sz w:val="20"/>
          <w:szCs w:val="20"/>
          <w:color w:val="auto"/>
        </w:rPr>
      </w:pPr>
    </w:p>
    <w:p>
      <w:pPr>
        <w:ind w:left="680"/>
        <w:spacing w:after="0"/>
        <w:tabs>
          <w:tab w:leader="none" w:pos="2340" w:val="left"/>
        </w:tabs>
        <w:rPr>
          <w:sz w:val="20"/>
          <w:szCs w:val="20"/>
          <w:color w:val="auto"/>
        </w:rPr>
      </w:pPr>
      <w:r>
        <w:rPr>
          <w:rFonts w:ascii="Times New Roman" w:cs="Times New Roman" w:eastAsia="Times New Roman" w:hAnsi="Times New Roman"/>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11.</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3.56%</w:t>
            </w:r>
          </w:p>
        </w:tc>
      </w:tr>
      <w:tr>
        <w:trPr>
          <w:trHeight w:val="223"/>
        </w:trPr>
        <w:tc>
          <w:tcPr>
            <w:tcW w:w="58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r>
      <w:tr>
        <w:trPr>
          <w:trHeight w:val="432"/>
        </w:trPr>
        <w:tc>
          <w:tcPr>
            <w:tcW w:w="58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7760" w:type="dxa"/>
            <w:vAlign w:val="bottom"/>
          </w:tcPr>
          <w:p>
            <w:pPr>
              <w:ind w:left="10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9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IV</w:t>
            </w:r>
          </w:p>
        </w:tc>
      </w:tr>
      <w:tr>
        <w:trPr>
          <w:trHeight w:val="223"/>
        </w:trPr>
        <w:tc>
          <w:tcPr>
            <w:tcW w:w="580" w:type="dxa"/>
            <w:vAlign w:val="bottom"/>
            <w:tcBorders>
              <w:bottom w:val="single" w:sz="8" w:color="auto"/>
            </w:tcBorders>
          </w:tcPr>
          <w:p>
            <w:pPr>
              <w:spacing w:after="0"/>
              <w:rPr>
                <w:sz w:val="19"/>
                <w:szCs w:val="19"/>
                <w:color w:val="auto"/>
              </w:rPr>
            </w:pPr>
          </w:p>
        </w:tc>
        <w:tc>
          <w:tcPr>
            <w:tcW w:w="7760" w:type="dxa"/>
            <w:vAlign w:val="bottom"/>
            <w:tcBorders>
              <w:bottom w:val="single" w:sz="8" w:color="auto"/>
            </w:tcBorders>
          </w:tcPr>
          <w:p>
            <w:pPr>
              <w:spacing w:after="0"/>
              <w:rPr>
                <w:sz w:val="19"/>
                <w:szCs w:val="19"/>
                <w:color w:val="auto"/>
              </w:rPr>
            </w:pPr>
          </w:p>
        </w:tc>
        <w:tc>
          <w:tcPr>
            <w:tcW w:w="2900" w:type="dxa"/>
            <w:vAlign w:val="bottom"/>
            <w:tcBorders>
              <w:bottom w:val="single" w:sz="8" w:color="auto"/>
            </w:tcBorders>
          </w:tcPr>
          <w:p>
            <w:pPr>
              <w:spacing w:after="0"/>
              <w:rPr>
                <w:sz w:val="19"/>
                <w:szCs w:val="19"/>
                <w:color w:val="auto"/>
              </w:rPr>
            </w:pPr>
          </w:p>
        </w:tc>
      </w:tr>
      <w:tr>
        <w:trPr>
          <w:trHeight w:val="432"/>
        </w:trPr>
        <w:tc>
          <w:tcPr>
            <w:tcW w:w="580" w:type="dxa"/>
            <w:vAlign w:val="bottom"/>
          </w:tcPr>
          <w:p>
            <w:pPr>
              <w:spacing w:after="0"/>
              <w:rPr>
                <w:sz w:val="24"/>
                <w:szCs w:val="24"/>
                <w:color w:val="auto"/>
              </w:rPr>
            </w:pPr>
          </w:p>
        </w:tc>
        <w:tc>
          <w:tcPr>
            <w:tcW w:w="7760" w:type="dxa"/>
            <w:vAlign w:val="bottom"/>
          </w:tcPr>
          <w:p>
            <w:pPr>
              <w:ind w:left="4000"/>
              <w:spacing w:after="0"/>
              <w:rPr>
                <w:sz w:val="20"/>
                <w:szCs w:val="20"/>
                <w:color w:val="auto"/>
              </w:rPr>
            </w:pPr>
            <w:r>
              <w:rPr>
                <w:rFonts w:ascii="Times New Roman" w:cs="Times New Roman" w:eastAsia="Times New Roman" w:hAnsi="Times New Roman"/>
                <w:sz w:val="18"/>
                <w:szCs w:val="18"/>
                <w:b w:val="1"/>
                <w:bCs w:val="1"/>
                <w:color w:val="auto"/>
              </w:rPr>
              <w:t>Page 2 of 9 pages</w:t>
            </w:r>
          </w:p>
        </w:tc>
        <w:tc>
          <w:tcPr>
            <w:tcW w:w="2900" w:type="dxa"/>
            <w:vAlign w:val="bottom"/>
          </w:tcPr>
          <w:p>
            <w:pPr>
              <w:spacing w:after="0"/>
              <w:rPr>
                <w:sz w:val="24"/>
                <w:szCs w:val="24"/>
                <w:color w:val="auto"/>
              </w:rPr>
            </w:pPr>
          </w:p>
        </w:tc>
      </w:tr>
      <w:tr>
        <w:trPr>
          <w:trHeight w:val="183"/>
        </w:trPr>
        <w:tc>
          <w:tcPr>
            <w:tcW w:w="580" w:type="dxa"/>
            <w:vAlign w:val="bottom"/>
            <w:tcBorders>
              <w:bottom w:val="single" w:sz="8" w:color="auto"/>
            </w:tcBorders>
          </w:tcPr>
          <w:p>
            <w:pPr>
              <w:spacing w:after="0"/>
              <w:rPr>
                <w:sz w:val="15"/>
                <w:szCs w:val="15"/>
                <w:color w:val="auto"/>
              </w:rPr>
            </w:pPr>
          </w:p>
        </w:tc>
        <w:tc>
          <w:tcPr>
            <w:tcW w:w="7760" w:type="dxa"/>
            <w:vAlign w:val="bottom"/>
            <w:tcBorders>
              <w:bottom w:val="single" w:sz="8" w:color="auto"/>
            </w:tcBorders>
          </w:tcPr>
          <w:p>
            <w:pPr>
              <w:spacing w:after="0"/>
              <w:rPr>
                <w:sz w:val="15"/>
                <w:szCs w:val="15"/>
                <w:color w:val="auto"/>
              </w:rPr>
            </w:pPr>
          </w:p>
        </w:tc>
        <w:tc>
          <w:tcPr>
            <w:tcW w:w="290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549" w:right="339" w:bottom="1440" w:gutter="0" w:footer="0" w:header="0"/>
        </w:sectPr>
      </w:pPr>
    </w:p>
    <w:bookmarkStart w:id="2" w:name="page3"/>
    <w:bookmarkEnd w:id="2"/>
    <w:p>
      <w:pPr>
        <w:spacing w:after="0"/>
        <w:rPr>
          <w:sz w:val="20"/>
          <w:szCs w:val="20"/>
          <w:color w:val="auto"/>
        </w:rPr>
      </w:pPr>
      <w:r>
        <w:rPr>
          <w:rFonts w:ascii="Times New Roman" w:cs="Times New Roman" w:eastAsia="Times New Roman" w:hAnsi="Times New Roman"/>
          <w:sz w:val="18"/>
          <w:szCs w:val="18"/>
          <w:b w:val="1"/>
          <w:bCs w:val="1"/>
          <w:color w:val="auto"/>
        </w:rPr>
        <w:t>CUSIP No. 29082K105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hanging="429"/>
        <w:spacing w:after="0"/>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Names of Reporting Persons</w:t>
      </w:r>
    </w:p>
    <w:p>
      <w:pPr>
        <w:spacing w:after="0" w:line="229" w:lineRule="exact"/>
        <w:rPr>
          <w:rFonts w:ascii="Times New Roman" w:cs="Times New Roman" w:eastAsia="Times New Roman" w:hAnsi="Times New Roman"/>
          <w:sz w:val="18"/>
          <w:szCs w:val="18"/>
          <w:b w:val="1"/>
          <w:bCs w:val="1"/>
          <w:color w:val="auto"/>
        </w:rPr>
      </w:pPr>
    </w:p>
    <w:p>
      <w:pPr>
        <w:ind w:left="72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American Century Investment Management, Inc.</w:t>
      </w:r>
    </w:p>
    <w:p>
      <w:pPr>
        <w:spacing w:after="0" w:line="200" w:lineRule="exact"/>
        <w:rPr>
          <w:rFonts w:ascii="Times New Roman" w:cs="Times New Roman" w:eastAsia="Times New Roman" w:hAnsi="Times New Roman"/>
          <w:sz w:val="18"/>
          <w:szCs w:val="18"/>
          <w:b w:val="1"/>
          <w:bCs w:val="1"/>
          <w:color w:val="auto"/>
        </w:rPr>
      </w:pPr>
    </w:p>
    <w:p>
      <w:pPr>
        <w:spacing w:after="0" w:line="264" w:lineRule="exact"/>
        <w:rPr>
          <w:rFonts w:ascii="Times New Roman" w:cs="Times New Roman" w:eastAsia="Times New Roman" w:hAnsi="Times New Roman"/>
          <w:sz w:val="18"/>
          <w:szCs w:val="18"/>
          <w:b w:val="1"/>
          <w:bCs w:val="1"/>
          <w:color w:val="auto"/>
        </w:rPr>
      </w:pPr>
    </w:p>
    <w:p>
      <w:pPr>
        <w:ind w:left="720" w:hanging="429"/>
        <w:spacing w:after="0"/>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29" w:lineRule="exact"/>
        <w:rPr>
          <w:rFonts w:ascii="Times New Roman" w:cs="Times New Roman" w:eastAsia="Times New Roman" w:hAnsi="Times New Roman"/>
          <w:sz w:val="18"/>
          <w:szCs w:val="18"/>
          <w:b w:val="1"/>
          <w:bCs w:val="1"/>
          <w:color w:val="auto"/>
        </w:rPr>
      </w:pPr>
    </w:p>
    <w:p>
      <w:pPr>
        <w:ind w:left="1280" w:hanging="386"/>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color w:val="auto"/>
        </w:rPr>
      </w:pPr>
    </w:p>
    <w:p>
      <w:pPr>
        <w:ind w:left="1280" w:hanging="391"/>
        <w:spacing w:after="0"/>
        <w:tabs>
          <w:tab w:leader="none" w:pos="1280" w:val="left"/>
        </w:tabs>
        <w:numPr>
          <w:ilvl w:val="1"/>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720" w:hanging="429"/>
        <w:spacing w:after="0"/>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84" w:lineRule="exact"/>
        <w:rPr>
          <w:rFonts w:ascii="Times New Roman" w:cs="Times New Roman" w:eastAsia="Times New Roman" w:hAnsi="Times New Roman"/>
          <w:sz w:val="18"/>
          <w:szCs w:val="18"/>
          <w:b w:val="1"/>
          <w:bCs w:val="1"/>
          <w:color w:val="auto"/>
        </w:rPr>
      </w:pPr>
    </w:p>
    <w:p>
      <w:pPr>
        <w:ind w:left="720" w:right="7740" w:hanging="429"/>
        <w:spacing w:after="0" w:line="537" w:lineRule="auto"/>
        <w:tabs>
          <w:tab w:leader="none" w:pos="720" w:val="left"/>
        </w:tabs>
        <w:numPr>
          <w:ilvl w:val="0"/>
          <w:numId w:val="3"/>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714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714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714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2,714,935</w:t>
            </w:r>
          </w:p>
        </w:tc>
        <w:tc>
          <w:tcPr>
            <w:tcW w:w="0" w:type="dxa"/>
            <w:vAlign w:val="bottom"/>
          </w:tcPr>
          <w:p>
            <w:pPr>
              <w:spacing w:after="0"/>
              <w:rPr>
                <w:sz w:val="1"/>
                <w:szCs w:val="1"/>
                <w:color w:val="auto"/>
              </w:rPr>
            </w:pPr>
          </w:p>
        </w:tc>
      </w:tr>
      <w:tr>
        <w:trPr>
          <w:trHeight w:val="223"/>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6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vMerge w:val="continue"/>
          </w:tcPr>
          <w:p>
            <w:pPr>
              <w:spacing w:after="0"/>
              <w:rPr>
                <w:sz w:val="17"/>
                <w:szCs w:val="17"/>
                <w:color w:val="auto"/>
              </w:rPr>
            </w:pP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w:t>
            </w: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2,827,755</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20" w:hanging="473"/>
        <w:spacing w:after="0"/>
        <w:tabs>
          <w:tab w:leader="none" w:pos="720" w:val="left"/>
        </w:tabs>
        <w:numPr>
          <w:ilvl w:val="0"/>
          <w:numId w:val="4"/>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(9) Excludes Certain Shares</w:t>
      </w:r>
    </w:p>
    <w:p>
      <w:pPr>
        <w:spacing w:after="0" w:line="31" w:lineRule="exact"/>
        <w:rPr>
          <w:sz w:val="20"/>
          <w:szCs w:val="20"/>
          <w:color w:val="auto"/>
        </w:rPr>
      </w:pPr>
    </w:p>
    <w:p>
      <w:pPr>
        <w:ind w:left="72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IA</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77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Page 3 of 9 pages</w:t>
            </w:r>
          </w:p>
        </w:tc>
        <w:tc>
          <w:tcPr>
            <w:tcW w:w="2920" w:type="dxa"/>
            <w:vAlign w:val="bottom"/>
          </w:tcPr>
          <w:p>
            <w:pPr>
              <w:spacing w:after="0"/>
              <w:rPr>
                <w:sz w:val="24"/>
                <w:szCs w:val="24"/>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549" w:right="339" w:bottom="1440" w:gutter="0" w:footer="0" w:header="0"/>
        </w:sectPr>
      </w:pPr>
    </w:p>
    <w:bookmarkStart w:id="3" w:name="page4"/>
    <w:bookmarkEnd w:id="3"/>
    <w:p>
      <w:pPr>
        <w:spacing w:after="0"/>
        <w:rPr>
          <w:sz w:val="20"/>
          <w:szCs w:val="20"/>
          <w:color w:val="auto"/>
        </w:rPr>
      </w:pPr>
      <w:r>
        <w:rPr>
          <w:rFonts w:ascii="Times New Roman" w:cs="Times New Roman" w:eastAsia="Times New Roman" w:hAnsi="Times New Roman"/>
          <w:sz w:val="18"/>
          <w:szCs w:val="18"/>
          <w:b w:val="1"/>
          <w:bCs w:val="1"/>
          <w:color w:val="auto"/>
        </w:rPr>
        <w:t>CUSIP No. 29082K105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right="7980" w:hanging="429"/>
        <w:spacing w:after="0" w:line="582" w:lineRule="auto"/>
        <w:tabs>
          <w:tab w:leader="none" w:pos="720" w:val="left"/>
        </w:tabs>
        <w:numPr>
          <w:ilvl w:val="0"/>
          <w:numId w:val="5"/>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American Century Companies, Inc.</w:t>
      </w:r>
    </w:p>
    <w:p>
      <w:pPr>
        <w:spacing w:after="0" w:line="158" w:lineRule="exact"/>
        <w:rPr>
          <w:rFonts w:ascii="Times New Roman" w:cs="Times New Roman" w:eastAsia="Times New Roman" w:hAnsi="Times New Roman"/>
          <w:sz w:val="17"/>
          <w:szCs w:val="17"/>
          <w:b w:val="1"/>
          <w:bCs w:val="1"/>
          <w:color w:val="auto"/>
        </w:rPr>
      </w:pPr>
    </w:p>
    <w:p>
      <w:pPr>
        <w:ind w:left="720" w:hanging="429"/>
        <w:spacing w:after="0"/>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29" w:lineRule="exact"/>
        <w:rPr>
          <w:rFonts w:ascii="Times New Roman" w:cs="Times New Roman" w:eastAsia="Times New Roman" w:hAnsi="Times New Roman"/>
          <w:sz w:val="18"/>
          <w:szCs w:val="18"/>
          <w:b w:val="1"/>
          <w:bCs w:val="1"/>
          <w:color w:val="auto"/>
        </w:rPr>
      </w:pPr>
    </w:p>
    <w:p>
      <w:pPr>
        <w:ind w:left="1280" w:hanging="386"/>
        <w:spacing w:after="0"/>
        <w:tabs>
          <w:tab w:leader="none" w:pos="1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color w:val="auto"/>
        </w:rPr>
      </w:pPr>
    </w:p>
    <w:p>
      <w:pPr>
        <w:ind w:left="1280" w:hanging="391"/>
        <w:spacing w:after="0"/>
        <w:tabs>
          <w:tab w:leader="none" w:pos="1280" w:val="left"/>
        </w:tabs>
        <w:numPr>
          <w:ilvl w:val="1"/>
          <w:numId w:val="5"/>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720" w:hanging="429"/>
        <w:spacing w:after="0"/>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84" w:lineRule="exact"/>
        <w:rPr>
          <w:rFonts w:ascii="Times New Roman" w:cs="Times New Roman" w:eastAsia="Times New Roman" w:hAnsi="Times New Roman"/>
          <w:sz w:val="18"/>
          <w:szCs w:val="18"/>
          <w:b w:val="1"/>
          <w:bCs w:val="1"/>
          <w:color w:val="auto"/>
        </w:rPr>
      </w:pPr>
    </w:p>
    <w:p>
      <w:pPr>
        <w:ind w:left="720" w:right="7740" w:hanging="429"/>
        <w:spacing w:after="0" w:line="537" w:lineRule="auto"/>
        <w:tabs>
          <w:tab w:leader="none" w:pos="720" w:val="left"/>
        </w:tabs>
        <w:numPr>
          <w:ilvl w:val="0"/>
          <w:numId w:val="5"/>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714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714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714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2,714,935</w:t>
            </w:r>
          </w:p>
        </w:tc>
        <w:tc>
          <w:tcPr>
            <w:tcW w:w="0" w:type="dxa"/>
            <w:vAlign w:val="bottom"/>
          </w:tcPr>
          <w:p>
            <w:pPr>
              <w:spacing w:after="0"/>
              <w:rPr>
                <w:sz w:val="1"/>
                <w:szCs w:val="1"/>
                <w:color w:val="auto"/>
              </w:rPr>
            </w:pPr>
          </w:p>
        </w:tc>
      </w:tr>
      <w:tr>
        <w:trPr>
          <w:trHeight w:val="223"/>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6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vMerge w:val="continue"/>
          </w:tcPr>
          <w:p>
            <w:pPr>
              <w:spacing w:after="0"/>
              <w:rPr>
                <w:sz w:val="17"/>
                <w:szCs w:val="17"/>
                <w:color w:val="auto"/>
              </w:rPr>
            </w:pP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w:t>
            </w: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2,827,755</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20" w:hanging="473"/>
        <w:spacing w:after="0"/>
        <w:tabs>
          <w:tab w:leader="none" w:pos="720" w:val="left"/>
        </w:tabs>
        <w:numPr>
          <w:ilvl w:val="0"/>
          <w:numId w:val="6"/>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(9) Excludes Certain Shares</w:t>
      </w:r>
    </w:p>
    <w:p>
      <w:pPr>
        <w:spacing w:after="0" w:line="31" w:lineRule="exact"/>
        <w:rPr>
          <w:sz w:val="20"/>
          <w:szCs w:val="20"/>
          <w:color w:val="auto"/>
        </w:rPr>
      </w:pPr>
    </w:p>
    <w:p>
      <w:pPr>
        <w:ind w:left="760"/>
        <w:spacing w:after="0"/>
        <w:tabs>
          <w:tab w:leader="none" w:pos="2420" w:val="left"/>
        </w:tabs>
        <w:rPr>
          <w:sz w:val="20"/>
          <w:szCs w:val="20"/>
          <w:color w:val="auto"/>
        </w:rPr>
      </w:pPr>
      <w:r>
        <w:rPr>
          <w:rFonts w:ascii="Times New Roman" w:cs="Times New Roman" w:eastAsia="Times New Roman" w:hAnsi="Times New Roman"/>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HC</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77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Page 4 of 9 pages</w:t>
            </w:r>
          </w:p>
        </w:tc>
        <w:tc>
          <w:tcPr>
            <w:tcW w:w="2920" w:type="dxa"/>
            <w:vAlign w:val="bottom"/>
          </w:tcPr>
          <w:p>
            <w:pPr>
              <w:spacing w:after="0"/>
              <w:rPr>
                <w:sz w:val="24"/>
                <w:szCs w:val="24"/>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549" w:right="339" w:bottom="1440" w:gutter="0" w:footer="0" w:header="0"/>
        </w:sectPr>
      </w:pPr>
    </w:p>
    <w:bookmarkStart w:id="4" w:name="page5"/>
    <w:bookmarkEnd w:id="4"/>
    <w:p>
      <w:pPr>
        <w:spacing w:after="0"/>
        <w:rPr>
          <w:sz w:val="20"/>
          <w:szCs w:val="20"/>
          <w:color w:val="auto"/>
        </w:rPr>
      </w:pPr>
      <w:r>
        <w:rPr>
          <w:rFonts w:ascii="Times New Roman" w:cs="Times New Roman" w:eastAsia="Times New Roman" w:hAnsi="Times New Roman"/>
          <w:sz w:val="18"/>
          <w:szCs w:val="18"/>
          <w:b w:val="1"/>
          <w:bCs w:val="1"/>
          <w:color w:val="auto"/>
        </w:rPr>
        <w:t>CUSIP No. 29082K105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156845</wp:posOffset>
            </wp:positionV>
            <wp:extent cx="7132320" cy="1714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48" w:lineRule="exact"/>
        <w:rPr>
          <w:sz w:val="20"/>
          <w:szCs w:val="20"/>
          <w:color w:val="auto"/>
        </w:rPr>
      </w:pPr>
    </w:p>
    <w:p>
      <w:pPr>
        <w:ind w:left="720" w:right="7720" w:hanging="429"/>
        <w:spacing w:after="0" w:line="582" w:lineRule="auto"/>
        <w:tabs>
          <w:tab w:leader="none" w:pos="720" w:val="left"/>
        </w:tabs>
        <w:numPr>
          <w:ilvl w:val="0"/>
          <w:numId w:val="7"/>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Names of Reporting Persons </w:t>
      </w:r>
      <w:r>
        <w:rPr>
          <w:rFonts w:ascii="Times New Roman" w:cs="Times New Roman" w:eastAsia="Times New Roman" w:hAnsi="Times New Roman"/>
          <w:sz w:val="17"/>
          <w:szCs w:val="17"/>
          <w:color w:val="auto"/>
        </w:rPr>
        <w:t>Stowers Institute for Medical Research</w:t>
      </w:r>
    </w:p>
    <w:p>
      <w:pPr>
        <w:spacing w:after="0" w:line="158" w:lineRule="exact"/>
        <w:rPr>
          <w:rFonts w:ascii="Times New Roman" w:cs="Times New Roman" w:eastAsia="Times New Roman" w:hAnsi="Times New Roman"/>
          <w:sz w:val="17"/>
          <w:szCs w:val="17"/>
          <w:b w:val="1"/>
          <w:bCs w:val="1"/>
          <w:color w:val="auto"/>
        </w:rPr>
      </w:pPr>
    </w:p>
    <w:p>
      <w:pPr>
        <w:ind w:left="720" w:hanging="429"/>
        <w:spacing w:after="0"/>
        <w:tabs>
          <w:tab w:leader="none" w:pos="7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the Appropriate Box if a Member of a Group (See Instructions)</w:t>
      </w:r>
    </w:p>
    <w:p>
      <w:pPr>
        <w:spacing w:after="0" w:line="229" w:lineRule="exact"/>
        <w:rPr>
          <w:rFonts w:ascii="Times New Roman" w:cs="Times New Roman" w:eastAsia="Times New Roman" w:hAnsi="Times New Roman"/>
          <w:sz w:val="18"/>
          <w:szCs w:val="18"/>
          <w:b w:val="1"/>
          <w:bCs w:val="1"/>
          <w:color w:val="auto"/>
        </w:rPr>
      </w:pPr>
    </w:p>
    <w:p>
      <w:pPr>
        <w:ind w:left="1280" w:hanging="386"/>
        <w:spacing w:after="0"/>
        <w:tabs>
          <w:tab w:leader="none" w:pos="1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25" w:lineRule="exact"/>
        <w:rPr>
          <w:rFonts w:ascii="Times New Roman" w:cs="Times New Roman" w:eastAsia="Times New Roman" w:hAnsi="Times New Roman"/>
          <w:sz w:val="18"/>
          <w:szCs w:val="18"/>
          <w:color w:val="auto"/>
        </w:rPr>
      </w:pPr>
    </w:p>
    <w:p>
      <w:pPr>
        <w:ind w:left="1280" w:hanging="391"/>
        <w:spacing w:after="0"/>
        <w:tabs>
          <w:tab w:leader="none" w:pos="1280" w:val="left"/>
        </w:tabs>
        <w:numPr>
          <w:ilvl w:val="1"/>
          <w:numId w:val="7"/>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w:t>
      </w:r>
    </w:p>
    <w:p>
      <w:pPr>
        <w:spacing w:after="0" w:line="200" w:lineRule="exact"/>
        <w:rPr>
          <w:rFonts w:ascii="Times New Roman" w:cs="Times New Roman" w:eastAsia="Times New Roman" w:hAnsi="Times New Roman"/>
          <w:sz w:val="18"/>
          <w:szCs w:val="18"/>
          <w:color w:val="auto"/>
        </w:rPr>
      </w:pPr>
    </w:p>
    <w:p>
      <w:pPr>
        <w:spacing w:after="0" w:line="264" w:lineRule="exact"/>
        <w:rPr>
          <w:rFonts w:ascii="Times New Roman" w:cs="Times New Roman" w:eastAsia="Times New Roman" w:hAnsi="Times New Roman"/>
          <w:sz w:val="18"/>
          <w:szCs w:val="18"/>
          <w:color w:val="auto"/>
        </w:rPr>
      </w:pPr>
    </w:p>
    <w:p>
      <w:pPr>
        <w:ind w:left="720" w:hanging="429"/>
        <w:spacing w:after="0"/>
        <w:tabs>
          <w:tab w:leader="none" w:pos="7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SEC Use Only</w:t>
      </w:r>
    </w:p>
    <w:p>
      <w:pPr>
        <w:spacing w:after="0" w:line="200" w:lineRule="exact"/>
        <w:rPr>
          <w:rFonts w:ascii="Times New Roman" w:cs="Times New Roman" w:eastAsia="Times New Roman" w:hAnsi="Times New Roman"/>
          <w:sz w:val="18"/>
          <w:szCs w:val="18"/>
          <w:b w:val="1"/>
          <w:bCs w:val="1"/>
          <w:color w:val="auto"/>
        </w:rPr>
      </w:pPr>
    </w:p>
    <w:p>
      <w:pPr>
        <w:spacing w:after="0" w:line="200" w:lineRule="exact"/>
        <w:rPr>
          <w:rFonts w:ascii="Times New Roman" w:cs="Times New Roman" w:eastAsia="Times New Roman" w:hAnsi="Times New Roman"/>
          <w:sz w:val="18"/>
          <w:szCs w:val="18"/>
          <w:b w:val="1"/>
          <w:bCs w:val="1"/>
          <w:color w:val="auto"/>
        </w:rPr>
      </w:pPr>
    </w:p>
    <w:p>
      <w:pPr>
        <w:spacing w:after="0" w:line="284" w:lineRule="exact"/>
        <w:rPr>
          <w:rFonts w:ascii="Times New Roman" w:cs="Times New Roman" w:eastAsia="Times New Roman" w:hAnsi="Times New Roman"/>
          <w:sz w:val="18"/>
          <w:szCs w:val="18"/>
          <w:b w:val="1"/>
          <w:bCs w:val="1"/>
          <w:color w:val="auto"/>
        </w:rPr>
      </w:pPr>
    </w:p>
    <w:p>
      <w:pPr>
        <w:ind w:left="720" w:right="7740" w:hanging="429"/>
        <w:spacing w:after="0" w:line="537" w:lineRule="auto"/>
        <w:tabs>
          <w:tab w:leader="none" w:pos="720" w:val="left"/>
        </w:tabs>
        <w:numPr>
          <w:ilvl w:val="0"/>
          <w:numId w:val="7"/>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 xml:space="preserve">Citizenship or Place of Organization </w:t>
      </w:r>
      <w:r>
        <w:rPr>
          <w:rFonts w:ascii="Times New Roman" w:cs="Times New Roman" w:eastAsia="Times New Roman" w:hAnsi="Times New Roman"/>
          <w:sz w:val="18"/>
          <w:szCs w:val="18"/>
          <w:color w:val="auto"/>
        </w:rPr>
        <w:t>Delaware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-2270760</wp:posOffset>
            </wp:positionV>
            <wp:extent cx="7132320" cy="171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-1293495</wp:posOffset>
            </wp:positionV>
            <wp:extent cx="7132320" cy="1714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-727710</wp:posOffset>
            </wp:positionV>
            <wp:extent cx="7132320" cy="1714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32320" cy="17145"/>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-24765</wp:posOffset>
            </wp:positionV>
            <wp:extent cx="7132320" cy="1714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161"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980" w:type="dxa"/>
            <w:vAlign w:val="bottom"/>
          </w:tcPr>
          <w:p>
            <w:pPr>
              <w:spacing w:after="0"/>
              <w:rPr>
                <w:sz w:val="20"/>
                <w:szCs w:val="20"/>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5.</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Sole Voting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2,714,935</w:t>
            </w:r>
          </w:p>
        </w:tc>
        <w:tc>
          <w:tcPr>
            <w:tcW w:w="0" w:type="dxa"/>
            <w:vAlign w:val="bottom"/>
          </w:tcPr>
          <w:p>
            <w:pPr>
              <w:spacing w:after="0"/>
              <w:rPr>
                <w:sz w:val="1"/>
                <w:szCs w:val="1"/>
                <w:color w:val="auto"/>
              </w:rPr>
            </w:pPr>
          </w:p>
        </w:tc>
      </w:tr>
      <w:tr>
        <w:trPr>
          <w:trHeight w:val="223"/>
        </w:trPr>
        <w:tc>
          <w:tcPr>
            <w:tcW w:w="1980" w:type="dxa"/>
            <w:vAlign w:val="bottom"/>
            <w:vMerge w:val="restart"/>
          </w:tcPr>
          <w:p>
            <w:pPr>
              <w:spacing w:after="0"/>
              <w:rPr>
                <w:sz w:val="20"/>
                <w:szCs w:val="20"/>
                <w:color w:val="auto"/>
              </w:rPr>
            </w:pPr>
            <w:r>
              <w:rPr>
                <w:rFonts w:ascii="Times New Roman" w:cs="Times New Roman" w:eastAsia="Times New Roman" w:hAnsi="Times New Roman"/>
                <w:sz w:val="18"/>
                <w:szCs w:val="18"/>
                <w:color w:val="auto"/>
              </w:rPr>
              <w:t>Number of Shares</w:t>
            </w:r>
          </w:p>
        </w:tc>
        <w:tc>
          <w:tcPr>
            <w:tcW w:w="660" w:type="dxa"/>
            <w:vAlign w:val="bottom"/>
            <w:tcBorders>
              <w:bottom w:val="single" w:sz="8" w:color="auto"/>
            </w:tcBorders>
          </w:tcPr>
          <w:p>
            <w:pPr>
              <w:spacing w:after="0"/>
              <w:rPr>
                <w:sz w:val="19"/>
                <w:szCs w:val="19"/>
                <w:color w:val="auto"/>
              </w:rPr>
            </w:pPr>
          </w:p>
        </w:tc>
        <w:tc>
          <w:tcPr>
            <w:tcW w:w="5500" w:type="dxa"/>
            <w:vAlign w:val="bottom"/>
            <w:tcBorders>
              <w:bottom w:val="single" w:sz="8" w:color="auto"/>
            </w:tcBorders>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1980" w:type="dxa"/>
            <w:vAlign w:val="bottom"/>
            <w:vMerge w:val="continue"/>
          </w:tcPr>
          <w:p>
            <w:pPr>
              <w:spacing w:after="0"/>
              <w:rPr>
                <w:sz w:val="17"/>
                <w:szCs w:val="17"/>
                <w:color w:val="auto"/>
              </w:rPr>
            </w:pP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6.</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Shared Voting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Beneficially</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Owned by</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198"/>
        </w:trPr>
        <w:tc>
          <w:tcPr>
            <w:tcW w:w="1980" w:type="dxa"/>
            <w:vAlign w:val="bottom"/>
          </w:tcPr>
          <w:p>
            <w:pPr>
              <w:spacing w:after="0" w:line="198" w:lineRule="exact"/>
              <w:rPr>
                <w:sz w:val="20"/>
                <w:szCs w:val="20"/>
                <w:color w:val="auto"/>
              </w:rPr>
            </w:pPr>
            <w:r>
              <w:rPr>
                <w:rFonts w:ascii="Times New Roman" w:cs="Times New Roman" w:eastAsia="Times New Roman" w:hAnsi="Times New Roman"/>
                <w:sz w:val="18"/>
                <w:szCs w:val="18"/>
                <w:color w:val="auto"/>
              </w:rPr>
              <w:t>Each</w:t>
            </w:r>
          </w:p>
        </w:tc>
        <w:tc>
          <w:tcPr>
            <w:tcW w:w="660" w:type="dxa"/>
            <w:vAlign w:val="bottom"/>
            <w:vMerge w:val="restart"/>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7.</w:t>
            </w:r>
          </w:p>
        </w:tc>
        <w:tc>
          <w:tcPr>
            <w:tcW w:w="5500" w:type="dxa"/>
            <w:vAlign w:val="bottom"/>
            <w:vMerge w:val="restart"/>
          </w:tcPr>
          <w:p>
            <w:pPr>
              <w:ind w:left="180"/>
              <w:spacing w:after="0"/>
              <w:rPr>
                <w:sz w:val="20"/>
                <w:szCs w:val="20"/>
                <w:color w:val="auto"/>
              </w:rPr>
            </w:pPr>
            <w:r>
              <w:rPr>
                <w:rFonts w:ascii="Times New Roman" w:cs="Times New Roman" w:eastAsia="Times New Roman" w:hAnsi="Times New Roman"/>
                <w:sz w:val="18"/>
                <w:szCs w:val="18"/>
                <w:b w:val="1"/>
                <w:bCs w:val="1"/>
                <w:color w:val="auto"/>
              </w:rPr>
              <w:t>Sole Dispositive Power</w:t>
            </w:r>
          </w:p>
        </w:tc>
        <w:tc>
          <w:tcPr>
            <w:tcW w:w="3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Reporting</w:t>
            </w:r>
          </w:p>
        </w:tc>
        <w:tc>
          <w:tcPr>
            <w:tcW w:w="660" w:type="dxa"/>
            <w:vAlign w:val="bottom"/>
            <w:vMerge w:val="continue"/>
          </w:tcPr>
          <w:p>
            <w:pPr>
              <w:spacing w:after="0"/>
              <w:rPr>
                <w:sz w:val="18"/>
                <w:szCs w:val="18"/>
                <w:color w:val="auto"/>
              </w:rPr>
            </w:pPr>
          </w:p>
        </w:tc>
        <w:tc>
          <w:tcPr>
            <w:tcW w:w="5500" w:type="dxa"/>
            <w:vAlign w:val="bottom"/>
            <w:vMerge w:val="continue"/>
          </w:tcPr>
          <w:p>
            <w:pPr>
              <w:spacing w:after="0"/>
              <w:rPr>
                <w:sz w:val="18"/>
                <w:szCs w:val="18"/>
                <w:color w:val="auto"/>
              </w:rPr>
            </w:pP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2,827,755</w:t>
            </w:r>
          </w:p>
        </w:tc>
        <w:tc>
          <w:tcPr>
            <w:tcW w:w="0" w:type="dxa"/>
            <w:vAlign w:val="bottom"/>
          </w:tcPr>
          <w:p>
            <w:pPr>
              <w:spacing w:after="0"/>
              <w:rPr>
                <w:sz w:val="1"/>
                <w:szCs w:val="1"/>
                <w:color w:val="auto"/>
              </w:rPr>
            </w:pPr>
          </w:p>
        </w:tc>
      </w:tr>
      <w:tr>
        <w:trPr>
          <w:trHeight w:val="241"/>
        </w:trPr>
        <w:tc>
          <w:tcPr>
            <w:tcW w:w="1980" w:type="dxa"/>
            <w:vAlign w:val="bottom"/>
          </w:tcPr>
          <w:p>
            <w:pPr>
              <w:spacing w:after="0"/>
              <w:rPr>
                <w:sz w:val="20"/>
                <w:szCs w:val="20"/>
                <w:color w:val="auto"/>
              </w:rPr>
            </w:pPr>
            <w:r>
              <w:rPr>
                <w:rFonts w:ascii="Times New Roman" w:cs="Times New Roman" w:eastAsia="Times New Roman" w:hAnsi="Times New Roman"/>
                <w:sz w:val="18"/>
                <w:szCs w:val="18"/>
                <w:color w:val="auto"/>
              </w:rPr>
              <w:t>Person With:</w:t>
            </w:r>
          </w:p>
        </w:tc>
        <w:tc>
          <w:tcPr>
            <w:tcW w:w="660" w:type="dxa"/>
            <w:vAlign w:val="bottom"/>
            <w:tcBorders>
              <w:bottom w:val="single" w:sz="8" w:color="auto"/>
            </w:tcBorders>
          </w:tcPr>
          <w:p>
            <w:pPr>
              <w:spacing w:after="0"/>
              <w:rPr>
                <w:sz w:val="20"/>
                <w:szCs w:val="20"/>
                <w:color w:val="auto"/>
              </w:rPr>
            </w:pPr>
          </w:p>
        </w:tc>
        <w:tc>
          <w:tcPr>
            <w:tcW w:w="5500" w:type="dxa"/>
            <w:vAlign w:val="bottom"/>
            <w:tcBorders>
              <w:bottom w:val="single" w:sz="8" w:color="auto"/>
            </w:tcBorders>
          </w:tcPr>
          <w:p>
            <w:pPr>
              <w:spacing w:after="0"/>
              <w:rPr>
                <w:sz w:val="20"/>
                <w:szCs w:val="20"/>
                <w:color w:val="auto"/>
              </w:rPr>
            </w:pPr>
          </w:p>
        </w:tc>
        <w:tc>
          <w:tcPr>
            <w:tcW w:w="3100" w:type="dxa"/>
            <w:vAlign w:val="bottom"/>
            <w:tcBorders>
              <w:bottom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1980" w:type="dxa"/>
            <w:vAlign w:val="bottom"/>
          </w:tcPr>
          <w:p>
            <w:pPr>
              <w:spacing w:after="0"/>
              <w:rPr>
                <w:sz w:val="24"/>
                <w:szCs w:val="24"/>
                <w:color w:val="auto"/>
              </w:rPr>
            </w:pPr>
          </w:p>
        </w:tc>
        <w:tc>
          <w:tcPr>
            <w:tcW w:w="660" w:type="dxa"/>
            <w:vAlign w:val="bottom"/>
          </w:tcPr>
          <w:p>
            <w:pPr>
              <w:jc w:val="right"/>
              <w:ind w:right="90"/>
              <w:spacing w:after="0"/>
              <w:rPr>
                <w:sz w:val="20"/>
                <w:szCs w:val="20"/>
                <w:color w:val="auto"/>
              </w:rPr>
            </w:pPr>
            <w:r>
              <w:rPr>
                <w:rFonts w:ascii="Times New Roman" w:cs="Times New Roman" w:eastAsia="Times New Roman" w:hAnsi="Times New Roman"/>
                <w:sz w:val="18"/>
                <w:szCs w:val="18"/>
                <w:b w:val="1"/>
                <w:bCs w:val="1"/>
                <w:color w:val="auto"/>
              </w:rPr>
              <w:t>8.</w:t>
            </w:r>
          </w:p>
        </w:tc>
        <w:tc>
          <w:tcPr>
            <w:tcW w:w="5500" w:type="dxa"/>
            <w:vAlign w:val="bottom"/>
          </w:tcPr>
          <w:p>
            <w:pPr>
              <w:ind w:left="180"/>
              <w:spacing w:after="0"/>
              <w:rPr>
                <w:sz w:val="20"/>
                <w:szCs w:val="20"/>
                <w:color w:val="auto"/>
              </w:rPr>
            </w:pPr>
            <w:r>
              <w:rPr>
                <w:rFonts w:ascii="Times New Roman" w:cs="Times New Roman" w:eastAsia="Times New Roman" w:hAnsi="Times New Roman"/>
                <w:sz w:val="18"/>
                <w:szCs w:val="18"/>
                <w:b w:val="1"/>
                <w:bCs w:val="1"/>
                <w:color w:val="auto"/>
              </w:rPr>
              <w:t>Shared Dispositive Power</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N/A</w:t>
            </w:r>
          </w:p>
        </w:tc>
        <w:tc>
          <w:tcPr>
            <w:tcW w:w="0" w:type="dxa"/>
            <w:vAlign w:val="bottom"/>
          </w:tcPr>
          <w:p>
            <w:pPr>
              <w:spacing w:after="0"/>
              <w:rPr>
                <w:sz w:val="1"/>
                <w:szCs w:val="1"/>
                <w:color w:val="auto"/>
              </w:rPr>
            </w:pPr>
          </w:p>
        </w:tc>
      </w:tr>
      <w:tr>
        <w:trPr>
          <w:trHeight w:val="223"/>
        </w:trPr>
        <w:tc>
          <w:tcPr>
            <w:tcW w:w="8140" w:type="dxa"/>
            <w:vAlign w:val="bottom"/>
            <w:tcBorders>
              <w:bottom w:val="single" w:sz="8" w:color="auto"/>
            </w:tcBorders>
            <w:gridSpan w:val="3"/>
          </w:tcPr>
          <w:p>
            <w:pPr>
              <w:spacing w:after="0"/>
              <w:rPr>
                <w:sz w:val="19"/>
                <w:szCs w:val="19"/>
                <w:color w:val="auto"/>
              </w:rPr>
            </w:pPr>
          </w:p>
        </w:tc>
        <w:tc>
          <w:tcPr>
            <w:tcW w:w="3100" w:type="dxa"/>
            <w:vAlign w:val="bottom"/>
            <w:tcBorders>
              <w:bottom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432"/>
        </w:trPr>
        <w:tc>
          <w:tcPr>
            <w:tcW w:w="8140" w:type="dxa"/>
            <w:vAlign w:val="bottom"/>
            <w:gridSpan w:val="3"/>
          </w:tcPr>
          <w:p>
            <w:pPr>
              <w:ind w:left="300"/>
              <w:spacing w:after="0"/>
              <w:rPr>
                <w:sz w:val="20"/>
                <w:szCs w:val="20"/>
                <w:color w:val="auto"/>
              </w:rPr>
            </w:pPr>
            <w:r>
              <w:rPr>
                <w:rFonts w:ascii="Times New Roman" w:cs="Times New Roman" w:eastAsia="Times New Roman" w:hAnsi="Times New Roman"/>
                <w:sz w:val="18"/>
                <w:szCs w:val="18"/>
                <w:b w:val="1"/>
                <w:bCs w:val="1"/>
                <w:color w:val="auto"/>
              </w:rPr>
              <w:t>9.   Aggregate Amount Beneficially Owned by Each Reporting Person</w:t>
            </w:r>
          </w:p>
        </w:tc>
        <w:tc>
          <w:tcPr>
            <w:tcW w:w="310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2,827,755</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137160</wp:posOffset>
            </wp:positionV>
            <wp:extent cx="7132320" cy="1714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17" w:lineRule="exact"/>
        <w:rPr>
          <w:sz w:val="20"/>
          <w:szCs w:val="20"/>
          <w:color w:val="auto"/>
        </w:rPr>
      </w:pPr>
    </w:p>
    <w:p>
      <w:pPr>
        <w:ind w:left="720" w:hanging="473"/>
        <w:spacing w:after="0"/>
        <w:tabs>
          <w:tab w:leader="none" w:pos="720" w:val="left"/>
        </w:tabs>
        <w:numPr>
          <w:ilvl w:val="0"/>
          <w:numId w:val="8"/>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Check if the Aggregate Amount in Row (9) Excludes Certain Shares</w:t>
      </w:r>
    </w:p>
    <w:p>
      <w:pPr>
        <w:spacing w:after="0" w:line="31" w:lineRule="exact"/>
        <w:rPr>
          <w:sz w:val="20"/>
          <w:szCs w:val="20"/>
          <w:color w:val="auto"/>
        </w:rPr>
      </w:pPr>
    </w:p>
    <w:p>
      <w:pPr>
        <w:ind w:left="720"/>
        <w:spacing w:after="0"/>
        <w:tabs>
          <w:tab w:leader="none" w:pos="2380" w:val="left"/>
        </w:tabs>
        <w:rPr>
          <w:sz w:val="20"/>
          <w:szCs w:val="20"/>
          <w:color w:val="auto"/>
        </w:rPr>
      </w:pPr>
      <w:r>
        <w:rPr>
          <w:rFonts w:ascii="Times New Roman" w:cs="Times New Roman" w:eastAsia="Times New Roman" w:hAnsi="Times New Roman"/>
          <w:sz w:val="18"/>
          <w:szCs w:val="18"/>
          <w:b w:val="1"/>
          <w:bCs w:val="1"/>
          <w:color w:val="auto"/>
        </w:rPr>
        <w:t>(See Instructions) [</w:t>
        <w:tab/>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132320" cy="1714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pacing w:after="0" w:line="200" w:lineRule="exact"/>
        <w:rPr>
          <w:sz w:val="20"/>
          <w:szCs w:val="20"/>
          <w:color w:val="auto"/>
        </w:rPr>
      </w:pPr>
    </w:p>
    <w:p>
      <w:pPr>
        <w:spacing w:after="0" w:line="226"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600" w:type="dxa"/>
            <w:vAlign w:val="bottom"/>
          </w:tcPr>
          <w:p>
            <w:pPr>
              <w:jc w:val="right"/>
              <w:ind w:right="50"/>
              <w:spacing w:after="0"/>
              <w:rPr>
                <w:sz w:val="20"/>
                <w:szCs w:val="20"/>
                <w:color w:val="auto"/>
              </w:rPr>
            </w:pPr>
            <w:r>
              <w:rPr>
                <w:rFonts w:ascii="Times New Roman" w:cs="Times New Roman" w:eastAsia="Times New Roman" w:hAnsi="Times New Roman"/>
                <w:sz w:val="18"/>
                <w:szCs w:val="18"/>
                <w:b w:val="1"/>
                <w:bCs w:val="1"/>
                <w:color w:val="auto"/>
              </w:rPr>
              <w:t>11.</w:t>
            </w: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Percent of Class Represented by Amount in Row (9)</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4.93%</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jc w:val="right"/>
              <w:ind w:right="30"/>
              <w:spacing w:after="0"/>
              <w:rPr>
                <w:sz w:val="20"/>
                <w:szCs w:val="20"/>
                <w:color w:val="auto"/>
              </w:rPr>
            </w:pPr>
            <w:r>
              <w:rPr>
                <w:rFonts w:ascii="Times New Roman" w:cs="Times New Roman" w:eastAsia="Times New Roman" w:hAnsi="Times New Roman"/>
                <w:sz w:val="18"/>
                <w:szCs w:val="18"/>
                <w:b w:val="1"/>
                <w:bCs w:val="1"/>
                <w:color w:val="auto"/>
              </w:rPr>
              <w:t>12.</w:t>
            </w:r>
          </w:p>
        </w:tc>
        <w:tc>
          <w:tcPr>
            <w:tcW w:w="7720" w:type="dxa"/>
            <w:vAlign w:val="bottom"/>
          </w:tcPr>
          <w:p>
            <w:pPr>
              <w:ind w:left="120"/>
              <w:spacing w:after="0"/>
              <w:rPr>
                <w:sz w:val="20"/>
                <w:szCs w:val="20"/>
                <w:color w:val="auto"/>
              </w:rPr>
            </w:pPr>
            <w:r>
              <w:rPr>
                <w:rFonts w:ascii="Times New Roman" w:cs="Times New Roman" w:eastAsia="Times New Roman" w:hAnsi="Times New Roman"/>
                <w:sz w:val="18"/>
                <w:szCs w:val="18"/>
                <w:b w:val="1"/>
                <w:bCs w:val="1"/>
                <w:color w:val="auto"/>
              </w:rPr>
              <w:t>Type of Reporting Person (See Instructions)</w:t>
            </w:r>
          </w:p>
        </w:tc>
        <w:tc>
          <w:tcPr>
            <w:tcW w:w="2920" w:type="dxa"/>
            <w:vAlign w:val="bottom"/>
          </w:tcPr>
          <w:p>
            <w:pPr>
              <w:jc w:val="right"/>
              <w:spacing w:after="0"/>
              <w:rPr>
                <w:sz w:val="20"/>
                <w:szCs w:val="20"/>
                <w:color w:val="auto"/>
              </w:rPr>
            </w:pPr>
            <w:r>
              <w:rPr>
                <w:rFonts w:ascii="Times New Roman" w:cs="Times New Roman" w:eastAsia="Times New Roman" w:hAnsi="Times New Roman"/>
                <w:sz w:val="18"/>
                <w:szCs w:val="18"/>
                <w:color w:val="auto"/>
              </w:rPr>
              <w:t>HC</w:t>
            </w:r>
          </w:p>
        </w:tc>
      </w:tr>
      <w:tr>
        <w:trPr>
          <w:trHeight w:val="223"/>
        </w:trPr>
        <w:tc>
          <w:tcPr>
            <w:tcW w:w="600" w:type="dxa"/>
            <w:vAlign w:val="bottom"/>
            <w:tcBorders>
              <w:bottom w:val="single" w:sz="8" w:color="auto"/>
            </w:tcBorders>
          </w:tcPr>
          <w:p>
            <w:pPr>
              <w:spacing w:after="0"/>
              <w:rPr>
                <w:sz w:val="19"/>
                <w:szCs w:val="19"/>
                <w:color w:val="auto"/>
              </w:rPr>
            </w:pPr>
          </w:p>
        </w:tc>
        <w:tc>
          <w:tcPr>
            <w:tcW w:w="7720" w:type="dxa"/>
            <w:vAlign w:val="bottom"/>
            <w:tcBorders>
              <w:bottom w:val="single" w:sz="8" w:color="auto"/>
            </w:tcBorders>
          </w:tcPr>
          <w:p>
            <w:pPr>
              <w:spacing w:after="0"/>
              <w:rPr>
                <w:sz w:val="19"/>
                <w:szCs w:val="19"/>
                <w:color w:val="auto"/>
              </w:rPr>
            </w:pPr>
          </w:p>
        </w:tc>
        <w:tc>
          <w:tcPr>
            <w:tcW w:w="2920" w:type="dxa"/>
            <w:vAlign w:val="bottom"/>
            <w:tcBorders>
              <w:bottom w:val="single" w:sz="8" w:color="auto"/>
            </w:tcBorders>
          </w:tcPr>
          <w:p>
            <w:pPr>
              <w:spacing w:after="0"/>
              <w:rPr>
                <w:sz w:val="19"/>
                <w:szCs w:val="19"/>
                <w:color w:val="auto"/>
              </w:rPr>
            </w:pPr>
          </w:p>
        </w:tc>
      </w:tr>
      <w:tr>
        <w:trPr>
          <w:trHeight w:val="432"/>
        </w:trPr>
        <w:tc>
          <w:tcPr>
            <w:tcW w:w="600" w:type="dxa"/>
            <w:vAlign w:val="bottom"/>
          </w:tcPr>
          <w:p>
            <w:pPr>
              <w:spacing w:after="0"/>
              <w:rPr>
                <w:sz w:val="24"/>
                <w:szCs w:val="24"/>
                <w:color w:val="auto"/>
              </w:rPr>
            </w:pPr>
          </w:p>
        </w:tc>
        <w:tc>
          <w:tcPr>
            <w:tcW w:w="77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Page 5 of 9 pages</w:t>
            </w:r>
          </w:p>
        </w:tc>
        <w:tc>
          <w:tcPr>
            <w:tcW w:w="2920" w:type="dxa"/>
            <w:vAlign w:val="bottom"/>
          </w:tcPr>
          <w:p>
            <w:pPr>
              <w:spacing w:after="0"/>
              <w:rPr>
                <w:sz w:val="24"/>
                <w:szCs w:val="24"/>
                <w:color w:val="auto"/>
              </w:rPr>
            </w:pPr>
          </w:p>
        </w:tc>
      </w:tr>
      <w:tr>
        <w:trPr>
          <w:trHeight w:val="183"/>
        </w:trPr>
        <w:tc>
          <w:tcPr>
            <w:tcW w:w="600" w:type="dxa"/>
            <w:vAlign w:val="bottom"/>
            <w:tcBorders>
              <w:bottom w:val="single" w:sz="8" w:color="auto"/>
            </w:tcBorders>
          </w:tcPr>
          <w:p>
            <w:pPr>
              <w:spacing w:after="0"/>
              <w:rPr>
                <w:sz w:val="15"/>
                <w:szCs w:val="15"/>
                <w:color w:val="auto"/>
              </w:rPr>
            </w:pPr>
          </w:p>
        </w:tc>
        <w:tc>
          <w:tcPr>
            <w:tcW w:w="7720" w:type="dxa"/>
            <w:vAlign w:val="bottom"/>
            <w:tcBorders>
              <w:bottom w:val="single" w:sz="8" w:color="auto"/>
            </w:tcBorders>
          </w:tcPr>
          <w:p>
            <w:pPr>
              <w:spacing w:after="0"/>
              <w:rPr>
                <w:sz w:val="15"/>
                <w:szCs w:val="15"/>
                <w:color w:val="auto"/>
              </w:rPr>
            </w:pPr>
          </w:p>
        </w:tc>
        <w:tc>
          <w:tcPr>
            <w:tcW w:w="29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549" w:right="339" w:bottom="1440" w:gutter="0" w:footer="0" w:header="0"/>
        </w:sectPr>
      </w:pPr>
    </w:p>
    <w:bookmarkStart w:id="5" w:name="page6"/>
    <w:bookmarkEnd w:id="5"/>
    <w:p>
      <w:pPr>
        <w:spacing w:after="0"/>
        <w:rPr>
          <w:sz w:val="20"/>
          <w:szCs w:val="20"/>
          <w:color w:val="auto"/>
        </w:rPr>
      </w:pPr>
      <w:r>
        <w:rPr>
          <w:rFonts w:ascii="Times New Roman" w:cs="Times New Roman" w:eastAsia="Times New Roman" w:hAnsi="Times New Roman"/>
          <w:sz w:val="18"/>
          <w:szCs w:val="18"/>
          <w:b w:val="1"/>
          <w:bCs w:val="1"/>
          <w:color w:val="auto"/>
        </w:rPr>
        <w:t>Item 1.</w:t>
      </w:r>
    </w:p>
    <w:p>
      <w:pPr>
        <w:spacing w:after="0" w:line="225" w:lineRule="exact"/>
        <w:rPr>
          <w:sz w:val="20"/>
          <w:szCs w:val="20"/>
          <w:color w:val="auto"/>
        </w:rPr>
      </w:pPr>
    </w:p>
    <w:p>
      <w:pPr>
        <w:ind w:left="1380" w:right="7579" w:hanging="795"/>
        <w:spacing w:after="0" w:line="582" w:lineRule="auto"/>
        <w:tabs>
          <w:tab w:leader="none" w:pos="1380" w:val="left"/>
        </w:tabs>
        <w:numPr>
          <w:ilvl w:val="0"/>
          <w:numId w:val="9"/>
        </w:numPr>
        <w:rPr>
          <w:rFonts w:ascii="Times New Roman" w:cs="Times New Roman" w:eastAsia="Times New Roman" w:hAnsi="Times New Roman"/>
          <w:sz w:val="17"/>
          <w:szCs w:val="17"/>
          <w:b w:val="1"/>
          <w:bCs w:val="1"/>
          <w:color w:val="auto"/>
        </w:rPr>
      </w:pPr>
      <w:r>
        <w:rPr>
          <w:rFonts w:ascii="Times New Roman" w:cs="Times New Roman" w:eastAsia="Times New Roman" w:hAnsi="Times New Roman"/>
          <w:sz w:val="17"/>
          <w:szCs w:val="17"/>
          <w:b w:val="1"/>
          <w:bCs w:val="1"/>
          <w:color w:val="auto"/>
        </w:rPr>
        <w:t xml:space="preserve">Name of Issuer. </w:t>
      </w:r>
      <w:r>
        <w:rPr>
          <w:rFonts w:ascii="Times New Roman" w:cs="Times New Roman" w:eastAsia="Times New Roman" w:hAnsi="Times New Roman"/>
          <w:sz w:val="17"/>
          <w:szCs w:val="17"/>
          <w:color w:val="auto"/>
        </w:rPr>
        <w:t>Embecta Corp.</w:t>
      </w:r>
    </w:p>
    <w:p>
      <w:pPr>
        <w:spacing w:after="0" w:line="135" w:lineRule="exact"/>
        <w:rPr>
          <w:rFonts w:ascii="Times New Roman" w:cs="Times New Roman" w:eastAsia="Times New Roman" w:hAnsi="Times New Roman"/>
          <w:sz w:val="17"/>
          <w:szCs w:val="17"/>
          <w:b w:val="1"/>
          <w:bCs w:val="1"/>
          <w:color w:val="auto"/>
        </w:rPr>
      </w:pPr>
    </w:p>
    <w:p>
      <w:pPr>
        <w:ind w:left="1380" w:hanging="800"/>
        <w:spacing w:after="0"/>
        <w:tabs>
          <w:tab w:leader="none" w:pos="1380" w:val="left"/>
        </w:tabs>
        <w:numPr>
          <w:ilvl w:val="0"/>
          <w:numId w:val="9"/>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Address of Issuer’s Principal Executive Offices</w:t>
      </w:r>
    </w:p>
    <w:p>
      <w:pPr>
        <w:spacing w:after="0" w:line="225" w:lineRule="exact"/>
        <w:rPr>
          <w:rFonts w:ascii="Times New Roman" w:cs="Times New Roman" w:eastAsia="Times New Roman" w:hAnsi="Times New Roman"/>
          <w:sz w:val="18"/>
          <w:szCs w:val="18"/>
          <w:b w:val="1"/>
          <w:bCs w:val="1"/>
          <w:color w:val="auto"/>
        </w:rPr>
      </w:pPr>
    </w:p>
    <w:p>
      <w:pPr>
        <w:ind w:left="1380" w:right="6519"/>
        <w:spacing w:after="0" w:line="282"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300 Kimball Drive, Suite 300 Parsippany, New Jersey 07054</w:t>
      </w:r>
    </w:p>
    <w:p>
      <w:pPr>
        <w:spacing w:after="0" w:line="158"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b w:val="1"/>
          <w:bCs w:val="1"/>
          <w:color w:val="auto"/>
        </w:rPr>
        <w:t>Item 2.</w:t>
      </w:r>
    </w:p>
    <w:p>
      <w:pPr>
        <w:spacing w:after="0" w:line="225" w:lineRule="exact"/>
        <w:rPr>
          <w:sz w:val="20"/>
          <w:szCs w:val="20"/>
          <w:color w:val="auto"/>
        </w:rPr>
      </w:pPr>
    </w:p>
    <w:p>
      <w:pPr>
        <w:ind w:left="1380" w:hanging="795"/>
        <w:spacing w:after="0"/>
        <w:tabs>
          <w:tab w:leader="none" w:pos="1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Name of Person Filing.</w:t>
      </w:r>
    </w:p>
    <w:p>
      <w:pPr>
        <w:spacing w:after="0" w:line="229" w:lineRule="exact"/>
        <w:rPr>
          <w:rFonts w:ascii="Times New Roman" w:cs="Times New Roman" w:eastAsia="Times New Roman" w:hAnsi="Times New Roman"/>
          <w:sz w:val="18"/>
          <w:szCs w:val="18"/>
          <w:b w:val="1"/>
          <w:bCs w:val="1"/>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Century Capital Portfolios, Inc.</w:t>
      </w:r>
    </w:p>
    <w:p>
      <w:pPr>
        <w:spacing w:after="0" w:line="225" w:lineRule="exact"/>
        <w:rPr>
          <w:rFonts w:ascii="Times New Roman" w:cs="Times New Roman" w:eastAsia="Times New Roman" w:hAnsi="Times New Roman"/>
          <w:sz w:val="18"/>
          <w:szCs w:val="18"/>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Century Investment Management, Inc.</w:t>
      </w:r>
    </w:p>
    <w:p>
      <w:pPr>
        <w:spacing w:after="0" w:line="225" w:lineRule="exact"/>
        <w:rPr>
          <w:rFonts w:ascii="Times New Roman" w:cs="Times New Roman" w:eastAsia="Times New Roman" w:hAnsi="Times New Roman"/>
          <w:sz w:val="18"/>
          <w:szCs w:val="18"/>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Century Companies, Inc.</w:t>
      </w:r>
    </w:p>
    <w:p>
      <w:pPr>
        <w:spacing w:after="0" w:line="225" w:lineRule="exact"/>
        <w:rPr>
          <w:rFonts w:ascii="Times New Roman" w:cs="Times New Roman" w:eastAsia="Times New Roman" w:hAnsi="Times New Roman"/>
          <w:sz w:val="18"/>
          <w:szCs w:val="18"/>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Stowers Institute for Medical Research</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1380" w:hanging="800"/>
        <w:spacing w:after="0"/>
        <w:tabs>
          <w:tab w:leader="none" w:pos="1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Address of Principal Business Office or, if none, Residence.</w:t>
      </w:r>
    </w:p>
    <w:p>
      <w:pPr>
        <w:spacing w:after="0" w:line="229" w:lineRule="exact"/>
        <w:rPr>
          <w:rFonts w:ascii="Times New Roman" w:cs="Times New Roman" w:eastAsia="Times New Roman" w:hAnsi="Times New Roman"/>
          <w:sz w:val="18"/>
          <w:szCs w:val="18"/>
          <w:b w:val="1"/>
          <w:bCs w:val="1"/>
          <w:color w:val="auto"/>
        </w:rPr>
      </w:pP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4500 Main Street</w:t>
      </w:r>
    </w:p>
    <w:p>
      <w:pPr>
        <w:spacing w:after="0" w:line="23" w:lineRule="exact"/>
        <w:rPr>
          <w:rFonts w:ascii="Times New Roman" w:cs="Times New Roman" w:eastAsia="Times New Roman" w:hAnsi="Times New Roman"/>
          <w:sz w:val="18"/>
          <w:szCs w:val="18"/>
          <w:b w:val="1"/>
          <w:bCs w:val="1"/>
          <w:color w:val="auto"/>
        </w:rPr>
      </w:pPr>
    </w:p>
    <w:p>
      <w:pPr>
        <w:ind w:left="1380"/>
        <w:spacing w:after="0" w:line="185" w:lineRule="auto"/>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9</w:t>
      </w:r>
      <w:r>
        <w:rPr>
          <w:rFonts w:ascii="Times New Roman" w:cs="Times New Roman" w:eastAsia="Times New Roman" w:hAnsi="Times New Roman"/>
          <w:sz w:val="25"/>
          <w:szCs w:val="25"/>
          <w:color w:val="auto"/>
          <w:vertAlign w:val="superscript"/>
        </w:rPr>
        <w:t>th</w:t>
      </w:r>
      <w:r>
        <w:rPr>
          <w:rFonts w:ascii="Times New Roman" w:cs="Times New Roman" w:eastAsia="Times New Roman" w:hAnsi="Times New Roman"/>
          <w:sz w:val="18"/>
          <w:szCs w:val="18"/>
          <w:color w:val="auto"/>
        </w:rPr>
        <w:t xml:space="preserve"> Floor</w:t>
      </w: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Kansas City, Missouri 64111</w:t>
      </w:r>
    </w:p>
    <w:p>
      <w:pPr>
        <w:spacing w:after="0" w:line="200" w:lineRule="exact"/>
        <w:rPr>
          <w:rFonts w:ascii="Times New Roman" w:cs="Times New Roman" w:eastAsia="Times New Roman" w:hAnsi="Times New Roman"/>
          <w:sz w:val="18"/>
          <w:szCs w:val="18"/>
          <w:b w:val="1"/>
          <w:bCs w:val="1"/>
          <w:color w:val="auto"/>
        </w:rPr>
      </w:pPr>
    </w:p>
    <w:p>
      <w:pPr>
        <w:spacing w:after="0" w:line="217" w:lineRule="exact"/>
        <w:rPr>
          <w:rFonts w:ascii="Times New Roman" w:cs="Times New Roman" w:eastAsia="Times New Roman" w:hAnsi="Times New Roman"/>
          <w:sz w:val="18"/>
          <w:szCs w:val="18"/>
          <w:b w:val="1"/>
          <w:bCs w:val="1"/>
          <w:color w:val="auto"/>
        </w:rPr>
      </w:pPr>
    </w:p>
    <w:p>
      <w:pPr>
        <w:ind w:left="1380" w:hanging="790"/>
        <w:spacing w:after="0"/>
        <w:tabs>
          <w:tab w:leader="none" w:pos="1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Citizenship.</w:t>
      </w:r>
    </w:p>
    <w:p>
      <w:pPr>
        <w:spacing w:after="0" w:line="229" w:lineRule="exact"/>
        <w:rPr>
          <w:rFonts w:ascii="Times New Roman" w:cs="Times New Roman" w:eastAsia="Times New Roman" w:hAnsi="Times New Roman"/>
          <w:sz w:val="18"/>
          <w:szCs w:val="18"/>
          <w:b w:val="1"/>
          <w:bCs w:val="1"/>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Maryland</w:t>
      </w:r>
    </w:p>
    <w:p>
      <w:pPr>
        <w:spacing w:after="0" w:line="225" w:lineRule="exact"/>
        <w:rPr>
          <w:rFonts w:ascii="Times New Roman" w:cs="Times New Roman" w:eastAsia="Times New Roman" w:hAnsi="Times New Roman"/>
          <w:sz w:val="18"/>
          <w:szCs w:val="18"/>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25" w:lineRule="exact"/>
        <w:rPr>
          <w:rFonts w:ascii="Times New Roman" w:cs="Times New Roman" w:eastAsia="Times New Roman" w:hAnsi="Times New Roman"/>
          <w:sz w:val="18"/>
          <w:szCs w:val="18"/>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25" w:lineRule="exact"/>
        <w:rPr>
          <w:rFonts w:ascii="Times New Roman" w:cs="Times New Roman" w:eastAsia="Times New Roman" w:hAnsi="Times New Roman"/>
          <w:sz w:val="18"/>
          <w:szCs w:val="18"/>
          <w:color w:val="auto"/>
        </w:rPr>
      </w:pPr>
    </w:p>
    <w:p>
      <w:pPr>
        <w:ind w:left="2300" w:hanging="929"/>
        <w:spacing w:after="0"/>
        <w:tabs>
          <w:tab w:leader="none" w:pos="2300" w:val="left"/>
        </w:tabs>
        <w:numPr>
          <w:ilvl w:val="1"/>
          <w:numId w:val="10"/>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Delaware</w:t>
      </w:r>
    </w:p>
    <w:p>
      <w:pPr>
        <w:spacing w:after="0" w:line="200" w:lineRule="exact"/>
        <w:rPr>
          <w:rFonts w:ascii="Times New Roman" w:cs="Times New Roman" w:eastAsia="Times New Roman" w:hAnsi="Times New Roman"/>
          <w:sz w:val="18"/>
          <w:szCs w:val="18"/>
          <w:color w:val="auto"/>
        </w:rPr>
      </w:pPr>
    </w:p>
    <w:p>
      <w:pPr>
        <w:spacing w:after="0" w:line="237" w:lineRule="exact"/>
        <w:rPr>
          <w:rFonts w:ascii="Times New Roman" w:cs="Times New Roman" w:eastAsia="Times New Roman" w:hAnsi="Times New Roman"/>
          <w:sz w:val="18"/>
          <w:szCs w:val="18"/>
          <w:color w:val="auto"/>
        </w:rPr>
      </w:pPr>
    </w:p>
    <w:p>
      <w:pPr>
        <w:ind w:left="1380" w:hanging="800"/>
        <w:spacing w:after="0"/>
        <w:tabs>
          <w:tab w:leader="none" w:pos="1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Title of Class of Securities.</w:t>
      </w:r>
    </w:p>
    <w:p>
      <w:pPr>
        <w:spacing w:after="0" w:line="229" w:lineRule="exact"/>
        <w:rPr>
          <w:rFonts w:ascii="Times New Roman" w:cs="Times New Roman" w:eastAsia="Times New Roman" w:hAnsi="Times New Roman"/>
          <w:sz w:val="18"/>
          <w:szCs w:val="18"/>
          <w:b w:val="1"/>
          <w:bCs w:val="1"/>
          <w:color w:val="auto"/>
        </w:rPr>
      </w:pP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 is made to the cover page of this filing.</w:t>
      </w:r>
    </w:p>
    <w:p>
      <w:pPr>
        <w:spacing w:after="0" w:line="200" w:lineRule="exact"/>
        <w:rPr>
          <w:rFonts w:ascii="Times New Roman" w:cs="Times New Roman" w:eastAsia="Times New Roman" w:hAnsi="Times New Roman"/>
          <w:sz w:val="18"/>
          <w:szCs w:val="18"/>
          <w:b w:val="1"/>
          <w:bCs w:val="1"/>
          <w:color w:val="auto"/>
        </w:rPr>
      </w:pPr>
    </w:p>
    <w:p>
      <w:pPr>
        <w:spacing w:after="0" w:line="237" w:lineRule="exact"/>
        <w:rPr>
          <w:rFonts w:ascii="Times New Roman" w:cs="Times New Roman" w:eastAsia="Times New Roman" w:hAnsi="Times New Roman"/>
          <w:sz w:val="18"/>
          <w:szCs w:val="18"/>
          <w:b w:val="1"/>
          <w:bCs w:val="1"/>
          <w:color w:val="auto"/>
        </w:rPr>
      </w:pPr>
    </w:p>
    <w:p>
      <w:pPr>
        <w:ind w:left="1380" w:hanging="790"/>
        <w:spacing w:after="0"/>
        <w:tabs>
          <w:tab w:leader="none" w:pos="1380" w:val="left"/>
        </w:tabs>
        <w:numPr>
          <w:ilvl w:val="0"/>
          <w:numId w:val="10"/>
        </w:numPr>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b w:val="1"/>
          <w:bCs w:val="1"/>
          <w:color w:val="auto"/>
        </w:rPr>
        <w:t>CUSIP Number.</w:t>
      </w:r>
    </w:p>
    <w:p>
      <w:pPr>
        <w:spacing w:after="0" w:line="229" w:lineRule="exact"/>
        <w:rPr>
          <w:rFonts w:ascii="Times New Roman" w:cs="Times New Roman" w:eastAsia="Times New Roman" w:hAnsi="Times New Roman"/>
          <w:sz w:val="18"/>
          <w:szCs w:val="18"/>
          <w:b w:val="1"/>
          <w:bCs w:val="1"/>
          <w:color w:val="auto"/>
        </w:rPr>
      </w:pPr>
    </w:p>
    <w:p>
      <w:pPr>
        <w:ind w:left="1380"/>
        <w:spacing w:after="0"/>
        <w:rPr>
          <w:rFonts w:ascii="Times New Roman" w:cs="Times New Roman" w:eastAsia="Times New Roman" w:hAnsi="Times New Roman"/>
          <w:sz w:val="18"/>
          <w:szCs w:val="18"/>
          <w:b w:val="1"/>
          <w:bCs w:val="1"/>
          <w:color w:val="auto"/>
        </w:rPr>
      </w:pPr>
      <w:r>
        <w:rPr>
          <w:rFonts w:ascii="Times New Roman" w:cs="Times New Roman" w:eastAsia="Times New Roman" w:hAnsi="Times New Roman"/>
          <w:sz w:val="18"/>
          <w:szCs w:val="18"/>
          <w:color w:val="auto"/>
        </w:rPr>
        <w:t>Reference is made to the cover page of this filing.</w:t>
      </w:r>
    </w:p>
    <w:p>
      <w:pPr>
        <w:spacing w:after="0" w:line="221" w:lineRule="exact"/>
        <w:rPr>
          <w:sz w:val="20"/>
          <w:szCs w:val="20"/>
          <w:color w:val="auto"/>
        </w:rPr>
      </w:pPr>
    </w:p>
    <w:p>
      <w:pPr>
        <w:jc w:val="right"/>
        <w:ind w:right="3859"/>
        <w:spacing w:after="0"/>
        <w:rPr>
          <w:sz w:val="20"/>
          <w:szCs w:val="20"/>
          <w:color w:val="auto"/>
        </w:rPr>
      </w:pPr>
      <w:r>
        <w:rPr>
          <w:rFonts w:ascii="Times New Roman" w:cs="Times New Roman" w:eastAsia="Times New Roman" w:hAnsi="Times New Roman"/>
          <w:sz w:val="18"/>
          <w:szCs w:val="18"/>
          <w:b w:val="1"/>
          <w:bCs w:val="1"/>
          <w:color w:val="auto"/>
        </w:rPr>
        <w:t>Page 6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0139"/>
          </w:cols>
          <w:pgMar w:left="320" w:top="549" w:right="1440" w:bottom="1440" w:gutter="0" w:footer="0" w:header="0"/>
        </w:sectPr>
      </w:pPr>
    </w:p>
    <w:bookmarkStart w:id="6" w:name="page7"/>
    <w:bookmarkEnd w:id="6"/>
    <w:p>
      <w:pPr>
        <w:spacing w:after="0"/>
        <w:tabs>
          <w:tab w:leader="none" w:pos="1460" w:val="left"/>
        </w:tabs>
        <w:rPr>
          <w:sz w:val="20"/>
          <w:szCs w:val="20"/>
          <w:color w:val="auto"/>
        </w:rPr>
      </w:pPr>
      <w:r>
        <w:rPr>
          <w:rFonts w:ascii="Times New Roman" w:cs="Times New Roman" w:eastAsia="Times New Roman" w:hAnsi="Times New Roman"/>
          <w:sz w:val="18"/>
          <w:szCs w:val="18"/>
          <w:b w:val="1"/>
          <w:bCs w:val="1"/>
          <w:color w:val="auto"/>
        </w:rPr>
        <w:t>Item 3.</w:t>
      </w:r>
      <w:r>
        <w:rPr>
          <w:sz w:val="20"/>
          <w:szCs w:val="20"/>
          <w:color w:val="auto"/>
        </w:rPr>
        <w:tab/>
      </w:r>
      <w:r>
        <w:rPr>
          <w:rFonts w:ascii="Times New Roman" w:cs="Times New Roman" w:eastAsia="Times New Roman" w:hAnsi="Times New Roman"/>
          <w:sz w:val="18"/>
          <w:szCs w:val="18"/>
          <w:b w:val="1"/>
          <w:bCs w:val="1"/>
          <w:color w:val="auto"/>
        </w:rPr>
        <w:t>If this statement is filed pursuant to §§240.13d-1(b) or 240.13d-2(b) or (c), check whether the person filing is a:</w:t>
      </w:r>
    </w:p>
    <w:p>
      <w:pPr>
        <w:spacing w:after="0" w:line="229" w:lineRule="exact"/>
        <w:rPr>
          <w:sz w:val="20"/>
          <w:szCs w:val="20"/>
          <w:color w:val="auto"/>
        </w:rPr>
      </w:pPr>
    </w:p>
    <w:p>
      <w:pPr>
        <w:ind w:left="2040" w:right="300" w:hanging="561"/>
        <w:spacing w:after="0" w:line="282" w:lineRule="auto"/>
        <w:tabs>
          <w:tab w:leader="none" w:pos="2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Century Capital Portfolios, Inc. is an investment company registered under Section 8 of the Investment Company Act of 1940 (15 U.S.C. 80a-8).</w:t>
      </w:r>
    </w:p>
    <w:p>
      <w:pPr>
        <w:spacing w:after="0" w:line="161" w:lineRule="exact"/>
        <w:rPr>
          <w:rFonts w:ascii="Times New Roman" w:cs="Times New Roman" w:eastAsia="Times New Roman" w:hAnsi="Times New Roman"/>
          <w:sz w:val="18"/>
          <w:szCs w:val="18"/>
          <w:color w:val="auto"/>
        </w:rPr>
      </w:pPr>
    </w:p>
    <w:p>
      <w:pPr>
        <w:ind w:left="2040" w:hanging="561"/>
        <w:spacing w:after="0"/>
        <w:tabs>
          <w:tab w:leader="none" w:pos="2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American Century Investment Management, Inc. is an investment adviser in accordance with §240.13d-1(b)(1)(ii)(E).</w:t>
      </w:r>
    </w:p>
    <w:p>
      <w:pPr>
        <w:spacing w:after="0" w:line="221" w:lineRule="exact"/>
        <w:rPr>
          <w:rFonts w:ascii="Times New Roman" w:cs="Times New Roman" w:eastAsia="Times New Roman" w:hAnsi="Times New Roman"/>
          <w:sz w:val="18"/>
          <w:szCs w:val="18"/>
          <w:color w:val="auto"/>
        </w:rPr>
      </w:pPr>
    </w:p>
    <w:p>
      <w:pPr>
        <w:ind w:left="2040" w:hanging="561"/>
        <w:spacing w:after="0"/>
        <w:tabs>
          <w:tab w:leader="none" w:pos="2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American Century Companies, Inc. is a parent holding company or control person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240.13d-1(b)(1)(ii)(G).</w:t>
      </w:r>
    </w:p>
    <w:p>
      <w:pPr>
        <w:spacing w:after="0" w:line="225" w:lineRule="exact"/>
        <w:rPr>
          <w:rFonts w:ascii="Times New Roman" w:cs="Times New Roman" w:eastAsia="Times New Roman" w:hAnsi="Times New Roman"/>
          <w:sz w:val="18"/>
          <w:szCs w:val="18"/>
          <w:color w:val="auto"/>
        </w:rPr>
      </w:pPr>
    </w:p>
    <w:p>
      <w:pPr>
        <w:ind w:left="2040" w:hanging="561"/>
        <w:spacing w:after="0"/>
        <w:tabs>
          <w:tab w:leader="none" w:pos="2040" w:val="left"/>
        </w:tabs>
        <w:numPr>
          <w:ilvl w:val="0"/>
          <w:numId w:val="11"/>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Stowers Institute for Medical Research, is a parent holding company or control person in accordance with </w:t>
      </w:r>
      <w:r>
        <w:rPr>
          <w:rFonts w:ascii="Times New Roman" w:cs="Times New Roman" w:eastAsia="Times New Roman" w:hAnsi="Times New Roman"/>
          <w:sz w:val="18"/>
          <w:szCs w:val="18"/>
          <w:b w:val="1"/>
          <w:bCs w:val="1"/>
          <w:color w:val="auto"/>
        </w:rPr>
        <w:t>§</w:t>
      </w:r>
      <w:r>
        <w:rPr>
          <w:rFonts w:ascii="Times New Roman" w:cs="Times New Roman" w:eastAsia="Times New Roman" w:hAnsi="Times New Roman"/>
          <w:sz w:val="18"/>
          <w:szCs w:val="18"/>
          <w:color w:val="auto"/>
        </w:rPr>
        <w:t>240.13d-1(b)(1)(ii)</w:t>
      </w:r>
    </w:p>
    <w:p>
      <w:pPr>
        <w:spacing w:after="0" w:line="31" w:lineRule="exact"/>
        <w:rPr>
          <w:rFonts w:ascii="Times New Roman" w:cs="Times New Roman" w:eastAsia="Times New Roman" w:hAnsi="Times New Roman"/>
          <w:sz w:val="18"/>
          <w:szCs w:val="18"/>
          <w:color w:val="auto"/>
        </w:rPr>
      </w:pPr>
    </w:p>
    <w:p>
      <w:pPr>
        <w:ind w:left="2040"/>
        <w:spacing w:after="0"/>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(G).</w:t>
      </w:r>
    </w:p>
    <w:p>
      <w:pPr>
        <w:spacing w:after="0" w:line="200" w:lineRule="exact"/>
        <w:rPr>
          <w:sz w:val="20"/>
          <w:szCs w:val="20"/>
          <w:color w:val="auto"/>
        </w:rPr>
      </w:pPr>
    </w:p>
    <w:p>
      <w:pPr>
        <w:spacing w:after="0" w:line="219" w:lineRule="exact"/>
        <w:rPr>
          <w:sz w:val="20"/>
          <w:szCs w:val="20"/>
          <w:color w:val="auto"/>
        </w:rPr>
      </w:pPr>
    </w:p>
    <w:tbl>
      <w:tblPr>
        <w:tblLayout w:type="fixed"/>
        <w:tblInd w:w="0" w:type="dxa"/>
        <w:tblCellMar>
          <w:top w:w="0" w:type="dxa"/>
          <w:left w:w="0" w:type="dxa"/>
          <w:bottom w:w="0" w:type="dxa"/>
          <w:right w:w="0" w:type="dxa"/>
        </w:tblCellMar>
      </w:tblPr>
      <w:tr>
        <w:trPr>
          <w:trHeight w:val="23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4.</w:t>
            </w: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Ownership.</w:t>
            </w:r>
          </w:p>
        </w:tc>
      </w:tr>
      <w:tr>
        <w:trPr>
          <w:trHeight w:val="43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Reference is made to Items 5-9 and 11 on the cover page of this filing.</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5.</w:t>
            </w: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Ownership of Five Percent or Less of a Class.</w:t>
            </w:r>
          </w:p>
        </w:tc>
      </w:tr>
      <w:tr>
        <w:trPr>
          <w:trHeight w:val="414"/>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If this statement is being filed to report the fact that as of the date hereof the reporting person has ceased to be the beneficial owner of</w:t>
            </w:r>
          </w:p>
        </w:tc>
      </w:tr>
      <w:tr>
        <w:trPr>
          <w:trHeight w:val="234"/>
        </w:trPr>
        <w:tc>
          <w:tcPr>
            <w:tcW w:w="1020" w:type="dxa"/>
            <w:vAlign w:val="bottom"/>
          </w:tcPr>
          <w:p>
            <w:pPr>
              <w:spacing w:after="0"/>
              <w:rPr>
                <w:sz w:val="20"/>
                <w:szCs w:val="20"/>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more than five percent of the class of securities, check the following [  X  ].</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6.</w:t>
            </w: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Ownership of More than Five Percent on Behalf of Another Person.</w:t>
            </w:r>
          </w:p>
        </w:tc>
      </w:tr>
      <w:tr>
        <w:trPr>
          <w:trHeight w:val="414"/>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Various persons, including the investment companies and separate institutional investor accounts that American Century Investment</w:t>
            </w:r>
          </w:p>
        </w:tc>
      </w:tr>
      <w:tr>
        <w:trPr>
          <w:trHeight w:val="216"/>
        </w:trPr>
        <w:tc>
          <w:tcPr>
            <w:tcW w:w="1020" w:type="dxa"/>
            <w:vAlign w:val="bottom"/>
          </w:tcPr>
          <w:p>
            <w:pPr>
              <w:spacing w:after="0"/>
              <w:rPr>
                <w:sz w:val="18"/>
                <w:szCs w:val="18"/>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Management, Inc. (“ACIM”) serves as investment adviser, have the right to receive or the power to direct the receipt of dividends</w:t>
            </w:r>
          </w:p>
        </w:tc>
      </w:tr>
      <w:tr>
        <w:trPr>
          <w:trHeight w:val="216"/>
        </w:trPr>
        <w:tc>
          <w:tcPr>
            <w:tcW w:w="1020" w:type="dxa"/>
            <w:vAlign w:val="bottom"/>
          </w:tcPr>
          <w:p>
            <w:pPr>
              <w:spacing w:after="0"/>
              <w:rPr>
                <w:sz w:val="18"/>
                <w:szCs w:val="18"/>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from, or the proceeds from the sale of, the securities that are the subject of this schedule. Except as may be otherwise indicated if this</w:t>
            </w:r>
          </w:p>
        </w:tc>
      </w:tr>
      <w:tr>
        <w:trPr>
          <w:trHeight w:val="216"/>
        </w:trPr>
        <w:tc>
          <w:tcPr>
            <w:tcW w:w="1020" w:type="dxa"/>
            <w:vAlign w:val="bottom"/>
          </w:tcPr>
          <w:p>
            <w:pPr>
              <w:spacing w:after="0"/>
              <w:rPr>
                <w:sz w:val="18"/>
                <w:szCs w:val="18"/>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is a joint filing, not more than 5% of the class of securities that is the subject of this schedule is owned by any one client advised by</w:t>
            </w:r>
          </w:p>
        </w:tc>
      </w:tr>
      <w:tr>
        <w:trPr>
          <w:trHeight w:val="234"/>
        </w:trPr>
        <w:tc>
          <w:tcPr>
            <w:tcW w:w="1020" w:type="dxa"/>
            <w:vAlign w:val="bottom"/>
          </w:tcPr>
          <w:p>
            <w:pPr>
              <w:spacing w:after="0"/>
              <w:rPr>
                <w:sz w:val="20"/>
                <w:szCs w:val="20"/>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ACIM.</w:t>
            </w:r>
          </w:p>
        </w:tc>
      </w:tr>
      <w:tr>
        <w:trPr>
          <w:trHeight w:val="626"/>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7.</w:t>
            </w: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the Subsidiary Which Acquired the Security Being Reported on By the Parent Holding</w:t>
            </w:r>
          </w:p>
        </w:tc>
      </w:tr>
      <w:tr>
        <w:trPr>
          <w:trHeight w:val="238"/>
        </w:trPr>
        <w:tc>
          <w:tcPr>
            <w:tcW w:w="1020" w:type="dxa"/>
            <w:vAlign w:val="bottom"/>
          </w:tcPr>
          <w:p>
            <w:pPr>
              <w:spacing w:after="0"/>
              <w:rPr>
                <w:sz w:val="20"/>
                <w:szCs w:val="20"/>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Company or Control Person.</w:t>
            </w:r>
          </w:p>
        </w:tc>
      </w:tr>
      <w:tr>
        <w:trPr>
          <w:trHeight w:val="43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See attached Exhibit A.</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8.</w:t>
            </w: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Identification and Classification of Members of the Group.</w:t>
            </w:r>
          </w:p>
        </w:tc>
      </w:tr>
      <w:tr>
        <w:trPr>
          <w:trHeight w:val="43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648"/>
        </w:trPr>
        <w:tc>
          <w:tcPr>
            <w:tcW w:w="1020" w:type="dxa"/>
            <w:vAlign w:val="bottom"/>
          </w:tcPr>
          <w:p>
            <w:pPr>
              <w:spacing w:after="0"/>
              <w:rPr>
                <w:sz w:val="20"/>
                <w:szCs w:val="20"/>
                <w:color w:val="auto"/>
              </w:rPr>
            </w:pPr>
            <w:r>
              <w:rPr>
                <w:rFonts w:ascii="Times New Roman" w:cs="Times New Roman" w:eastAsia="Times New Roman" w:hAnsi="Times New Roman"/>
                <w:sz w:val="18"/>
                <w:szCs w:val="18"/>
                <w:b w:val="1"/>
                <w:bCs w:val="1"/>
                <w:color w:val="auto"/>
              </w:rPr>
              <w:t>Item 9.</w:t>
            </w: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b w:val="1"/>
                <w:bCs w:val="1"/>
                <w:color w:val="auto"/>
              </w:rPr>
              <w:t>Notice of Dissolution of Group.</w:t>
            </w:r>
          </w:p>
        </w:tc>
      </w:tr>
      <w:tr>
        <w:trPr>
          <w:trHeight w:val="432"/>
        </w:trPr>
        <w:tc>
          <w:tcPr>
            <w:tcW w:w="1020" w:type="dxa"/>
            <w:vAlign w:val="bottom"/>
          </w:tcPr>
          <w:p>
            <w:pPr>
              <w:spacing w:after="0"/>
              <w:rPr>
                <w:sz w:val="24"/>
                <w:szCs w:val="24"/>
                <w:color w:val="auto"/>
              </w:rPr>
            </w:pPr>
          </w:p>
        </w:tc>
        <w:tc>
          <w:tcPr>
            <w:tcW w:w="10220" w:type="dxa"/>
            <w:vAlign w:val="bottom"/>
          </w:tcPr>
          <w:p>
            <w:pPr>
              <w:ind w:left="460"/>
              <w:spacing w:after="0"/>
              <w:rPr>
                <w:sz w:val="20"/>
                <w:szCs w:val="20"/>
                <w:color w:val="auto"/>
              </w:rPr>
            </w:pPr>
            <w:r>
              <w:rPr>
                <w:rFonts w:ascii="Times New Roman" w:cs="Times New Roman" w:eastAsia="Times New Roman" w:hAnsi="Times New Roman"/>
                <w:sz w:val="18"/>
                <w:szCs w:val="18"/>
                <w:color w:val="auto"/>
              </w:rPr>
              <w:t>Not applicable.</w:t>
            </w:r>
          </w:p>
        </w:tc>
      </w:tr>
      <w:tr>
        <w:trPr>
          <w:trHeight w:val="432"/>
        </w:trPr>
        <w:tc>
          <w:tcPr>
            <w:tcW w:w="1020" w:type="dxa"/>
            <w:vAlign w:val="bottom"/>
          </w:tcPr>
          <w:p>
            <w:pPr>
              <w:spacing w:after="0"/>
              <w:rPr>
                <w:sz w:val="24"/>
                <w:szCs w:val="24"/>
                <w:color w:val="auto"/>
              </w:rPr>
            </w:pPr>
          </w:p>
        </w:tc>
        <w:tc>
          <w:tcPr>
            <w:tcW w:w="10220" w:type="dxa"/>
            <w:vAlign w:val="bottom"/>
          </w:tcPr>
          <w:p>
            <w:pPr>
              <w:ind w:left="3940"/>
              <w:spacing w:after="0"/>
              <w:rPr>
                <w:sz w:val="20"/>
                <w:szCs w:val="20"/>
                <w:color w:val="auto"/>
              </w:rPr>
            </w:pPr>
            <w:r>
              <w:rPr>
                <w:rFonts w:ascii="Times New Roman" w:cs="Times New Roman" w:eastAsia="Times New Roman" w:hAnsi="Times New Roman"/>
                <w:sz w:val="18"/>
                <w:szCs w:val="18"/>
                <w:b w:val="1"/>
                <w:bCs w:val="1"/>
                <w:color w:val="auto"/>
              </w:rPr>
              <w:t>Page 7 of 9 pages</w:t>
            </w:r>
          </w:p>
        </w:tc>
      </w:tr>
      <w:tr>
        <w:trPr>
          <w:trHeight w:val="182"/>
        </w:trPr>
        <w:tc>
          <w:tcPr>
            <w:tcW w:w="1020" w:type="dxa"/>
            <w:vAlign w:val="bottom"/>
            <w:tcBorders>
              <w:bottom w:val="single" w:sz="8" w:color="auto"/>
            </w:tcBorders>
          </w:tcPr>
          <w:p>
            <w:pPr>
              <w:spacing w:after="0"/>
              <w:rPr>
                <w:sz w:val="15"/>
                <w:szCs w:val="15"/>
                <w:color w:val="auto"/>
              </w:rPr>
            </w:pPr>
          </w:p>
        </w:tc>
        <w:tc>
          <w:tcPr>
            <w:tcW w:w="10220" w:type="dxa"/>
            <w:vAlign w:val="bottom"/>
            <w:tcBorders>
              <w:bottom w:val="single" w:sz="8" w:color="auto"/>
            </w:tcBorders>
          </w:tcPr>
          <w:p>
            <w:pPr>
              <w:spacing w:after="0"/>
              <w:rPr>
                <w:sz w:val="15"/>
                <w:szCs w:val="15"/>
                <w:color w:val="auto"/>
              </w:rPr>
            </w:pPr>
          </w:p>
        </w:tc>
      </w:tr>
    </w:tbl>
    <w:p>
      <w:pPr>
        <w:sectPr>
          <w:pgSz w:w="11900" w:h="16838" w:orient="portrait"/>
          <w:cols w:equalWidth="0" w:num="1">
            <w:col w:w="11240"/>
          </w:cols>
          <w:pgMar w:left="320" w:top="549" w:right="339" w:bottom="1440" w:gutter="0" w:footer="0" w:header="0"/>
        </w:sectPr>
      </w:pPr>
    </w:p>
    <w:bookmarkStart w:id="7" w:name="page8"/>
    <w:bookmarkEnd w:id="7"/>
    <w:p>
      <w:pPr>
        <w:spacing w:after="0"/>
        <w:tabs>
          <w:tab w:leader="none" w:pos="1380" w:val="left"/>
        </w:tabs>
        <w:rPr>
          <w:sz w:val="20"/>
          <w:szCs w:val="20"/>
          <w:color w:val="auto"/>
        </w:rPr>
      </w:pPr>
      <w:r>
        <w:rPr>
          <w:rFonts w:ascii="Times New Roman" w:cs="Times New Roman" w:eastAsia="Times New Roman" w:hAnsi="Times New Roman"/>
          <w:sz w:val="18"/>
          <w:szCs w:val="18"/>
          <w:b w:val="1"/>
          <w:bCs w:val="1"/>
          <w:color w:val="auto"/>
        </w:rPr>
        <w:t>Item 10.</w:t>
      </w:r>
      <w:r>
        <w:rPr>
          <w:sz w:val="20"/>
          <w:szCs w:val="20"/>
          <w:color w:val="auto"/>
        </w:rPr>
        <w:tab/>
      </w:r>
      <w:r>
        <w:rPr>
          <w:rFonts w:ascii="Times New Roman" w:cs="Times New Roman" w:eastAsia="Times New Roman" w:hAnsi="Times New Roman"/>
          <w:sz w:val="18"/>
          <w:szCs w:val="18"/>
          <w:b w:val="1"/>
          <w:bCs w:val="1"/>
          <w:color w:val="auto"/>
        </w:rPr>
        <w:t>Certification</w:t>
      </w:r>
    </w:p>
    <w:p>
      <w:pPr>
        <w:spacing w:after="0" w:line="200" w:lineRule="exact"/>
        <w:rPr>
          <w:sz w:val="20"/>
          <w:szCs w:val="20"/>
          <w:color w:val="auto"/>
        </w:rPr>
      </w:pPr>
    </w:p>
    <w:p>
      <w:pPr>
        <w:spacing w:after="0" w:line="245" w:lineRule="exact"/>
        <w:rPr>
          <w:sz w:val="20"/>
          <w:szCs w:val="20"/>
          <w:color w:val="auto"/>
        </w:rPr>
      </w:pPr>
    </w:p>
    <w:p>
      <w:pPr>
        <w:ind w:firstLine="648"/>
        <w:spacing w:after="0" w:line="266" w:lineRule="auto"/>
        <w:rPr>
          <w:sz w:val="20"/>
          <w:szCs w:val="20"/>
          <w:color w:val="auto"/>
        </w:rPr>
      </w:pPr>
      <w:r>
        <w:rPr>
          <w:rFonts w:ascii="Times New Roman" w:cs="Times New Roman" w:eastAsia="Times New Roman" w:hAnsi="Times New Roman"/>
          <w:sz w:val="18"/>
          <w:szCs w:val="18"/>
          <w:color w:val="auto"/>
        </w:rPr>
        <w:t>By signing below I certify that, to the best of my knowledge and belief, the securities referred to above were acquired and are held in the ordinary course of business and were not acquired and are not held for the purpose of or with the effect of changing or influencing the control of the issuer of the securities and were not acquired and are not held in connection with or as a participant in any transaction having that purpose or effect.</w:t>
      </w:r>
    </w:p>
    <w:p>
      <w:pPr>
        <w:spacing w:after="0" w:line="388"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SIGNATURE</w:t>
      </w:r>
    </w:p>
    <w:p>
      <w:pPr>
        <w:spacing w:after="0" w:line="229"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8"/>
          <w:szCs w:val="18"/>
          <w:color w:val="auto"/>
        </w:rPr>
        <w:t>After reasonable inquiry and to the best of my knowledge and belief, I certify that the information set forth in this statement is true, complete and</w:t>
      </w:r>
    </w:p>
    <w:p>
      <w:pPr>
        <w:spacing w:after="0" w:line="2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correct.</w:t>
      </w:r>
    </w:p>
    <w:p>
      <w:pPr>
        <w:spacing w:after="0" w:line="207"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7th day of December, 2023.</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AMERICAN CENTURY CAPITAL PORTFOLIOS, INC. ("ACCP")</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AMERICAN CENTURY INVESTMENT MANAGEMENT, INC. (“ACIM”)</w:t>
      </w:r>
    </w:p>
    <w:p>
      <w:pPr>
        <w:spacing w:after="0" w:line="225" w:lineRule="exact"/>
        <w:rPr>
          <w:sz w:val="20"/>
          <w:szCs w:val="20"/>
          <w:color w:val="auto"/>
        </w:rPr>
      </w:pPr>
    </w:p>
    <w:p>
      <w:pPr>
        <w:jc w:val="center"/>
        <w:ind w:right="-39"/>
        <w:spacing w:after="0"/>
        <w:rPr>
          <w:sz w:val="20"/>
          <w:szCs w:val="20"/>
          <w:color w:val="auto"/>
        </w:rPr>
      </w:pPr>
      <w:r>
        <w:rPr>
          <w:rFonts w:ascii="Times New Roman" w:cs="Times New Roman" w:eastAsia="Times New Roman" w:hAnsi="Times New Roman"/>
          <w:sz w:val="18"/>
          <w:szCs w:val="18"/>
          <w:color w:val="auto"/>
        </w:rPr>
        <w:t>AMERICAN CENTURY COMPANIES, INC. (“ACC”)</w:t>
      </w:r>
    </w:p>
    <w:p>
      <w:pPr>
        <w:spacing w:after="0" w:line="200" w:lineRule="exact"/>
        <w:rPr>
          <w:sz w:val="20"/>
          <w:szCs w:val="20"/>
          <w:color w:val="auto"/>
        </w:rPr>
      </w:pPr>
    </w:p>
    <w:p>
      <w:pPr>
        <w:spacing w:after="0" w:line="241" w:lineRule="exact"/>
        <w:rPr>
          <w:sz w:val="20"/>
          <w:szCs w:val="20"/>
          <w:color w:val="auto"/>
        </w:rPr>
      </w:pPr>
    </w:p>
    <w:p>
      <w:pPr>
        <w:ind w:left="3580"/>
        <w:spacing w:after="0"/>
        <w:tabs>
          <w:tab w:leader="none" w:pos="4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17145</wp:posOffset>
            </wp:positionV>
            <wp:extent cx="4509135" cy="1714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4509135" cy="17145"/>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John Pak</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Senior Vice President, ACCP, ACIM and ACC</w:t>
      </w:r>
    </w:p>
    <w:p>
      <w:pPr>
        <w:spacing w:after="0" w:line="2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STOWERS INSTITUTE FOR MEDICAL RESEARCH, solely in its capacity as control entity of ACC</w:t>
      </w:r>
    </w:p>
    <w:p>
      <w:pPr>
        <w:spacing w:after="0" w:line="200" w:lineRule="exact"/>
        <w:rPr>
          <w:sz w:val="20"/>
          <w:szCs w:val="20"/>
          <w:color w:val="auto"/>
        </w:rPr>
      </w:pPr>
    </w:p>
    <w:p>
      <w:pPr>
        <w:spacing w:after="0" w:line="241" w:lineRule="exact"/>
        <w:rPr>
          <w:sz w:val="20"/>
          <w:szCs w:val="20"/>
          <w:color w:val="auto"/>
        </w:rPr>
      </w:pPr>
    </w:p>
    <w:p>
      <w:pPr>
        <w:ind w:left="3580"/>
        <w:spacing w:after="0"/>
        <w:tabs>
          <w:tab w:leader="none" w:pos="4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17145</wp:posOffset>
            </wp:positionV>
            <wp:extent cx="4509135" cy="1714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4509135" cy="17145"/>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Richard W. Brown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Chairman</w:t>
      </w: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SCHEDULE 13G – To be included in statements filed pursuant to Rule 13d-1(b) or 13d-2(b).</w:t>
      </w:r>
    </w:p>
    <w:p>
      <w:pPr>
        <w:spacing w:after="0" w:line="221"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EXHIBIT A</w:t>
      </w:r>
    </w:p>
    <w:p>
      <w:pPr>
        <w:spacing w:after="0" w:line="229" w:lineRule="exact"/>
        <w:rPr>
          <w:sz w:val="20"/>
          <w:szCs w:val="20"/>
          <w:color w:val="auto"/>
        </w:rPr>
      </w:pPr>
    </w:p>
    <w:p>
      <w:pPr>
        <w:ind w:right="220" w:firstLine="648"/>
        <w:spacing w:after="0" w:line="261" w:lineRule="auto"/>
        <w:rPr>
          <w:sz w:val="20"/>
          <w:szCs w:val="20"/>
          <w:color w:val="auto"/>
        </w:rPr>
      </w:pPr>
      <w:r>
        <w:rPr>
          <w:rFonts w:ascii="Times New Roman" w:cs="Times New Roman" w:eastAsia="Times New Roman" w:hAnsi="Times New Roman"/>
          <w:sz w:val="18"/>
          <w:szCs w:val="18"/>
          <w:color w:val="auto"/>
        </w:rPr>
        <w:t>This Exhibit has been prepared to identify each subsidiary of American Century Companies, Inc. (“ACC”), which is controlled by the Stowers Institute for Medical Research, that is a beneficial owner of securities that are the subject of this schedule (the “Subject Securities”). American Century Investment Management, Inc. (“ACIM”) is a wholly-owned subsidiary of ACC and an investment adviser registered under §203 of the Investment Advisers Act of 1940.</w:t>
      </w:r>
    </w:p>
    <w:p>
      <w:pPr>
        <w:spacing w:after="0" w:line="392" w:lineRule="exact"/>
        <w:rPr>
          <w:sz w:val="20"/>
          <w:szCs w:val="20"/>
          <w:color w:val="auto"/>
        </w:rPr>
      </w:pPr>
    </w:p>
    <w:p>
      <w:pPr>
        <w:jc w:val="center"/>
        <w:ind w:right="-99"/>
        <w:spacing w:after="0"/>
        <w:rPr>
          <w:sz w:val="20"/>
          <w:szCs w:val="20"/>
          <w:color w:val="auto"/>
        </w:rPr>
      </w:pPr>
      <w:r>
        <w:rPr>
          <w:rFonts w:ascii="Times New Roman" w:cs="Times New Roman" w:eastAsia="Times New Roman" w:hAnsi="Times New Roman"/>
          <w:sz w:val="18"/>
          <w:szCs w:val="18"/>
          <w:b w:val="1"/>
          <w:bCs w:val="1"/>
          <w:color w:val="auto"/>
        </w:rPr>
        <w:t>Page 8 of 9 pages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131445</wp:posOffset>
            </wp:positionV>
            <wp:extent cx="7132320" cy="1714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32320" cy="17145"/>
                    </a:xfrm>
                    <a:prstGeom prst="rect">
                      <a:avLst/>
                    </a:prstGeom>
                    <a:noFill/>
                  </pic:spPr>
                </pic:pic>
              </a:graphicData>
            </a:graphic>
          </wp:anchor>
        </w:drawing>
      </w:r>
    </w:p>
    <w:p>
      <w:pPr>
        <w:sectPr>
          <w:pgSz w:w="11900" w:h="16838" w:orient="portrait"/>
          <w:cols w:equalWidth="0" w:num="1">
            <w:col w:w="11140"/>
          </w:cols>
          <w:pgMar w:left="320" w:top="333" w:right="439" w:bottom="1440" w:gutter="0" w:footer="0" w:header="0"/>
        </w:sectPr>
      </w:pPr>
    </w:p>
    <w:bookmarkStart w:id="8" w:name="page9"/>
    <w:bookmarkEnd w:id="8"/>
    <w:p>
      <w:pPr>
        <w:spacing w:after="0"/>
        <w:rPr>
          <w:sz w:val="20"/>
          <w:szCs w:val="20"/>
          <w:color w:val="auto"/>
        </w:rPr>
      </w:pPr>
      <w:r>
        <w:rPr>
          <w:rFonts w:ascii="Times New Roman" w:cs="Times New Roman" w:eastAsia="Times New Roman" w:hAnsi="Times New Roman"/>
          <w:sz w:val="18"/>
          <w:szCs w:val="18"/>
          <w:color w:val="auto"/>
        </w:rPr>
        <w:t>SCHEDULE 13G – To be included in statements filed pursuant to Rule 13d-1(b) or 13d-2(b) and Rule 13d-1(f) (1) Agreement.</w:t>
      </w:r>
    </w:p>
    <w:p>
      <w:pPr>
        <w:spacing w:after="0" w:line="221"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EXHIBIT B</w:t>
      </w:r>
    </w:p>
    <w:p>
      <w:pPr>
        <w:spacing w:after="0" w:line="229" w:lineRule="exact"/>
        <w:rPr>
          <w:sz w:val="20"/>
          <w:szCs w:val="20"/>
          <w:color w:val="auto"/>
        </w:rPr>
      </w:pPr>
    </w:p>
    <w:p>
      <w:pPr>
        <w:ind w:firstLine="648"/>
        <w:spacing w:after="0" w:line="282" w:lineRule="auto"/>
        <w:rPr>
          <w:sz w:val="20"/>
          <w:szCs w:val="20"/>
          <w:color w:val="auto"/>
        </w:rPr>
      </w:pPr>
      <w:r>
        <w:rPr>
          <w:rFonts w:ascii="Times New Roman" w:cs="Times New Roman" w:eastAsia="Times New Roman" w:hAnsi="Times New Roman"/>
          <w:sz w:val="18"/>
          <w:szCs w:val="18"/>
          <w:color w:val="auto"/>
        </w:rPr>
        <w:t>Each of the undersigned hereby agrees and consents to the execution and joint filing on its behalf by American Century Investment Management, Inc. of this Schedule 13G respecting the beneficial ownership of the securities which are the subject of this schedule.</w:t>
      </w:r>
    </w:p>
    <w:p>
      <w:pPr>
        <w:spacing w:after="0" w:line="162"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Dated this 7th day of December, 2023.</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AMERICAN CENTURY CAPITAL PORTFOLIOS, INC. ("ACCP")</w:t>
      </w:r>
    </w:p>
    <w:p>
      <w:pPr>
        <w:spacing w:after="0" w:line="225"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AMERICAN CENTURY INVESTMENT MANAGEMENT, INC. (“ACIM”)</w:t>
      </w:r>
    </w:p>
    <w:p>
      <w:pPr>
        <w:spacing w:after="0" w:line="225" w:lineRule="exact"/>
        <w:rPr>
          <w:sz w:val="20"/>
          <w:szCs w:val="20"/>
          <w:color w:val="auto"/>
        </w:rPr>
      </w:pPr>
    </w:p>
    <w:p>
      <w:pPr>
        <w:jc w:val="center"/>
        <w:ind w:right="-59"/>
        <w:spacing w:after="0"/>
        <w:rPr>
          <w:sz w:val="20"/>
          <w:szCs w:val="20"/>
          <w:color w:val="auto"/>
        </w:rPr>
      </w:pPr>
      <w:r>
        <w:rPr>
          <w:rFonts w:ascii="Times New Roman" w:cs="Times New Roman" w:eastAsia="Times New Roman" w:hAnsi="Times New Roman"/>
          <w:sz w:val="18"/>
          <w:szCs w:val="18"/>
          <w:color w:val="auto"/>
        </w:rPr>
        <w:t>AMERICAN CENTURY COMPANIES, INC. (“ACC”)</w:t>
      </w:r>
    </w:p>
    <w:p>
      <w:pPr>
        <w:spacing w:after="0" w:line="200" w:lineRule="exact"/>
        <w:rPr>
          <w:sz w:val="20"/>
          <w:szCs w:val="20"/>
          <w:color w:val="auto"/>
        </w:rPr>
      </w:pPr>
    </w:p>
    <w:p>
      <w:pPr>
        <w:spacing w:after="0" w:line="241" w:lineRule="exact"/>
        <w:rPr>
          <w:sz w:val="20"/>
          <w:szCs w:val="20"/>
          <w:color w:val="auto"/>
        </w:rPr>
      </w:pPr>
    </w:p>
    <w:p>
      <w:pPr>
        <w:ind w:left="3580"/>
        <w:spacing w:after="0"/>
        <w:tabs>
          <w:tab w:leader="none" w:pos="4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John Pak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17145</wp:posOffset>
            </wp:positionV>
            <wp:extent cx="4509135" cy="1714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4509135" cy="17145"/>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John Pak</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Senior Vice President, ACCP, ACIM and ACC</w:t>
      </w:r>
    </w:p>
    <w:p>
      <w:pPr>
        <w:spacing w:after="0" w:line="207" w:lineRule="exact"/>
        <w:rPr>
          <w:sz w:val="20"/>
          <w:szCs w:val="20"/>
          <w:color w:val="auto"/>
        </w:rPr>
      </w:pPr>
    </w:p>
    <w:p>
      <w:pPr>
        <w:ind w:left="3580"/>
        <w:spacing w:after="0"/>
        <w:rPr>
          <w:sz w:val="20"/>
          <w:szCs w:val="20"/>
          <w:color w:val="auto"/>
        </w:rPr>
      </w:pPr>
      <w:r>
        <w:rPr>
          <w:rFonts w:ascii="Times New Roman" w:cs="Times New Roman" w:eastAsia="Times New Roman" w:hAnsi="Times New Roman"/>
          <w:sz w:val="18"/>
          <w:szCs w:val="18"/>
          <w:color w:val="auto"/>
        </w:rPr>
        <w:t>STOWERS INSTITUTE FOR MEDICAL RESEARCH, solely in its capacity as control entity of ACC</w:t>
      </w:r>
    </w:p>
    <w:p>
      <w:pPr>
        <w:spacing w:after="0" w:line="200" w:lineRule="exact"/>
        <w:rPr>
          <w:sz w:val="20"/>
          <w:szCs w:val="20"/>
          <w:color w:val="auto"/>
        </w:rPr>
      </w:pPr>
    </w:p>
    <w:p>
      <w:pPr>
        <w:spacing w:after="0" w:line="241" w:lineRule="exact"/>
        <w:rPr>
          <w:sz w:val="20"/>
          <w:szCs w:val="20"/>
          <w:color w:val="auto"/>
        </w:rPr>
      </w:pPr>
    </w:p>
    <w:p>
      <w:pPr>
        <w:ind w:left="3580"/>
        <w:spacing w:after="0"/>
        <w:tabs>
          <w:tab w:leader="none" w:pos="4120" w:val="left"/>
        </w:tabs>
        <w:rPr>
          <w:sz w:val="20"/>
          <w:szCs w:val="20"/>
          <w:color w:val="auto"/>
        </w:rPr>
      </w:pPr>
      <w:r>
        <w:rPr>
          <w:rFonts w:ascii="Times New Roman" w:cs="Times New Roman" w:eastAsia="Times New Roman" w:hAnsi="Times New Roman"/>
          <w:sz w:val="18"/>
          <w:szCs w:val="18"/>
          <w:color w:val="auto"/>
        </w:rPr>
        <w:t>By:</w:t>
      </w:r>
      <w:r>
        <w:rPr>
          <w:sz w:val="20"/>
          <w:szCs w:val="20"/>
          <w:color w:val="auto"/>
        </w:rPr>
        <w:tab/>
      </w:r>
      <w:r>
        <w:rPr>
          <w:rFonts w:ascii="Times New Roman" w:cs="Times New Roman" w:eastAsia="Times New Roman" w:hAnsi="Times New Roman"/>
          <w:sz w:val="18"/>
          <w:szCs w:val="18"/>
          <w:color w:val="auto"/>
        </w:rPr>
        <w:t>/s/ Richard W. Brown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2628265</wp:posOffset>
            </wp:positionH>
            <wp:positionV relativeFrom="paragraph">
              <wp:posOffset>17145</wp:posOffset>
            </wp:positionV>
            <wp:extent cx="4509135" cy="1714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4509135" cy="17145"/>
                    </a:xfrm>
                    <a:prstGeom prst="rect">
                      <a:avLst/>
                    </a:prstGeom>
                    <a:noFill/>
                  </pic:spPr>
                </pic:pic>
              </a:graphicData>
            </a:graphic>
          </wp:anchor>
        </w:drawing>
      </w:r>
    </w:p>
    <w:p>
      <w:pPr>
        <w:spacing w:after="0" w:line="16"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Richard W. Brown</w:t>
      </w:r>
    </w:p>
    <w:p>
      <w:pPr>
        <w:spacing w:after="0" w:line="27" w:lineRule="exact"/>
        <w:rPr>
          <w:sz w:val="20"/>
          <w:szCs w:val="20"/>
          <w:color w:val="auto"/>
        </w:rPr>
      </w:pPr>
    </w:p>
    <w:p>
      <w:pPr>
        <w:ind w:left="4140"/>
        <w:spacing w:after="0"/>
        <w:rPr>
          <w:sz w:val="20"/>
          <w:szCs w:val="20"/>
          <w:color w:val="auto"/>
        </w:rPr>
      </w:pPr>
      <w:r>
        <w:rPr>
          <w:rFonts w:ascii="Times New Roman" w:cs="Times New Roman" w:eastAsia="Times New Roman" w:hAnsi="Times New Roman"/>
          <w:sz w:val="18"/>
          <w:szCs w:val="18"/>
          <w:color w:val="auto"/>
        </w:rPr>
        <w:t>Chairman</w:t>
      </w:r>
    </w:p>
    <w:p>
      <w:pPr>
        <w:spacing w:after="0" w:line="203" w:lineRule="exact"/>
        <w:rPr>
          <w:sz w:val="20"/>
          <w:szCs w:val="20"/>
          <w:color w:val="auto"/>
        </w:rPr>
      </w:pPr>
    </w:p>
    <w:p>
      <w:pPr>
        <w:jc w:val="center"/>
        <w:ind w:right="-119"/>
        <w:spacing w:after="0"/>
        <w:rPr>
          <w:sz w:val="20"/>
          <w:szCs w:val="20"/>
          <w:color w:val="auto"/>
        </w:rPr>
      </w:pPr>
      <w:r>
        <w:rPr>
          <w:rFonts w:ascii="Times New Roman" w:cs="Times New Roman" w:eastAsia="Times New Roman" w:hAnsi="Times New Roman"/>
          <w:sz w:val="18"/>
          <w:szCs w:val="18"/>
          <w:b w:val="1"/>
          <w:bCs w:val="1"/>
          <w:color w:val="auto"/>
        </w:rPr>
        <w:t>Page 9 of 9 pages</w:t>
      </w:r>
    </w:p>
    <w:sectPr>
      <w:pgSz w:w="11900" w:h="16838" w:orient="portrait"/>
      <w:cols w:equalWidth="0" w:num="1">
        <w:col w:w="11120"/>
      </w:cols>
      <w:pgMar w:left="320" w:top="553" w:right="4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507ED7AB"/>
    <w:multiLevelType w:val="hybridMultilevel"/>
    <w:lvl w:ilvl="0">
      <w:lvlJc w:val="left"/>
      <w:lvlText w:val="%1."/>
      <w:numFmt w:val="decimal"/>
      <w:start w:val="1"/>
    </w:lvl>
    <w:lvl w:ilvl="1">
      <w:lvlJc w:val="left"/>
      <w:lvlText w:val="(%2)"/>
      <w:numFmt w:val="lowerLetter"/>
      <w:start w:val="1"/>
    </w:lvl>
  </w:abstractNum>
  <w:abstractNum w:abstractNumId="1">
    <w:nsid w:val="2EB141F2"/>
    <w:multiLevelType w:val="hybridMultilevel"/>
    <w:lvl w:ilvl="0">
      <w:lvlJc w:val="left"/>
      <w:lvlText w:val="%1."/>
      <w:numFmt w:val="decimal"/>
      <w:start w:val="10"/>
    </w:lvl>
  </w:abstractNum>
  <w:abstractNum w:abstractNumId="2">
    <w:nsid w:val="41B71EFB"/>
    <w:multiLevelType w:val="hybridMultilevel"/>
    <w:lvl w:ilvl="0">
      <w:lvlJc w:val="left"/>
      <w:lvlText w:val="%1."/>
      <w:numFmt w:val="decimal"/>
      <w:start w:val="1"/>
    </w:lvl>
    <w:lvl w:ilvl="1">
      <w:lvlJc w:val="left"/>
      <w:lvlText w:val="(%2)"/>
      <w:numFmt w:val="lowerLetter"/>
      <w:start w:val="1"/>
    </w:lvl>
  </w:abstractNum>
  <w:abstractNum w:abstractNumId="3">
    <w:nsid w:val="79E2A9E3"/>
    <w:multiLevelType w:val="hybridMultilevel"/>
    <w:lvl w:ilvl="0">
      <w:lvlJc w:val="left"/>
      <w:lvlText w:val="%1."/>
      <w:numFmt w:val="decimal"/>
      <w:start w:val="10"/>
    </w:lvl>
  </w:abstractNum>
  <w:abstractNum w:abstractNumId="4">
    <w:nsid w:val="7545E146"/>
    <w:multiLevelType w:val="hybridMultilevel"/>
    <w:lvl w:ilvl="0">
      <w:lvlJc w:val="left"/>
      <w:lvlText w:val="%1."/>
      <w:numFmt w:val="decimal"/>
      <w:start w:val="1"/>
    </w:lvl>
    <w:lvl w:ilvl="1">
      <w:lvlJc w:val="left"/>
      <w:lvlText w:val="(%2)"/>
      <w:numFmt w:val="lowerLetter"/>
      <w:start w:val="1"/>
    </w:lvl>
  </w:abstractNum>
  <w:abstractNum w:abstractNumId="5">
    <w:nsid w:val="515F007C"/>
    <w:multiLevelType w:val="hybridMultilevel"/>
    <w:lvl w:ilvl="0">
      <w:lvlJc w:val="left"/>
      <w:lvlText w:val="%1."/>
      <w:numFmt w:val="decimal"/>
      <w:start w:val="10"/>
    </w:lvl>
  </w:abstractNum>
  <w:abstractNum w:abstractNumId="6">
    <w:nsid w:val="5BD062C2"/>
    <w:multiLevelType w:val="hybridMultilevel"/>
    <w:lvl w:ilvl="0">
      <w:lvlJc w:val="left"/>
      <w:lvlText w:val="%1."/>
      <w:numFmt w:val="decimal"/>
      <w:start w:val="1"/>
    </w:lvl>
    <w:lvl w:ilvl="1">
      <w:lvlJc w:val="left"/>
      <w:lvlText w:val="(%2)"/>
      <w:numFmt w:val="lowerLetter"/>
      <w:start w:val="1"/>
    </w:lvl>
  </w:abstractNum>
  <w:abstractNum w:abstractNumId="7">
    <w:nsid w:val="12200854"/>
    <w:multiLevelType w:val="hybridMultilevel"/>
    <w:lvl w:ilvl="0">
      <w:lvlJc w:val="left"/>
      <w:lvlText w:val="%1."/>
      <w:numFmt w:val="decimal"/>
      <w:start w:val="10"/>
    </w:lvl>
  </w:abstractNum>
  <w:abstractNum w:abstractNumId="8">
    <w:nsid w:val="4DB127F8"/>
    <w:multiLevelType w:val="hybridMultilevel"/>
    <w:lvl w:ilvl="0">
      <w:lvlJc w:val="left"/>
      <w:lvlText w:val="(%1)"/>
      <w:numFmt w:val="lowerLetter"/>
      <w:start w:val="1"/>
    </w:lvl>
  </w:abstractNum>
  <w:abstractNum w:abstractNumId="9">
    <w:nsid w:val="216231B"/>
    <w:multiLevelType w:val="hybridMultilevel"/>
    <w:lvl w:ilvl="0">
      <w:lvlJc w:val="left"/>
      <w:lvlText w:val="(%1)"/>
      <w:numFmt w:val="lowerLetter"/>
      <w:start w:val="1"/>
    </w:lvl>
    <w:lvl w:ilvl="1">
      <w:lvlJc w:val="left"/>
      <w:lvlText w:val="(%2)"/>
      <w:numFmt w:val="decimal"/>
      <w:start w:val="1"/>
    </w:lvl>
  </w:abstractNum>
  <w:abstractNum w:abstractNumId="10">
    <w:nsid w:val="1F16E9E8"/>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2023-12-07T11:31:37Z</dcterms:created>
  <dcterms:modified xsi:type="dcterms:W3CDTF">2023-12-07T11:31:37Z</dcterms:modified>
</cp:coreProperties>
</file>