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1143000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0" w:lineRule="exact"/>
        <w:rPr>
          <w:sz w:val="24"/>
          <w:szCs w:val="24"/>
          <w:color w:val="auto"/>
        </w:rPr>
      </w:pPr>
    </w:p>
    <w:p>
      <w:pPr>
        <w:jc w:val="center"/>
        <w:ind w:right="-279"/>
        <w:spacing w:after="0"/>
        <w:rPr>
          <w:sz w:val="20"/>
          <w:szCs w:val="20"/>
          <w:color w:val="auto"/>
        </w:rPr>
      </w:pPr>
      <w:r>
        <w:rPr>
          <w:rFonts w:ascii="Verdana" w:cs="Verdana" w:eastAsia="Verdana" w:hAnsi="Verdana"/>
          <w:sz w:val="32"/>
          <w:szCs w:val="32"/>
          <w:b w:val="1"/>
          <w:bCs w:val="1"/>
          <w:color w:val="auto"/>
        </w:rPr>
        <w:t>United States</w:t>
      </w:r>
    </w:p>
    <w:p>
      <w:pPr>
        <w:jc w:val="center"/>
        <w:ind w:right="-279"/>
        <w:spacing w:after="0" w:line="208" w:lineRule="auto"/>
        <w:rPr>
          <w:sz w:val="20"/>
          <w:szCs w:val="20"/>
          <w:color w:val="auto"/>
        </w:rPr>
      </w:pPr>
      <w:r>
        <w:rPr>
          <w:rFonts w:ascii="Verdana" w:cs="Verdana" w:eastAsia="Verdana" w:hAnsi="Verdana"/>
          <w:sz w:val="32"/>
          <w:szCs w:val="32"/>
          <w:b w:val="1"/>
          <w:bCs w:val="1"/>
          <w:color w:val="auto"/>
        </w:rPr>
        <w:t>Securities and Exchange Commission</w:t>
      </w:r>
    </w:p>
    <w:p>
      <w:pPr>
        <w:spacing w:after="0" w:line="1" w:lineRule="exact"/>
        <w:rPr>
          <w:sz w:val="24"/>
          <w:szCs w:val="24"/>
          <w:color w:val="auto"/>
        </w:rPr>
      </w:pPr>
    </w:p>
    <w:p>
      <w:pPr>
        <w:jc w:val="center"/>
        <w:ind w:right="-279"/>
        <w:spacing w:after="0"/>
        <w:rPr>
          <w:sz w:val="20"/>
          <w:szCs w:val="20"/>
          <w:color w:val="auto"/>
        </w:rPr>
      </w:pPr>
      <w:r>
        <w:rPr>
          <w:rFonts w:ascii="Verdana" w:cs="Verdana" w:eastAsia="Verdana" w:hAnsi="Verdana"/>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225425</wp:posOffset>
            </wp:positionV>
            <wp:extent cx="5048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79"/>
        <w:spacing w:after="0"/>
        <w:rPr>
          <w:sz w:val="20"/>
          <w:szCs w:val="20"/>
          <w:color w:val="auto"/>
        </w:rPr>
      </w:pPr>
      <w:r>
        <w:rPr>
          <w:rFonts w:ascii="Verdana" w:cs="Verdana" w:eastAsia="Verdana" w:hAnsi="Verdana"/>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226695</wp:posOffset>
            </wp:positionV>
            <wp:extent cx="5048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79"/>
        <w:spacing w:after="0"/>
        <w:rPr>
          <w:sz w:val="20"/>
          <w:szCs w:val="20"/>
          <w:color w:val="auto"/>
        </w:rPr>
      </w:pPr>
      <w:r>
        <w:rPr>
          <w:rFonts w:ascii="Verdana" w:cs="Verdana" w:eastAsia="Verdana" w:hAnsi="Verdana"/>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225425</wp:posOffset>
            </wp:positionV>
            <wp:extent cx="5048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279"/>
        <w:spacing w:after="0"/>
        <w:rPr>
          <w:sz w:val="20"/>
          <w:szCs w:val="20"/>
          <w:color w:val="auto"/>
        </w:rPr>
      </w:pPr>
      <w:r>
        <w:rPr>
          <w:rFonts w:ascii="Verdana" w:cs="Verdana" w:eastAsia="Verdana" w:hAnsi="Verdana"/>
          <w:sz w:val="43"/>
          <w:szCs w:val="43"/>
          <w:b w:val="1"/>
          <w:bCs w:val="1"/>
          <w:color w:val="auto"/>
        </w:rPr>
        <w:t>Embecta Corp.</w:t>
      </w:r>
    </w:p>
    <w:p>
      <w:pPr>
        <w:jc w:val="center"/>
        <w:ind w:right="-279"/>
        <w:spacing w:after="0"/>
        <w:rPr>
          <w:sz w:val="20"/>
          <w:szCs w:val="20"/>
          <w:color w:val="auto"/>
        </w:rPr>
      </w:pPr>
      <w:r>
        <w:rPr>
          <w:rFonts w:ascii="Verdana" w:cs="Verdana" w:eastAsia="Verdana" w:hAnsi="Verdana"/>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241935</wp:posOffset>
            </wp:positionV>
            <wp:extent cx="5048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4360" w:type="dxa"/>
            <w:vAlign w:val="bottom"/>
          </w:tcPr>
          <w:p>
            <w:pPr>
              <w:jc w:val="center"/>
              <w:ind w:right="1819"/>
              <w:spacing w:after="0"/>
              <w:rPr>
                <w:sz w:val="20"/>
                <w:szCs w:val="20"/>
                <w:color w:val="auto"/>
              </w:rPr>
            </w:pPr>
            <w:r>
              <w:rPr>
                <w:rFonts w:ascii="Verdana" w:cs="Verdana" w:eastAsia="Verdana" w:hAnsi="Verdana"/>
                <w:sz w:val="18"/>
                <w:szCs w:val="18"/>
                <w:b w:val="1"/>
                <w:bCs w:val="1"/>
                <w:color w:val="auto"/>
                <w:w w:val="98"/>
              </w:rPr>
              <w:t>Delaware</w:t>
            </w:r>
          </w:p>
        </w:tc>
        <w:tc>
          <w:tcPr>
            <w:tcW w:w="2380" w:type="dxa"/>
            <w:vAlign w:val="bottom"/>
          </w:tcPr>
          <w:p>
            <w:pPr>
              <w:ind w:left="60"/>
              <w:spacing w:after="0"/>
              <w:rPr>
                <w:sz w:val="20"/>
                <w:szCs w:val="20"/>
                <w:color w:val="auto"/>
              </w:rPr>
            </w:pPr>
            <w:r>
              <w:rPr>
                <w:rFonts w:ascii="Verdana" w:cs="Verdana" w:eastAsia="Verdana" w:hAnsi="Verdana"/>
                <w:sz w:val="18"/>
                <w:szCs w:val="18"/>
                <w:b w:val="1"/>
                <w:bCs w:val="1"/>
                <w:color w:val="auto"/>
              </w:rPr>
              <w:t>001-41186</w:t>
            </w:r>
          </w:p>
        </w:tc>
        <w:tc>
          <w:tcPr>
            <w:tcW w:w="2740" w:type="dxa"/>
            <w:vAlign w:val="bottom"/>
          </w:tcPr>
          <w:p>
            <w:pPr>
              <w:jc w:val="right"/>
              <w:ind w:right="61"/>
              <w:spacing w:after="0"/>
              <w:rPr>
                <w:sz w:val="20"/>
                <w:szCs w:val="20"/>
                <w:color w:val="auto"/>
              </w:rPr>
            </w:pPr>
            <w:r>
              <w:rPr>
                <w:rFonts w:ascii="Verdana" w:cs="Verdana" w:eastAsia="Verdana" w:hAnsi="Verdana"/>
                <w:sz w:val="18"/>
                <w:szCs w:val="18"/>
                <w:b w:val="1"/>
                <w:bCs w:val="1"/>
                <w:color w:val="auto"/>
              </w:rPr>
              <w:t>87-1583942</w:t>
            </w:r>
          </w:p>
        </w:tc>
      </w:tr>
      <w:tr>
        <w:trPr>
          <w:trHeight w:val="152"/>
        </w:trPr>
        <w:tc>
          <w:tcPr>
            <w:tcW w:w="4360" w:type="dxa"/>
            <w:vAlign w:val="bottom"/>
          </w:tcPr>
          <w:p>
            <w:pPr>
              <w:jc w:val="center"/>
              <w:ind w:right="1819"/>
              <w:spacing w:after="0" w:line="152" w:lineRule="exact"/>
              <w:rPr>
                <w:sz w:val="20"/>
                <w:szCs w:val="20"/>
                <w:color w:val="auto"/>
              </w:rPr>
            </w:pPr>
            <w:r>
              <w:rPr>
                <w:rFonts w:ascii="Verdana" w:cs="Verdana" w:eastAsia="Verdana" w:hAnsi="Verdana"/>
                <w:sz w:val="14"/>
                <w:szCs w:val="14"/>
                <w:b w:val="1"/>
                <w:bCs w:val="1"/>
                <w:color w:val="auto"/>
              </w:rPr>
              <w:t>(State or other jurisdiction of</w:t>
            </w:r>
          </w:p>
        </w:tc>
        <w:tc>
          <w:tcPr>
            <w:tcW w:w="2380" w:type="dxa"/>
            <w:vAlign w:val="bottom"/>
          </w:tcPr>
          <w:p>
            <w:pPr>
              <w:ind w:left="80"/>
              <w:spacing w:after="0" w:line="152" w:lineRule="exact"/>
              <w:rPr>
                <w:sz w:val="20"/>
                <w:szCs w:val="20"/>
                <w:color w:val="auto"/>
              </w:rPr>
            </w:pPr>
            <w:r>
              <w:rPr>
                <w:rFonts w:ascii="Verdana" w:cs="Verdana" w:eastAsia="Verdana" w:hAnsi="Verdana"/>
                <w:sz w:val="14"/>
                <w:szCs w:val="14"/>
                <w:b w:val="1"/>
                <w:bCs w:val="1"/>
                <w:color w:val="auto"/>
              </w:rPr>
              <w:t>(Commission</w:t>
            </w:r>
          </w:p>
        </w:tc>
        <w:tc>
          <w:tcPr>
            <w:tcW w:w="2740" w:type="dxa"/>
            <w:vAlign w:val="bottom"/>
          </w:tcPr>
          <w:p>
            <w:pPr>
              <w:jc w:val="center"/>
              <w:ind w:left="1161"/>
              <w:spacing w:after="0" w:line="152" w:lineRule="exact"/>
              <w:rPr>
                <w:sz w:val="20"/>
                <w:szCs w:val="20"/>
                <w:color w:val="auto"/>
              </w:rPr>
            </w:pPr>
            <w:r>
              <w:rPr>
                <w:rFonts w:ascii="Verdana" w:cs="Verdana" w:eastAsia="Verdana" w:hAnsi="Verdana"/>
                <w:sz w:val="14"/>
                <w:szCs w:val="14"/>
                <w:b w:val="1"/>
                <w:bCs w:val="1"/>
                <w:color w:val="auto"/>
              </w:rPr>
              <w:t>(IRS Employer</w:t>
            </w:r>
          </w:p>
        </w:tc>
      </w:tr>
      <w:tr>
        <w:trPr>
          <w:trHeight w:val="187"/>
        </w:trPr>
        <w:tc>
          <w:tcPr>
            <w:tcW w:w="4360" w:type="dxa"/>
            <w:vAlign w:val="bottom"/>
          </w:tcPr>
          <w:p>
            <w:pPr>
              <w:jc w:val="center"/>
              <w:ind w:right="1819"/>
              <w:spacing w:after="0"/>
              <w:rPr>
                <w:sz w:val="20"/>
                <w:szCs w:val="20"/>
                <w:color w:val="auto"/>
              </w:rPr>
            </w:pPr>
            <w:r>
              <w:rPr>
                <w:rFonts w:ascii="Verdana" w:cs="Verdana" w:eastAsia="Verdana" w:hAnsi="Verdana"/>
                <w:sz w:val="14"/>
                <w:szCs w:val="14"/>
                <w:b w:val="1"/>
                <w:bCs w:val="1"/>
                <w:color w:val="auto"/>
              </w:rPr>
              <w:t>incorporation or organization)</w:t>
            </w:r>
          </w:p>
        </w:tc>
        <w:tc>
          <w:tcPr>
            <w:tcW w:w="2380" w:type="dxa"/>
            <w:vAlign w:val="bottom"/>
          </w:tcPr>
          <w:p>
            <w:pPr>
              <w:ind w:left="80"/>
              <w:spacing w:after="0"/>
              <w:rPr>
                <w:sz w:val="20"/>
                <w:szCs w:val="20"/>
                <w:color w:val="auto"/>
              </w:rPr>
            </w:pPr>
            <w:r>
              <w:rPr>
                <w:rFonts w:ascii="Verdana" w:cs="Verdana" w:eastAsia="Verdana" w:hAnsi="Verdana"/>
                <w:sz w:val="14"/>
                <w:szCs w:val="14"/>
                <w:b w:val="1"/>
                <w:bCs w:val="1"/>
                <w:color w:val="auto"/>
              </w:rPr>
              <w:t>File Number)</w:t>
            </w:r>
          </w:p>
        </w:tc>
        <w:tc>
          <w:tcPr>
            <w:tcW w:w="2740" w:type="dxa"/>
            <w:vAlign w:val="bottom"/>
          </w:tcPr>
          <w:p>
            <w:pPr>
              <w:jc w:val="center"/>
              <w:ind w:left="1161"/>
              <w:spacing w:after="0"/>
              <w:rPr>
                <w:sz w:val="20"/>
                <w:szCs w:val="20"/>
                <w:color w:val="auto"/>
              </w:rPr>
            </w:pPr>
            <w:r>
              <w:rPr>
                <w:rFonts w:ascii="Verdana" w:cs="Verdana" w:eastAsia="Verdana" w:hAnsi="Verdana"/>
                <w:sz w:val="14"/>
                <w:szCs w:val="14"/>
                <w:b w:val="1"/>
                <w:bCs w:val="1"/>
                <w:color w:val="auto"/>
              </w:rPr>
              <w:t>Identification No.)</w:t>
            </w:r>
          </w:p>
        </w:tc>
      </w:tr>
      <w:tr>
        <w:trPr>
          <w:trHeight w:val="425"/>
        </w:trPr>
        <w:tc>
          <w:tcPr>
            <w:tcW w:w="6740" w:type="dxa"/>
            <w:vAlign w:val="bottom"/>
            <w:gridSpan w:val="2"/>
          </w:tcPr>
          <w:p>
            <w:pPr>
              <w:jc w:val="center"/>
              <w:ind w:right="442"/>
              <w:spacing w:after="0"/>
              <w:rPr>
                <w:sz w:val="20"/>
                <w:szCs w:val="20"/>
                <w:color w:val="auto"/>
              </w:rPr>
            </w:pPr>
            <w:r>
              <w:rPr>
                <w:rFonts w:ascii="Verdana" w:cs="Verdana" w:eastAsia="Verdana" w:hAnsi="Verdana"/>
                <w:sz w:val="18"/>
                <w:szCs w:val="18"/>
                <w:b w:val="1"/>
                <w:bCs w:val="1"/>
                <w:color w:val="auto"/>
              </w:rPr>
              <w:t>300 Kimball Drive, Suite 300</w:t>
            </w:r>
          </w:p>
        </w:tc>
        <w:tc>
          <w:tcPr>
            <w:tcW w:w="2740" w:type="dxa"/>
            <w:vAlign w:val="bottom"/>
          </w:tcPr>
          <w:p>
            <w:pPr>
              <w:spacing w:after="0"/>
              <w:rPr>
                <w:sz w:val="24"/>
                <w:szCs w:val="24"/>
                <w:color w:val="auto"/>
              </w:rPr>
            </w:pPr>
          </w:p>
        </w:tc>
      </w:tr>
      <w:tr>
        <w:trPr>
          <w:trHeight w:val="248"/>
        </w:trPr>
        <w:tc>
          <w:tcPr>
            <w:tcW w:w="4360" w:type="dxa"/>
            <w:vAlign w:val="bottom"/>
          </w:tcPr>
          <w:p>
            <w:pPr>
              <w:jc w:val="center"/>
              <w:ind w:left="1779"/>
              <w:spacing w:after="0"/>
              <w:rPr>
                <w:sz w:val="20"/>
                <w:szCs w:val="20"/>
                <w:color w:val="auto"/>
              </w:rPr>
            </w:pPr>
            <w:r>
              <w:rPr>
                <w:rFonts w:ascii="Verdana" w:cs="Verdana" w:eastAsia="Verdana" w:hAnsi="Verdana"/>
                <w:sz w:val="18"/>
                <w:szCs w:val="18"/>
                <w:b w:val="1"/>
                <w:bCs w:val="1"/>
                <w:color w:val="auto"/>
              </w:rPr>
              <w:t>Parsippany, New Jersey</w:t>
            </w:r>
          </w:p>
        </w:tc>
        <w:tc>
          <w:tcPr>
            <w:tcW w:w="2380" w:type="dxa"/>
            <w:vAlign w:val="bottom"/>
          </w:tcPr>
          <w:p>
            <w:pPr>
              <w:spacing w:after="0"/>
              <w:rPr>
                <w:sz w:val="21"/>
                <w:szCs w:val="21"/>
                <w:color w:val="auto"/>
              </w:rPr>
            </w:pPr>
          </w:p>
        </w:tc>
        <w:tc>
          <w:tcPr>
            <w:tcW w:w="2740" w:type="dxa"/>
            <w:vAlign w:val="bottom"/>
          </w:tcPr>
          <w:p>
            <w:pPr>
              <w:jc w:val="right"/>
              <w:ind w:right="361"/>
              <w:spacing w:after="0"/>
              <w:rPr>
                <w:sz w:val="20"/>
                <w:szCs w:val="20"/>
                <w:color w:val="auto"/>
              </w:rPr>
            </w:pPr>
            <w:r>
              <w:rPr>
                <w:rFonts w:ascii="Verdana" w:cs="Verdana" w:eastAsia="Verdana" w:hAnsi="Verdana"/>
                <w:sz w:val="18"/>
                <w:szCs w:val="18"/>
                <w:b w:val="1"/>
                <w:bCs w:val="1"/>
                <w:color w:val="auto"/>
              </w:rPr>
              <w:t>07054</w:t>
            </w:r>
          </w:p>
        </w:tc>
      </w:tr>
      <w:tr>
        <w:trPr>
          <w:trHeight w:val="190"/>
        </w:trPr>
        <w:tc>
          <w:tcPr>
            <w:tcW w:w="6740" w:type="dxa"/>
            <w:vAlign w:val="bottom"/>
            <w:gridSpan w:val="2"/>
          </w:tcPr>
          <w:p>
            <w:pPr>
              <w:jc w:val="center"/>
              <w:ind w:right="442"/>
              <w:spacing w:after="0"/>
              <w:rPr>
                <w:sz w:val="20"/>
                <w:szCs w:val="20"/>
                <w:color w:val="auto"/>
              </w:rPr>
            </w:pPr>
            <w:r>
              <w:rPr>
                <w:rFonts w:ascii="Verdana" w:cs="Verdana" w:eastAsia="Verdana" w:hAnsi="Verdana"/>
                <w:sz w:val="14"/>
                <w:szCs w:val="14"/>
                <w:b w:val="1"/>
                <w:bCs w:val="1"/>
                <w:color w:val="auto"/>
              </w:rPr>
              <w:t>(Address of principal executive offices)</w:t>
            </w:r>
          </w:p>
        </w:tc>
        <w:tc>
          <w:tcPr>
            <w:tcW w:w="2740" w:type="dxa"/>
            <w:vAlign w:val="bottom"/>
          </w:tcPr>
          <w:p>
            <w:pPr>
              <w:jc w:val="center"/>
              <w:ind w:left="1161"/>
              <w:spacing w:after="0"/>
              <w:rPr>
                <w:sz w:val="20"/>
                <w:szCs w:val="20"/>
                <w:color w:val="auto"/>
              </w:rPr>
            </w:pPr>
            <w:r>
              <w:rPr>
                <w:rFonts w:ascii="Verdana" w:cs="Verdana" w:eastAsia="Verdana" w:hAnsi="Verdana"/>
                <w:sz w:val="14"/>
                <w:szCs w:val="14"/>
                <w:b w:val="1"/>
                <w:bCs w:val="1"/>
                <w:color w:val="auto"/>
              </w:rPr>
              <w:t>(Zip Code)</w:t>
            </w:r>
          </w:p>
        </w:tc>
      </w:tr>
    </w:tbl>
    <w:p>
      <w:pPr>
        <w:spacing w:after="0" w:line="44" w:lineRule="exact"/>
        <w:rPr>
          <w:sz w:val="24"/>
          <w:szCs w:val="24"/>
          <w:color w:val="auto"/>
        </w:rPr>
      </w:pPr>
    </w:p>
    <w:p>
      <w:pPr>
        <w:jc w:val="center"/>
        <w:ind w:right="-279"/>
        <w:spacing w:after="0"/>
        <w:rPr>
          <w:sz w:val="20"/>
          <w:szCs w:val="20"/>
          <w:color w:val="auto"/>
        </w:rPr>
      </w:pPr>
      <w:r>
        <w:rPr>
          <w:rFonts w:ascii="Verdana" w:cs="Verdana" w:eastAsia="Verdana" w:hAnsi="Verdana"/>
          <w:sz w:val="18"/>
          <w:szCs w:val="18"/>
          <w:b w:val="1"/>
          <w:bCs w:val="1"/>
          <w:color w:val="auto"/>
        </w:rPr>
        <w:t>Shaun Curtis</w:t>
      </w:r>
    </w:p>
    <w:p>
      <w:pPr>
        <w:jc w:val="center"/>
        <w:ind w:right="-279"/>
        <w:spacing w:after="0"/>
        <w:rPr>
          <w:sz w:val="20"/>
          <w:szCs w:val="20"/>
          <w:color w:val="auto"/>
        </w:rPr>
      </w:pPr>
      <w:r>
        <w:rPr>
          <w:rFonts w:ascii="Verdana" w:cs="Verdana" w:eastAsia="Verdana" w:hAnsi="Verdana"/>
          <w:sz w:val="18"/>
          <w:szCs w:val="18"/>
          <w:b w:val="1"/>
          <w:bCs w:val="1"/>
          <w:color w:val="auto"/>
        </w:rPr>
        <w:t>(862) 401-0000</w:t>
      </w:r>
    </w:p>
    <w:p>
      <w:pPr>
        <w:spacing w:after="0" w:line="222" w:lineRule="exact"/>
        <w:rPr>
          <w:sz w:val="24"/>
          <w:szCs w:val="24"/>
          <w:color w:val="auto"/>
        </w:rPr>
      </w:pPr>
    </w:p>
    <w:p>
      <w:pPr>
        <w:ind w:left="1260"/>
        <w:spacing w:after="0"/>
        <w:rPr>
          <w:sz w:val="20"/>
          <w:szCs w:val="20"/>
          <w:color w:val="auto"/>
        </w:rPr>
      </w:pPr>
      <w:r>
        <w:rPr>
          <w:rFonts w:ascii="Verdana" w:cs="Verdana" w:eastAsia="Verdana" w:hAnsi="Verdana"/>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232410</wp:posOffset>
            </wp:positionV>
            <wp:extent cx="5048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line="225" w:lineRule="auto"/>
        <w:rPr>
          <w:sz w:val="20"/>
          <w:szCs w:val="20"/>
          <w:color w:val="auto"/>
        </w:rPr>
      </w:pPr>
      <w:r>
        <w:rPr>
          <w:rFonts w:ascii="Verdana" w:cs="Verdana" w:eastAsia="Verdana" w:hAnsi="Verdana"/>
          <w:sz w:val="18"/>
          <w:szCs w:val="18"/>
          <w:color w:val="auto"/>
        </w:rPr>
        <w:t>Check the appropriate box to indicate the rule pursuant to which this form is being filed, and provide the period to which the information in this form applies:</w:t>
      </w:r>
    </w:p>
    <w:p>
      <w:pPr>
        <w:spacing w:after="0" w:line="62" w:lineRule="exact"/>
        <w:rPr>
          <w:sz w:val="24"/>
          <w:szCs w:val="24"/>
          <w:color w:val="auto"/>
        </w:rPr>
      </w:pPr>
    </w:p>
    <w:p>
      <w:pPr>
        <w:ind w:left="440" w:right="620" w:hanging="433"/>
        <w:spacing w:after="0" w:line="225" w:lineRule="auto"/>
        <w:tabs>
          <w:tab w:leader="none" w:pos="414" w:val="left"/>
        </w:tabs>
        <w:numPr>
          <w:ilvl w:val="0"/>
          <w:numId w:val="1"/>
        </w:numPr>
        <w:rPr>
          <w:rFonts w:ascii="MS PGothic" w:cs="MS PGothic" w:eastAsia="MS PGothic" w:hAnsi="MS PGothic"/>
          <w:sz w:val="18"/>
          <w:szCs w:val="18"/>
          <w:color w:val="auto"/>
        </w:rPr>
      </w:pPr>
      <w:r>
        <w:rPr>
          <w:rFonts w:ascii="Verdana" w:cs="Verdana" w:eastAsia="Verdana" w:hAnsi="Verdana"/>
          <w:sz w:val="18"/>
          <w:szCs w:val="18"/>
          <w:color w:val="auto"/>
        </w:rPr>
        <w:t>Rule 13p-1 under the Securities Exchange Act (17 CFR 240.13p-1) for the reporting period from January 1 to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1" w:name="page2"/>
    <w:bookmarkEnd w:id="1"/>
    <w:p>
      <w:pPr>
        <w:spacing w:after="0"/>
        <w:rPr>
          <w:sz w:val="20"/>
          <w:szCs w:val="20"/>
          <w:color w:val="auto"/>
        </w:rPr>
      </w:pPr>
      <w:r>
        <w:rPr>
          <w:rFonts w:ascii="Verdana" w:cs="Verdana" w:eastAsia="Verdana" w:hAnsi="Verdana"/>
          <w:sz w:val="18"/>
          <w:szCs w:val="18"/>
          <w:b w:val="1"/>
          <w:bCs w:val="1"/>
          <w:color w:val="auto"/>
        </w:rPr>
        <w:t>Section 1 – Conflict Minerals Disclosure</w:t>
      </w:r>
    </w:p>
    <w:p>
      <w:pPr>
        <w:spacing w:after="0" w:line="294" w:lineRule="exact"/>
        <w:rPr>
          <w:sz w:val="20"/>
          <w:szCs w:val="20"/>
          <w:color w:val="auto"/>
        </w:rPr>
      </w:pPr>
    </w:p>
    <w:p>
      <w:pPr>
        <w:spacing w:after="0"/>
        <w:tabs>
          <w:tab w:leader="none" w:pos="1240" w:val="left"/>
        </w:tabs>
        <w:rPr>
          <w:sz w:val="20"/>
          <w:szCs w:val="20"/>
          <w:color w:val="auto"/>
        </w:rPr>
      </w:pPr>
      <w:r>
        <w:rPr>
          <w:rFonts w:ascii="Verdana" w:cs="Verdana" w:eastAsia="Verdana" w:hAnsi="Verdana"/>
          <w:sz w:val="18"/>
          <w:szCs w:val="18"/>
          <w:b w:val="1"/>
          <w:bCs w:val="1"/>
          <w:color w:val="auto"/>
        </w:rPr>
        <w:t>Item 1.01</w:t>
      </w:r>
      <w:r>
        <w:rPr>
          <w:sz w:val="20"/>
          <w:szCs w:val="20"/>
          <w:color w:val="auto"/>
        </w:rPr>
        <w:tab/>
      </w:r>
      <w:r>
        <w:rPr>
          <w:rFonts w:ascii="Verdana" w:cs="Verdana" w:eastAsia="Verdana" w:hAnsi="Verdana"/>
          <w:sz w:val="17"/>
          <w:szCs w:val="17"/>
          <w:b w:val="1"/>
          <w:bCs w:val="1"/>
          <w:color w:val="auto"/>
        </w:rPr>
        <w:t>Conflict Minerals Disclosure and Report</w:t>
      </w:r>
    </w:p>
    <w:p>
      <w:pPr>
        <w:spacing w:after="0" w:line="78" w:lineRule="exact"/>
        <w:rPr>
          <w:sz w:val="20"/>
          <w:szCs w:val="20"/>
          <w:color w:val="auto"/>
        </w:rPr>
      </w:pPr>
    </w:p>
    <w:p>
      <w:pPr>
        <w:jc w:val="both"/>
        <w:spacing w:after="0" w:line="229" w:lineRule="auto"/>
        <w:rPr>
          <w:sz w:val="20"/>
          <w:szCs w:val="20"/>
          <w:color w:val="auto"/>
        </w:rPr>
      </w:pPr>
      <w:r>
        <w:rPr>
          <w:rFonts w:ascii="Verdana" w:cs="Verdana" w:eastAsia="Verdana" w:hAnsi="Verdana"/>
          <w:sz w:val="18"/>
          <w:szCs w:val="18"/>
          <w:color w:val="auto"/>
        </w:rPr>
        <w:t>As contemplated by Rule 13p-1 under the Securities Exchange Act of 1934, as amended, and Form SD, a Conflict Minerals Report is provided as an Exhibit to this Form SD and is available at the following Internet website:</w:t>
      </w:r>
    </w:p>
    <w:p>
      <w:pPr>
        <w:spacing w:after="0" w:line="1" w:lineRule="exact"/>
        <w:rPr>
          <w:sz w:val="20"/>
          <w:szCs w:val="20"/>
          <w:color w:val="auto"/>
        </w:rPr>
      </w:pPr>
    </w:p>
    <w:p>
      <w:pPr>
        <w:jc w:val="both"/>
        <w:spacing w:after="0" w:line="233" w:lineRule="auto"/>
        <w:rPr>
          <w:sz w:val="20"/>
          <w:szCs w:val="20"/>
          <w:color w:val="auto"/>
        </w:rPr>
      </w:pPr>
      <w:r>
        <w:rPr>
          <w:rFonts w:ascii="Verdana" w:cs="Verdana" w:eastAsia="Verdana" w:hAnsi="Verdana"/>
          <w:sz w:val="18"/>
          <w:szCs w:val="18"/>
          <w:u w:val="single" w:color="auto"/>
          <w:color w:val="0563C1"/>
        </w:rPr>
        <w:t>https://investors.embecta.com/financials-filings/sec-filings</w:t>
      </w:r>
      <w:r>
        <w:rPr>
          <w:rFonts w:ascii="Verdana" w:cs="Verdana" w:eastAsia="Verdana" w:hAnsi="Verdana"/>
          <w:sz w:val="18"/>
          <w:szCs w:val="18"/>
          <w:color w:val="000000"/>
        </w:rPr>
        <w:t>. The information contained on our website is not incorporated</w:t>
      </w:r>
      <w:r>
        <w:rPr>
          <w:rFonts w:ascii="Verdana" w:cs="Verdana" w:eastAsia="Verdana" w:hAnsi="Verdana"/>
          <w:sz w:val="18"/>
          <w:szCs w:val="18"/>
          <w:color w:val="0563C1"/>
        </w:rPr>
        <w:t xml:space="preserve"> </w:t>
      </w:r>
      <w:r>
        <w:rPr>
          <w:rFonts w:ascii="Verdana" w:cs="Verdana" w:eastAsia="Verdana" w:hAnsi="Verdana"/>
          <w:sz w:val="18"/>
          <w:szCs w:val="18"/>
          <w:color w:val="000000"/>
        </w:rPr>
        <w:t>by reference into this Form SD or our Conflict Minerals Report and should not be considered part of this Form SD or the Conflict Minerals Report.</w:t>
      </w:r>
    </w:p>
    <w:p>
      <w:pPr>
        <w:spacing w:after="0" w:line="20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Information concerning tin, tantalum, tungsten, or gold from recycled or scrap sources that may be contained in our in-scope products is included in the Conflict Minerals Report and is incorporated in this Form SD by reference.</w:t>
      </w:r>
    </w:p>
    <w:p>
      <w:pPr>
        <w:spacing w:after="0" w:line="280" w:lineRule="exact"/>
        <w:rPr>
          <w:sz w:val="20"/>
          <w:szCs w:val="20"/>
          <w:color w:val="auto"/>
        </w:rPr>
      </w:pPr>
    </w:p>
    <w:p>
      <w:pPr>
        <w:spacing w:after="0"/>
        <w:tabs>
          <w:tab w:leader="none" w:pos="1300" w:val="left"/>
        </w:tabs>
        <w:rPr>
          <w:sz w:val="20"/>
          <w:szCs w:val="20"/>
          <w:color w:val="auto"/>
        </w:rPr>
      </w:pPr>
      <w:r>
        <w:rPr>
          <w:rFonts w:ascii="Verdana" w:cs="Verdana" w:eastAsia="Verdana" w:hAnsi="Verdana"/>
          <w:sz w:val="18"/>
          <w:szCs w:val="18"/>
          <w:b w:val="1"/>
          <w:bCs w:val="1"/>
          <w:color w:val="auto"/>
        </w:rPr>
        <w:t>Item 1.02</w:t>
      </w:r>
      <w:r>
        <w:rPr>
          <w:sz w:val="20"/>
          <w:szCs w:val="20"/>
          <w:color w:val="auto"/>
        </w:rPr>
        <w:tab/>
      </w:r>
      <w:r>
        <w:rPr>
          <w:rFonts w:ascii="Verdana" w:cs="Verdana" w:eastAsia="Verdana" w:hAnsi="Verdana"/>
          <w:sz w:val="17"/>
          <w:szCs w:val="17"/>
          <w:b w:val="1"/>
          <w:bCs w:val="1"/>
          <w:color w:val="auto"/>
        </w:rPr>
        <w:t>Exhibit</w:t>
      </w:r>
    </w:p>
    <w:p>
      <w:pPr>
        <w:spacing w:after="0" w:line="92" w:lineRule="exact"/>
        <w:rPr>
          <w:sz w:val="20"/>
          <w:szCs w:val="20"/>
          <w:color w:val="auto"/>
        </w:rPr>
      </w:pPr>
    </w:p>
    <w:p>
      <w:pPr>
        <w:spacing w:after="0"/>
        <w:rPr>
          <w:sz w:val="20"/>
          <w:szCs w:val="20"/>
          <w:color w:val="auto"/>
        </w:rPr>
      </w:pPr>
      <w:r>
        <w:rPr>
          <w:rFonts w:ascii="Verdana" w:cs="Verdana" w:eastAsia="Verdana" w:hAnsi="Verdana"/>
          <w:sz w:val="18"/>
          <w:szCs w:val="18"/>
          <w:color w:val="auto"/>
        </w:rPr>
        <w:t>The Conflict Minerals Report contemplated by Item 1.01 is filed as Exhibit 1.01 to this Form SD.</w:t>
      </w:r>
    </w:p>
    <w:p>
      <w:pPr>
        <w:spacing w:after="0" w:line="29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Section 2 – Exhibits</w:t>
      </w:r>
    </w:p>
    <w:p>
      <w:pPr>
        <w:spacing w:after="0" w:line="281" w:lineRule="exact"/>
        <w:rPr>
          <w:sz w:val="20"/>
          <w:szCs w:val="20"/>
          <w:color w:val="auto"/>
        </w:rPr>
      </w:pPr>
    </w:p>
    <w:p>
      <w:pPr>
        <w:spacing w:after="0"/>
        <w:tabs>
          <w:tab w:leader="none" w:pos="1300" w:val="left"/>
        </w:tabs>
        <w:rPr>
          <w:sz w:val="20"/>
          <w:szCs w:val="20"/>
          <w:color w:val="auto"/>
        </w:rPr>
      </w:pPr>
      <w:r>
        <w:rPr>
          <w:rFonts w:ascii="Verdana" w:cs="Verdana" w:eastAsia="Verdana" w:hAnsi="Verdana"/>
          <w:sz w:val="18"/>
          <w:szCs w:val="18"/>
          <w:b w:val="1"/>
          <w:bCs w:val="1"/>
          <w:color w:val="auto"/>
        </w:rPr>
        <w:t>Item 2.01</w:t>
        <w:tab/>
        <w:t>Exhibits</w:t>
      </w:r>
    </w:p>
    <w:p>
      <w:pPr>
        <w:spacing w:after="0" w:line="78" w:lineRule="exact"/>
        <w:rPr>
          <w:sz w:val="20"/>
          <w:szCs w:val="20"/>
          <w:color w:val="auto"/>
        </w:rPr>
      </w:pPr>
    </w:p>
    <w:p>
      <w:pPr>
        <w:spacing w:after="0"/>
        <w:rPr>
          <w:sz w:val="20"/>
          <w:szCs w:val="20"/>
          <w:color w:val="auto"/>
        </w:rPr>
      </w:pPr>
      <w:r>
        <w:rPr>
          <w:rFonts w:ascii="Verdana" w:cs="Verdana" w:eastAsia="Verdana" w:hAnsi="Verdana"/>
          <w:sz w:val="18"/>
          <w:szCs w:val="18"/>
          <w:color w:val="auto"/>
        </w:rPr>
        <w:t>Exhibit 1.01 – Conflict Minerals Report for the calendar year ended December 31, 2024.</w:t>
      </w:r>
    </w:p>
    <w:p>
      <w:pPr>
        <w:sectPr>
          <w:pgSz w:w="11900" w:h="16838" w:orient="portrait"/>
          <w:cols w:equalWidth="0" w:num="1">
            <w:col w:w="11240"/>
          </w:cols>
          <w:pgMar w:left="320" w:top="1417" w:right="339" w:bottom="1440" w:gutter="0" w:footer="0" w:header="0"/>
        </w:sectPr>
      </w:pPr>
    </w:p>
    <w:bookmarkStart w:id="2" w:name="page3"/>
    <w:bookmarkEnd w:id="2"/>
    <w:p>
      <w:pPr>
        <w:ind w:left="4960"/>
        <w:spacing w:after="0"/>
        <w:rPr>
          <w:sz w:val="20"/>
          <w:szCs w:val="20"/>
          <w:color w:val="auto"/>
        </w:rPr>
      </w:pPr>
      <w:r>
        <w:rPr>
          <w:rFonts w:ascii="Verdana" w:cs="Verdana" w:eastAsia="Verdana" w:hAnsi="Verdana"/>
          <w:sz w:val="18"/>
          <w:szCs w:val="18"/>
          <w:b w:val="1"/>
          <w:bCs w:val="1"/>
          <w:color w:val="auto"/>
        </w:rPr>
        <w:t>SIGNATURES</w:t>
      </w:r>
    </w:p>
    <w:p>
      <w:pPr>
        <w:spacing w:after="0" w:line="173" w:lineRule="exact"/>
        <w:rPr>
          <w:sz w:val="20"/>
          <w:szCs w:val="20"/>
          <w:color w:val="auto"/>
        </w:rPr>
      </w:pPr>
    </w:p>
    <w:p>
      <w:pPr>
        <w:spacing w:after="0" w:line="232" w:lineRule="auto"/>
        <w:rPr>
          <w:sz w:val="20"/>
          <w:szCs w:val="20"/>
          <w:color w:val="auto"/>
        </w:rPr>
      </w:pPr>
      <w:r>
        <w:rPr>
          <w:rFonts w:ascii="Verdana" w:cs="Verdana" w:eastAsia="Verdana" w:hAnsi="Verdana"/>
          <w:sz w:val="18"/>
          <w:szCs w:val="18"/>
          <w:color w:val="auto"/>
        </w:rPr>
        <w:t>Pursuant to the requirements of the Securities Exchange Act of 1934, the registrant has duly caused this report to be signed on its behalf by the duly authorized undersigned.</w:t>
      </w:r>
    </w:p>
    <w:p>
      <w:pPr>
        <w:spacing w:after="0" w:line="114" w:lineRule="exact"/>
        <w:rPr>
          <w:sz w:val="20"/>
          <w:szCs w:val="20"/>
          <w:color w:val="auto"/>
        </w:rPr>
      </w:pPr>
    </w:p>
    <w:p>
      <w:pPr>
        <w:spacing w:after="0"/>
        <w:rPr>
          <w:sz w:val="20"/>
          <w:szCs w:val="20"/>
          <w:color w:val="auto"/>
        </w:rPr>
      </w:pPr>
      <w:r>
        <w:rPr>
          <w:rFonts w:ascii="Verdana" w:cs="Verdana" w:eastAsia="Verdana" w:hAnsi="Verdana"/>
          <w:sz w:val="18"/>
          <w:szCs w:val="18"/>
          <w:color w:val="auto"/>
        </w:rPr>
        <w:t>Embecta Corp.</w:t>
      </w:r>
    </w:p>
    <w:p>
      <w:pPr>
        <w:spacing w:after="0"/>
        <w:rPr>
          <w:sz w:val="20"/>
          <w:szCs w:val="20"/>
          <w:color w:val="auto"/>
        </w:rPr>
      </w:pPr>
      <w:r>
        <w:rPr>
          <w:rFonts w:ascii="Verdana" w:cs="Verdana" w:eastAsia="Verdana" w:hAnsi="Verdana"/>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1380" w:type="dxa"/>
            <w:vAlign w:val="bottom"/>
          </w:tcPr>
          <w:p>
            <w:pPr>
              <w:spacing w:after="0"/>
              <w:rPr>
                <w:sz w:val="20"/>
                <w:szCs w:val="20"/>
                <w:color w:val="auto"/>
              </w:rPr>
            </w:pPr>
            <w:r>
              <w:rPr>
                <w:rFonts w:ascii="Verdana" w:cs="Verdana" w:eastAsia="Verdana" w:hAnsi="Verdana"/>
                <w:sz w:val="18"/>
                <w:szCs w:val="18"/>
                <w:color w:val="auto"/>
              </w:rPr>
              <w:t>By:</w:t>
            </w:r>
          </w:p>
        </w:tc>
        <w:tc>
          <w:tcPr>
            <w:tcW w:w="3100" w:type="dxa"/>
            <w:vAlign w:val="bottom"/>
            <w:tcBorders>
              <w:bottom w:val="single" w:sz="8" w:color="auto"/>
            </w:tcBorders>
          </w:tcPr>
          <w:p>
            <w:pPr>
              <w:spacing w:after="0"/>
              <w:rPr>
                <w:sz w:val="20"/>
                <w:szCs w:val="20"/>
                <w:color w:val="auto"/>
              </w:rPr>
            </w:pPr>
            <w:r>
              <w:rPr>
                <w:rFonts w:ascii="Verdana" w:cs="Verdana" w:eastAsia="Verdana" w:hAnsi="Verdana"/>
                <w:sz w:val="18"/>
                <w:szCs w:val="18"/>
                <w:color w:val="auto"/>
                <w:w w:val="99"/>
              </w:rPr>
              <w:t>/s/ Shaun Curtis______________</w:t>
            </w:r>
          </w:p>
        </w:tc>
        <w:tc>
          <w:tcPr>
            <w:tcW w:w="1940" w:type="dxa"/>
            <w:vAlign w:val="bottom"/>
          </w:tcPr>
          <w:p>
            <w:pPr>
              <w:spacing w:after="0"/>
              <w:rPr>
                <w:sz w:val="19"/>
                <w:szCs w:val="19"/>
                <w:color w:val="auto"/>
              </w:rPr>
            </w:pPr>
          </w:p>
        </w:tc>
        <w:tc>
          <w:tcPr>
            <w:tcW w:w="2240" w:type="dxa"/>
            <w:vAlign w:val="bottom"/>
          </w:tcPr>
          <w:p>
            <w:pPr>
              <w:ind w:left="1000"/>
              <w:spacing w:after="0"/>
              <w:rPr>
                <w:sz w:val="20"/>
                <w:szCs w:val="20"/>
                <w:color w:val="auto"/>
              </w:rPr>
            </w:pPr>
            <w:r>
              <w:rPr>
                <w:rFonts w:ascii="Verdana" w:cs="Verdana" w:eastAsia="Verdana" w:hAnsi="Verdana"/>
                <w:sz w:val="18"/>
                <w:szCs w:val="18"/>
                <w:color w:val="auto"/>
                <w:w w:val="97"/>
              </w:rPr>
              <w:t>May 30, 2025</w:t>
            </w:r>
          </w:p>
        </w:tc>
      </w:tr>
      <w:tr>
        <w:trPr>
          <w:trHeight w:val="245"/>
        </w:trPr>
        <w:tc>
          <w:tcPr>
            <w:tcW w:w="1380" w:type="dxa"/>
            <w:vAlign w:val="bottom"/>
          </w:tcPr>
          <w:p>
            <w:pPr>
              <w:spacing w:after="0"/>
              <w:rPr>
                <w:sz w:val="20"/>
                <w:szCs w:val="20"/>
                <w:color w:val="auto"/>
              </w:rPr>
            </w:pPr>
            <w:r>
              <w:rPr>
                <w:rFonts w:ascii="Verdana" w:cs="Verdana" w:eastAsia="Verdana" w:hAnsi="Verdana"/>
                <w:sz w:val="18"/>
                <w:szCs w:val="18"/>
                <w:color w:val="auto"/>
              </w:rPr>
              <w:t>Name:</w:t>
            </w:r>
          </w:p>
        </w:tc>
        <w:tc>
          <w:tcPr>
            <w:tcW w:w="5040" w:type="dxa"/>
            <w:vAlign w:val="bottom"/>
            <w:gridSpan w:val="2"/>
          </w:tcPr>
          <w:p>
            <w:pPr>
              <w:spacing w:after="0"/>
              <w:rPr>
                <w:sz w:val="20"/>
                <w:szCs w:val="20"/>
                <w:color w:val="auto"/>
              </w:rPr>
            </w:pPr>
            <w:r>
              <w:rPr>
                <w:rFonts w:ascii="Verdana" w:cs="Verdana" w:eastAsia="Verdana" w:hAnsi="Verdana"/>
                <w:sz w:val="18"/>
                <w:szCs w:val="18"/>
                <w:color w:val="auto"/>
              </w:rPr>
              <w:t>Shaun Curtis</w:t>
            </w:r>
          </w:p>
        </w:tc>
        <w:tc>
          <w:tcPr>
            <w:tcW w:w="2240" w:type="dxa"/>
            <w:vAlign w:val="bottom"/>
          </w:tcPr>
          <w:p>
            <w:pPr>
              <w:spacing w:after="0"/>
              <w:rPr>
                <w:sz w:val="21"/>
                <w:szCs w:val="21"/>
                <w:color w:val="auto"/>
              </w:rPr>
            </w:pPr>
          </w:p>
        </w:tc>
      </w:tr>
      <w:tr>
        <w:trPr>
          <w:trHeight w:val="235"/>
        </w:trPr>
        <w:tc>
          <w:tcPr>
            <w:tcW w:w="1380" w:type="dxa"/>
            <w:vAlign w:val="bottom"/>
          </w:tcPr>
          <w:p>
            <w:pPr>
              <w:spacing w:after="0"/>
              <w:rPr>
                <w:sz w:val="20"/>
                <w:szCs w:val="20"/>
                <w:color w:val="auto"/>
              </w:rPr>
            </w:pPr>
            <w:r>
              <w:rPr>
                <w:rFonts w:ascii="Verdana" w:cs="Verdana" w:eastAsia="Verdana" w:hAnsi="Verdana"/>
                <w:sz w:val="18"/>
                <w:szCs w:val="18"/>
                <w:color w:val="auto"/>
              </w:rPr>
              <w:t>Title:</w:t>
            </w:r>
          </w:p>
        </w:tc>
        <w:tc>
          <w:tcPr>
            <w:tcW w:w="5040" w:type="dxa"/>
            <w:vAlign w:val="bottom"/>
            <w:gridSpan w:val="2"/>
          </w:tcPr>
          <w:p>
            <w:pPr>
              <w:spacing w:after="0"/>
              <w:rPr>
                <w:sz w:val="20"/>
                <w:szCs w:val="20"/>
                <w:color w:val="auto"/>
              </w:rPr>
            </w:pPr>
            <w:r>
              <w:rPr>
                <w:rFonts w:ascii="Verdana" w:cs="Verdana" w:eastAsia="Verdana" w:hAnsi="Verdana"/>
                <w:sz w:val="18"/>
                <w:szCs w:val="18"/>
                <w:color w:val="auto"/>
              </w:rPr>
              <w:t>SVP, Global Manufacturing and Supply Chain</w:t>
            </w:r>
          </w:p>
        </w:tc>
        <w:tc>
          <w:tcPr>
            <w:tcW w:w="2240" w:type="dxa"/>
            <w:vAlign w:val="bottom"/>
          </w:tcPr>
          <w:p>
            <w:pPr>
              <w:spacing w:after="0"/>
              <w:rPr>
                <w:sz w:val="20"/>
                <w:szCs w:val="20"/>
                <w:color w:val="auto"/>
              </w:rPr>
            </w:pPr>
          </w:p>
        </w:tc>
      </w:tr>
    </w:tbl>
    <w:p>
      <w:pPr>
        <w:sectPr>
          <w:pgSz w:w="11900" w:h="16838" w:orient="portrait"/>
          <w:cols w:equalWidth="0" w:num="1">
            <w:col w:w="10660"/>
          </w:cols>
          <w:pgMar w:left="320" w:top="1403" w:right="919" w:bottom="1440" w:gutter="0" w:footer="0" w:header="0"/>
        </w:sectPr>
      </w:pPr>
    </w:p>
    <w:bookmarkStart w:id="3" w:name="page4"/>
    <w:bookmarkEnd w:id="3"/>
    <w:p>
      <w:pPr>
        <w:ind w:left="4720"/>
        <w:spacing w:after="0"/>
        <w:rPr>
          <w:sz w:val="20"/>
          <w:szCs w:val="20"/>
          <w:color w:val="auto"/>
        </w:rPr>
      </w:pPr>
      <w:r>
        <w:rPr>
          <w:rFonts w:ascii="Verdana" w:cs="Verdana" w:eastAsia="Verdana" w:hAnsi="Verdana"/>
          <w:sz w:val="18"/>
          <w:szCs w:val="18"/>
          <w:b w:val="1"/>
          <w:bCs w:val="1"/>
          <w:color w:val="auto"/>
        </w:rPr>
        <w:t>EXHIBIT INDEX</w:t>
      </w:r>
    </w:p>
    <w:p>
      <w:pPr>
        <w:spacing w:after="0" w:line="200" w:lineRule="exact"/>
        <w:rPr>
          <w:sz w:val="20"/>
          <w:szCs w:val="20"/>
          <w:color w:val="auto"/>
        </w:rPr>
      </w:pPr>
    </w:p>
    <w:p>
      <w:pPr>
        <w:spacing w:after="0" w:line="306" w:lineRule="exact"/>
        <w:rPr>
          <w:sz w:val="20"/>
          <w:szCs w:val="20"/>
          <w:color w:val="auto"/>
        </w:rPr>
      </w:pPr>
    </w:p>
    <w:p>
      <w:pPr>
        <w:ind w:left="80"/>
        <w:spacing w:after="0"/>
        <w:tabs>
          <w:tab w:leader="none" w:pos="800" w:val="left"/>
        </w:tabs>
        <w:rPr>
          <w:sz w:val="20"/>
          <w:szCs w:val="20"/>
          <w:color w:val="auto"/>
        </w:rPr>
      </w:pPr>
      <w:r>
        <w:rPr>
          <w:rFonts w:ascii="Verdana" w:cs="Verdana" w:eastAsia="Verdana" w:hAnsi="Verdana"/>
          <w:sz w:val="14"/>
          <w:szCs w:val="14"/>
          <w:b w:val="1"/>
          <w:bCs w:val="1"/>
          <w:color w:val="auto"/>
        </w:rPr>
        <w:t>Exhibit</w:t>
        <w:tab/>
        <w:t>Description</w:t>
      </w:r>
    </w:p>
    <w:p>
      <w:pPr>
        <w:spacing w:after="0" w:line="131" w:lineRule="exact"/>
        <w:rPr>
          <w:sz w:val="20"/>
          <w:szCs w:val="20"/>
          <w:color w:val="auto"/>
        </w:rPr>
      </w:pPr>
    </w:p>
    <w:p>
      <w:pPr>
        <w:spacing w:after="0"/>
        <w:tabs>
          <w:tab w:leader="none" w:pos="940" w:val="left"/>
        </w:tabs>
        <w:rPr>
          <w:sz w:val="20"/>
          <w:szCs w:val="20"/>
          <w:color w:val="auto"/>
        </w:rPr>
      </w:pPr>
      <w:r>
        <w:rPr>
          <w:rFonts w:ascii="Verdana" w:cs="Verdana" w:eastAsia="Verdana" w:hAnsi="Verdana"/>
          <w:sz w:val="18"/>
          <w:szCs w:val="18"/>
          <w:color w:val="auto"/>
        </w:rPr>
        <w:t>1.01</w:t>
      </w:r>
      <w:r>
        <w:rPr>
          <w:sz w:val="20"/>
          <w:szCs w:val="20"/>
          <w:color w:val="auto"/>
        </w:rPr>
        <w:tab/>
      </w:r>
      <w:r>
        <w:rPr>
          <w:rFonts w:ascii="Verdana" w:cs="Verdana" w:eastAsia="Verdana" w:hAnsi="Verdana"/>
          <w:sz w:val="17"/>
          <w:szCs w:val="17"/>
          <w:u w:val="single" w:color="auto"/>
          <w:color w:val="0070E0"/>
        </w:rPr>
        <w:t>Conflict Minerals Report for the calendar year ended December 31, 2024.</w:t>
      </w:r>
    </w:p>
    <w:p>
      <w:pPr>
        <w:sectPr>
          <w:pgSz w:w="11900" w:h="16838" w:orient="portrait"/>
          <w:cols w:equalWidth="0" w:num="1">
            <w:col w:w="10039"/>
          </w:cols>
          <w:pgMar w:left="420" w:top="1403" w:right="1440" w:bottom="1440" w:gutter="0" w:footer="0" w:header="0"/>
        </w:sectPr>
      </w:pPr>
    </w:p>
    <w:bookmarkStart w:id="4" w:name="page5"/>
    <w:bookmarkEnd w:id="4"/>
    <w:p>
      <w:pPr>
        <w:ind w:left="10020"/>
        <w:spacing w:after="0"/>
        <w:rPr>
          <w:sz w:val="20"/>
          <w:szCs w:val="20"/>
          <w:color w:val="auto"/>
        </w:rPr>
      </w:pPr>
      <w:r>
        <w:rPr>
          <w:rFonts w:ascii="Verdana" w:cs="Verdana" w:eastAsia="Verdana" w:hAnsi="Verdana"/>
          <w:sz w:val="18"/>
          <w:szCs w:val="18"/>
          <w:b w:val="1"/>
          <w:bCs w:val="1"/>
          <w:color w:val="auto"/>
        </w:rPr>
        <w:t>Exhibit 1.01</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Conflict Minerals Report</w:t>
      </w:r>
    </w:p>
    <w:p>
      <w:pPr>
        <w:spacing w:after="0" w:line="146" w:lineRule="exact"/>
        <w:rPr>
          <w:sz w:val="20"/>
          <w:szCs w:val="20"/>
          <w:color w:val="auto"/>
        </w:rPr>
      </w:pPr>
    </w:p>
    <w:p>
      <w:pPr>
        <w:jc w:val="both"/>
        <w:spacing w:after="0" w:line="253" w:lineRule="auto"/>
        <w:rPr>
          <w:sz w:val="20"/>
          <w:szCs w:val="20"/>
          <w:color w:val="auto"/>
        </w:rPr>
      </w:pPr>
      <w:r>
        <w:rPr>
          <w:rFonts w:ascii="Verdana" w:cs="Verdana" w:eastAsia="Verdana" w:hAnsi="Verdana"/>
          <w:sz w:val="18"/>
          <w:szCs w:val="18"/>
          <w:color w:val="auto"/>
        </w:rPr>
        <w:t>Embecta Corp. has included this Conflict Minerals Report as an exhibit to its Form SD for 2024, as contemplated by Rule 13p-1 under the Securities Exchange Act of 1934, as amended (the “Exchange Act”), and Form SD (collectively, the “Conflict Minerals Rule”). The date of filing of this Conflict Minerals Report is May 30, 2025.</w:t>
      </w:r>
    </w:p>
    <w:p>
      <w:pPr>
        <w:spacing w:after="0" w:line="132" w:lineRule="exact"/>
        <w:rPr>
          <w:sz w:val="20"/>
          <w:szCs w:val="20"/>
          <w:color w:val="auto"/>
        </w:rPr>
      </w:pPr>
    </w:p>
    <w:p>
      <w:pPr>
        <w:jc w:val="both"/>
        <w:spacing w:after="0" w:line="249" w:lineRule="auto"/>
        <w:rPr>
          <w:sz w:val="20"/>
          <w:szCs w:val="20"/>
          <w:color w:val="auto"/>
        </w:rPr>
      </w:pPr>
      <w:r>
        <w:rPr>
          <w:rFonts w:ascii="Verdana" w:cs="Verdana" w:eastAsia="Verdana" w:hAnsi="Verdana"/>
          <w:sz w:val="18"/>
          <w:szCs w:val="18"/>
          <w:color w:val="auto"/>
        </w:rPr>
        <w:t>The term “Embecta,” “we,” “us” and “our” refer to Embecta Corp. and its consolidated subsidiaries for or at the end of 2024. As used herein and consistent with the Conflict Minerals Rule, “Conflict Minerals” or “3TG” are columbite-tantalite (coltan), cassiterite, gold, wolframite and the derivatives tantalum, tin, and tungsten, without regard to the location of origin of the minerals or derivative metals. The “Conflict Affected Region” is defined as the Democratic Republic of the Congo and its adjacent countries, which include Angola, Burundi, Central African Republic, the Republic of the Congo, Rwanda, South Sudan, Tanzania, Uganda, and Zambia.</w:t>
      </w:r>
    </w:p>
    <w:p>
      <w:pPr>
        <w:spacing w:after="0" w:line="12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Overview</w:t>
      </w:r>
    </w:p>
    <w:p>
      <w:pPr>
        <w:spacing w:after="0" w:line="146" w:lineRule="exact"/>
        <w:rPr>
          <w:sz w:val="20"/>
          <w:szCs w:val="20"/>
          <w:color w:val="auto"/>
        </w:rPr>
      </w:pPr>
    </w:p>
    <w:p>
      <w:pPr>
        <w:jc w:val="both"/>
        <w:spacing w:after="0" w:line="252" w:lineRule="auto"/>
        <w:rPr>
          <w:sz w:val="20"/>
          <w:szCs w:val="20"/>
          <w:color w:val="auto"/>
        </w:rPr>
      </w:pPr>
      <w:r>
        <w:rPr>
          <w:rFonts w:ascii="Verdana" w:cs="Verdana" w:eastAsia="Verdana" w:hAnsi="Verdana"/>
          <w:sz w:val="18"/>
          <w:szCs w:val="18"/>
          <w:color w:val="auto"/>
        </w:rPr>
        <w:t>Embecta, formerly part of Becton, Dickinson and Company, is a global company that is advancing its 100-year legacy in insulin delivery to become a broad-based medical supplies company, helping to improve lives through innovative solutions, partnerships, and the passion of approximately 2,000 employees around the globe. Embecta is subject to the Conflict Minerals Rule because, for 2024, certain raw materials and components contained in some of the products that we manufactured or contracted to manufacture contained 3TG that were necessary to the functionality or production of the products. Many of the raw materials and components contained in our products do not contain any 3TG.</w:t>
      </w:r>
    </w:p>
    <w:p>
      <w:pPr>
        <w:spacing w:after="0" w:line="215" w:lineRule="exact"/>
        <w:rPr>
          <w:sz w:val="20"/>
          <w:szCs w:val="20"/>
          <w:color w:val="auto"/>
        </w:rPr>
      </w:pPr>
    </w:p>
    <w:p>
      <w:pPr>
        <w:jc w:val="both"/>
        <w:spacing w:after="0" w:line="269" w:lineRule="auto"/>
        <w:rPr>
          <w:sz w:val="20"/>
          <w:szCs w:val="20"/>
          <w:color w:val="auto"/>
        </w:rPr>
      </w:pPr>
      <w:r>
        <w:rPr>
          <w:rFonts w:ascii="Verdana" w:cs="Verdana" w:eastAsia="Verdana" w:hAnsi="Verdana"/>
          <w:sz w:val="18"/>
          <w:szCs w:val="18"/>
          <w:color w:val="auto"/>
        </w:rPr>
        <w:t>We do not directly source 3TG from mines, smelters, or refiners, and we believe that we are many levels removed from these market participants.</w:t>
      </w:r>
    </w:p>
    <w:p>
      <w:pPr>
        <w:spacing w:after="0" w:line="10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Reasonable Country of Origin Inquiry; Smelter and Refiner and Country of Origin Information</w:t>
      </w:r>
    </w:p>
    <w:p>
      <w:pPr>
        <w:spacing w:after="0" w:line="159" w:lineRule="exact"/>
        <w:rPr>
          <w:sz w:val="20"/>
          <w:szCs w:val="20"/>
          <w:color w:val="auto"/>
        </w:rPr>
      </w:pPr>
    </w:p>
    <w:p>
      <w:pPr>
        <w:jc w:val="both"/>
        <w:spacing w:after="0" w:line="252" w:lineRule="auto"/>
        <w:rPr>
          <w:sz w:val="20"/>
          <w:szCs w:val="20"/>
          <w:color w:val="auto"/>
        </w:rPr>
      </w:pPr>
      <w:r>
        <w:rPr>
          <w:rFonts w:ascii="Verdana" w:cs="Verdana" w:eastAsia="Verdana" w:hAnsi="Verdana"/>
          <w:sz w:val="18"/>
          <w:szCs w:val="18"/>
          <w:color w:val="auto"/>
        </w:rPr>
        <w:t>As required by the Conflict Minerals Rule, for 2024, a “reasonable country of origin inquiry” was conducted. The outreach included 8 suppliers (the “Suppliers”) that were identified through internal scoping processes as having provided, or that we believe may have provided, us with raw materials or components that contain 3TG. Suppliers representing 100% of Embecta’s in-scope spend responded to Embecta’s reasonable country of origin inquiry.</w:t>
      </w:r>
    </w:p>
    <w:p>
      <w:pPr>
        <w:spacing w:after="0" w:line="121" w:lineRule="exact"/>
        <w:rPr>
          <w:sz w:val="20"/>
          <w:szCs w:val="20"/>
          <w:color w:val="auto"/>
        </w:rPr>
      </w:pPr>
    </w:p>
    <w:p>
      <w:pPr>
        <w:jc w:val="both"/>
        <w:spacing w:after="0" w:line="252" w:lineRule="auto"/>
        <w:rPr>
          <w:sz w:val="20"/>
          <w:szCs w:val="20"/>
          <w:color w:val="auto"/>
        </w:rPr>
      </w:pPr>
      <w:r>
        <w:rPr>
          <w:rFonts w:ascii="Verdana" w:cs="Verdana" w:eastAsia="Verdana" w:hAnsi="Verdana"/>
          <w:sz w:val="18"/>
          <w:szCs w:val="18"/>
          <w:color w:val="auto"/>
        </w:rPr>
        <w:t>For 2024, our Suppliers identified 360 smelters and refiners as described in the Table 1. Smelter summary. Smelters and refiners are sorted by mineral and risk level, as potentially having processed the necessary 3TG contained in our in-scope products. The names of the identified smelters and refiners are listed in Appendix A. The origin of only a portion (if any) of the necessary Conflict Minerals contained in each of our in-scope products was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 of 16</w:t>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Verdana" w:cs="Verdana" w:eastAsia="Verdana" w:hAnsi="Verdana"/>
          <w:sz w:val="18"/>
          <w:szCs w:val="18"/>
          <w:i w:val="1"/>
          <w:iCs w:val="1"/>
          <w:color w:val="auto"/>
        </w:rPr>
        <w:t>Table 1. Smelter Summary</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1140" w:type="dxa"/>
            <w:vAlign w:val="bottom"/>
            <w:tcBorders>
              <w:right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rPr>
              <w:t>Covered</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Non-Covered</w:t>
            </w:r>
          </w:p>
        </w:tc>
        <w:tc>
          <w:tcPr>
            <w:tcW w:w="1100" w:type="dxa"/>
            <w:vAlign w:val="bottom"/>
            <w:tcBorders>
              <w:top w:val="single" w:sz="8" w:color="auto"/>
              <w:right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spacing w:after="0"/>
              <w:rPr>
                <w:sz w:val="24"/>
                <w:szCs w:val="24"/>
                <w:color w:val="auto"/>
              </w:rPr>
            </w:pPr>
          </w:p>
        </w:tc>
        <w:tc>
          <w:tcPr>
            <w:tcW w:w="11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w w:val="99"/>
              </w:rPr>
              <w:t>Country</w:t>
            </w:r>
          </w:p>
        </w:tc>
        <w:tc>
          <w:tcPr>
            <w:tcW w:w="13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2300" w:type="dxa"/>
            <w:vAlign w:val="bottom"/>
            <w:gridSpan w:val="2"/>
            <w:vMerge w:val="restart"/>
          </w:tcPr>
          <w:p>
            <w:pPr>
              <w:ind w:left="140"/>
              <w:spacing w:after="0"/>
              <w:rPr>
                <w:sz w:val="20"/>
                <w:szCs w:val="20"/>
                <w:color w:val="auto"/>
              </w:rPr>
            </w:pPr>
            <w:r>
              <w:rPr>
                <w:rFonts w:ascii="Verdana" w:cs="Verdana" w:eastAsia="Verdana" w:hAnsi="Verdana"/>
                <w:sz w:val="14"/>
                <w:szCs w:val="14"/>
                <w:b w:val="1"/>
                <w:bCs w:val="1"/>
                <w:color w:val="auto"/>
              </w:rPr>
              <w:t>Other Source Country</w:t>
            </w:r>
          </w:p>
        </w:tc>
        <w:tc>
          <w:tcPr>
            <w:tcW w:w="112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1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Countries Only</w:t>
            </w:r>
          </w:p>
        </w:tc>
        <w:tc>
          <w:tcPr>
            <w:tcW w:w="1100" w:type="dxa"/>
            <w:vAlign w:val="bottom"/>
            <w:tcBorders>
              <w:right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2300" w:type="dxa"/>
            <w:vAlign w:val="bottom"/>
            <w:gridSpan w:val="2"/>
            <w:vMerge w:val="continue"/>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Sourced</w:t>
            </w:r>
          </w:p>
        </w:tc>
        <w:tc>
          <w:tcPr>
            <w:tcW w:w="132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1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Total</w:t>
            </w:r>
          </w:p>
        </w:tc>
        <w:tc>
          <w:tcPr>
            <w:tcW w:w="0" w:type="dxa"/>
            <w:vAlign w:val="bottom"/>
          </w:tcPr>
          <w:p>
            <w:pPr>
              <w:spacing w:after="0"/>
              <w:rPr>
                <w:sz w:val="1"/>
                <w:szCs w:val="1"/>
                <w:color w:val="auto"/>
              </w:rPr>
            </w:pPr>
          </w:p>
        </w:tc>
      </w:tr>
      <w:tr>
        <w:trPr>
          <w:trHeight w:val="106"/>
        </w:trPr>
        <w:tc>
          <w:tcPr>
            <w:tcW w:w="11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140" w:type="dxa"/>
            <w:vAlign w:val="bottom"/>
            <w:tcBorders>
              <w:left w:val="single" w:sz="8" w:color="auto"/>
              <w:right w:val="single" w:sz="8" w:color="auto"/>
            </w:tcBorders>
          </w:tcPr>
          <w:p>
            <w:pPr>
              <w:spacing w:after="0"/>
              <w:rPr>
                <w:sz w:val="14"/>
                <w:szCs w:val="14"/>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RMAP</w:t>
            </w:r>
          </w:p>
        </w:tc>
        <w:tc>
          <w:tcPr>
            <w:tcW w:w="132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RMAP</w:t>
            </w:r>
          </w:p>
        </w:tc>
        <w:tc>
          <w:tcPr>
            <w:tcW w:w="110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100%</w:t>
            </w:r>
          </w:p>
        </w:tc>
        <w:tc>
          <w:tcPr>
            <w:tcW w:w="13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RMAP</w:t>
            </w:r>
          </w:p>
        </w:tc>
        <w:tc>
          <w:tcPr>
            <w:tcW w:w="96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RMAP</w:t>
            </w:r>
          </w:p>
        </w:tc>
        <w:tc>
          <w:tcPr>
            <w:tcW w:w="13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w w:val="99"/>
              </w:rPr>
              <w:t>Non-</w:t>
            </w:r>
          </w:p>
        </w:tc>
        <w:tc>
          <w:tcPr>
            <w:tcW w:w="112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On Smelter</w:t>
            </w:r>
          </w:p>
        </w:tc>
        <w:tc>
          <w:tcPr>
            <w:tcW w:w="1160" w:type="dxa"/>
            <w:vAlign w:val="bottom"/>
            <w:tcBorders>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rPr>
              <w:t>Smelters</w:t>
            </w:r>
          </w:p>
        </w:tc>
        <w:tc>
          <w:tcPr>
            <w:tcW w:w="0" w:type="dxa"/>
            <w:vAlign w:val="bottom"/>
          </w:tcPr>
          <w:p>
            <w:pPr>
              <w:spacing w:after="0"/>
              <w:rPr>
                <w:sz w:val="1"/>
                <w:szCs w:val="1"/>
                <w:color w:val="auto"/>
              </w:rPr>
            </w:pPr>
          </w:p>
        </w:tc>
      </w:tr>
      <w:tr>
        <w:trPr>
          <w:trHeight w:val="97"/>
        </w:trPr>
        <w:tc>
          <w:tcPr>
            <w:tcW w:w="1140" w:type="dxa"/>
            <w:vAlign w:val="bottom"/>
            <w:tcBorders>
              <w:left w:val="single" w:sz="8" w:color="auto"/>
              <w:right w:val="single" w:sz="8" w:color="auto"/>
            </w:tcBorders>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140" w:type="dxa"/>
            <w:vAlign w:val="bottom"/>
            <w:tcBorders>
              <w:left w:val="single" w:sz="8" w:color="auto"/>
              <w:right w:val="single" w:sz="8" w:color="auto"/>
            </w:tcBorders>
            <w:vMerge w:val="restart"/>
          </w:tcPr>
          <w:p>
            <w:pPr>
              <w:ind w:left="340"/>
              <w:spacing w:after="0"/>
              <w:rPr>
                <w:sz w:val="20"/>
                <w:szCs w:val="20"/>
                <w:color w:val="auto"/>
              </w:rPr>
            </w:pPr>
            <w:r>
              <w:rPr>
                <w:rFonts w:ascii="Verdana" w:cs="Verdana" w:eastAsia="Verdana" w:hAnsi="Verdana"/>
                <w:sz w:val="14"/>
                <w:szCs w:val="14"/>
                <w:b w:val="1"/>
                <w:bCs w:val="1"/>
                <w:color w:val="auto"/>
              </w:rPr>
              <w:t>Metal</w:t>
            </w:r>
          </w:p>
        </w:tc>
        <w:tc>
          <w:tcPr>
            <w:tcW w:w="13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Look-up Tab</w:t>
            </w:r>
          </w:p>
        </w:tc>
        <w:tc>
          <w:tcPr>
            <w:tcW w:w="1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140" w:type="dxa"/>
            <w:vAlign w:val="bottom"/>
            <w:tcBorders>
              <w:left w:val="single" w:sz="8" w:color="auto"/>
              <w:right w:val="single" w:sz="8" w:color="auto"/>
            </w:tcBorders>
            <w:vMerge w:val="continue"/>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Conformant</w:t>
            </w:r>
          </w:p>
        </w:tc>
        <w:tc>
          <w:tcPr>
            <w:tcW w:w="132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Conformant</w:t>
            </w:r>
          </w:p>
        </w:tc>
        <w:tc>
          <w:tcPr>
            <w:tcW w:w="110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Recycled or</w:t>
            </w:r>
          </w:p>
        </w:tc>
        <w:tc>
          <w:tcPr>
            <w:tcW w:w="13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Conformant</w:t>
            </w:r>
          </w:p>
        </w:tc>
        <w:tc>
          <w:tcPr>
            <w:tcW w:w="96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Active</w:t>
            </w:r>
          </w:p>
        </w:tc>
        <w:tc>
          <w:tcPr>
            <w:tcW w:w="13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Conformant</w:t>
            </w:r>
          </w:p>
        </w:tc>
        <w:tc>
          <w:tcPr>
            <w:tcW w:w="112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14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Only</w:t>
            </w:r>
          </w:p>
        </w:tc>
        <w:tc>
          <w:tcPr>
            <w:tcW w:w="1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w w:val="99"/>
              </w:rPr>
              <w:t>Scrap</w:t>
            </w:r>
          </w:p>
        </w:tc>
        <w:tc>
          <w:tcPr>
            <w:tcW w:w="134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14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40" w:type="dxa"/>
            <w:vAlign w:val="bottom"/>
            <w:tcBorders>
              <w:left w:val="single" w:sz="8" w:color="auto"/>
              <w:bottom w:val="single" w:sz="8" w:color="auto"/>
              <w:right w:val="single" w:sz="8" w:color="auto"/>
            </w:tcBorders>
          </w:tcPr>
          <w:p>
            <w:pPr>
              <w:ind w:left="80"/>
              <w:spacing w:after="0"/>
              <w:rPr>
                <w:sz w:val="20"/>
                <w:szCs w:val="20"/>
                <w:color w:val="auto"/>
              </w:rPr>
            </w:pPr>
            <w:r>
              <w:rPr>
                <w:rFonts w:ascii="Verdana" w:cs="Verdana" w:eastAsia="Verdana" w:hAnsi="Verdana"/>
                <w:sz w:val="14"/>
                <w:szCs w:val="14"/>
                <w:b w:val="1"/>
                <w:bCs w:val="1"/>
                <w:color w:val="auto"/>
              </w:rPr>
              <w:t>Gold</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1</w:t>
            </w:r>
          </w:p>
        </w:tc>
        <w:tc>
          <w:tcPr>
            <w:tcW w:w="13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73</w:t>
            </w:r>
          </w:p>
        </w:tc>
        <w:tc>
          <w:tcPr>
            <w:tcW w:w="110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15</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w w:val="88"/>
              </w:rPr>
              <w:t>3</w:t>
            </w:r>
          </w:p>
        </w:tc>
        <w:tc>
          <w:tcPr>
            <w:tcW w:w="9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w w:val="88"/>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20</w:t>
            </w:r>
          </w:p>
        </w:tc>
        <w:tc>
          <w:tcPr>
            <w:tcW w:w="11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66</w:t>
            </w:r>
          </w:p>
        </w:tc>
        <w:tc>
          <w:tcPr>
            <w:tcW w:w="11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rPr>
              <w:t>180</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80"/>
              <w:spacing w:after="0"/>
              <w:rPr>
                <w:sz w:val="20"/>
                <w:szCs w:val="20"/>
                <w:color w:val="auto"/>
              </w:rPr>
            </w:pPr>
            <w:r>
              <w:rPr>
                <w:rFonts w:ascii="Verdana" w:cs="Verdana" w:eastAsia="Verdana" w:hAnsi="Verdana"/>
                <w:sz w:val="14"/>
                <w:szCs w:val="14"/>
                <w:b w:val="1"/>
                <w:bCs w:val="1"/>
                <w:color w:val="auto"/>
              </w:rPr>
              <w:t>Tantalum</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19</w:t>
            </w:r>
          </w:p>
        </w:tc>
        <w:tc>
          <w:tcPr>
            <w:tcW w:w="13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11</w:t>
            </w:r>
          </w:p>
        </w:tc>
        <w:tc>
          <w:tcPr>
            <w:tcW w:w="110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w w:val="88"/>
              </w:rPr>
              <w:t>4</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w w:val="88"/>
              </w:rPr>
              <w:t>0</w:t>
            </w:r>
          </w:p>
        </w:tc>
        <w:tc>
          <w:tcPr>
            <w:tcW w:w="9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w w:val="88"/>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w w:val="88"/>
              </w:rPr>
              <w:t>2</w:t>
            </w:r>
          </w:p>
        </w:tc>
        <w:tc>
          <w:tcPr>
            <w:tcW w:w="11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w w:val="99"/>
              </w:rPr>
              <w:t>36</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80"/>
              <w:spacing w:after="0"/>
              <w:rPr>
                <w:sz w:val="20"/>
                <w:szCs w:val="20"/>
                <w:color w:val="auto"/>
              </w:rPr>
            </w:pPr>
            <w:r>
              <w:rPr>
                <w:rFonts w:ascii="Verdana" w:cs="Verdana" w:eastAsia="Verdana" w:hAnsi="Verdana"/>
                <w:sz w:val="14"/>
                <w:szCs w:val="14"/>
                <w:b w:val="1"/>
                <w:bCs w:val="1"/>
                <w:color w:val="auto"/>
              </w:rPr>
              <w:t>Tin</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11</w:t>
            </w:r>
          </w:p>
        </w:tc>
        <w:tc>
          <w:tcPr>
            <w:tcW w:w="13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49</w:t>
            </w:r>
          </w:p>
        </w:tc>
        <w:tc>
          <w:tcPr>
            <w:tcW w:w="110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w w:val="88"/>
              </w:rPr>
              <w:t>8</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w w:val="88"/>
              </w:rPr>
              <w:t>2</w:t>
            </w:r>
          </w:p>
        </w:tc>
        <w:tc>
          <w:tcPr>
            <w:tcW w:w="9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w w:val="88"/>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9</w:t>
            </w:r>
          </w:p>
        </w:tc>
        <w:tc>
          <w:tcPr>
            <w:tcW w:w="11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w w:val="88"/>
              </w:rPr>
              <w:t>8</w:t>
            </w:r>
          </w:p>
        </w:tc>
        <w:tc>
          <w:tcPr>
            <w:tcW w:w="11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w w:val="99"/>
              </w:rPr>
              <w:t>88</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80"/>
              <w:spacing w:after="0"/>
              <w:rPr>
                <w:sz w:val="20"/>
                <w:szCs w:val="20"/>
                <w:color w:val="auto"/>
              </w:rPr>
            </w:pPr>
            <w:r>
              <w:rPr>
                <w:rFonts w:ascii="Verdana" w:cs="Verdana" w:eastAsia="Verdana" w:hAnsi="Verdana"/>
                <w:sz w:val="14"/>
                <w:szCs w:val="14"/>
                <w:b w:val="1"/>
                <w:bCs w:val="1"/>
                <w:color w:val="auto"/>
              </w:rPr>
              <w:t>Tungsten</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9</w:t>
            </w:r>
          </w:p>
        </w:tc>
        <w:tc>
          <w:tcPr>
            <w:tcW w:w="13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21</w:t>
            </w:r>
          </w:p>
        </w:tc>
        <w:tc>
          <w:tcPr>
            <w:tcW w:w="110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w w:val="88"/>
              </w:rPr>
              <w:t>6</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w w:val="88"/>
              </w:rPr>
              <w:t>0</w:t>
            </w:r>
          </w:p>
        </w:tc>
        <w:tc>
          <w:tcPr>
            <w:tcW w:w="9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w w:val="88"/>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4</w:t>
            </w:r>
          </w:p>
        </w:tc>
        <w:tc>
          <w:tcPr>
            <w:tcW w:w="11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15</w:t>
            </w:r>
          </w:p>
        </w:tc>
        <w:tc>
          <w:tcPr>
            <w:tcW w:w="11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w w:val="99"/>
              </w:rPr>
              <w:t>56</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80"/>
              <w:spacing w:after="0"/>
              <w:rPr>
                <w:sz w:val="20"/>
                <w:szCs w:val="20"/>
                <w:color w:val="auto"/>
              </w:rPr>
            </w:pPr>
            <w:r>
              <w:rPr>
                <w:rFonts w:ascii="Verdana" w:cs="Verdana" w:eastAsia="Verdana" w:hAnsi="Verdana"/>
                <w:sz w:val="14"/>
                <w:szCs w:val="14"/>
                <w:b w:val="1"/>
                <w:bCs w:val="1"/>
                <w:color w:val="auto"/>
              </w:rPr>
              <w:t>Total</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rPr>
              <w:t>40</w:t>
            </w:r>
          </w:p>
        </w:tc>
        <w:tc>
          <w:tcPr>
            <w:tcW w:w="13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rPr>
              <w:t>154</w:t>
            </w:r>
          </w:p>
        </w:tc>
        <w:tc>
          <w:tcPr>
            <w:tcW w:w="110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w w:val="99"/>
              </w:rPr>
              <w:t>33</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w w:val="99"/>
              </w:rPr>
              <w:t>5</w:t>
            </w:r>
          </w:p>
        </w:tc>
        <w:tc>
          <w:tcPr>
            <w:tcW w:w="9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w w:val="99"/>
              </w:rPr>
              <w:t>4</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rPr>
              <w:t>33</w:t>
            </w:r>
          </w:p>
        </w:tc>
        <w:tc>
          <w:tcPr>
            <w:tcW w:w="11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w w:val="99"/>
              </w:rPr>
              <w:t>91</w:t>
            </w:r>
          </w:p>
        </w:tc>
        <w:tc>
          <w:tcPr>
            <w:tcW w:w="11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rPr>
              <w:t>360</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69" w:lineRule="auto"/>
        <w:rPr>
          <w:sz w:val="20"/>
          <w:szCs w:val="20"/>
          <w:color w:val="auto"/>
        </w:rPr>
      </w:pPr>
      <w:r>
        <w:rPr>
          <w:rFonts w:ascii="Verdana" w:cs="Verdana" w:eastAsia="Verdana" w:hAnsi="Verdana"/>
          <w:sz w:val="18"/>
          <w:szCs w:val="18"/>
          <w:color w:val="auto"/>
        </w:rPr>
        <w:t>Based on the results of our reasonable country of origin inquiry, due diligence was conducted for 2024. These due diligence efforts are discussed later in this Conflict Minerals Report.</w:t>
      </w:r>
    </w:p>
    <w:p>
      <w:pPr>
        <w:spacing w:after="0" w:line="10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Conclusion Statement</w:t>
      </w:r>
    </w:p>
    <w:p>
      <w:pPr>
        <w:spacing w:after="0" w:line="146" w:lineRule="exact"/>
        <w:rPr>
          <w:sz w:val="20"/>
          <w:szCs w:val="20"/>
          <w:color w:val="auto"/>
        </w:rPr>
      </w:pPr>
    </w:p>
    <w:p>
      <w:pPr>
        <w:jc w:val="both"/>
        <w:spacing w:after="0" w:line="252" w:lineRule="auto"/>
        <w:rPr>
          <w:sz w:val="20"/>
          <w:szCs w:val="20"/>
          <w:color w:val="auto"/>
        </w:rPr>
      </w:pPr>
      <w:r>
        <w:rPr>
          <w:rFonts w:ascii="Verdana" w:cs="Verdana" w:eastAsia="Verdana" w:hAnsi="Verdana"/>
          <w:sz w:val="18"/>
          <w:szCs w:val="18"/>
          <w:color w:val="auto"/>
        </w:rPr>
        <w:t>Based on our due diligence efforts, none of the necessary 3TG contained in our in-scope products were determined to directly or indirectly finance or benefit armed groups in the Conflict Affected Region. However, Embecta did not conclude that any of our products were “DRC conflict free.” The terms “armed group” and “DRC conflict free” have the meanings contained in the Conflict Minerals Rule.</w:t>
      </w:r>
    </w:p>
    <w:p>
      <w:pPr>
        <w:spacing w:after="0" w:line="13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Due Diligence Program</w:t>
      </w:r>
    </w:p>
    <w:p>
      <w:pPr>
        <w:spacing w:after="0" w:line="14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Design Framework</w:t>
      </w:r>
    </w:p>
    <w:p>
      <w:pPr>
        <w:jc w:val="both"/>
        <w:spacing w:after="0" w:line="269" w:lineRule="auto"/>
        <w:rPr>
          <w:sz w:val="20"/>
          <w:szCs w:val="20"/>
          <w:color w:val="auto"/>
        </w:rPr>
      </w:pPr>
      <w:r>
        <w:rPr>
          <w:rFonts w:ascii="Verdana" w:cs="Verdana" w:eastAsia="Verdana" w:hAnsi="Verdana"/>
          <w:sz w:val="18"/>
          <w:szCs w:val="18"/>
          <w:color w:val="auto"/>
        </w:rPr>
        <w:t>The due diligence measures relating to 3TG were designed to conform with the criteria set forth in the OECD Guidance, including the Supplement on Tin, Tantalum and Tungsten and the Supplement on Gold (Third Edition).</w:t>
      </w:r>
    </w:p>
    <w:p>
      <w:pPr>
        <w:spacing w:after="0" w:line="10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Selected Elements of Our Due Diligence Program</w:t>
      </w:r>
    </w:p>
    <w:p>
      <w:pPr>
        <w:spacing w:after="0" w:line="159" w:lineRule="exact"/>
        <w:rPr>
          <w:sz w:val="20"/>
          <w:szCs w:val="20"/>
          <w:color w:val="auto"/>
        </w:rPr>
      </w:pPr>
    </w:p>
    <w:p>
      <w:pPr>
        <w:jc w:val="both"/>
        <w:spacing w:after="0" w:line="253" w:lineRule="auto"/>
        <w:rPr>
          <w:sz w:val="20"/>
          <w:szCs w:val="20"/>
          <w:color w:val="auto"/>
        </w:rPr>
      </w:pPr>
      <w:r>
        <w:rPr>
          <w:rFonts w:ascii="Verdana" w:cs="Verdana" w:eastAsia="Verdana" w:hAnsi="Verdana"/>
          <w:sz w:val="18"/>
          <w:szCs w:val="18"/>
          <w:color w:val="auto"/>
        </w:rPr>
        <w:t>The OECD Guidance provides a framework for responsible supply chain due diligence for minerals from conflict-affected and high-risk areas. Selected elements of our due diligence program are discussed below. However, these do not represent all the elements of our program to ensure that the 3TG contained in our products is responsibly sourced</w:t>
      </w:r>
    </w:p>
    <w:p>
      <w:pPr>
        <w:spacing w:after="0" w:line="118" w:lineRule="exact"/>
        <w:rPr>
          <w:sz w:val="20"/>
          <w:szCs w:val="20"/>
          <w:color w:val="auto"/>
        </w:rPr>
      </w:pPr>
    </w:p>
    <w:p>
      <w:pPr>
        <w:ind w:left="340"/>
        <w:spacing w:after="0"/>
        <w:rPr>
          <w:sz w:val="20"/>
          <w:szCs w:val="20"/>
          <w:color w:val="auto"/>
        </w:rPr>
      </w:pPr>
      <w:r>
        <w:rPr>
          <w:rFonts w:ascii="Verdana" w:cs="Verdana" w:eastAsia="Verdana" w:hAnsi="Verdana"/>
          <w:sz w:val="18"/>
          <w:szCs w:val="18"/>
          <w:i w:val="1"/>
          <w:iCs w:val="1"/>
          <w:color w:val="auto"/>
        </w:rPr>
        <w:t>Conflict Minerals Team:</w:t>
      </w:r>
    </w:p>
    <w:p>
      <w:pPr>
        <w:spacing w:after="0" w:line="11" w:lineRule="exact"/>
        <w:rPr>
          <w:sz w:val="20"/>
          <w:szCs w:val="20"/>
          <w:color w:val="auto"/>
        </w:rPr>
      </w:pPr>
    </w:p>
    <w:p>
      <w:pPr>
        <w:jc w:val="both"/>
        <w:ind w:left="340"/>
        <w:spacing w:after="0" w:line="253" w:lineRule="auto"/>
        <w:rPr>
          <w:sz w:val="20"/>
          <w:szCs w:val="20"/>
          <w:color w:val="auto"/>
        </w:rPr>
      </w:pPr>
      <w:r>
        <w:rPr>
          <w:rFonts w:ascii="Verdana" w:cs="Verdana" w:eastAsia="Verdana" w:hAnsi="Verdana"/>
          <w:sz w:val="18"/>
          <w:szCs w:val="18"/>
          <w:color w:val="auto"/>
        </w:rPr>
        <w:t>We have a Conflict Minerals Steering Team (the “Steering Team”) responsible for overseeing compliance. The Steering Team engages with functional leadership around progress and collaborating with necessary third-party resources. The Steering Team consists of representatives from compliance, sustainability, and procurement.</w:t>
      </w:r>
    </w:p>
    <w:p>
      <w:pPr>
        <w:spacing w:after="0" w:line="129" w:lineRule="exact"/>
        <w:rPr>
          <w:sz w:val="20"/>
          <w:szCs w:val="20"/>
          <w:color w:val="auto"/>
        </w:rPr>
      </w:pPr>
    </w:p>
    <w:p>
      <w:pPr>
        <w:ind w:left="340"/>
        <w:spacing w:after="0"/>
        <w:rPr>
          <w:sz w:val="20"/>
          <w:szCs w:val="20"/>
          <w:color w:val="auto"/>
        </w:rPr>
      </w:pPr>
      <w:r>
        <w:rPr>
          <w:rFonts w:ascii="Verdana" w:cs="Verdana" w:eastAsia="Verdana" w:hAnsi="Verdana"/>
          <w:sz w:val="18"/>
          <w:szCs w:val="18"/>
          <w:i w:val="1"/>
          <w:iCs w:val="1"/>
          <w:color w:val="auto"/>
        </w:rPr>
        <w:t>Internal and External Communication of Conflict Minerals Program and Training:</w:t>
      </w:r>
    </w:p>
    <w:p>
      <w:pPr>
        <w:jc w:val="both"/>
        <w:ind w:left="340"/>
        <w:spacing w:after="0" w:line="260" w:lineRule="auto"/>
        <w:rPr>
          <w:sz w:val="20"/>
          <w:szCs w:val="20"/>
          <w:color w:val="auto"/>
        </w:rPr>
      </w:pPr>
      <w:r>
        <w:rPr>
          <w:rFonts w:ascii="Verdana" w:cs="Verdana" w:eastAsia="Verdana" w:hAnsi="Verdana"/>
          <w:sz w:val="18"/>
          <w:szCs w:val="18"/>
          <w:color w:val="auto"/>
        </w:rPr>
        <w:t>Applicable suppliers and subcontractors are provided with information on the Conflict Minerals Rule, our commitment to compliance with the Rule and/or our sourcing expectations. This is done in writing, through meetings and other live communications and/or through contractual requirements.</w:t>
      </w:r>
    </w:p>
    <w:p>
      <w:pPr>
        <w:spacing w:after="0" w:line="113" w:lineRule="exact"/>
        <w:rPr>
          <w:sz w:val="20"/>
          <w:szCs w:val="20"/>
          <w:color w:val="auto"/>
        </w:rPr>
      </w:pPr>
    </w:p>
    <w:p>
      <w:pPr>
        <w:ind w:left="340"/>
        <w:spacing w:after="0"/>
        <w:rPr>
          <w:sz w:val="20"/>
          <w:szCs w:val="20"/>
          <w:color w:val="auto"/>
        </w:rPr>
      </w:pPr>
      <w:r>
        <w:rPr>
          <w:rFonts w:ascii="Verdana" w:cs="Verdana" w:eastAsia="Verdana" w:hAnsi="Verdana"/>
          <w:sz w:val="18"/>
          <w:szCs w:val="18"/>
          <w:color w:val="auto"/>
        </w:rPr>
        <w:t>Embecta utilized a third party who is a member of the Responsible Minerals Initiative (“RMI”) to conduct due diligence.</w:t>
      </w:r>
    </w:p>
    <w:p>
      <w:pPr>
        <w:spacing w:after="0" w:line="146" w:lineRule="exact"/>
        <w:rPr>
          <w:sz w:val="20"/>
          <w:szCs w:val="20"/>
          <w:color w:val="auto"/>
        </w:rPr>
      </w:pPr>
    </w:p>
    <w:p>
      <w:pPr>
        <w:ind w:left="340"/>
        <w:spacing w:after="0"/>
        <w:rPr>
          <w:sz w:val="20"/>
          <w:szCs w:val="20"/>
          <w:color w:val="auto"/>
        </w:rPr>
      </w:pPr>
      <w:r>
        <w:rPr>
          <w:rFonts w:ascii="Verdana" w:cs="Verdana" w:eastAsia="Verdana" w:hAnsi="Verdana"/>
          <w:sz w:val="18"/>
          <w:szCs w:val="18"/>
          <w:i w:val="1"/>
          <w:iCs w:val="1"/>
          <w:color w:val="auto"/>
        </w:rPr>
        <w:t>Data Storage and Retention:</w:t>
      </w:r>
    </w:p>
    <w:p>
      <w:pPr>
        <w:spacing w:after="0" w:line="11" w:lineRule="exact"/>
        <w:rPr>
          <w:sz w:val="20"/>
          <w:szCs w:val="20"/>
          <w:color w:val="auto"/>
        </w:rPr>
      </w:pPr>
    </w:p>
    <w:p>
      <w:pPr>
        <w:ind w:left="340"/>
        <w:spacing w:after="0"/>
        <w:rPr>
          <w:sz w:val="20"/>
          <w:szCs w:val="20"/>
          <w:color w:val="auto"/>
        </w:rPr>
      </w:pPr>
      <w:r>
        <w:rPr>
          <w:rFonts w:ascii="Verdana" w:cs="Verdana" w:eastAsia="Verdana" w:hAnsi="Verdana"/>
          <w:sz w:val="18"/>
          <w:szCs w:val="18"/>
          <w:color w:val="auto"/>
        </w:rPr>
        <w:t>We keep business records that relate to our Conflict Minerals program and maintain them for 5 years.</w:t>
      </w:r>
    </w:p>
    <w:p>
      <w:pPr>
        <w:spacing w:after="0" w:line="146" w:lineRule="exact"/>
        <w:rPr>
          <w:sz w:val="20"/>
          <w:szCs w:val="20"/>
          <w:color w:val="auto"/>
        </w:rPr>
      </w:pPr>
    </w:p>
    <w:p>
      <w:pPr>
        <w:ind w:left="340"/>
        <w:spacing w:after="0"/>
        <w:rPr>
          <w:sz w:val="20"/>
          <w:szCs w:val="20"/>
          <w:color w:val="auto"/>
        </w:rPr>
      </w:pPr>
      <w:r>
        <w:rPr>
          <w:rFonts w:ascii="Verdana" w:cs="Verdana" w:eastAsia="Verdana" w:hAnsi="Verdana"/>
          <w:sz w:val="18"/>
          <w:szCs w:val="18"/>
          <w:i w:val="1"/>
          <w:iCs w:val="1"/>
          <w:color w:val="auto"/>
        </w:rPr>
        <w:t>Contractual Compliance Requirements:</w:t>
      </w:r>
    </w:p>
    <w:p>
      <w:pPr>
        <w:spacing w:after="0" w:line="11" w:lineRule="exact"/>
        <w:rPr>
          <w:sz w:val="20"/>
          <w:szCs w:val="20"/>
          <w:color w:val="auto"/>
        </w:rPr>
      </w:pPr>
    </w:p>
    <w:p>
      <w:pPr>
        <w:jc w:val="both"/>
        <w:ind w:left="340"/>
        <w:spacing w:after="0" w:line="253" w:lineRule="auto"/>
        <w:rPr>
          <w:sz w:val="20"/>
          <w:szCs w:val="20"/>
          <w:color w:val="auto"/>
        </w:rPr>
      </w:pPr>
      <w:r>
        <w:rPr>
          <w:rFonts w:ascii="Verdana" w:cs="Verdana" w:eastAsia="Verdana" w:hAnsi="Verdana"/>
          <w:sz w:val="18"/>
          <w:szCs w:val="18"/>
          <w:color w:val="auto"/>
        </w:rPr>
        <w:t>Embecta’s Expectations for Suppliers, which contains our supplier compliance requirements relating to many different subject areas, requires suppliers to provide information to support our compliance efforts under the Conflict Minerals Rule.</w:t>
      </w:r>
    </w:p>
    <w:p>
      <w:pPr>
        <w:spacing w:after="0" w:line="129" w:lineRule="exact"/>
        <w:rPr>
          <w:sz w:val="20"/>
          <w:szCs w:val="20"/>
          <w:color w:val="auto"/>
        </w:rPr>
      </w:pPr>
    </w:p>
    <w:p>
      <w:pPr>
        <w:ind w:left="340"/>
        <w:spacing w:after="0"/>
        <w:rPr>
          <w:sz w:val="20"/>
          <w:szCs w:val="20"/>
          <w:color w:val="auto"/>
        </w:rPr>
      </w:pPr>
      <w:r>
        <w:rPr>
          <w:rFonts w:ascii="Verdana" w:cs="Verdana" w:eastAsia="Verdana" w:hAnsi="Verdana"/>
          <w:sz w:val="18"/>
          <w:szCs w:val="18"/>
          <w:i w:val="1"/>
          <w:iCs w:val="1"/>
          <w:color w:val="auto"/>
        </w:rPr>
        <w:t>Grievance Mechanisms:</w:t>
      </w:r>
    </w:p>
    <w:p>
      <w:pPr>
        <w:jc w:val="both"/>
        <w:ind w:left="340"/>
        <w:spacing w:after="0" w:line="269" w:lineRule="auto"/>
        <w:rPr>
          <w:sz w:val="20"/>
          <w:szCs w:val="20"/>
          <w:color w:val="auto"/>
        </w:rPr>
      </w:pPr>
      <w:r>
        <w:rPr>
          <w:rFonts w:ascii="Verdana" w:cs="Verdana" w:eastAsia="Verdana" w:hAnsi="Verdana"/>
          <w:sz w:val="18"/>
          <w:szCs w:val="18"/>
          <w:color w:val="auto"/>
        </w:rPr>
        <w:t>We have grievance mechanisms for employees, suppliers, and other interested parties to report alleged violations related to Conflict Minerals and other related policies and we publicly communicate</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 of 16</w:t>
      </w:r>
    </w:p>
    <w:p>
      <w:pPr>
        <w:sectPr>
          <w:pgSz w:w="11900" w:h="16838" w:orient="portrait"/>
          <w:cols w:equalWidth="0" w:num="1">
            <w:col w:w="11240"/>
          </w:cols>
          <w:pgMar w:left="320" w:top="904" w:right="339" w:bottom="1440" w:gutter="0" w:footer="0" w:header="0"/>
        </w:sectPr>
      </w:pPr>
    </w:p>
    <w:bookmarkStart w:id="6" w:name="page7"/>
    <w:bookmarkEnd w:id="6"/>
    <w:p>
      <w:pPr>
        <w:jc w:val="both"/>
        <w:ind w:left="340"/>
        <w:spacing w:after="0" w:line="252" w:lineRule="auto"/>
        <w:rPr>
          <w:sz w:val="20"/>
          <w:szCs w:val="20"/>
          <w:color w:val="auto"/>
        </w:rPr>
      </w:pPr>
      <w:r>
        <w:rPr>
          <w:rFonts w:ascii="Verdana" w:cs="Verdana" w:eastAsia="Verdana" w:hAnsi="Verdana"/>
          <w:sz w:val="18"/>
          <w:szCs w:val="18"/>
          <w:color w:val="auto"/>
        </w:rPr>
        <w:t>our grievance mechanisms. Any grievances received are communicated to the Steering Team. Associates, suppliers, and other interested parties can report actions inconsistent with the Expectations for Suppliers through our Global Ethics Help Line, the number of which is 1-833-600-1032. Under our internal procedures, all such calls will be investigated.</w:t>
      </w:r>
    </w:p>
    <w:p>
      <w:pPr>
        <w:spacing w:after="0" w:line="131" w:lineRule="exact"/>
        <w:rPr>
          <w:sz w:val="20"/>
          <w:szCs w:val="20"/>
          <w:color w:val="auto"/>
        </w:rPr>
      </w:pPr>
    </w:p>
    <w:p>
      <w:pPr>
        <w:ind w:left="340"/>
        <w:spacing w:after="0"/>
        <w:rPr>
          <w:sz w:val="20"/>
          <w:szCs w:val="20"/>
          <w:color w:val="auto"/>
        </w:rPr>
      </w:pPr>
      <w:r>
        <w:rPr>
          <w:rFonts w:ascii="Verdana" w:cs="Verdana" w:eastAsia="Verdana" w:hAnsi="Verdana"/>
          <w:sz w:val="18"/>
          <w:szCs w:val="18"/>
          <w:i w:val="1"/>
          <w:iCs w:val="1"/>
          <w:color w:val="auto"/>
        </w:rPr>
        <w:t>Collection, Assessment, and Internal Reporting of Supply Chain Information:</w:t>
      </w:r>
    </w:p>
    <w:p>
      <w:pPr>
        <w:jc w:val="both"/>
        <w:ind w:left="340"/>
        <w:spacing w:after="0" w:line="252" w:lineRule="auto"/>
        <w:rPr>
          <w:sz w:val="20"/>
          <w:szCs w:val="20"/>
          <w:color w:val="auto"/>
        </w:rPr>
      </w:pPr>
      <w:r>
        <w:rPr>
          <w:rFonts w:ascii="Verdana" w:cs="Verdana" w:eastAsia="Verdana" w:hAnsi="Verdana"/>
          <w:sz w:val="18"/>
          <w:szCs w:val="18"/>
          <w:color w:val="auto"/>
        </w:rPr>
        <w:t>Suppliers that Embecta determines to be in-scope are requested to complete a Conflict Minerals Reporting Template (“CMRT”), which contains questions on the inclusion and source of 3TG in the materials they supplied to us and their compliance activities. For 2024, Embecta sent requests to 8 Suppliers to provide us with a completed CMRT. A follow-up by email or phone was sent to the Suppliers that did not provide a response within a specified time frame. If the Supplier still did not respond to the request or refused to respond, this information was forwarded to Global Procurement or local buyers at manufacturing plants to assist as part of an escalation process.</w:t>
      </w:r>
    </w:p>
    <w:p>
      <w:pPr>
        <w:spacing w:after="0" w:line="120" w:lineRule="exact"/>
        <w:rPr>
          <w:sz w:val="20"/>
          <w:szCs w:val="20"/>
          <w:color w:val="auto"/>
        </w:rPr>
      </w:pPr>
    </w:p>
    <w:p>
      <w:pPr>
        <w:jc w:val="both"/>
        <w:ind w:left="340"/>
        <w:spacing w:after="0" w:line="252" w:lineRule="auto"/>
        <w:rPr>
          <w:sz w:val="20"/>
          <w:szCs w:val="20"/>
          <w:color w:val="auto"/>
        </w:rPr>
      </w:pPr>
      <w:r>
        <w:rPr>
          <w:rFonts w:ascii="Verdana" w:cs="Verdana" w:eastAsia="Verdana" w:hAnsi="Verdana"/>
          <w:sz w:val="18"/>
          <w:szCs w:val="18"/>
          <w:color w:val="auto"/>
        </w:rPr>
        <w:t>Upon receipt of a CMRT from a Supplier, the response was processed through a Supplier Response Analysis process. The completed responses received from the Suppliers were reviewed against “red flags” criteria and for errors and inaccuracies. Additionally, submitted CMRTs were reviewed for certain errors and inaccuracies and a follow-up with these Suppliers was conducted, if applicable.</w:t>
      </w:r>
    </w:p>
    <w:p>
      <w:pPr>
        <w:spacing w:after="0" w:line="121" w:lineRule="exact"/>
        <w:rPr>
          <w:sz w:val="20"/>
          <w:szCs w:val="20"/>
          <w:color w:val="auto"/>
        </w:rPr>
      </w:pPr>
    </w:p>
    <w:p>
      <w:pPr>
        <w:jc w:val="both"/>
        <w:ind w:left="340"/>
        <w:spacing w:after="0" w:line="252" w:lineRule="auto"/>
        <w:rPr>
          <w:sz w:val="20"/>
          <w:szCs w:val="20"/>
          <w:color w:val="auto"/>
        </w:rPr>
      </w:pPr>
      <w:r>
        <w:rPr>
          <w:rFonts w:ascii="Verdana" w:cs="Verdana" w:eastAsia="Verdana" w:hAnsi="Verdana"/>
          <w:sz w:val="18"/>
          <w:szCs w:val="18"/>
          <w:color w:val="auto"/>
        </w:rPr>
        <w:t>Smelters and refiners identified to us by the Suppliers were reviewed against those contained on the Smelter Look-up tab of the CMRT and the RMI smelter database, which includes information published by RMI, the Responsible Jewelry Council and the London Bullion Market Association. To the extent that a completed response identified a smelter or refiner, that information was also reviewed against the lists of conformant and active (or the equivalent) smelters and refiners published by the RMI as of February 17, 2025.</w:t>
      </w:r>
    </w:p>
    <w:p>
      <w:pPr>
        <w:spacing w:after="0" w:line="121" w:lineRule="exact"/>
        <w:rPr>
          <w:sz w:val="20"/>
          <w:szCs w:val="20"/>
          <w:color w:val="auto"/>
        </w:rPr>
      </w:pPr>
    </w:p>
    <w:p>
      <w:pPr>
        <w:jc w:val="both"/>
        <w:ind w:left="340" w:right="20"/>
        <w:spacing w:after="0" w:line="252" w:lineRule="auto"/>
        <w:rPr>
          <w:sz w:val="20"/>
          <w:szCs w:val="20"/>
          <w:color w:val="auto"/>
        </w:rPr>
      </w:pPr>
      <w:r>
        <w:rPr>
          <w:rFonts w:ascii="Verdana" w:cs="Verdana" w:eastAsia="Verdana" w:hAnsi="Verdana"/>
          <w:sz w:val="18"/>
          <w:szCs w:val="18"/>
          <w:color w:val="auto"/>
        </w:rPr>
        <w:t>To the extent that a smelter or refiner identified by a Supplier was not listed as conformant or the equivalent by the RMI, publicly available information was consulted to attempt to determine whether the smelter or refiner obtained 3TG from sources that directly or indirectly financed or benefitted armed groups in the Conflict Affected Region. See “Reasonable Country of Origin Inquiry; Smelter and Refiner and Country of Origin Information” and Appendix A for further information on the smelters and refiners identified by the Suppliers.</w:t>
      </w:r>
    </w:p>
    <w:p>
      <w:pPr>
        <w:spacing w:after="0" w:line="121" w:lineRule="exact"/>
        <w:rPr>
          <w:sz w:val="20"/>
          <w:szCs w:val="20"/>
          <w:color w:val="auto"/>
        </w:rPr>
      </w:pPr>
    </w:p>
    <w:p>
      <w:pPr>
        <w:jc w:val="both"/>
        <w:ind w:left="340"/>
        <w:spacing w:after="0" w:line="269" w:lineRule="auto"/>
        <w:rPr>
          <w:sz w:val="20"/>
          <w:szCs w:val="20"/>
          <w:color w:val="auto"/>
        </w:rPr>
      </w:pPr>
      <w:r>
        <w:rPr>
          <w:rFonts w:ascii="Verdana" w:cs="Verdana" w:eastAsia="Verdana" w:hAnsi="Verdana"/>
          <w:sz w:val="18"/>
          <w:szCs w:val="18"/>
          <w:color w:val="auto"/>
        </w:rPr>
        <w:t>Based on the information furnished by the Suppliers and other information known to us, the risk of adverse impacts was assessed. The findings of the supply chain risk assessment were reported to the Steering Team.</w:t>
      </w:r>
    </w:p>
    <w:p>
      <w:pPr>
        <w:spacing w:after="0" w:line="104" w:lineRule="exact"/>
        <w:rPr>
          <w:sz w:val="20"/>
          <w:szCs w:val="20"/>
          <w:color w:val="auto"/>
        </w:rPr>
      </w:pPr>
    </w:p>
    <w:p>
      <w:pPr>
        <w:jc w:val="both"/>
        <w:ind w:left="340"/>
        <w:spacing w:after="0" w:line="253" w:lineRule="auto"/>
        <w:rPr>
          <w:sz w:val="20"/>
          <w:szCs w:val="20"/>
          <w:color w:val="auto"/>
        </w:rPr>
      </w:pPr>
      <w:r>
        <w:rPr>
          <w:rFonts w:ascii="Verdana" w:cs="Verdana" w:eastAsia="Verdana" w:hAnsi="Verdana"/>
          <w:sz w:val="18"/>
          <w:szCs w:val="18"/>
          <w:color w:val="auto"/>
        </w:rPr>
        <w:t>Any non-compliances with our expectations for Suppliers or findings with higher levels of risk are prioritized for appropriate action, determined on a case-by-case basis. These actions may include additional information gathering and risk assessment, direct engagement with suppliers to agree mitigation plans, or monitoring.</w:t>
      </w:r>
    </w:p>
    <w:p>
      <w:pPr>
        <w:spacing w:after="0" w:line="129" w:lineRule="exact"/>
        <w:rPr>
          <w:sz w:val="20"/>
          <w:szCs w:val="20"/>
          <w:color w:val="auto"/>
        </w:rPr>
      </w:pPr>
    </w:p>
    <w:p>
      <w:pPr>
        <w:ind w:left="340"/>
        <w:spacing w:after="0"/>
        <w:rPr>
          <w:sz w:val="20"/>
          <w:szCs w:val="20"/>
          <w:color w:val="auto"/>
        </w:rPr>
      </w:pPr>
      <w:r>
        <w:rPr>
          <w:rFonts w:ascii="Verdana" w:cs="Verdana" w:eastAsia="Verdana" w:hAnsi="Verdana"/>
          <w:sz w:val="18"/>
          <w:szCs w:val="18"/>
          <w:i w:val="1"/>
          <w:iCs w:val="1"/>
          <w:color w:val="auto"/>
        </w:rPr>
        <w:t>Use of Independent Third-party Audits to Assess Smelter and Refiner Due Diligence:</w:t>
      </w:r>
    </w:p>
    <w:p>
      <w:pPr>
        <w:jc w:val="both"/>
        <w:ind w:left="340"/>
        <w:spacing w:after="0" w:line="260" w:lineRule="auto"/>
        <w:rPr>
          <w:sz w:val="20"/>
          <w:szCs w:val="20"/>
          <w:color w:val="auto"/>
        </w:rPr>
      </w:pPr>
      <w:r>
        <w:rPr>
          <w:rFonts w:ascii="Verdana" w:cs="Verdana" w:eastAsia="Verdana" w:hAnsi="Verdana"/>
          <w:sz w:val="18"/>
          <w:szCs w:val="18"/>
          <w:color w:val="auto"/>
        </w:rPr>
        <w:t>As part of our due diligence efforts, we rely on information published by RMI regarding independent third-party audits of smelters and refiners. This information is used to assess whether a smelter or refiner meets the criteria to be considered RMI Responsible Minerals Assurance Process (“RMAP”) Conformant.</w:t>
      </w:r>
    </w:p>
    <w:p>
      <w:pPr>
        <w:spacing w:after="0" w:line="113" w:lineRule="exact"/>
        <w:rPr>
          <w:sz w:val="20"/>
          <w:szCs w:val="20"/>
          <w:color w:val="auto"/>
        </w:rPr>
      </w:pPr>
    </w:p>
    <w:p>
      <w:pPr>
        <w:ind w:left="340"/>
        <w:spacing w:after="0"/>
        <w:rPr>
          <w:sz w:val="20"/>
          <w:szCs w:val="20"/>
          <w:color w:val="auto"/>
        </w:rPr>
      </w:pPr>
      <w:r>
        <w:rPr>
          <w:rFonts w:ascii="Verdana" w:cs="Verdana" w:eastAsia="Verdana" w:hAnsi="Verdana"/>
          <w:sz w:val="18"/>
          <w:szCs w:val="18"/>
          <w:i w:val="1"/>
          <w:iCs w:val="1"/>
          <w:color w:val="auto"/>
        </w:rPr>
        <w:t>Report on Supply Chain Due Diligence:</w:t>
      </w:r>
    </w:p>
    <w:p>
      <w:pPr>
        <w:spacing w:after="0" w:line="11" w:lineRule="exact"/>
        <w:rPr>
          <w:sz w:val="20"/>
          <w:szCs w:val="20"/>
          <w:color w:val="auto"/>
        </w:rPr>
      </w:pPr>
    </w:p>
    <w:p>
      <w:pPr>
        <w:jc w:val="both"/>
        <w:ind w:left="340"/>
        <w:spacing w:after="0" w:line="254" w:lineRule="auto"/>
        <w:rPr>
          <w:sz w:val="20"/>
          <w:szCs w:val="20"/>
          <w:color w:val="auto"/>
        </w:rPr>
      </w:pPr>
      <w:r>
        <w:rPr>
          <w:rFonts w:ascii="Verdana" w:cs="Verdana" w:eastAsia="Verdana" w:hAnsi="Verdana"/>
          <w:sz w:val="18"/>
          <w:szCs w:val="18"/>
          <w:color w:val="auto"/>
        </w:rPr>
        <w:t>We file a Form SD and a Conflict Minerals Report with the Securities and Exchange Commission and make these documents available on our website.</w:t>
      </w:r>
    </w:p>
    <w:p>
      <w:pPr>
        <w:spacing w:after="0" w:line="13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Product Information</w:t>
      </w:r>
    </w:p>
    <w:p>
      <w:pPr>
        <w:spacing w:after="0" w:line="146" w:lineRule="exact"/>
        <w:rPr>
          <w:sz w:val="20"/>
          <w:szCs w:val="20"/>
          <w:color w:val="auto"/>
        </w:rPr>
      </w:pPr>
    </w:p>
    <w:p>
      <w:pPr>
        <w:jc w:val="both"/>
        <w:spacing w:after="0" w:line="253" w:lineRule="auto"/>
        <w:rPr>
          <w:sz w:val="20"/>
          <w:szCs w:val="20"/>
          <w:color w:val="auto"/>
        </w:rPr>
      </w:pPr>
      <w:r>
        <w:rPr>
          <w:rFonts w:ascii="Verdana" w:cs="Verdana" w:eastAsia="Verdana" w:hAnsi="Verdana"/>
          <w:sz w:val="18"/>
          <w:szCs w:val="18"/>
          <w:color w:val="auto"/>
        </w:rPr>
        <w:t>In-scope products for 2024 included a range of insulin delivery devices (e.g. syringes and pen-needles). Not all products in each category were in-scope, as not all contained necessary 3TG or were manufactured or contracted for manufacture by us.</w:t>
      </w:r>
    </w:p>
    <w:p>
      <w:pPr>
        <w:spacing w:after="0" w:line="118" w:lineRule="exact"/>
        <w:rPr>
          <w:sz w:val="20"/>
          <w:szCs w:val="20"/>
          <w:color w:val="auto"/>
        </w:rPr>
      </w:pPr>
    </w:p>
    <w:p>
      <w:pPr>
        <w:jc w:val="both"/>
        <w:spacing w:after="0" w:line="260" w:lineRule="auto"/>
        <w:rPr>
          <w:sz w:val="20"/>
          <w:szCs w:val="20"/>
          <w:color w:val="auto"/>
        </w:rPr>
      </w:pPr>
      <w:r>
        <w:rPr>
          <w:rFonts w:ascii="Verdana" w:cs="Verdana" w:eastAsia="Verdana" w:hAnsi="Verdana"/>
          <w:sz w:val="18"/>
          <w:szCs w:val="18"/>
          <w:color w:val="auto"/>
        </w:rPr>
        <w:t>For 2024, at least a portion of the smelters and refiners and countries of origin of the necessary 3TG contained in each of our in-scope products was undeterminable. Identified smelters and refiners and country of origin information are described under “Reasonable Country of Origin Inquiry; Smelter and Refiner and Country of Origin Information” and on Appendix A.</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 of 16</w:t>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Verdana" w:cs="Verdana" w:eastAsia="Verdana" w:hAnsi="Verdana"/>
          <w:sz w:val="18"/>
          <w:szCs w:val="18"/>
          <w:b w:val="1"/>
          <w:bCs w:val="1"/>
          <w:color w:val="auto"/>
        </w:rPr>
        <w:t>Appendix A</w:t>
      </w:r>
    </w:p>
    <w:p>
      <w:pPr>
        <w:spacing w:after="0" w:line="159" w:lineRule="exact"/>
        <w:rPr>
          <w:sz w:val="20"/>
          <w:szCs w:val="20"/>
          <w:color w:val="auto"/>
        </w:rPr>
      </w:pPr>
    </w:p>
    <w:p>
      <w:pPr>
        <w:jc w:val="both"/>
        <w:spacing w:after="0" w:line="253" w:lineRule="auto"/>
        <w:rPr>
          <w:sz w:val="20"/>
          <w:szCs w:val="20"/>
          <w:color w:val="auto"/>
        </w:rPr>
      </w:pPr>
      <w:r>
        <w:rPr>
          <w:rFonts w:ascii="Verdana" w:cs="Verdana" w:eastAsia="Verdana" w:hAnsi="Verdana"/>
          <w:sz w:val="18"/>
          <w:szCs w:val="18"/>
          <w:color w:val="auto"/>
        </w:rPr>
        <w:t>In connection with the reasonable country of origin inquiry and due diligence, as applicable, the Suppliers identified to us the smelters and refiners listed below, sorted by mineral and risk level, as potentially having processed the necessary 3TG contained in our in-scope products in 2024.</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80" w:type="dxa"/>
            <w:vAlign w:val="bottom"/>
            <w:tcBorders>
              <w:top w:val="single" w:sz="8" w:color="auto"/>
              <w:left w:val="single" w:sz="8" w:color="auto"/>
              <w:bottom w:val="single" w:sz="8" w:color="DAE9F8"/>
              <w:right w:val="single" w:sz="8" w:color="auto"/>
            </w:tcBorders>
            <w:shd w:val="clear" w:color="auto" w:fill="DAE9F8"/>
          </w:tcPr>
          <w:p>
            <w:pPr>
              <w:jc w:val="center"/>
              <w:spacing w:after="0"/>
              <w:rPr>
                <w:sz w:val="20"/>
                <w:szCs w:val="20"/>
                <w:color w:val="auto"/>
              </w:rPr>
            </w:pPr>
            <w:r>
              <w:rPr>
                <w:rFonts w:ascii="Verdana" w:cs="Verdana" w:eastAsia="Verdana" w:hAnsi="Verdana"/>
                <w:sz w:val="18"/>
                <w:szCs w:val="18"/>
                <w:b w:val="1"/>
                <w:bCs w:val="1"/>
                <w:color w:val="auto"/>
              </w:rPr>
              <w:t>#</w:t>
            </w:r>
          </w:p>
        </w:tc>
        <w:tc>
          <w:tcPr>
            <w:tcW w:w="1160" w:type="dxa"/>
            <w:vAlign w:val="bottom"/>
            <w:tcBorders>
              <w:top w:val="single" w:sz="8" w:color="auto"/>
              <w:bottom w:val="single" w:sz="8" w:color="DAE9F8"/>
              <w:right w:val="single" w:sz="8" w:color="auto"/>
            </w:tcBorders>
            <w:shd w:val="clear" w:color="auto" w:fill="DAE9F8"/>
          </w:tcPr>
          <w:p>
            <w:pPr>
              <w:ind w:left="60"/>
              <w:spacing w:after="0"/>
              <w:rPr>
                <w:sz w:val="20"/>
                <w:szCs w:val="20"/>
                <w:color w:val="auto"/>
              </w:rPr>
            </w:pPr>
            <w:r>
              <w:rPr>
                <w:rFonts w:ascii="Verdana" w:cs="Verdana" w:eastAsia="Verdana" w:hAnsi="Verdana"/>
                <w:sz w:val="18"/>
                <w:szCs w:val="18"/>
                <w:b w:val="1"/>
                <w:bCs w:val="1"/>
                <w:color w:val="auto"/>
              </w:rPr>
              <w:t>Metal</w:t>
            </w:r>
          </w:p>
        </w:tc>
        <w:tc>
          <w:tcPr>
            <w:tcW w:w="3380" w:type="dxa"/>
            <w:vAlign w:val="bottom"/>
            <w:tcBorders>
              <w:top w:val="single" w:sz="8" w:color="auto"/>
              <w:bottom w:val="single" w:sz="8" w:color="DAE9F8"/>
              <w:right w:val="single" w:sz="8" w:color="auto"/>
            </w:tcBorders>
            <w:shd w:val="clear" w:color="auto" w:fill="DAE9F8"/>
          </w:tcPr>
          <w:p>
            <w:pPr>
              <w:ind w:left="60"/>
              <w:spacing w:after="0"/>
              <w:rPr>
                <w:sz w:val="20"/>
                <w:szCs w:val="20"/>
                <w:color w:val="auto"/>
              </w:rPr>
            </w:pPr>
            <w:r>
              <w:rPr>
                <w:rFonts w:ascii="Verdana" w:cs="Verdana" w:eastAsia="Verdana" w:hAnsi="Verdana"/>
                <w:sz w:val="18"/>
                <w:szCs w:val="18"/>
                <w:b w:val="1"/>
                <w:bCs w:val="1"/>
                <w:color w:val="auto"/>
              </w:rPr>
              <w:t>Processor</w:t>
            </w:r>
          </w:p>
        </w:tc>
        <w:tc>
          <w:tcPr>
            <w:tcW w:w="1800" w:type="dxa"/>
            <w:vAlign w:val="bottom"/>
            <w:tcBorders>
              <w:top w:val="single" w:sz="8" w:color="auto"/>
              <w:bottom w:val="single" w:sz="8" w:color="DAE9F8"/>
              <w:right w:val="single" w:sz="8" w:color="auto"/>
            </w:tcBorders>
            <w:shd w:val="clear" w:color="auto" w:fill="DAE9F8"/>
          </w:tcPr>
          <w:p>
            <w:pPr>
              <w:ind w:left="60"/>
              <w:spacing w:after="0"/>
              <w:rPr>
                <w:sz w:val="20"/>
                <w:szCs w:val="20"/>
                <w:color w:val="auto"/>
              </w:rPr>
            </w:pPr>
            <w:r>
              <w:rPr>
                <w:rFonts w:ascii="Verdana" w:cs="Verdana" w:eastAsia="Verdana" w:hAnsi="Verdana"/>
                <w:sz w:val="18"/>
                <w:szCs w:val="18"/>
                <w:b w:val="1"/>
                <w:bCs w:val="1"/>
                <w:color w:val="auto"/>
              </w:rPr>
              <w:t>Processor ID</w:t>
            </w:r>
          </w:p>
        </w:tc>
        <w:tc>
          <w:tcPr>
            <w:tcW w:w="2640" w:type="dxa"/>
            <w:vAlign w:val="bottom"/>
            <w:tcBorders>
              <w:top w:val="single" w:sz="8" w:color="auto"/>
              <w:bottom w:val="single" w:sz="8" w:color="DAE9F8"/>
              <w:right w:val="single" w:sz="8" w:color="auto"/>
            </w:tcBorders>
            <w:shd w:val="clear" w:color="auto" w:fill="DAE9F8"/>
          </w:tcPr>
          <w:p>
            <w:pPr>
              <w:ind w:left="60"/>
              <w:spacing w:after="0"/>
              <w:rPr>
                <w:sz w:val="20"/>
                <w:szCs w:val="20"/>
                <w:color w:val="auto"/>
              </w:rPr>
            </w:pPr>
            <w:r>
              <w:rPr>
                <w:rFonts w:ascii="Verdana" w:cs="Verdana" w:eastAsia="Verdana" w:hAnsi="Verdana"/>
                <w:sz w:val="18"/>
                <w:szCs w:val="18"/>
                <w:b w:val="1"/>
                <w:bCs w:val="1"/>
                <w:color w:val="auto"/>
              </w:rPr>
              <w:t>Audit Status</w:t>
            </w:r>
          </w:p>
        </w:tc>
        <w:tc>
          <w:tcPr>
            <w:tcW w:w="0" w:type="dxa"/>
            <w:vAlign w:val="bottom"/>
          </w:tcPr>
          <w:p>
            <w:pPr>
              <w:spacing w:after="0"/>
              <w:rPr>
                <w:sz w:val="1"/>
                <w:szCs w:val="1"/>
                <w:color w:val="auto"/>
              </w:rPr>
            </w:pPr>
          </w:p>
        </w:tc>
      </w:tr>
      <w:tr>
        <w:trPr>
          <w:trHeight w:val="250"/>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rPr>
              <w:t>1</w:t>
            </w:r>
          </w:p>
        </w:tc>
        <w:tc>
          <w:tcPr>
            <w:tcW w:w="116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Advanced Chemical Company</w:t>
            </w:r>
          </w:p>
        </w:tc>
        <w:tc>
          <w:tcPr>
            <w:tcW w:w="180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CID000015</w:t>
            </w:r>
          </w:p>
        </w:tc>
        <w:tc>
          <w:tcPr>
            <w:tcW w:w="264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rPr>
              <w:t>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Aida Chemical Industries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CID000019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rPr>
              <w:t>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Agosi AG</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CID000035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rPr>
              <w:t>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Almalyk Mining and Metallurgical</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CID000041</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Complex (AMMC)</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rPr>
              <w:t>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AngloGold Ashanti Corrego do Sitio</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CID000058</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Mineracao</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rPr>
              <w:t>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Argor-Heraeus 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CID000077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rPr>
              <w:t>7</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ASAHI METALFINE, Inc.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CID000082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rPr>
              <w:t>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Asaka Riken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CID000090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rPr>
              <w:t>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Atasay Kuyumculuk Sanayi Ve</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CID000103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Ticaret A.S.</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10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Aurubis AG</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CID000113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11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Bangko Sentral ng Pilipinas (Central</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CID000128</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Bank of the Philippines)</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12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Boliden Ronnskar</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CID000157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13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 Hafner GmbH + Co. KG</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CID000176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14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Caridad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CID000180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15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CCR Refinery - Glencore Canada</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CID000185</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Corporation</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16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Cendres + Metaux S.A.</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CID000189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17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Yunnan Copper Industry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CID000197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18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Chimet S.p.A.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CID000233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19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Chugai Mining</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CID000264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20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Daye Non-Ferrous Metals Mining</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CID000343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21</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DSC (Do Sung Corporation)</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CID000359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22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Dowa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CID000401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23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w w:val="99"/>
              </w:rPr>
              <w:t>Eco-System Recycling Co., Ltd. East</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CID000425</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Plant</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24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JSC Novosibirsk Refinery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CID000493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25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Refinery of Seemine Gold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CID000522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26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Guoda Safina High-Tech</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CID000651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Environmental Refinery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27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Hangzhou Fuchunjiang Smelting</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CID000671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28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LT Metal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CID000689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29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Heimerle + Meule GmbH</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CID000694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 of 16</w:t>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70"/>
        </w:trPr>
        <w:tc>
          <w:tcPr>
            <w:tcW w:w="780" w:type="dxa"/>
            <w:vAlign w:val="bottom"/>
            <w:tcBorders>
              <w:top w:val="single" w:sz="8" w:color="auto"/>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30</w:t>
            </w:r>
          </w:p>
        </w:tc>
        <w:tc>
          <w:tcPr>
            <w:tcW w:w="116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Heraeus Metals Hong Kong Ltd.</w:t>
            </w:r>
          </w:p>
        </w:tc>
        <w:tc>
          <w:tcPr>
            <w:tcW w:w="180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CID000707</w:t>
            </w:r>
          </w:p>
        </w:tc>
        <w:tc>
          <w:tcPr>
            <w:tcW w:w="264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31</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Heraeus Germany GmbH Co. KG</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CID000711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32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Hunan Chenzhou Mining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CID000767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33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Hunan Guiyang yinxing Nonferrous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CID000773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Smelting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34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HwaSeong CJ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CID000778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35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Inner Mongolia Qiankun Gold and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CID000801</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Silver Refinery Share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36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Ishifuku Metal Industry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CID000807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37</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Istanbul Gold Refinery</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CID000814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38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Japan Mint</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CID000823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39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Jiangxi Copper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CID000855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40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Asahi Refining USA Inc.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CID000920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41</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Asahi Refining Canada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CID000924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42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JSC Ekaterinburg Non-Ferrous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CID000927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Metal Processing Plant</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43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JSC Uralelectromed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CID000929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44</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JX Nippon Mining &amp; Metals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CID000937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45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Kazakhmys Smelting LLC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CID000956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46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Kazzinc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CID000957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47</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Kennecott Utah Copper LLC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CID000969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48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Kojima Chemicals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CID000981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49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Kyrgyzaltyn JSC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CID001029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50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L'azurde Company For Jewelry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CID001032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51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Lingbao Gold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CID001056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52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Lingbao Jinyuan Tonghui Refinery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CID001058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53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LS MnM Inc.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CID001078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54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Luoyang Zijin Yinhui Gold Refinery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CID001093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55</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Materion</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CID001113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56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Matsuda Sangyo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CID001119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57</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Metalor Technologies (Suzhou)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CID001147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58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Metalor Technologies (Hong Kong)</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CID001149</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59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Metalor Technologies (Singapore)</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CID001152</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Pte.,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60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Metalor Technologies 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CID001153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61</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Metalor USA Refining Corporation</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CID001157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62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Metalurgica Met-Mex Penoles S.A.</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CID001161</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De C.V.</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63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Mitsubishi Materials Corporation</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CID001188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 of 16</w:t>
      </w:r>
    </w:p>
    <w:p>
      <w:pPr>
        <w:sectPr>
          <w:pgSz w:w="11900" w:h="16838" w:orient="portrait"/>
          <w:cols w:equalWidth="0" w:num="1">
            <w:col w:w="11240"/>
          </w:cols>
          <w:pgMar w:left="320" w:top="916"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70"/>
        </w:trPr>
        <w:tc>
          <w:tcPr>
            <w:tcW w:w="780" w:type="dxa"/>
            <w:vAlign w:val="bottom"/>
            <w:tcBorders>
              <w:top w:val="single" w:sz="8" w:color="auto"/>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64</w:t>
            </w:r>
          </w:p>
        </w:tc>
        <w:tc>
          <w:tcPr>
            <w:tcW w:w="116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w w:val="99"/>
              </w:rPr>
              <w:t>Mitsui Mining and Smelting Co., Ltd.</w:t>
            </w:r>
          </w:p>
        </w:tc>
        <w:tc>
          <w:tcPr>
            <w:tcW w:w="180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CID001193</w:t>
            </w:r>
          </w:p>
        </w:tc>
        <w:tc>
          <w:tcPr>
            <w:tcW w:w="264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65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Moscow Special Alloys Processing</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CID001204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Plant</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66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Nadir Metal Rafineri San. Ve Tic.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CID001220</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A.S.</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67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Navoi Mining and Metallurgical</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CID001236</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Combinat</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68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Nihon Material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CID001259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69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Ohura Precious Metal Industry Co.,</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CID001325</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OJSC "The Gulidov Krasnoyarsk</w:t>
            </w:r>
          </w:p>
        </w:tc>
        <w:tc>
          <w:tcPr>
            <w:tcW w:w="1800" w:type="dxa"/>
            <w:vAlign w:val="bottom"/>
            <w:tcBorders>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70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Non-Ferrous Metals Plant" (OJSC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CID001326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Krastsvetmet)</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71</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MKS PAMP 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CID001352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72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Penglai Penggang Gold Industry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CID001362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73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Prioksky Plant of Non-Ferrous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CID001386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Metals</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74</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Aneka Tambang (Persero) Tbk</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CID001397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75</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PX Precinox 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CID001498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76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Rand Refinery (Pty)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CID001512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77</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Royal Canadian Mint</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CID001534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78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Sabin Metal Corp.</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CID001546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79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Samduck Precious Metals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CID001555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80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Samwon Metals Corp.</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CID001562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81</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SEMPSA Joyeria Plateria 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CID001585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82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Shandong Tiancheng Biological</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CID001619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Gold Industrial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83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Shandong Zhaojin Gold &amp; Silver</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CID001622</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Refinery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84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Sichuan Tianze Precious Metals Co.,</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CID001736</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85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SOE Shyolkovsky Factory of</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CID001756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Secondary Precious Metals</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86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Solar Applied Materials Technology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CID001761</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Corp.</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87</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Sumitomo Metal Mining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CID001798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88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Super Dragon Technology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CID001810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89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Tanaka Kikinzoku Kogyo K.K.</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CID001875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90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Great Wall Precious Metals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CID001909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of CBPM</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91</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Shandong Gold Smelting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CID001916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90"/>
              <w:spacing w:after="0"/>
              <w:rPr>
                <w:sz w:val="20"/>
                <w:szCs w:val="20"/>
                <w:color w:val="auto"/>
              </w:rPr>
            </w:pPr>
            <w:r>
              <w:rPr>
                <w:rFonts w:ascii="Verdana" w:cs="Verdana" w:eastAsia="Verdana" w:hAnsi="Verdana"/>
                <w:sz w:val="18"/>
                <w:szCs w:val="18"/>
                <w:color w:val="auto"/>
              </w:rPr>
              <w:t>92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Tokuriki Honten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CID001938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90"/>
              <w:spacing w:after="0"/>
              <w:rPr>
                <w:sz w:val="20"/>
                <w:szCs w:val="20"/>
                <w:color w:val="auto"/>
              </w:rPr>
            </w:pPr>
            <w:r>
              <w:rPr>
                <w:rFonts w:ascii="Verdana" w:cs="Verdana" w:eastAsia="Verdana" w:hAnsi="Verdana"/>
                <w:sz w:val="18"/>
                <w:szCs w:val="18"/>
                <w:color w:val="auto"/>
              </w:rPr>
              <w:t>93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Tongling Nonferrous Metals Group</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CID001947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 of 16</w:t>
      </w:r>
    </w:p>
    <w:p>
      <w:pPr>
        <w:sectPr>
          <w:pgSz w:w="11900" w:h="16838" w:orient="portrait"/>
          <w:cols w:equalWidth="0" w:num="1">
            <w:col w:w="11240"/>
          </w:cols>
          <w:pgMar w:left="320" w:top="916"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65"/>
        </w:trPr>
        <w:tc>
          <w:tcPr>
            <w:tcW w:w="7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94</w:t>
            </w:r>
          </w:p>
        </w:tc>
        <w:tc>
          <w:tcPr>
            <w:tcW w:w="116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Torecom</w:t>
            </w:r>
          </w:p>
        </w:tc>
        <w:tc>
          <w:tcPr>
            <w:tcW w:w="180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CID001955</w:t>
            </w:r>
          </w:p>
        </w:tc>
        <w:tc>
          <w:tcPr>
            <w:tcW w:w="264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95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Umicore S.A. Business Unit</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CID001980</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Precious Metals Refining</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96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United Precious Metal Refining, Inc.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CID001993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97</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Valcambi 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CID002003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98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Western Australian Mint (T/a The</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CID002030</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Perth Mint)</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99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Yamakin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CID002100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8"/>
              </w:rPr>
              <w:t>100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Yokohama Metal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CID002129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101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Zhongyuan Gold Smelter of</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CID002224</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Zhongjin Gold Corporation</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102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 Refinery of Zijin Mining Group</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CID002243</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103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Morris and Watson</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CID002282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8"/>
              </w:rPr>
              <w:t>104</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SAFINA A.S.</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CID002290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105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Guangdong Jinding Gold Limited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CID002312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106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Umicore Precious Metals Thailand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CID002314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8"/>
              </w:rPr>
              <w:t>107</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MMTC-PAMP India Pvt.,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CID002509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8"/>
              </w:rPr>
              <w:t>108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KGHM Polska Miedz Spolka Akcyjna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CID002511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109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Fidelity Printers and Refiners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CID002515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110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Singway Technology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CID002516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111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Shandong Humon Smelting Co.,</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CID002525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112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Shenzhen Zhonghenglong Real</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CID002527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Industry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113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Al Etihad Gold Refinery DMCC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CID002560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114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Emirates Gold DMCC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CID002561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115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International Precious Metal</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CID002562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Refiners</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116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Kaloti Precious Metals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CID002563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117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Sudan Gold Refinery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CID002567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8"/>
              </w:rPr>
              <w:t>118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T.C.A S.p.A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CID002580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8"/>
              </w:rPr>
              <w:t>119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REMONDIS PMR B.V.</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CID002582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120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Fujairah Gold FZC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CID002584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121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Industrial Refining Company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CID002587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122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Shirpur Gold Refinery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CID002588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8"/>
              </w:rPr>
              <w:t>123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Korea Zinc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CID002605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7 of 16</w:t>
      </w:r>
    </w:p>
    <w:p>
      <w:pPr>
        <w:sectPr>
          <w:pgSz w:w="11900" w:h="16838" w:orient="portrait"/>
          <w:cols w:equalWidth="0" w:num="1">
            <w:col w:w="11240"/>
          </w:cols>
          <w:pgMar w:left="320" w:top="916"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65"/>
        </w:trPr>
        <w:tc>
          <w:tcPr>
            <w:tcW w:w="780" w:type="dxa"/>
            <w:vAlign w:val="bottom"/>
            <w:tcBorders>
              <w:top w:val="single" w:sz="8" w:color="auto"/>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124</w:t>
            </w:r>
          </w:p>
        </w:tc>
        <w:tc>
          <w:tcPr>
            <w:tcW w:w="116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Marsam Metals</w:t>
            </w:r>
          </w:p>
        </w:tc>
        <w:tc>
          <w:tcPr>
            <w:tcW w:w="180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CID002606</w:t>
            </w:r>
          </w:p>
        </w:tc>
        <w:tc>
          <w:tcPr>
            <w:tcW w:w="264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125</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TOO Tau-Ken-Altyn</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CID002615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126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Abington Reldan Metals, LLC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CID002708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127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Shenzhen CuiLu Gold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CID002750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128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Albino Mountinho Lda.</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CID002760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129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SAAMP</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CID002761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130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L'Orfebre S.A.</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CID002762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131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8853 S.p.A.</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CID002763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132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Italpreziosi</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CID002765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133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WIELAND Edelmetalle GmbH</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CID002778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134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Ogussa Osterreichische Gold- und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CID002779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Silber-Scheideanstalt GmbH</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135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AU Traders and Refiners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CID002850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136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GGC Gujrat Gold Centre Pvt.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CID002852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137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Sai Refinery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CID002853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138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Modeltech Sdn Bhd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CID002857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139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Bangalore Refinery</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CID002863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Active</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140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Kyshtym Copper-Electrolytic Plant</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CID002865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ZAO</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141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Degussa Sonne / Mond Goldhandel</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CID002867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GmbH</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142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Pease &amp; Curren</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CID002872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143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JALAN &amp; Company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CID002893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144</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SungEel HiMetal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CID002918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145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Planta Recuperadora de Metales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CID002919</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SpA</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146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ABC Refinery Pty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CID002920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147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Safimet S.p.A</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CID002973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148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State Research Institute Center for</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CID003153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Physical Sciences and Technology</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149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African Gold Refinery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CID003185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150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 Coast Refinery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CID003186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151</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NH Recytech Company</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CID003189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152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QG Refining, LLC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CID003324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8 of 16</w:t>
      </w:r>
    </w:p>
    <w:p>
      <w:pPr>
        <w:sectPr>
          <w:pgSz w:w="11900" w:h="16838" w:orient="portrait"/>
          <w:cols w:equalWidth="0" w:num="1">
            <w:col w:w="11240"/>
          </w:cols>
          <w:pgMar w:left="320" w:top="916"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65"/>
        </w:trPr>
        <w:tc>
          <w:tcPr>
            <w:tcW w:w="780" w:type="dxa"/>
            <w:vAlign w:val="bottom"/>
            <w:tcBorders>
              <w:top w:val="single" w:sz="8" w:color="auto"/>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153</w:t>
            </w:r>
          </w:p>
        </w:tc>
        <w:tc>
          <w:tcPr>
            <w:tcW w:w="116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Dijllah Gold Refinery FZC</w:t>
            </w:r>
          </w:p>
        </w:tc>
        <w:tc>
          <w:tcPr>
            <w:tcW w:w="180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CID003348</w:t>
            </w:r>
          </w:p>
        </w:tc>
        <w:tc>
          <w:tcPr>
            <w:tcW w:w="264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154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CGR Metalloys Pvt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CID003382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155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Sovereign Metals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CID003383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156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Eco-System Recycling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CID003424</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North Plant</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157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Eco-System Recycling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CID003425</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West Plant</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158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Augmont Enterprises Private</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CID003461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Limited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159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Kundan Care Products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CID003463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160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Emerald Jewel Industry India</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CID003487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Limited (Unit 1)</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161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Emerald Jewel Industry India</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CID003488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Limited (Unit 2)</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162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Emerald Jewel Industry India</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CID003489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Limited (Unit 3)</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163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Emerald Jewel Industry India</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CID003490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Limited (Unit 4)</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164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K.A. Rasmussen</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CID003497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165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Alexy Metals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CID003500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166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MD Overseas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CID003548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167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Metallix Refining Inc.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CID003557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168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Metal Concentrators SA (Pty)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CID003575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169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WEEEREFINING</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CID003615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170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 by Gold Colombia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CID003641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171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Dongwu Gold Group</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CID003663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172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SAM Precious Metals FZ-LLC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CID003666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173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NOBLE METAL SERVICES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CID003690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174</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Coimpa Industrial LTDA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CID004010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175</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GG Refinery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CID004506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176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Impala Platinum - Base Metal</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CID004604</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Refinery (BMR)</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177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Impala Platinum - Rustenburg</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CID004610</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Smelter</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178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Attero Recycling Pvt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CID004697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179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Impala Platinum - Platinum Metals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CID004714</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Active</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Refinery (PMR)</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180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Gold</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Elite Industech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CID004755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181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Guangdong Rising Rare Metals-EO</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CID000291</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Materials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 of 16</w:t>
      </w:r>
    </w:p>
    <w:p>
      <w:pPr>
        <w:sectPr>
          <w:pgSz w:w="11900" w:h="16838" w:orient="portrait"/>
          <w:cols w:equalWidth="0" w:num="1">
            <w:col w:w="11240"/>
          </w:cols>
          <w:pgMar w:left="320" w:top="916" w:right="339" w:bottom="1009"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70"/>
        </w:trPr>
        <w:tc>
          <w:tcPr>
            <w:tcW w:w="780" w:type="dxa"/>
            <w:vAlign w:val="bottom"/>
            <w:tcBorders>
              <w:top w:val="single" w:sz="8" w:color="auto"/>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182</w:t>
            </w:r>
          </w:p>
        </w:tc>
        <w:tc>
          <w:tcPr>
            <w:tcW w:w="116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F&amp;X Electro-Materials Ltd.</w:t>
            </w:r>
          </w:p>
        </w:tc>
        <w:tc>
          <w:tcPr>
            <w:tcW w:w="180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CID000460</w:t>
            </w:r>
          </w:p>
        </w:tc>
        <w:tc>
          <w:tcPr>
            <w:tcW w:w="264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183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XIMEI RESOURCES (GUANGDONG)</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CID000616</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LIMITED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184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JiuJiang JinXin Nonferrous Metals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CID000914</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185</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Jiujiang Tanbre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CID000917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186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AMG Brasil</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CID001076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187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Metallurgical Products India Pvt.,</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CID001163</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188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Mineracao Taboca 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CID001175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189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w w:val="99"/>
              </w:rPr>
              <w:t>Mitsui Mining and Smelting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CID001192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190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NPM Silmet AS</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CID001200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191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Ningxia Orient Tantalum Industry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CID001277</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192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QuantumClean</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CID001508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193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Yanling Jincheng Tantalum &amp;</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CID001522</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Niobium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194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Solikamsk Magnesium Works OAO</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CID001769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195</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Taki Chemical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CID001869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196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Telex Metals</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CID001891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197</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Ulba Metallurgical Plant JSC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CID001969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198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Hengyang King Xing Lifeng New</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CID002492</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Materials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199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D Block Metals, LLC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CID002504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200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FIR Metals &amp; Resource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CID002505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201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Jiujiang Zhongao Tantalum &amp;</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CID002506</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Niobium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202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XinXing HaoRong Electronic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CID002508</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Material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203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w w:val="99"/>
              </w:rPr>
              <w:t>Jiangxi Dinghai Tantalum &amp; Niobium</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CID002512</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204</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KEMET de Mexico</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CID002539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205</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TANIOBIS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CID002544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206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TANIOBIS GmbH</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CID002545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207</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Materion Newton Inc.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CID002548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208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TANIOBIS Japan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CID002549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209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w w:val="99"/>
              </w:rPr>
              <w:t>TANIOBIS Smelting GmbH &amp; Co. KG</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CID002550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210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Global Advanced Metals Boyertown</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CID002557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211</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Global Advanced Metals Aizu</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CID002558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212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Resind Industria e Comercio Ltda.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CID002707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213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Jiangxi Tuohong New Raw Material</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CID002842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214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RFH Yancheng Jinye New Material</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CID003583</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Technology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215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5D Production OU</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CID003926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216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Tantalum</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PowerX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CID004054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10 of 16</w:t>
      </w:r>
    </w:p>
    <w:p>
      <w:pPr>
        <w:sectPr>
          <w:pgSz w:w="11900" w:h="16838" w:orient="portrait"/>
          <w:cols w:equalWidth="0" w:num="1">
            <w:col w:w="11240"/>
          </w:cols>
          <w:pgMar w:left="320" w:top="916"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65"/>
        </w:trPr>
        <w:tc>
          <w:tcPr>
            <w:tcW w:w="780" w:type="dxa"/>
            <w:vAlign w:val="bottom"/>
            <w:tcBorders>
              <w:top w:val="single" w:sz="8" w:color="auto"/>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217</w:t>
            </w:r>
          </w:p>
        </w:tc>
        <w:tc>
          <w:tcPr>
            <w:tcW w:w="116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Chenzhou Yunxiang Mining and</w:t>
            </w:r>
          </w:p>
        </w:tc>
        <w:tc>
          <w:tcPr>
            <w:tcW w:w="180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CID000228</w:t>
            </w:r>
          </w:p>
        </w:tc>
        <w:tc>
          <w:tcPr>
            <w:tcW w:w="264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Metallurgy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218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Alpha Assembly Solutions Inc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CID000292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219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Aries Kencana Sejahtera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CID000309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220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Premium Tin Indonesia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CID000313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221</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Dowa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CID000402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222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EM Vinto</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CID000438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223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Estanho de Rondonia 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CID000448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224</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Fenix Metals</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CID000468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225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Gejiu Non-Ferrous Metal Processing</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CID000538</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226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Gejiu Zili Mining And Metallurgy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CID000555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227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Gejiu Kai Meng Industry and Trade</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CID000942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LLC</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228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China Tin Group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CID001070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229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Malaysia Smelting Corporation</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CID001105</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(MSC)</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230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Metallic Resources, Inc.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CID001142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231</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Mineracao Taboca 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CID001173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232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Minsur</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CID001182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233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Mitsubishi Materials Corporation</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CID001191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234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Jiangxi New Nanshan Technology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CID001231</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235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Novosibirsk Tin Combine</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CID001305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236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O.M. Manufacturing (Thailand) Co.,</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CID001314</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237</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Operaciones Metalurgicas 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CID001337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238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Artha Cipta Langgeng</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CID001399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239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Babel Inti Perkasa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CID001402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240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Babel Surya Alam Lestari</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CID001406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241</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Belitung Industri Sejahtera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CID001421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242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Bukit Timah</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CID001428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243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Mitra Stania Prima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CID001453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244</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Prima Timah Utama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CID001458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245</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Refined Bangka Tin</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CID001460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246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Sariwiguna Binasentosa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CID001463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247</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Stanindo Inti Perkasa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CID001468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248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Timah Tbk Kundur</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CID001477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249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Timah Tbk Mentok</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CID001482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250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Timah Nusantara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CID001486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251</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Tinindo Inter Nusa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CID001490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252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Tommy Utama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CID001493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253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Rui Da Hung</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CID001539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254</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Thaisarco</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CID001898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11 of 16</w:t>
      </w:r>
    </w:p>
    <w:p>
      <w:pPr>
        <w:sectPr>
          <w:pgSz w:w="11900" w:h="16838" w:orient="portrait"/>
          <w:cols w:equalWidth="0" w:num="1">
            <w:col w:w="11240"/>
          </w:cols>
          <w:pgMar w:left="320" w:top="916"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65"/>
        </w:trPr>
        <w:tc>
          <w:tcPr>
            <w:tcW w:w="780" w:type="dxa"/>
            <w:vAlign w:val="bottom"/>
            <w:tcBorders>
              <w:top w:val="single" w:sz="8" w:color="auto"/>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255</w:t>
            </w:r>
          </w:p>
        </w:tc>
        <w:tc>
          <w:tcPr>
            <w:tcW w:w="116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w w:val="99"/>
              </w:rPr>
              <w:t>Gejiu Yunxin Nonferrous Electrolysis</w:t>
            </w:r>
          </w:p>
        </w:tc>
        <w:tc>
          <w:tcPr>
            <w:tcW w:w="180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CID001908</w:t>
            </w:r>
          </w:p>
        </w:tc>
        <w:tc>
          <w:tcPr>
            <w:tcW w:w="264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256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VQB Mineral and Trading Group JSC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CID002015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257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White Solder Metalurgia e</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CID002036</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Mineracao Ltda.</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258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Yunnan Chengfeng Non-ferrous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CID002158</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Metals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259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 Smelting Branch of Yunnan Tin</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CID002180</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260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CV Venus Inti Perkasa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CID002455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261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Magnu's Minerais Metais e Ligas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CID002468</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Ltda.</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262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Melt Metais e Ligas S.A.</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CID002500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263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ATD Makmur Mandiri Jaya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CID002503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264</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O.M. Manufacturing Philippines, Inc.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CID002517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265</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CV Ayi Jaya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CID002570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Electro-Mechanical Facility of the</w:t>
            </w:r>
          </w:p>
        </w:tc>
        <w:tc>
          <w:tcPr>
            <w:tcW w:w="1800" w:type="dxa"/>
            <w:vAlign w:val="bottom"/>
            <w:tcBorders>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266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Cao Bang Minerals &amp; Metallurgy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CID002572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Joint Stock Company</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267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Nghe Tinh Non-Ferrous Metals Joint</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CID002573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Stock Company</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268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Tuyen Quang Non-Ferrous Metals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CID002574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Joint Stock Company</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269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Rajehan Ariq</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CID002593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270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Cipta Persada Mulia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CID002696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271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An Vinh Joint Stock Mineral</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CID002703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Processing Company</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272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Resind Industria e Comercio Ltda.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CID002706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273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Super Ligas</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CID002756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274</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Aurubis Beerse</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CID002773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275</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Aurubis Berango</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CID002774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276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Bangka Prima Tin</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CID002776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277</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Sukses Inti Makmur (SIM)</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CID002816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278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Menara Cipta Mulia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CID002835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279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HuiChang Hill Tin Industry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CID002844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280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Modeltech Sdn Bhd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CID002858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281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Guangdong Hanhe Non-Ferrous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CID003116</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Metal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282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Chifeng Dajingzi Tin Industry Co.,</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CID003190</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283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Bangka Serumpun</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CID003205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284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Pongpipat Company Limited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CID003208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285</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 Technology &amp; Refining</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CID003325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12 of 16</w:t>
      </w:r>
    </w:p>
    <w:p>
      <w:pPr>
        <w:sectPr>
          <w:pgSz w:w="11900" w:h="16838" w:orient="portrait"/>
          <w:cols w:equalWidth="0" w:num="1">
            <w:col w:w="11240"/>
          </w:cols>
          <w:pgMar w:left="320" w:top="916"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65"/>
        </w:trPr>
        <w:tc>
          <w:tcPr>
            <w:tcW w:w="780" w:type="dxa"/>
            <w:vAlign w:val="bottom"/>
            <w:tcBorders>
              <w:top w:val="single" w:sz="8" w:color="auto"/>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286</w:t>
            </w:r>
          </w:p>
        </w:tc>
        <w:tc>
          <w:tcPr>
            <w:tcW w:w="116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Dongguan CiEXPO Environmental</w:t>
            </w:r>
          </w:p>
        </w:tc>
        <w:tc>
          <w:tcPr>
            <w:tcW w:w="180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CID003356</w:t>
            </w:r>
          </w:p>
        </w:tc>
        <w:tc>
          <w:tcPr>
            <w:tcW w:w="264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Engineering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287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Ma'anshan Weitai Tin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CID003379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288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Rajawali Rimba Perkasa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CID003381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289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Luna Smelter,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CID003387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290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Yunnan Yunfan Non-ferrous Metals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CID003397</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291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Precious Minerals and Smelting</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CID003409</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Active</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Limited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292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Gejiu City Fuxiang Industry and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CID003410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Trade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293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Mitra Sukses Globalindo</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CID003449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CRM Fundicao De Metais E</w:t>
            </w:r>
          </w:p>
        </w:tc>
        <w:tc>
          <w:tcPr>
            <w:tcW w:w="1800" w:type="dxa"/>
            <w:vAlign w:val="bottom"/>
            <w:tcBorders>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294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Comercio De Equipamentos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CID003486</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Eletronicos Do Brasil Ltda</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295</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CRM Synergies</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CID003524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296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Fabrica Auricchio Industria e</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CID003582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Comercio Ltda.</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297</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DS Myanmar</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CID003831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298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PT Putera Sarana Shakti (PT PSS)</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CID003868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299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Mining Minerals Resources SARL</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CID004065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Takehara PVD Materials Plant / PVD</w:t>
            </w:r>
          </w:p>
        </w:tc>
        <w:tc>
          <w:tcPr>
            <w:tcW w:w="1800" w:type="dxa"/>
            <w:vAlign w:val="bottom"/>
            <w:tcBorders>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300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Materials Division of MITSUI</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CID004403</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MINING &amp; SMELTING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301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Malaysia Smelting Corporation</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CID004434</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Berhad (Port Klang)</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302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RIKAYAA GREENTECH PRIVATE</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CID004692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LIMITED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303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Woodcross Smelting Company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CID004724</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Limited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304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Tin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Global Advanced Metals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CID004754</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Greenbushes Pty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305</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A.L.M.T. Corp.</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CID000004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306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Kennametal Huntsville</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CID000105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307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Guangdong Xianglu Tungsten Co.,</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CID000218</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308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Chongyi Zhangyuan Tungsten Co.,</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CID000258</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309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CNMC (Guangxi) PGMA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CID000281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310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Global Tungsten &amp; Powders LLC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CID000568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311</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Hunan Chenzhou Mining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CID000766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312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Hunan Jintai New Material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CID000769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313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Japan New Metals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CID000825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314</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Kennametal Fallon</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CID000966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315</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Wolfram Bergbau und Hutten AG</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CID002044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316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Xiamen Tungsten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CID002082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13 of 16</w:t>
      </w:r>
    </w:p>
    <w:p>
      <w:pPr>
        <w:sectPr>
          <w:pgSz w:w="11900" w:h="16838" w:orient="portrait"/>
          <w:cols w:equalWidth="0" w:num="1">
            <w:col w:w="11240"/>
          </w:cols>
          <w:pgMar w:left="320" w:top="916"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65"/>
        </w:trPr>
        <w:tc>
          <w:tcPr>
            <w:tcW w:w="780" w:type="dxa"/>
            <w:vAlign w:val="bottom"/>
            <w:tcBorders>
              <w:top w:val="single" w:sz="8" w:color="auto"/>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317</w:t>
            </w:r>
          </w:p>
        </w:tc>
        <w:tc>
          <w:tcPr>
            <w:tcW w:w="116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Jiangxi Minmetals Gao'an Non-</w:t>
            </w:r>
          </w:p>
        </w:tc>
        <w:tc>
          <w:tcPr>
            <w:tcW w:w="1800" w:type="dxa"/>
            <w:vAlign w:val="bottom"/>
            <w:tcBorders>
              <w:top w:val="single" w:sz="8" w:color="auto"/>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CID002313</w:t>
            </w:r>
          </w:p>
        </w:tc>
        <w:tc>
          <w:tcPr>
            <w:tcW w:w="264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ferrous Metals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318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Ganzhou Jiangwu Ferrotungsten</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CID002315</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319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w w:val="99"/>
              </w:rPr>
              <w:t>Jiangxi Yaosheng Tungsten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CID002316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320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Jiangxi Xinsheng Tungsten Industry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CID002317</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321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Jiangxi Tonggu Non-ferrous</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CID002318</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Metallurgical &amp; Chemical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322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Malipo Haiyu Tungsten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CID002319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323</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Xiamen Tungsten (H.C.)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CID002320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324</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Jiangxi Gan Bei Tungsten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CID002321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325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Ganzhou Seadragon W &amp; Mo Co.,</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CID002494</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326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Asia Tungsten Products Vietnam</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CID002502</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Hunan Shizhuyuan Nonferrous</w:t>
            </w:r>
          </w:p>
        </w:tc>
        <w:tc>
          <w:tcPr>
            <w:tcW w:w="1800" w:type="dxa"/>
            <w:vAlign w:val="bottom"/>
            <w:tcBorders>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327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Metals Co., Ltd. Chenzhou Tungsten</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CID002513</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Products Branch</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328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H.C. Starck Tungsten GmbH</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CID002541</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329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w w:val="99"/>
              </w:rPr>
              <w:t>TANIOBIS Smelting GmbH &amp; Co. KG</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CID002542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330</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Masan High-Tech Materials</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CID002543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331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Jiangwu H.C. Starck Tungsten</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CID002551</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Products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332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Niagara Refining LLC</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CID002589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333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China Molybdenum Tungsten Co.,</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CID002641</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334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Hydrometallurg, JSC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CID002649</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335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Unecha Refractory metals plant</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CID002724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336</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Philippine Chuangxin Industrial Co.,</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CID002827</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Inc.</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337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ACL Metais Eireli</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CID002833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338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Moliren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CID002845</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339</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Lianyou Metals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CID003407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340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JSC "Kirovgrad Hard Alloys Plant"</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CID003408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341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NPP Tyazhmetprom LLC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CID003416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342</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Hubei Green Tungsten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CID003417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343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Albasteel Industria e Comercio de</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CID003427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Ligas Para Fundicao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344</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Cronimet Brasil Ltda</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CID003468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345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Artek LLC</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CID003553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14 of 16</w:t>
      </w:r>
    </w:p>
    <w:p>
      <w:pPr>
        <w:sectPr>
          <w:pgSz w:w="11900" w:h="16838" w:orient="portrait"/>
          <w:cols w:equalWidth="0" w:num="1">
            <w:col w:w="11240"/>
          </w:cols>
          <w:pgMar w:left="320" w:top="916"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70"/>
        </w:trPr>
        <w:tc>
          <w:tcPr>
            <w:tcW w:w="780" w:type="dxa"/>
            <w:vAlign w:val="bottom"/>
            <w:tcBorders>
              <w:top w:val="single" w:sz="8" w:color="auto"/>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346</w:t>
            </w:r>
          </w:p>
        </w:tc>
        <w:tc>
          <w:tcPr>
            <w:tcW w:w="116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Fujian Xinlu Tungsten Co., Ltd.</w:t>
            </w:r>
          </w:p>
        </w:tc>
        <w:tc>
          <w:tcPr>
            <w:tcW w:w="180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CID003609</w:t>
            </w:r>
          </w:p>
        </w:tc>
        <w:tc>
          <w:tcPr>
            <w:tcW w:w="2640" w:type="dxa"/>
            <w:vAlign w:val="bottom"/>
            <w:tcBorders>
              <w:top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347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OOO “Technolom” 2</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CID003612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348</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OOO “Technolom” 1</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CID003614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349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LLC Vostok</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CID003643</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350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YUDU ANSHENG TUNGSTEN CO.,</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CID003662</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351</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HANNAE FOR T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CID003978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352</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 Vietnam Joint Stock</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CID003993</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Company</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353</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Nam Viet Cromit Joint Stock</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CID004034</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Company</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354</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MALAMET SMELTING SDN. BHD.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CID004056</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355</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DONGKUK INDUSTRIES CO., LTD.</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CID004060</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On Smelter Look-up Tab</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356</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Lianyou Resources Co., Ltd.</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CID004397</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357</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Shinwon Tungsten (Fujian</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CID004430</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Shanghang) Co., Ltd.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Borders>
              <w:left w:val="single" w:sz="8" w:color="auto"/>
              <w:right w:val="single" w:sz="8" w:color="auto"/>
            </w:tcBorders>
          </w:tcPr>
          <w:p>
            <w:pPr>
              <w:jc w:val="right"/>
              <w:ind w:right="130"/>
              <w:spacing w:after="0"/>
              <w:rPr>
                <w:sz w:val="20"/>
                <w:szCs w:val="20"/>
                <w:color w:val="auto"/>
              </w:rPr>
            </w:pPr>
            <w:r>
              <w:rPr>
                <w:rFonts w:ascii="Verdana" w:cs="Verdana" w:eastAsia="Verdana" w:hAnsi="Verdana"/>
                <w:sz w:val="18"/>
                <w:szCs w:val="18"/>
                <w:color w:val="auto"/>
              </w:rPr>
              <w:t>358</w:t>
            </w:r>
          </w:p>
        </w:tc>
        <w:tc>
          <w:tcPr>
            <w:tcW w:w="116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Philippine Carreytech Metal Corp.</w:t>
            </w:r>
          </w:p>
        </w:tc>
        <w:tc>
          <w:tcPr>
            <w:tcW w:w="180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CID004438</w:t>
            </w:r>
          </w:p>
        </w:tc>
        <w:tc>
          <w:tcPr>
            <w:tcW w:w="264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Active</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359</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KENEE MINING VIETNAM COMPANY</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CID004619</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LIMITED</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 w:type="dxa"/>
            <w:vAlign w:val="bottom"/>
            <w:tcBorders>
              <w:left w:val="single" w:sz="8" w:color="auto"/>
              <w:right w:val="single" w:sz="8" w:color="auto"/>
            </w:tcBorders>
            <w:vMerge w:val="restart"/>
          </w:tcPr>
          <w:p>
            <w:pPr>
              <w:jc w:val="right"/>
              <w:ind w:right="130"/>
              <w:spacing w:after="0"/>
              <w:rPr>
                <w:sz w:val="20"/>
                <w:szCs w:val="20"/>
                <w:color w:val="auto"/>
              </w:rPr>
            </w:pPr>
            <w:r>
              <w:rPr>
                <w:rFonts w:ascii="Verdana" w:cs="Verdana" w:eastAsia="Verdana" w:hAnsi="Verdana"/>
                <w:sz w:val="18"/>
                <w:szCs w:val="18"/>
                <w:color w:val="auto"/>
              </w:rPr>
              <w:t>360</w:t>
            </w:r>
          </w:p>
        </w:tc>
        <w:tc>
          <w:tcPr>
            <w:tcW w:w="11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Tungsten</w:t>
            </w:r>
          </w:p>
        </w:tc>
        <w:tc>
          <w:tcPr>
            <w:tcW w:w="3380" w:type="dxa"/>
            <w:vAlign w:val="bottom"/>
            <w:tcBorders>
              <w:right w:val="single" w:sz="8" w:color="auto"/>
            </w:tcBorders>
          </w:tcPr>
          <w:p>
            <w:pPr>
              <w:ind w:left="60"/>
              <w:spacing w:after="0"/>
              <w:rPr>
                <w:sz w:val="20"/>
                <w:szCs w:val="20"/>
                <w:color w:val="auto"/>
              </w:rPr>
            </w:pPr>
            <w:r>
              <w:rPr>
                <w:rFonts w:ascii="Verdana" w:cs="Verdana" w:eastAsia="Verdana" w:hAnsi="Verdana"/>
                <w:sz w:val="18"/>
                <w:szCs w:val="18"/>
                <w:color w:val="auto"/>
              </w:rPr>
              <w:t>Philippine Bonway Manufacturing</w:t>
            </w:r>
          </w:p>
        </w:tc>
        <w:tc>
          <w:tcPr>
            <w:tcW w:w="18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CID004797</w:t>
            </w:r>
          </w:p>
        </w:tc>
        <w:tc>
          <w:tcPr>
            <w:tcW w:w="26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18"/>
                <w:szCs w:val="18"/>
                <w:color w:val="auto"/>
              </w:rPr>
              <w:t>Industrial Corporation</w:t>
            </w:r>
          </w:p>
        </w:tc>
        <w:tc>
          <w:tcPr>
            <w:tcW w:w="1800" w:type="dxa"/>
            <w:vAlign w:val="bottom"/>
            <w:tcBorders>
              <w:bottom w:val="single" w:sz="8" w:color="auto"/>
              <w:right w:val="single" w:sz="8" w:color="auto"/>
            </w:tcBorders>
            <w:vMerge w:val="continue"/>
          </w:tcPr>
          <w:p>
            <w:pPr>
              <w:spacing w:after="0"/>
              <w:rPr>
                <w:sz w:val="21"/>
                <w:szCs w:val="21"/>
                <w:color w:val="auto"/>
              </w:rPr>
            </w:pPr>
          </w:p>
        </w:tc>
        <w:tc>
          <w:tcPr>
            <w:tcW w:w="26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Capitalized terms used and not otherwise defined in this Appendix have the meanings indicated in our Conflict Minerals Report.</w:t>
      </w:r>
    </w:p>
    <w:p>
      <w:pPr>
        <w:spacing w:after="0" w:line="13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Smelters and Refiners</w:t>
      </w:r>
    </w:p>
    <w:p>
      <w:pPr>
        <w:spacing w:after="0" w:line="146" w:lineRule="exact"/>
        <w:rPr>
          <w:sz w:val="20"/>
          <w:szCs w:val="20"/>
          <w:color w:val="auto"/>
        </w:rPr>
      </w:pPr>
    </w:p>
    <w:p>
      <w:pPr>
        <w:jc w:val="both"/>
        <w:spacing w:after="0" w:line="253" w:lineRule="auto"/>
        <w:rPr>
          <w:sz w:val="20"/>
          <w:szCs w:val="20"/>
          <w:color w:val="auto"/>
        </w:rPr>
      </w:pPr>
      <w:r>
        <w:rPr>
          <w:rFonts w:ascii="Verdana" w:cs="Verdana" w:eastAsia="Verdana" w:hAnsi="Verdana"/>
          <w:sz w:val="18"/>
          <w:szCs w:val="18"/>
          <w:color w:val="auto"/>
        </w:rPr>
        <w:t>In connection with the reasonable country of origin inquiry and due diligence, as applicable, the Suppliers identified to us the smelters and refiners listed below, sorted by mineral and risk level, as potentially having processed the necessary 3TG contained in our in-scope products in 2024.</w:t>
      </w:r>
    </w:p>
    <w:p>
      <w:pPr>
        <w:spacing w:after="0" w:line="132" w:lineRule="exact"/>
        <w:rPr>
          <w:sz w:val="20"/>
          <w:szCs w:val="20"/>
          <w:color w:val="auto"/>
        </w:rPr>
      </w:pPr>
    </w:p>
    <w:p>
      <w:pPr>
        <w:spacing w:after="0"/>
        <w:rPr>
          <w:sz w:val="20"/>
          <w:szCs w:val="20"/>
          <w:color w:val="auto"/>
        </w:rPr>
      </w:pPr>
      <w:r>
        <w:rPr>
          <w:rFonts w:ascii="Verdana" w:cs="Verdana" w:eastAsia="Verdana" w:hAnsi="Verdana"/>
          <w:sz w:val="18"/>
          <w:szCs w:val="18"/>
          <w:color w:val="auto"/>
        </w:rPr>
        <w:t>We note the following in connection with the information in Appendix A:</w:t>
      </w:r>
    </w:p>
    <w:p>
      <w:pPr>
        <w:spacing w:after="0" w:line="146" w:lineRule="exact"/>
        <w:rPr>
          <w:sz w:val="20"/>
          <w:szCs w:val="20"/>
          <w:color w:val="auto"/>
        </w:rPr>
      </w:pPr>
    </w:p>
    <w:p>
      <w:pPr>
        <w:jc w:val="both"/>
        <w:ind w:left="340" w:hanging="8"/>
        <w:spacing w:after="0" w:line="249" w:lineRule="auto"/>
        <w:tabs>
          <w:tab w:leader="none" w:pos="677" w:val="left"/>
        </w:tabs>
        <w:numPr>
          <w:ilvl w:val="0"/>
          <w:numId w:val="2"/>
        </w:numPr>
        <w:rPr>
          <w:rFonts w:ascii="Verdana" w:cs="Verdana" w:eastAsia="Verdana" w:hAnsi="Verdana"/>
          <w:sz w:val="18"/>
          <w:szCs w:val="18"/>
          <w:color w:val="auto"/>
        </w:rPr>
      </w:pPr>
      <w:r>
        <w:rPr>
          <w:rFonts w:ascii="Verdana" w:cs="Verdana" w:eastAsia="Verdana" w:hAnsi="Verdana"/>
          <w:sz w:val="18"/>
          <w:szCs w:val="18"/>
          <w:color w:val="auto"/>
        </w:rPr>
        <w:t>The smelters and refiners listed in the table were identified by the Suppliers as being part of our 2024 supply chain. Some of the Suppliers may have reported smelters and refiners that were not in our supply chain (i) since they reported at a “company level,” meaning that they reported to us the 3TG contained in all of their products, not just the products that they sold to us, or (ii) due to over-inclusiveness in the information received from their suppliers. In addition, the smelters and refiners reflected above may not be all of the smelters and refiners in our 2024 supply chain, since many of the Suppliers were unable to identify all of the smelters and refiners used to process the necessary 3TG content contained in our in-scope products.</w:t>
      </w:r>
    </w:p>
    <w:p>
      <w:pPr>
        <w:spacing w:after="0" w:line="125" w:lineRule="exact"/>
        <w:rPr>
          <w:rFonts w:ascii="Verdana" w:cs="Verdana" w:eastAsia="Verdana" w:hAnsi="Verdana"/>
          <w:sz w:val="18"/>
          <w:szCs w:val="18"/>
          <w:color w:val="auto"/>
        </w:rPr>
      </w:pPr>
    </w:p>
    <w:p>
      <w:pPr>
        <w:ind w:left="680" w:hanging="348"/>
        <w:spacing w:after="0"/>
        <w:tabs>
          <w:tab w:leader="none" w:pos="680" w:val="left"/>
        </w:tabs>
        <w:numPr>
          <w:ilvl w:val="0"/>
          <w:numId w:val="2"/>
        </w:numPr>
        <w:rPr>
          <w:rFonts w:ascii="Verdana" w:cs="Verdana" w:eastAsia="Verdana" w:hAnsi="Verdana"/>
          <w:sz w:val="18"/>
          <w:szCs w:val="18"/>
          <w:color w:val="auto"/>
        </w:rPr>
      </w:pPr>
      <w:r>
        <w:rPr>
          <w:rFonts w:ascii="Verdana" w:cs="Verdana" w:eastAsia="Verdana" w:hAnsi="Verdana"/>
          <w:sz w:val="18"/>
          <w:szCs w:val="18"/>
          <w:color w:val="auto"/>
        </w:rPr>
        <w:t>All information in the table is as of April 22, 2025.</w:t>
      </w:r>
    </w:p>
    <w:p>
      <w:pPr>
        <w:spacing w:after="0" w:line="145" w:lineRule="exact"/>
        <w:rPr>
          <w:rFonts w:ascii="Verdana" w:cs="Verdana" w:eastAsia="Verdana" w:hAnsi="Verdana"/>
          <w:sz w:val="18"/>
          <w:szCs w:val="18"/>
          <w:color w:val="auto"/>
        </w:rPr>
      </w:pPr>
    </w:p>
    <w:p>
      <w:pPr>
        <w:jc w:val="both"/>
        <w:ind w:left="340" w:hanging="8"/>
        <w:spacing w:after="0" w:line="260" w:lineRule="auto"/>
        <w:tabs>
          <w:tab w:leader="none" w:pos="680" w:val="left"/>
        </w:tabs>
        <w:numPr>
          <w:ilvl w:val="0"/>
          <w:numId w:val="2"/>
        </w:numPr>
        <w:rPr>
          <w:rFonts w:ascii="Verdana" w:cs="Verdana" w:eastAsia="Verdana" w:hAnsi="Verdana"/>
          <w:sz w:val="18"/>
          <w:szCs w:val="18"/>
          <w:color w:val="auto"/>
        </w:rPr>
      </w:pPr>
      <w:r>
        <w:rPr>
          <w:rFonts w:ascii="Verdana" w:cs="Verdana" w:eastAsia="Verdana" w:hAnsi="Verdana"/>
          <w:sz w:val="18"/>
          <w:szCs w:val="18"/>
          <w:color w:val="auto"/>
        </w:rPr>
        <w:t>“Conformant” means that the smelter or refiner has successfully completed an assessment against the applicable RMAP standard or an equivalent cross-recognized assessment. Included smelters and refiners were not necessarily Conformant for all or part of 2024 and may not continue to be Conformant for any future period.</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15 of 16</w:t>
      </w:r>
    </w:p>
    <w:p>
      <w:pPr>
        <w:sectPr>
          <w:pgSz w:w="11900" w:h="16838" w:orient="portrait"/>
          <w:cols w:equalWidth="0" w:num="1">
            <w:col w:w="11240"/>
          </w:cols>
          <w:pgMar w:left="320" w:top="916" w:right="339" w:bottom="1440" w:gutter="0" w:footer="0" w:header="0"/>
        </w:sectPr>
      </w:pPr>
    </w:p>
    <w:bookmarkStart w:id="19" w:name="page20"/>
    <w:bookmarkEnd w:id="19"/>
    <w:p>
      <w:pPr>
        <w:jc w:val="both"/>
        <w:ind w:left="340" w:hanging="8"/>
        <w:spacing w:after="0" w:line="260" w:lineRule="auto"/>
        <w:tabs>
          <w:tab w:leader="none" w:pos="685"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“Active” means that the smelter or refiner has committed to undergo an RMAP assessment, completed the relevant documents, and scheduled the on-site assessment. These may be in the pre-assessment, assessment, or corrective-action phases of the assessment.</w:t>
      </w:r>
    </w:p>
    <w:p>
      <w:pPr>
        <w:spacing w:after="0" w:line="112" w:lineRule="exact"/>
        <w:rPr>
          <w:rFonts w:ascii="Verdana" w:cs="Verdana" w:eastAsia="Verdana" w:hAnsi="Verdana"/>
          <w:sz w:val="18"/>
          <w:szCs w:val="18"/>
          <w:color w:val="auto"/>
        </w:rPr>
      </w:pPr>
    </w:p>
    <w:p>
      <w:pPr>
        <w:ind w:left="340" w:hanging="8"/>
        <w:spacing w:after="0" w:line="269" w:lineRule="auto"/>
        <w:tabs>
          <w:tab w:leader="none" w:pos="697"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“On Smelter Look-up Tab Only” means the smelter or refiner is not listed as “Conformant” or “Active.” The table only includes entities that were listed as smelters or refiners by the RMI on the Conflict Minerals Reporting Template.</w:t>
      </w:r>
    </w:p>
    <w:p>
      <w:pPr>
        <w:spacing w:after="0" w:line="103" w:lineRule="exact"/>
        <w:rPr>
          <w:rFonts w:ascii="Verdana" w:cs="Verdana" w:eastAsia="Verdana" w:hAnsi="Verdana"/>
          <w:sz w:val="18"/>
          <w:szCs w:val="18"/>
          <w:color w:val="auto"/>
        </w:rPr>
      </w:pPr>
    </w:p>
    <w:p>
      <w:pPr>
        <w:ind w:left="340" w:hanging="8"/>
        <w:spacing w:after="0" w:line="269" w:lineRule="auto"/>
        <w:tabs>
          <w:tab w:leader="none" w:pos="671"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The compliance status reflected in the table is based solely on information made publicly available by the RMI, without independent verification by us.</w:t>
      </w:r>
    </w:p>
    <w:p>
      <w:pPr>
        <w:spacing w:after="0" w:line="103" w:lineRule="exact"/>
        <w:rPr>
          <w:rFonts w:ascii="Verdana" w:cs="Verdana" w:eastAsia="Verdana" w:hAnsi="Verdana"/>
          <w:sz w:val="18"/>
          <w:szCs w:val="18"/>
          <w:color w:val="auto"/>
        </w:rPr>
      </w:pPr>
    </w:p>
    <w:p>
      <w:pPr>
        <w:ind w:left="680" w:hanging="348"/>
        <w:spacing w:after="0"/>
        <w:tabs>
          <w:tab w:leader="none" w:pos="68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Country location is the location of the smelter or refiner.</w:t>
      </w:r>
    </w:p>
    <w:p>
      <w:pPr>
        <w:spacing w:after="0" w:line="146"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Country of Origin Information</w:t>
      </w:r>
    </w:p>
    <w:p>
      <w:pPr>
        <w:spacing w:after="0" w:line="159" w:lineRule="exact"/>
        <w:rPr>
          <w:sz w:val="20"/>
          <w:szCs w:val="20"/>
          <w:color w:val="auto"/>
        </w:rPr>
      </w:pPr>
    </w:p>
    <w:p>
      <w:pPr>
        <w:jc w:val="both"/>
        <w:spacing w:after="0" w:line="247" w:lineRule="auto"/>
        <w:rPr>
          <w:sz w:val="20"/>
          <w:szCs w:val="20"/>
          <w:color w:val="auto"/>
        </w:rPr>
      </w:pPr>
      <w:r>
        <w:rPr>
          <w:rFonts w:ascii="Verdana" w:cs="Verdana" w:eastAsia="Verdana" w:hAnsi="Verdana"/>
          <w:sz w:val="18"/>
          <w:szCs w:val="18"/>
          <w:color w:val="auto"/>
        </w:rPr>
        <w:t>The countries of origin of the newly mined 3TG processed by the Conformant smelters and refiners listed above may have included countries in each of the categories listed below, as well as other countries. The specific countries of origin of the 3TG in our products were undeterminable. Accordingly, the 3TG in our products may not have originated in a particular country listed below.</w:t>
      </w:r>
    </w:p>
    <w:p>
      <w:pPr>
        <w:spacing w:after="0" w:line="139"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The countries below are sorted by risk level. See “Reasonable Country of Origin Inquiry; Smelter and Refiner and Country of Origin Information” for additional origin information.</w:t>
      </w:r>
    </w:p>
    <w:p>
      <w:pPr>
        <w:spacing w:after="0" w:line="13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Known Countries from which Conformant Gold Refiners Source:</w:t>
      </w:r>
    </w:p>
    <w:p>
      <w:pPr>
        <w:spacing w:after="0" w:line="146" w:lineRule="exact"/>
        <w:rPr>
          <w:sz w:val="20"/>
          <w:szCs w:val="20"/>
          <w:color w:val="auto"/>
        </w:rPr>
      </w:pPr>
    </w:p>
    <w:p>
      <w:pPr>
        <w:jc w:val="both"/>
        <w:spacing w:after="0" w:line="253" w:lineRule="auto"/>
        <w:rPr>
          <w:sz w:val="20"/>
          <w:szCs w:val="20"/>
          <w:color w:val="auto"/>
        </w:rPr>
      </w:pPr>
      <w:r>
        <w:rPr>
          <w:rFonts w:ascii="Verdana" w:cs="Verdana" w:eastAsia="Verdana" w:hAnsi="Verdana"/>
          <w:sz w:val="18"/>
          <w:szCs w:val="18"/>
          <w:color w:val="auto"/>
        </w:rPr>
        <w:t>Countries that are not identified as conflict regions or plausible areas of smuggling or export of from these regions of 3TG or which are identified as low risk: Benin, Brazil, Canada, Chile, Guyana, Papua New Guinea, Philippines, South Africa, Sweden, and Uzbekistan and Japan.</w:t>
      </w:r>
    </w:p>
    <w:p>
      <w:pPr>
        <w:spacing w:after="0" w:line="132"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Countries identified by smelters and refiners as Conflict-Affected and High-Risk: Brazil, Colombia, Nicaragua, Niger, Peru, Tanzania, and Zimbabwe.</w:t>
      </w:r>
    </w:p>
    <w:p>
      <w:pPr>
        <w:spacing w:after="0" w:line="13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Known Countries from which Conformant Tantalum Smelters Source:</w:t>
      </w:r>
    </w:p>
    <w:p>
      <w:pPr>
        <w:spacing w:after="0" w:line="146" w:lineRule="exact"/>
        <w:rPr>
          <w:sz w:val="20"/>
          <w:szCs w:val="20"/>
          <w:color w:val="auto"/>
        </w:rPr>
      </w:pPr>
    </w:p>
    <w:p>
      <w:pPr>
        <w:jc w:val="both"/>
        <w:spacing w:after="0" w:line="253" w:lineRule="auto"/>
        <w:rPr>
          <w:sz w:val="20"/>
          <w:szCs w:val="20"/>
          <w:color w:val="auto"/>
        </w:rPr>
      </w:pPr>
      <w:r>
        <w:rPr>
          <w:rFonts w:ascii="Verdana" w:cs="Verdana" w:eastAsia="Verdana" w:hAnsi="Verdana"/>
          <w:sz w:val="18"/>
          <w:szCs w:val="18"/>
          <w:color w:val="auto"/>
        </w:rPr>
        <w:t>Countries that are not identified as conflict regions or plausible areas of smuggling or export of from these regions of 3TG or which are identified as low risk: Australia, Brazil, China, France, Madagascar, Mozambique, Nigeria, Sierra Leone, Spain, and Thailand.</w:t>
      </w:r>
    </w:p>
    <w:p>
      <w:pPr>
        <w:spacing w:after="0" w:line="132"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Countries identified by smelters and refiners as high risk: Brazil, Burundi, the Democratic Republic of the Congo, Ethiopia, Mozambique, Nigeria, Rwanda, and Zimbabwe.</w:t>
      </w:r>
    </w:p>
    <w:p>
      <w:pPr>
        <w:spacing w:after="0" w:line="131" w:lineRule="exact"/>
        <w:rPr>
          <w:sz w:val="20"/>
          <w:szCs w:val="20"/>
          <w:color w:val="auto"/>
        </w:rPr>
      </w:pPr>
    </w:p>
    <w:p>
      <w:pPr>
        <w:ind w:right="2980"/>
        <w:spacing w:after="0" w:line="399" w:lineRule="auto"/>
        <w:rPr>
          <w:sz w:val="20"/>
          <w:szCs w:val="20"/>
          <w:color w:val="auto"/>
        </w:rPr>
      </w:pPr>
      <w:r>
        <w:rPr>
          <w:rFonts w:ascii="Verdana" w:cs="Verdana" w:eastAsia="Verdana" w:hAnsi="Verdana"/>
          <w:sz w:val="18"/>
          <w:szCs w:val="18"/>
          <w:color w:val="auto"/>
        </w:rPr>
        <w:t xml:space="preserve">The Conflict Affected Region: Burundi, Rwanda, and the Democratic Republic of the Congo, </w:t>
      </w:r>
      <w:r>
        <w:rPr>
          <w:rFonts w:ascii="Verdana" w:cs="Verdana" w:eastAsia="Verdana" w:hAnsi="Verdana"/>
          <w:sz w:val="18"/>
          <w:szCs w:val="18"/>
          <w:b w:val="1"/>
          <w:bCs w:val="1"/>
          <w:color w:val="auto"/>
        </w:rPr>
        <w:t>Known Countries from which Conformant Tin Smelters Source:</w:t>
      </w:r>
    </w:p>
    <w:p>
      <w:pPr>
        <w:spacing w:after="0" w:line="2" w:lineRule="exact"/>
        <w:rPr>
          <w:sz w:val="20"/>
          <w:szCs w:val="20"/>
          <w:color w:val="auto"/>
        </w:rPr>
      </w:pPr>
    </w:p>
    <w:p>
      <w:pPr>
        <w:jc w:val="both"/>
        <w:spacing w:after="0" w:line="260" w:lineRule="auto"/>
        <w:rPr>
          <w:sz w:val="20"/>
          <w:szCs w:val="20"/>
          <w:color w:val="auto"/>
        </w:rPr>
      </w:pPr>
      <w:r>
        <w:rPr>
          <w:rFonts w:ascii="Verdana" w:cs="Verdana" w:eastAsia="Verdana" w:hAnsi="Verdana"/>
          <w:sz w:val="18"/>
          <w:szCs w:val="18"/>
          <w:color w:val="auto"/>
        </w:rPr>
        <w:t>Countries that are not identified as conflict regions or plausible areas of smuggling or export of from these regions of 3TG or which are identified as low risk: Australia, Bolivia, Brazil, China, Indonesia, Laos, Malaysia, Mongolia, Myanmar, Namibia, Peru, Portugal, Spain, and Vietnam.</w:t>
      </w:r>
    </w:p>
    <w:p>
      <w:pPr>
        <w:spacing w:after="0" w:line="11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Countries identified by smelters and refiners as high risk: Brazil, Burundi, the Democratic Republic of the Congo, Myanmar, Nigeria, Rwanda, Tanzania, Thailand, and Zambia, and Uganda.</w:t>
      </w:r>
    </w:p>
    <w:p>
      <w:pPr>
        <w:spacing w:after="0" w:line="131" w:lineRule="exact"/>
        <w:rPr>
          <w:sz w:val="20"/>
          <w:szCs w:val="20"/>
          <w:color w:val="auto"/>
        </w:rPr>
      </w:pPr>
    </w:p>
    <w:p>
      <w:pPr>
        <w:spacing w:after="0"/>
        <w:rPr>
          <w:sz w:val="20"/>
          <w:szCs w:val="20"/>
          <w:color w:val="auto"/>
        </w:rPr>
      </w:pPr>
      <w:r>
        <w:rPr>
          <w:rFonts w:ascii="Verdana" w:cs="Verdana" w:eastAsia="Verdana" w:hAnsi="Verdana"/>
          <w:sz w:val="18"/>
          <w:szCs w:val="18"/>
          <w:color w:val="auto"/>
        </w:rPr>
        <w:t>The Conflict Affected Region: Burundi, Rwanda, Tanzania, Uganda, and the Democratic Republic of the Congo.</w:t>
      </w:r>
    </w:p>
    <w:p>
      <w:pPr>
        <w:spacing w:after="0" w:line="146"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Known Countries from which Conformant Tungsten Smelters Source:</w:t>
      </w:r>
    </w:p>
    <w:p>
      <w:pPr>
        <w:spacing w:after="0" w:line="146" w:lineRule="exact"/>
        <w:rPr>
          <w:sz w:val="20"/>
          <w:szCs w:val="20"/>
          <w:color w:val="auto"/>
        </w:rPr>
      </w:pPr>
    </w:p>
    <w:p>
      <w:pPr>
        <w:jc w:val="both"/>
        <w:spacing w:after="0" w:line="260" w:lineRule="auto"/>
        <w:rPr>
          <w:sz w:val="20"/>
          <w:szCs w:val="20"/>
          <w:color w:val="auto"/>
        </w:rPr>
      </w:pPr>
      <w:r>
        <w:rPr>
          <w:rFonts w:ascii="Verdana" w:cs="Verdana" w:eastAsia="Verdana" w:hAnsi="Verdana"/>
          <w:sz w:val="18"/>
          <w:szCs w:val="18"/>
          <w:color w:val="auto"/>
        </w:rPr>
        <w:t>Countries that are not identified as conflict regions or plausible areas of smuggling or export of from these regions of 3TG or which are identified as low risk: Australia, Bolivia, Brazil, China, Malaysia, Mongolia, Portugal, Spain, Thailand, United Kingdom, United States of America, and Vietnam.</w:t>
      </w:r>
    </w:p>
    <w:p>
      <w:pPr>
        <w:spacing w:after="0" w:line="113" w:lineRule="exact"/>
        <w:rPr>
          <w:sz w:val="20"/>
          <w:szCs w:val="20"/>
          <w:color w:val="auto"/>
        </w:rPr>
      </w:pPr>
    </w:p>
    <w:p>
      <w:pPr>
        <w:jc w:val="both"/>
        <w:spacing w:after="0" w:line="269" w:lineRule="auto"/>
        <w:rPr>
          <w:sz w:val="20"/>
          <w:szCs w:val="20"/>
          <w:color w:val="auto"/>
        </w:rPr>
      </w:pPr>
      <w:r>
        <w:rPr>
          <w:rFonts w:ascii="Verdana" w:cs="Verdana" w:eastAsia="Verdana" w:hAnsi="Verdana"/>
          <w:sz w:val="18"/>
          <w:szCs w:val="18"/>
          <w:color w:val="auto"/>
        </w:rPr>
        <w:t>Countries identified by smelters and refiners as high risk: Rwanda, Burundi, the Democratic Republic of the Congo, Myanmar, Russia, Tanzania, and Vietnam.</w:t>
      </w:r>
    </w:p>
    <w:p>
      <w:pPr>
        <w:spacing w:after="0" w:line="104" w:lineRule="exact"/>
        <w:rPr>
          <w:sz w:val="20"/>
          <w:szCs w:val="20"/>
          <w:color w:val="auto"/>
        </w:rPr>
      </w:pPr>
    </w:p>
    <w:p>
      <w:pPr>
        <w:spacing w:after="0"/>
        <w:rPr>
          <w:sz w:val="20"/>
          <w:szCs w:val="20"/>
          <w:color w:val="auto"/>
        </w:rPr>
      </w:pPr>
      <w:r>
        <w:rPr>
          <w:rFonts w:ascii="Verdana" w:cs="Verdana" w:eastAsia="Verdana" w:hAnsi="Verdana"/>
          <w:sz w:val="18"/>
          <w:szCs w:val="18"/>
          <w:color w:val="auto"/>
        </w:rPr>
        <w:t>The Conflict Affected Region: Burundi, Rwanda, Tanzania, and the Democratic Republic of the Congo.</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16 of 16</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2025-05-30T12:21:21Z</dcterms:created>
  <dcterms:modified xsi:type="dcterms:W3CDTF">2025-05-30T12:21:21Z</dcterms:modified>
</cp:coreProperties>
</file>