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241935</wp:posOffset>
            </wp:positionV>
            <wp:extent cx="1482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82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120" w:type="dxa"/>
        <w:tblCellMar>
          <w:top w:w="0" w:type="dxa"/>
          <w:left w:w="0" w:type="dxa"/>
          <w:bottom w:w="0" w:type="dxa"/>
          <w:right w:w="0" w:type="dxa"/>
        </w:tblCellMar>
      </w:tblPr>
      <w:tr>
        <w:trPr>
          <w:trHeight w:val="214"/>
        </w:trPr>
        <w:tc>
          <w:tcPr>
            <w:tcW w:w="3500" w:type="dxa"/>
            <w:vAlign w:val="bottom"/>
          </w:tcPr>
          <w:p>
            <w:pPr>
              <w:spacing w:after="0"/>
              <w:rPr>
                <w:sz w:val="18"/>
                <w:szCs w:val="18"/>
                <w:color w:val="auto"/>
              </w:rPr>
            </w:pPr>
          </w:p>
        </w:tc>
        <w:tc>
          <w:tcPr>
            <w:tcW w:w="4380" w:type="dxa"/>
            <w:vAlign w:val="bottom"/>
          </w:tcPr>
          <w:p>
            <w:pPr>
              <w:jc w:val="center"/>
              <w:ind w:right="2301"/>
              <w:spacing w:after="0"/>
              <w:rPr>
                <w:sz w:val="20"/>
                <w:szCs w:val="20"/>
                <w:color w:val="auto"/>
              </w:rPr>
            </w:pPr>
            <w:r>
              <w:rPr>
                <w:rFonts w:ascii="Times New Roman" w:cs="Times New Roman" w:eastAsia="Times New Roman" w:hAnsi="Times New Roman"/>
                <w:sz w:val="18"/>
                <w:szCs w:val="18"/>
                <w:b w:val="1"/>
                <w:bCs w:val="1"/>
                <w:color w:val="auto"/>
                <w:w w:val="98"/>
              </w:rPr>
              <w:t>Delaware</w:t>
            </w:r>
          </w:p>
        </w:tc>
      </w:tr>
      <w:tr>
        <w:trPr>
          <w:trHeight w:val="162"/>
        </w:trPr>
        <w:tc>
          <w:tcPr>
            <w:tcW w:w="3500" w:type="dxa"/>
            <w:vAlign w:val="bottom"/>
          </w:tcPr>
          <w:p>
            <w:pPr>
              <w:spacing w:after="0"/>
              <w:rPr>
                <w:sz w:val="14"/>
                <w:szCs w:val="14"/>
                <w:color w:val="auto"/>
              </w:rPr>
            </w:pPr>
          </w:p>
        </w:tc>
        <w:tc>
          <w:tcPr>
            <w:tcW w:w="4380" w:type="dxa"/>
            <w:vAlign w:val="bottom"/>
          </w:tcPr>
          <w:p>
            <w:pPr>
              <w:jc w:val="center"/>
              <w:ind w:right="2281"/>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r>
      <w:tr>
        <w:trPr>
          <w:trHeight w:val="190"/>
        </w:trPr>
        <w:tc>
          <w:tcPr>
            <w:tcW w:w="3500" w:type="dxa"/>
            <w:vAlign w:val="bottom"/>
          </w:tcPr>
          <w:p>
            <w:pPr>
              <w:spacing w:after="0"/>
              <w:rPr>
                <w:sz w:val="16"/>
                <w:szCs w:val="16"/>
                <w:color w:val="auto"/>
              </w:rPr>
            </w:pPr>
          </w:p>
        </w:tc>
        <w:tc>
          <w:tcPr>
            <w:tcW w:w="4380" w:type="dxa"/>
            <w:vAlign w:val="bottom"/>
          </w:tcPr>
          <w:p>
            <w:pPr>
              <w:jc w:val="center"/>
              <w:ind w:right="2281"/>
              <w:spacing w:after="0"/>
              <w:rPr>
                <w:sz w:val="20"/>
                <w:szCs w:val="20"/>
                <w:color w:val="auto"/>
              </w:rPr>
            </w:pPr>
            <w:r>
              <w:rPr>
                <w:rFonts w:ascii="Times New Roman" w:cs="Times New Roman" w:eastAsia="Times New Roman" w:hAnsi="Times New Roman"/>
                <w:sz w:val="14"/>
                <w:szCs w:val="14"/>
                <w:b w:val="1"/>
                <w:bCs w:val="1"/>
                <w:color w:val="auto"/>
              </w:rPr>
              <w:t>of Incorporation)</w:t>
            </w:r>
          </w:p>
        </w:tc>
      </w:tr>
      <w:tr>
        <w:trPr>
          <w:trHeight w:val="509"/>
        </w:trPr>
        <w:tc>
          <w:tcPr>
            <w:tcW w:w="350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001-41186</w:t>
            </w:r>
          </w:p>
        </w:tc>
        <w:tc>
          <w:tcPr>
            <w:tcW w:w="4380" w:type="dxa"/>
            <w:vAlign w:val="bottom"/>
          </w:tcPr>
          <w:p>
            <w:pPr>
              <w:jc w:val="center"/>
              <w:ind w:left="3201"/>
              <w:spacing w:after="0"/>
              <w:rPr>
                <w:sz w:val="20"/>
                <w:szCs w:val="20"/>
                <w:color w:val="auto"/>
              </w:rPr>
            </w:pPr>
            <w:r>
              <w:rPr>
                <w:rFonts w:ascii="Times New Roman" w:cs="Times New Roman" w:eastAsia="Times New Roman" w:hAnsi="Times New Roman"/>
                <w:sz w:val="18"/>
                <w:szCs w:val="18"/>
                <w:b w:val="1"/>
                <w:bCs w:val="1"/>
                <w:color w:val="auto"/>
                <w:w w:val="98"/>
              </w:rPr>
              <w:t>87-1583942</w:t>
            </w:r>
          </w:p>
        </w:tc>
      </w:tr>
      <w:tr>
        <w:trPr>
          <w:trHeight w:val="191"/>
        </w:trPr>
        <w:tc>
          <w:tcPr>
            <w:tcW w:w="35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4380" w:type="dxa"/>
            <w:vAlign w:val="bottom"/>
          </w:tcPr>
          <w:p>
            <w:pPr>
              <w:jc w:val="center"/>
              <w:ind w:left="32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380" w:type="dxa"/>
            <w:vAlign w:val="bottom"/>
          </w:tcPr>
          <w:p>
            <w:pPr>
              <w:jc w:val="center"/>
              <w:ind w:left="31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631"/>
        </w:trPr>
        <w:tc>
          <w:tcPr>
            <w:tcW w:w="350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300 Kimball Drive, Parsippany, New Jersey</w:t>
            </w:r>
          </w:p>
        </w:tc>
        <w:tc>
          <w:tcPr>
            <w:tcW w:w="4380" w:type="dxa"/>
            <w:vAlign w:val="bottom"/>
          </w:tcPr>
          <w:p>
            <w:pPr>
              <w:jc w:val="center"/>
              <w:ind w:left="320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35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380" w:type="dxa"/>
            <w:vAlign w:val="bottom"/>
          </w:tcPr>
          <w:p>
            <w:pPr>
              <w:jc w:val="center"/>
              <w:ind w:left="32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 847-6880</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82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1"/>
        </w:trPr>
        <w:tc>
          <w:tcPr>
            <w:tcW w:w="47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1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3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2"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4"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ectPr>
          <w:pgSz w:w="11900" w:h="16838" w:orient="portrait"/>
          <w:cols w:equalWidth="0" w:num="1">
            <w:col w:w="11240"/>
          </w:cols>
          <w:pgMar w:left="320" w:top="1440" w:right="339" w:bottom="0" w:gutter="0" w:footer="0" w:header="0"/>
          <w:type w:val="continuous"/>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t>On December 20, 2022, Embecta Corp. (the “Company” or "embecta") issued a press release (the “Earnings Release”) regarding its results for the quarter and fiscal year ended September 30, 2022. The Earnings Release is furnished as Exhibit 99.1 to this report.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8"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furnished as an exhibit to this report:</w:t>
      </w:r>
    </w:p>
    <w:p>
      <w:pPr>
        <w:spacing w:after="0" w:line="306"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December 20, 2022.</w:t>
      </w:r>
    </w:p>
    <w:p>
      <w:pPr>
        <w:spacing w:after="0" w:line="320"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p>
      <w:pPr>
        <w:ind w:left="536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33858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Jacob Elguicze</w:t>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December 20, 2022</w:t>
      </w:r>
    </w:p>
    <w:p>
      <w:pPr>
        <w:sectPr>
          <w:pgSz w:w="11900" w:h="16838" w:orient="portrait"/>
          <w:cols w:equalWidth="0" w:num="1">
            <w:col w:w="11240"/>
          </w:cols>
          <w:pgMar w:left="320" w:top="93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14871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87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Embecta Corp. Reports Fiscal 2022 Fourth Quarter and Full Year Financial Results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b w:val="1"/>
          <w:bCs w:val="1"/>
          <w:color w:val="auto"/>
        </w:rPr>
        <w:t xml:space="preserve">PARSIPPANY, N.J., </w:t>
      </w:r>
      <w:r>
        <w:rPr>
          <w:rFonts w:ascii="Arial" w:cs="Arial" w:eastAsia="Arial" w:hAnsi="Arial"/>
          <w:sz w:val="17"/>
          <w:szCs w:val="17"/>
          <w:color w:val="auto"/>
        </w:rPr>
        <w:t>Dec. 20, 2022 (GLOBE NEWSWIRE) – Embecta Corp. (“embecta”) (Nasdaq: EMBC), one of the largest pure-play diabetes</w:t>
      </w:r>
      <w:r>
        <w:rPr>
          <w:rFonts w:ascii="Arial" w:cs="Arial" w:eastAsia="Arial" w:hAnsi="Arial"/>
          <w:sz w:val="17"/>
          <w:szCs w:val="17"/>
          <w:b w:val="1"/>
          <w:bCs w:val="1"/>
          <w:color w:val="auto"/>
        </w:rPr>
        <w:t xml:space="preserve"> </w:t>
      </w:r>
      <w:r>
        <w:rPr>
          <w:rFonts w:ascii="Arial" w:cs="Arial" w:eastAsia="Arial" w:hAnsi="Arial"/>
          <w:sz w:val="17"/>
          <w:szCs w:val="17"/>
          <w:color w:val="auto"/>
        </w:rPr>
        <w:t>care companies in the world, today reported financial results for the three and twelve month periods ended September 30, 2022.</w:t>
      </w:r>
    </w:p>
    <w:p>
      <w:pPr>
        <w:spacing w:after="0" w:line="9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“2022 was a milestone year for embecta, our first as a public company,” said Devdatt “Dev” Kurdikar, Chief Executive Officer of embecta. “We are very proud of our colleagues around the world, whose perseverance, collaboration, and focus led to this performance notwithstanding a dynamic and challenging macro environment. Despite incremental headwinds from foreign exchange and inflation, our fourth quarter and second half of fiscal year 2022 results exceeded our guidance and advanced our mission to develop and provide solutions that make life better for people living with diabetes. Looking forward, fiscal year 2023 will be a critical year as we take steps to further strengthen our core business, make additional progress towards separating and standing up embecta as an independent company, and invest in growth opportunities, including the further development of our type 2 closed loop insulin delivery system.”</w:t>
      </w:r>
    </w:p>
    <w:p>
      <w:pPr>
        <w:spacing w:after="0" w:line="136"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embecta was spun-off from Becton, Dickinson and Company (“BD”) on April 1, 2022. Financial results during the pre-spin period were presented on the carve-out basis of accounting and do not purport to reflect what embecta’s financial results would have been had embecta operated as a standalone public company. Therefore, financial results for the three and twelve month periods ended September 30, 2021 and September 30, 2022 are not meaningfully comparable.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Fourth Quarter Fiscal Year 2022 Financial Highlights</w:t>
      </w:r>
      <w:r>
        <w:rPr>
          <w:rFonts w:ascii="Arial" w:cs="Arial" w:eastAsia="Arial" w:hAnsi="Arial"/>
          <w:sz w:val="17"/>
          <w:szCs w:val="17"/>
          <w:b w:val="1"/>
          <w:bCs w:val="1"/>
          <w:color w:val="auto"/>
        </w:rPr>
        <w:t>:</w:t>
      </w:r>
    </w:p>
    <w:p>
      <w:pPr>
        <w:spacing w:after="0" w:line="11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Revenues of $274.6 million, down 8.7% on a reported basis; down 4.2% on a constant currency basis</w:t>
      </w:r>
    </w:p>
    <w:p>
      <w:pPr>
        <w:spacing w:after="0" w:line="101"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U.S. revenues decreased 5.9% on both a reported and constant currency basis</w:t>
      </w:r>
    </w:p>
    <w:p>
      <w:pPr>
        <w:spacing w:after="0" w:line="115"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International revenues decreased 11.9% on a reported basis, and decreased 2.3% on a constant currency basis</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Gross profit and margin of $176.9 million and 64.4%, compared to $209.7 million and 69.7% in the prior year period</w:t>
      </w:r>
    </w:p>
    <w:p>
      <w:pPr>
        <w:spacing w:after="0" w:line="101"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gross profit and margin of $176.9 million and 64.4%, compared to $209.7 million and 69.7% in the prior year period</w:t>
      </w:r>
    </w:p>
    <w:p>
      <w:pPr>
        <w:spacing w:after="0" w:line="115" w:lineRule="exact"/>
        <w:rPr>
          <w:rFonts w:ascii="Arial" w:cs="Arial" w:eastAsia="Arial" w:hAnsi="Arial"/>
          <w:sz w:val="17"/>
          <w:szCs w:val="17"/>
          <w:color w:val="auto"/>
        </w:rPr>
      </w:pPr>
    </w:p>
    <w:p>
      <w:pPr>
        <w:jc w:val="both"/>
        <w:ind w:left="660" w:hanging="328"/>
        <w:spacing w:after="0" w:line="249"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income (loss) of $(17.2) million inclusive of an impairment charge of $58.9 million related to the abandonment of certain manufacturing production lines in the United States that are no longer expected to be completed, and a $5.5 million charge related to purchase commitments associated with the abandonment of the assets noted above. This compares to net income of $97.1 million in the prior year period</w:t>
      </w:r>
    </w:p>
    <w:p>
      <w:pPr>
        <w:spacing w:after="0" w:line="79"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and margin of $87.2 million and 31.8%, compared to $131.6 million and 43.8% in the prior year period</w:t>
      </w:r>
    </w:p>
    <w:p>
      <w:pPr>
        <w:spacing w:after="0" w:line="101"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Announced a dividend of $0.15 per share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Twelve Months Ended September 30 Fiscal Year 2022 Financial Highlights</w:t>
      </w:r>
      <w:r>
        <w:rPr>
          <w:rFonts w:ascii="Arial" w:cs="Arial" w:eastAsia="Arial" w:hAnsi="Arial"/>
          <w:sz w:val="17"/>
          <w:szCs w:val="17"/>
          <w:b w:val="1"/>
          <w:bCs w:val="1"/>
          <w:color w:val="auto"/>
        </w:rPr>
        <w:t>:</w:t>
      </w:r>
    </w:p>
    <w:p>
      <w:pPr>
        <w:spacing w:after="0" w:line="115"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Revenues of $1,129.5 million, down 3.1% on a reported basis; down 0.5% on a constant currency basis</w:t>
      </w:r>
    </w:p>
    <w:p>
      <w:pPr>
        <w:spacing w:after="0" w:line="101" w:lineRule="exact"/>
        <w:rPr>
          <w:rFonts w:ascii="Arial" w:cs="Arial" w:eastAsia="Arial" w:hAnsi="Arial"/>
          <w:sz w:val="17"/>
          <w:szCs w:val="17"/>
          <w:color w:val="auto"/>
        </w:rPr>
      </w:pP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U.S. revenues decreased 1.5% on both a reported and constant currency basis</w:t>
      </w:r>
    </w:p>
    <w:p>
      <w:pPr>
        <w:spacing w:after="0" w:line="115" w:lineRule="exact"/>
        <w:rPr>
          <w:rFonts w:ascii="Arial" w:cs="Arial" w:eastAsia="Arial" w:hAnsi="Arial"/>
          <w:sz w:val="17"/>
          <w:szCs w:val="17"/>
          <w:color w:val="auto"/>
        </w:rPr>
      </w:pP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International revenues decreased 4.8% on a reported basis, and increased 0.6% on a constant currency basis</w:t>
      </w:r>
    </w:p>
    <w:p>
      <w:pPr>
        <w:spacing w:after="0" w:line="101"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Gross profit and margin of $774.9 million and 68.6%, compared to $800.4 million and 68.7% in the prior year period</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gross profit and margin of $775.1 million and 68.6%, compared to $814.2 million and 69.9% in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94" w:right="339" w:bottom="1440" w:gutter="0" w:footer="0" w:header="0"/>
        </w:sectPr>
      </w:pPr>
    </w:p>
    <w:bookmarkStart w:id="4" w:name="page5"/>
    <w:bookmarkEnd w:id="4"/>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Arial" w:cs="Arial" w:eastAsia="Arial" w:hAnsi="Arial"/>
          <w:sz w:val="17"/>
          <w:szCs w:val="17"/>
          <w:color w:val="auto"/>
        </w:rPr>
        <w:t>Net income of $223.6 million inclusive of an impairment charge of $58.9 million related to the abandonment of certain manufacturing production lines in the United States that are no longer expected to be completed, and a $5.5 million charge related to purchase commitments associated with the abandonment of the assets noted above. This compares to net income of $414.8 million in the prior year period inclusive of impairment charges of $13.8 million related to write-offs of certain construction in progress assets</w:t>
      </w:r>
    </w:p>
    <w:p>
      <w:pPr>
        <w:spacing w:after="0" w:line="6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Adjusted EBITDA and margin of $459.9 million and 40.7%, compared to $565.5 million and 48.5% in the prior year period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Strategic Highlights</w:t>
      </w:r>
      <w:r>
        <w:rPr>
          <w:rFonts w:ascii="Arial" w:cs="Arial" w:eastAsia="Arial" w:hAnsi="Arial"/>
          <w:sz w:val="17"/>
          <w:szCs w:val="17"/>
          <w:b w:val="1"/>
          <w:bCs w:val="1"/>
          <w:color w:val="auto"/>
        </w:rPr>
        <w:t>:</w:t>
      </w:r>
    </w:p>
    <w:p>
      <w:pPr>
        <w:spacing w:after="0" w:line="169"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Executing on transition service agreements with BD, while continuing to build up embecta’s internal organization, systems and processes</w:t>
      </w:r>
    </w:p>
    <w:p>
      <w:pPr>
        <w:spacing w:after="0" w:line="169" w:lineRule="exact"/>
        <w:rPr>
          <w:rFonts w:ascii="Arial" w:cs="Arial" w:eastAsia="Arial" w:hAnsi="Arial"/>
          <w:sz w:val="17"/>
          <w:szCs w:val="17"/>
          <w:color w:val="auto"/>
        </w:rPr>
      </w:pPr>
    </w:p>
    <w:p>
      <w:pPr>
        <w:ind w:left="660" w:right="220" w:hanging="328"/>
        <w:spacing w:after="0" w:line="232" w:lineRule="auto"/>
        <w:tabs>
          <w:tab w:leader="none" w:pos="652" w:val="left"/>
        </w:tabs>
        <w:numPr>
          <w:ilvl w:val="0"/>
          <w:numId w:val="6"/>
        </w:numPr>
        <w:rPr>
          <w:rFonts w:ascii="Arial" w:cs="Arial" w:eastAsia="Arial" w:hAnsi="Arial"/>
          <w:sz w:val="17"/>
          <w:szCs w:val="17"/>
          <w:color w:val="auto"/>
        </w:rPr>
      </w:pPr>
      <w:r>
        <w:rPr>
          <w:rFonts w:ascii="Arial" w:cs="Arial" w:eastAsia="Arial" w:hAnsi="Arial"/>
          <w:sz w:val="17"/>
          <w:szCs w:val="17"/>
          <w:color w:val="auto"/>
        </w:rPr>
        <w:t>Signed a co-promotion commercial collaboration agreement with Intuity Medical under which embecta sales representatives will promote Intuity Medical's innovative POGO Automatic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Blood Glucose Monitoring System to select healthcare professionals they call on within the U.S.</w:t>
      </w:r>
      <w:r>
        <w:rPr>
          <w:rFonts w:ascii="Arial" w:cs="Arial" w:eastAsia="Arial" w:hAnsi="Arial"/>
          <w:sz w:val="22"/>
          <w:szCs w:val="22"/>
          <w:color w:val="auto"/>
          <w:vertAlign w:val="superscript"/>
        </w:rPr>
        <w:t>1</w:t>
      </w:r>
    </w:p>
    <w:p>
      <w:pPr>
        <w:spacing w:after="0" w:line="64" w:lineRule="exact"/>
        <w:rPr>
          <w:rFonts w:ascii="Arial" w:cs="Arial" w:eastAsia="Arial" w:hAnsi="Arial"/>
          <w:sz w:val="17"/>
          <w:szCs w:val="17"/>
          <w:color w:val="auto"/>
        </w:rPr>
      </w:pPr>
    </w:p>
    <w:p>
      <w:pPr>
        <w:ind w:left="660" w:hanging="328"/>
        <w:spacing w:after="0" w:line="284" w:lineRule="auto"/>
        <w:tabs>
          <w:tab w:leader="none" w:pos="652" w:val="left"/>
        </w:tabs>
        <w:numPr>
          <w:ilvl w:val="0"/>
          <w:numId w:val="6"/>
        </w:numPr>
        <w:rPr>
          <w:rFonts w:ascii="Arial" w:cs="Arial" w:eastAsia="Arial" w:hAnsi="Arial"/>
          <w:sz w:val="17"/>
          <w:szCs w:val="17"/>
          <w:color w:val="auto"/>
        </w:rPr>
      </w:pPr>
      <w:r>
        <w:rPr>
          <w:rFonts w:ascii="Arial" w:cs="Arial" w:eastAsia="Arial" w:hAnsi="Arial"/>
          <w:sz w:val="17"/>
          <w:szCs w:val="17"/>
          <w:color w:val="auto"/>
        </w:rPr>
        <w:t>Advanced the development of a type 2 closed loop insulin delivery system utilizing embecta’s proprietary patch pump, which carries Breakthrough Device Designation from the U.S. Food &amp; Drug Administration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Fourth Quarter Fiscal Year 2022 Results:</w:t>
      </w:r>
    </w:p>
    <w:p>
      <w:pPr>
        <w:spacing w:after="0" w:line="129" w:lineRule="exact"/>
        <w:rPr>
          <w:sz w:val="20"/>
          <w:szCs w:val="20"/>
          <w:color w:val="auto"/>
        </w:rPr>
      </w:pPr>
    </w:p>
    <w:p>
      <w:pPr>
        <w:ind w:left="80"/>
        <w:spacing w:after="0"/>
        <w:rPr>
          <w:sz w:val="20"/>
          <w:szCs w:val="20"/>
          <w:color w:val="auto"/>
        </w:rPr>
      </w:pPr>
      <w:r>
        <w:rPr>
          <w:rFonts w:ascii="Arial" w:cs="Arial" w:eastAsia="Arial" w:hAnsi="Arial"/>
          <w:sz w:val="17"/>
          <w:szCs w:val="17"/>
          <w:color w:val="auto"/>
        </w:rPr>
        <w:t>Revenues by geographic region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7"/>
          </w:tcPr>
          <w:p>
            <w:pPr>
              <w:ind w:left="380"/>
              <w:spacing w:after="0"/>
              <w:rPr>
                <w:sz w:val="20"/>
                <w:szCs w:val="20"/>
                <w:color w:val="auto"/>
              </w:rPr>
            </w:pPr>
            <w:r>
              <w:rPr>
                <w:rFonts w:ascii="Arial" w:cs="Arial" w:eastAsia="Arial" w:hAnsi="Arial"/>
                <w:sz w:val="16"/>
                <w:szCs w:val="16"/>
                <w:b w:val="1"/>
                <w:bCs w:val="1"/>
                <w:color w:val="auto"/>
              </w:rPr>
              <w:t>Three months ended September 30,</w:t>
            </w: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Increase/(decrease)</w:t>
            </w:r>
          </w:p>
        </w:tc>
        <w:tc>
          <w:tcPr>
            <w:tcW w:w="1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ind w:left="460"/>
              <w:spacing w:after="0"/>
              <w:rPr>
                <w:sz w:val="20"/>
                <w:szCs w:val="20"/>
                <w:color w:val="auto"/>
              </w:rPr>
            </w:pPr>
            <w:r>
              <w:rPr>
                <w:rFonts w:ascii="Arial" w:cs="Arial" w:eastAsia="Arial" w:hAnsi="Arial"/>
                <w:sz w:val="16"/>
                <w:szCs w:val="16"/>
                <w:b w:val="1"/>
                <w:bCs w:val="1"/>
                <w:color w:val="auto"/>
              </w:rPr>
              <w:t>As Reported</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c>
          <w:tcPr>
            <w:tcW w:w="0" w:type="dxa"/>
            <w:vAlign w:val="bottom"/>
          </w:tcPr>
          <w:p>
            <w:pPr>
              <w:spacing w:after="0"/>
              <w:rPr>
                <w:sz w:val="1"/>
                <w:szCs w:val="1"/>
                <w:color w:val="auto"/>
              </w:rPr>
            </w:pPr>
          </w:p>
        </w:tc>
      </w:tr>
      <w:tr>
        <w:trPr>
          <w:trHeight w:val="242"/>
        </w:trPr>
        <w:tc>
          <w:tcPr>
            <w:tcW w:w="18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90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92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18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5"/>
        </w:trPr>
        <w:tc>
          <w:tcPr>
            <w:tcW w:w="182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124.7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141.5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1900" w:type="dxa"/>
            <w:vAlign w:val="bottom"/>
          </w:tcPr>
          <w:p>
            <w:pPr>
              <w:jc w:val="right"/>
              <w:ind w:right="7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1920" w:type="dxa"/>
            <w:vAlign w:val="bottom"/>
          </w:tcPr>
          <w:p>
            <w:pPr>
              <w:ind w:left="14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8"/>
        </w:trPr>
        <w:tc>
          <w:tcPr>
            <w:tcW w:w="1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80"/>
        <w:spacing w:after="0"/>
        <w:rPr>
          <w:sz w:val="20"/>
          <w:szCs w:val="20"/>
          <w:color w:val="auto"/>
        </w:rPr>
      </w:pPr>
      <w:r>
        <w:rPr>
          <w:rFonts w:ascii="Arial" w:cs="Arial" w:eastAsia="Arial" w:hAnsi="Arial"/>
          <w:sz w:val="17"/>
          <w:szCs w:val="17"/>
          <w:color w:val="auto"/>
        </w:rPr>
        <w:t>Our revenues decreased by $26.2 million, or 8.7%, to $274.6 million in the fourth quarter of 2022 as compared to revenues of $300.8 million in the fourth quarter of 2021. Changes in our revenues are driven by the volume of goods that we sell, the prices we negotiate with customers and changes in foreign exchange rates. The decrease in revenues was primarily attributable to $13.5 million of unfavorable foreign currency impact due to the strengthening of the U.S. dollar, unfavorable impacts due to volume resulting from decisions to exit certain legacy customer relationships, and unfavorable changes to estimated sales deductions in the U.S. This was partially offset by contract manufacturing revenue recognized that commenced after April 1, 2022, the date of separation from BD (the "Separation Date"), and favorable volume and price, to some extent, for customers in Canada, Japan and Central and Southeast Asia.</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Twelve Months Fiscal Year 2022 Results: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Revenues by geographic region are as follows:</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19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gridSpan w:val="7"/>
          </w:tcPr>
          <w:p>
            <w:pPr>
              <w:ind w:left="320"/>
              <w:spacing w:after="0"/>
              <w:rPr>
                <w:sz w:val="20"/>
                <w:szCs w:val="20"/>
                <w:color w:val="auto"/>
              </w:rPr>
            </w:pPr>
            <w:r>
              <w:rPr>
                <w:rFonts w:ascii="Arial" w:cs="Arial" w:eastAsia="Arial" w:hAnsi="Arial"/>
                <w:sz w:val="16"/>
                <w:szCs w:val="16"/>
                <w:b w:val="1"/>
                <w:bCs w:val="1"/>
                <w:color w:val="auto"/>
              </w:rPr>
              <w:t>Twelve months ended September 30,</w:t>
            </w: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0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Increase/(decrease)</w:t>
            </w: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As Reported</w:t>
            </w:r>
          </w:p>
        </w:tc>
        <w:tc>
          <w:tcPr>
            <w:tcW w:w="1880" w:type="dxa"/>
            <w:vAlign w:val="bottom"/>
          </w:tcPr>
          <w:p>
            <w:pPr>
              <w:jc w:val="right"/>
              <w:ind w:right="119"/>
              <w:spacing w:after="0"/>
              <w:rPr>
                <w:sz w:val="20"/>
                <w:szCs w:val="20"/>
                <w:color w:val="auto"/>
              </w:rPr>
            </w:pPr>
            <w:r>
              <w:rPr>
                <w:rFonts w:ascii="Arial" w:cs="Arial" w:eastAsia="Arial" w:hAnsi="Arial"/>
                <w:sz w:val="16"/>
                <w:szCs w:val="16"/>
                <w:b w:val="1"/>
                <w:bCs w:val="1"/>
                <w:color w:val="auto"/>
              </w:rPr>
              <w:t>Constant Currency</w:t>
            </w: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ind w:right="6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880" w:type="dxa"/>
            <w:vAlign w:val="bottom"/>
          </w:tcPr>
          <w:p>
            <w:pPr>
              <w:jc w:val="right"/>
              <w:ind w:right="7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880" w:type="dxa"/>
            <w:vAlign w:val="bottom"/>
          </w:tcPr>
          <w:p>
            <w:pPr>
              <w:jc w:val="right"/>
              <w:ind w:right="7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19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600.3</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190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529.2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1880" w:type="dxa"/>
            <w:vAlign w:val="bottom"/>
          </w:tcPr>
          <w:p>
            <w:pPr>
              <w:ind w:left="138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8"/>
        </w:trPr>
        <w:tc>
          <w:tcPr>
            <w:tcW w:w="1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1,129.5</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1,165.3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1714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80" w:firstLine="8"/>
        <w:spacing w:after="0" w:line="184" w:lineRule="auto"/>
        <w:tabs>
          <w:tab w:leader="none" w:pos="93" w:val="left"/>
        </w:tabs>
        <w:numPr>
          <w:ilvl w:val="0"/>
          <w:numId w:val="7"/>
        </w:numPr>
        <w:rPr>
          <w:rFonts w:ascii="Times New Roman" w:cs="Times New Roman" w:eastAsia="Times New Roman" w:hAnsi="Times New Roman"/>
          <w:sz w:val="21"/>
          <w:szCs w:val="21"/>
          <w:color w:val="auto"/>
          <w:vertAlign w:val="superscript"/>
        </w:rPr>
      </w:pPr>
      <w:r>
        <w:rPr>
          <w:rFonts w:ascii="Arial" w:cs="Arial" w:eastAsia="Arial" w:hAnsi="Arial"/>
          <w:sz w:val="13"/>
          <w:szCs w:val="13"/>
          <w:color w:val="auto"/>
        </w:rPr>
        <w:t>Intuity Medical’s POGO Automatic® Blood Glucose Monitoring System is the only FDA-cleared automatic blood glucose monitoring system that lances and collects blood in just one step with 10-test cartridge technology, ending the need to individually load lancets and test strips (as required by conventional blood glucose meters).</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143" w:right="339" w:bottom="1440" w:gutter="0" w:footer="0" w:header="0"/>
          <w:type w:val="continuous"/>
        </w:sectPr>
      </w:pPr>
    </w:p>
    <w:bookmarkStart w:id="5" w:name="page6"/>
    <w:bookmarkEnd w:id="5"/>
    <w:p>
      <w:pPr>
        <w:jc w:val="both"/>
        <w:spacing w:after="0" w:line="249" w:lineRule="auto"/>
        <w:rPr>
          <w:sz w:val="20"/>
          <w:szCs w:val="20"/>
          <w:color w:val="auto"/>
        </w:rPr>
      </w:pPr>
      <w:r>
        <w:rPr>
          <w:rFonts w:ascii="Arial" w:cs="Arial" w:eastAsia="Arial" w:hAnsi="Arial"/>
          <w:sz w:val="17"/>
          <w:szCs w:val="17"/>
          <w:color w:val="auto"/>
        </w:rPr>
        <w:t>Our revenues decreased by $35.8 million, or 3.1%, to $1,129.5 million for the twelve months ended September 30, 2022 as compared to revenues of $1,165.3 million for the twelve months ended September 30, 2021. The decrease in revenues was primarily driven by unfavorable foreign currency impact of $30.1 million due to the strengthening of the U.S. dollar, unfavorable impacts due to volume resulting from decisions to exit certain legacy customer relationships, and unfavorable changes to estimated sales deductions in the U.S. This was partially offset by contract manufacturing revenue recognized during 2022 that commenced subsequent to the Separation Date.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Preliminary Fiscal Year 2023 Financial Guidance: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 2023, the Company expects:</w:t>
      </w:r>
    </w:p>
    <w:p>
      <w:pPr>
        <w:spacing w:after="0" w:line="164"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7100" w:type="dxa"/>
            <w:vAlign w:val="bottom"/>
            <w:gridSpan w:val="2"/>
          </w:tcPr>
          <w:p>
            <w:pPr>
              <w:ind w:left="20"/>
              <w:spacing w:after="0"/>
              <w:rPr>
                <w:sz w:val="20"/>
                <w:szCs w:val="20"/>
                <w:color w:val="auto"/>
              </w:rPr>
            </w:pPr>
            <w:r>
              <w:rPr>
                <w:rFonts w:ascii="Arial" w:cs="Arial" w:eastAsia="Arial" w:hAnsi="Arial"/>
                <w:sz w:val="16"/>
                <w:szCs w:val="16"/>
                <w:b w:val="1"/>
                <w:bCs w:val="1"/>
                <w:color w:val="auto"/>
              </w:rPr>
              <w:t>Dollars in millions, except percentages and per share data</w:t>
            </w:r>
          </w:p>
        </w:tc>
        <w:tc>
          <w:tcPr>
            <w:tcW w:w="3060" w:type="dxa"/>
            <w:vAlign w:val="bottom"/>
          </w:tcPr>
          <w:p>
            <w:pPr>
              <w:spacing w:after="0"/>
              <w:rPr>
                <w:sz w:val="18"/>
                <w:szCs w:val="18"/>
                <w:color w:val="auto"/>
              </w:rPr>
            </w:pPr>
          </w:p>
        </w:tc>
      </w:tr>
      <w:tr>
        <w:trPr>
          <w:trHeight w:val="209"/>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CCEEFF"/>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$1,050 - $1,073</w:t>
            </w:r>
          </w:p>
        </w:tc>
      </w:tr>
      <w:tr>
        <w:trPr>
          <w:trHeight w:val="215"/>
        </w:trPr>
        <w:tc>
          <w:tcPr>
            <w:tcW w:w="7100" w:type="dxa"/>
            <w:vAlign w:val="bottom"/>
            <w:gridSpan w:val="2"/>
          </w:tcPr>
          <w:p>
            <w:pPr>
              <w:ind w:left="140"/>
              <w:spacing w:after="0"/>
              <w:rPr>
                <w:sz w:val="20"/>
                <w:szCs w:val="20"/>
                <w:color w:val="auto"/>
              </w:rPr>
            </w:pPr>
            <w:r>
              <w:rPr>
                <w:rFonts w:ascii="Arial" w:cs="Arial" w:eastAsia="Arial" w:hAnsi="Arial"/>
                <w:sz w:val="16"/>
                <w:szCs w:val="16"/>
                <w:i w:val="1"/>
                <w:iCs w:val="1"/>
                <w:color w:val="auto"/>
              </w:rPr>
              <w:t>As Reported (%)</w:t>
            </w:r>
          </w:p>
        </w:tc>
        <w:tc>
          <w:tcPr>
            <w:tcW w:w="3060" w:type="dxa"/>
            <w:vAlign w:val="bottom"/>
          </w:tcPr>
          <w:p>
            <w:pPr>
              <w:jc w:val="right"/>
              <w:spacing w:after="0"/>
              <w:rPr>
                <w:sz w:val="20"/>
                <w:szCs w:val="20"/>
                <w:color w:val="auto"/>
              </w:rPr>
            </w:pPr>
            <w:r>
              <w:rPr>
                <w:rFonts w:ascii="Arial" w:cs="Arial" w:eastAsia="Arial" w:hAnsi="Arial"/>
                <w:sz w:val="16"/>
                <w:szCs w:val="16"/>
                <w:i w:val="1"/>
                <w:iCs w:val="1"/>
                <w:color w:val="auto"/>
              </w:rPr>
              <w:t>(7.0%) - (5.0%)</w:t>
            </w:r>
          </w:p>
        </w:tc>
      </w:tr>
      <w:tr>
        <w:trPr>
          <w:trHeight w:val="217"/>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Constant Currency (%)</w:t>
            </w:r>
          </w:p>
        </w:tc>
        <w:tc>
          <w:tcPr>
            <w:tcW w:w="30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 - 0.0%</w:t>
            </w:r>
          </w:p>
        </w:tc>
      </w:tr>
      <w:tr>
        <w:trPr>
          <w:trHeight w:val="215"/>
        </w:trPr>
        <w:tc>
          <w:tcPr>
            <w:tcW w:w="7100" w:type="dxa"/>
            <w:vAlign w:val="bottom"/>
            <w:gridSpan w:val="2"/>
          </w:tcPr>
          <w:p>
            <w:pPr>
              <w:ind w:left="140"/>
              <w:spacing w:after="0"/>
              <w:rPr>
                <w:sz w:val="20"/>
                <w:szCs w:val="20"/>
                <w:color w:val="auto"/>
              </w:rPr>
            </w:pPr>
            <w:r>
              <w:rPr>
                <w:rFonts w:ascii="Arial" w:cs="Arial" w:eastAsia="Arial" w:hAnsi="Arial"/>
                <w:sz w:val="16"/>
                <w:szCs w:val="16"/>
                <w:i w:val="1"/>
                <w:iCs w:val="1"/>
                <w:color w:val="auto"/>
              </w:rPr>
              <w:t>F/X (%)</w:t>
            </w:r>
          </w:p>
        </w:tc>
        <w:tc>
          <w:tcPr>
            <w:tcW w:w="3060" w:type="dxa"/>
            <w:vAlign w:val="bottom"/>
          </w:tcPr>
          <w:p>
            <w:pPr>
              <w:jc w:val="right"/>
              <w:spacing w:after="0"/>
              <w:rPr>
                <w:sz w:val="20"/>
                <w:szCs w:val="20"/>
                <w:color w:val="auto"/>
              </w:rPr>
            </w:pPr>
            <w:r>
              <w:rPr>
                <w:rFonts w:ascii="Arial" w:cs="Arial" w:eastAsia="Arial" w:hAnsi="Arial"/>
                <w:sz w:val="16"/>
                <w:szCs w:val="16"/>
                <w:i w:val="1"/>
                <w:iCs w:val="1"/>
                <w:color w:val="auto"/>
              </w:rPr>
              <w:t>(5.0%) - (5.0%)</w:t>
            </w:r>
          </w:p>
        </w:tc>
      </w:tr>
      <w:tr>
        <w:trPr>
          <w:trHeight w:val="217"/>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Contract Manufacturing</w:t>
            </w:r>
          </w:p>
        </w:tc>
        <w:tc>
          <w:tcPr>
            <w:tcW w:w="30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$5 - $10</w:t>
            </w:r>
          </w:p>
        </w:tc>
      </w:tr>
      <w:tr>
        <w:trPr>
          <w:trHeight w:val="215"/>
        </w:trPr>
        <w:tc>
          <w:tcPr>
            <w:tcW w:w="7100" w:type="dxa"/>
            <w:vAlign w:val="bottom"/>
            <w:gridSpan w:val="2"/>
          </w:tcPr>
          <w:p>
            <w:pPr>
              <w:ind w:left="20"/>
              <w:spacing w:after="0"/>
              <w:rPr>
                <w:sz w:val="20"/>
                <w:szCs w:val="20"/>
                <w:color w:val="auto"/>
              </w:rPr>
            </w:pPr>
            <w:r>
              <w:rPr>
                <w:rFonts w:ascii="Arial" w:cs="Arial" w:eastAsia="Arial" w:hAnsi="Arial"/>
                <w:sz w:val="16"/>
                <w:szCs w:val="16"/>
                <w:color w:val="auto"/>
              </w:rPr>
              <w:t>Adjusted Gross Margin (%)</w:t>
            </w:r>
          </w:p>
        </w:tc>
        <w:tc>
          <w:tcPr>
            <w:tcW w:w="306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217"/>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Operating Margin (%)</w:t>
            </w:r>
          </w:p>
        </w:tc>
        <w:tc>
          <w:tcPr>
            <w:tcW w:w="3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5"/>
        </w:trPr>
        <w:tc>
          <w:tcPr>
            <w:tcW w:w="7100" w:type="dxa"/>
            <w:vAlign w:val="bottom"/>
            <w:gridSpan w:val="2"/>
          </w:tcPr>
          <w:p>
            <w:pPr>
              <w:ind w:left="20"/>
              <w:spacing w:after="0"/>
              <w:rPr>
                <w:sz w:val="20"/>
                <w:szCs w:val="20"/>
                <w:color w:val="auto"/>
              </w:rPr>
            </w:pPr>
            <w:r>
              <w:rPr>
                <w:rFonts w:ascii="Arial" w:cs="Arial" w:eastAsia="Arial" w:hAnsi="Arial"/>
                <w:sz w:val="16"/>
                <w:szCs w:val="16"/>
                <w:color w:val="auto"/>
              </w:rPr>
              <w:t>Adjusted Diluted Earnings per Share</w:t>
            </w:r>
          </w:p>
        </w:tc>
        <w:tc>
          <w:tcPr>
            <w:tcW w:w="3060" w:type="dxa"/>
            <w:vAlign w:val="bottom"/>
          </w:tcPr>
          <w:p>
            <w:pPr>
              <w:jc w:val="right"/>
              <w:spacing w:after="0"/>
              <w:rPr>
                <w:sz w:val="20"/>
                <w:szCs w:val="20"/>
                <w:color w:val="auto"/>
              </w:rPr>
            </w:pPr>
            <w:r>
              <w:rPr>
                <w:rFonts w:ascii="Arial" w:cs="Arial" w:eastAsia="Arial" w:hAnsi="Arial"/>
                <w:sz w:val="16"/>
                <w:szCs w:val="16"/>
                <w:color w:val="auto"/>
              </w:rPr>
              <w:t>$1.75 - $2.00</w:t>
            </w:r>
          </w:p>
        </w:tc>
      </w:tr>
      <w:tr>
        <w:trPr>
          <w:trHeight w:val="217"/>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EBITDA Margin (%)</w:t>
            </w:r>
          </w:p>
        </w:tc>
        <w:tc>
          <w:tcPr>
            <w:tcW w:w="3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bl>
    <w:p>
      <w:pPr>
        <w:spacing w:after="0" w:line="31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unable to present a quantitative reconciliation of our expected adjusted gross margin, expected adjusted operating margin, expected adjusted diluted earnings per share, expected adjusted EBITDA and our expected adjusted EBITDA margin as we are unable to predict with reasonable certainty and without unreasonable effort the impact and timing of any one-time items. The financial impact of these one-time items is uncertain and is dependent on various factors, including timing, and could be material to our Condensed Consolidated Statements of Income.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Balance sheet, Liquidity and Other Updates</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September 30, 2022, the Company had approximately $330.9 million in cash and cash equivalents and $1.645 billion of debt principal outstanding, and no amount drawn on the $500 million Revolving Credit Facility.</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During the quarter and year ended September 30, 2022, the Company recorded an impairment charge of $58.9 million related to the abandonment of certain manufacturing production lines in the United States that are no longer expected to be completed. These assets were previously included as a component of Construction in progress within Property, Plant and Equipment in the Consolidated Balance Sheets and the charge was recorded in Impairment expense in the Consolidated Statements of Income. The Company also incurred costs of $5.5 million related to outstanding purchase commitments associated with the abandonment of the assets noted above. These costs were recorded in Other operating expenses in the Consolidated Statements of Income.</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Company’s Board of Directors declared a quarterly cash dividend of $0.15 for each issued and outstanding share of the Company’s common stock. The dividend is payable on January 11, 2023 to stockholders of record at the close of business on December 30, 2022.</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Fiscal 2022 Fourth Quarter and Full Year Earnings Conference Call:</w:t>
      </w:r>
    </w:p>
    <w:p>
      <w:pPr>
        <w:spacing w:after="0" w:line="14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Management will host a conference call at 8:00 a.m. Eastern Time (ET) on December 20, 2022 to discuss the results of the quarter and full year, provide an update on its business, including preliminary fiscal year 2023 financial guidance, and host a question and answer session. Those who would like to participate may access the live webcast </w:t>
      </w:r>
      <w:r>
        <w:rPr>
          <w:rFonts w:ascii="Arial" w:cs="Arial" w:eastAsia="Arial" w:hAnsi="Arial"/>
          <w:sz w:val="17"/>
          <w:szCs w:val="17"/>
          <w:color w:val="0000FF"/>
        </w:rPr>
        <w:t>here</w:t>
      </w:r>
      <w:r>
        <w:rPr>
          <w:rFonts w:ascii="Arial" w:cs="Arial" w:eastAsia="Arial" w:hAnsi="Arial"/>
          <w:sz w:val="17"/>
          <w:szCs w:val="17"/>
          <w:color w:val="auto"/>
        </w:rPr>
        <w:t xml:space="preserve">, or access the teleconference </w:t>
      </w:r>
      <w:r>
        <w:rPr>
          <w:rFonts w:ascii="Arial" w:cs="Arial" w:eastAsia="Arial" w:hAnsi="Arial"/>
          <w:sz w:val="17"/>
          <w:szCs w:val="17"/>
          <w:color w:val="0000FF"/>
        </w:rPr>
        <w:t>here</w:t>
      </w:r>
      <w:r>
        <w:rPr>
          <w:rFonts w:ascii="Arial" w:cs="Arial" w:eastAsia="Arial" w:hAnsi="Arial"/>
          <w:sz w:val="17"/>
          <w:szCs w:val="17"/>
          <w:color w:val="auto"/>
        </w:rPr>
        <w:t xml:space="preserve">. The live webcast can also be accessed via the company’s website at </w:t>
      </w:r>
      <w:r>
        <w:rPr>
          <w:rFonts w:ascii="Arial" w:cs="Arial" w:eastAsia="Arial" w:hAnsi="Arial"/>
          <w:sz w:val="17"/>
          <w:szCs w:val="17"/>
          <w:color w:val="0000FF"/>
        </w:rPr>
        <w:t>investors.embecta.com</w:t>
      </w:r>
      <w:r>
        <w:rPr>
          <w:rFonts w:ascii="Arial" w:cs="Arial" w:eastAsia="Arial" w:hAnsi="Arial"/>
          <w:sz w:val="17"/>
          <w:szCs w:val="17"/>
          <w:color w:val="auto"/>
        </w:rPr>
        <w:t>.</w:t>
      </w:r>
    </w:p>
    <w:p>
      <w:pPr>
        <w:spacing w:after="0" w:line="12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 webcast replay of the call will be available beginning at 11:00 a.m. ET on December 20, 2022, via the embecta investor relations website and archived on the website for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022" w:right="339" w:bottom="1440" w:gutter="0" w:footer="0" w:header="0"/>
        </w:sectPr>
      </w:pPr>
    </w:p>
    <w:bookmarkStart w:id="6" w:name="page7"/>
    <w:bookmarkEnd w:id="6"/>
    <w:p>
      <w:pPr>
        <w:ind w:left="3687"/>
        <w:spacing w:after="0"/>
        <w:rPr>
          <w:sz w:val="20"/>
          <w:szCs w:val="20"/>
          <w:color w:val="auto"/>
        </w:rPr>
      </w:pPr>
      <w:r>
        <w:rPr>
          <w:rFonts w:ascii="Arial" w:cs="Arial" w:eastAsia="Arial" w:hAnsi="Arial"/>
          <w:sz w:val="18"/>
          <w:szCs w:val="18"/>
          <w:b w:val="1"/>
          <w:bCs w:val="1"/>
          <w:color w:val="auto"/>
        </w:rPr>
        <w:t>Consolidated Statements of Income</w:t>
      </w:r>
    </w:p>
    <w:p>
      <w:pPr>
        <w:ind w:left="4567"/>
        <w:spacing w:after="0" w:line="234" w:lineRule="auto"/>
        <w:rPr>
          <w:sz w:val="20"/>
          <w:szCs w:val="20"/>
          <w:color w:val="auto"/>
        </w:rPr>
      </w:pPr>
      <w:r>
        <w:rPr>
          <w:rFonts w:ascii="Arial" w:cs="Arial" w:eastAsia="Arial" w:hAnsi="Arial"/>
          <w:sz w:val="18"/>
          <w:szCs w:val="18"/>
          <w:b w:val="1"/>
          <w:bCs w:val="1"/>
          <w:color w:val="auto"/>
        </w:rPr>
        <w:t>Embecta Corp.</w:t>
      </w:r>
    </w:p>
    <w:p>
      <w:pPr>
        <w:spacing w:after="0" w:line="1" w:lineRule="exact"/>
        <w:rPr>
          <w:sz w:val="20"/>
          <w:szCs w:val="20"/>
          <w:color w:val="auto"/>
        </w:rPr>
      </w:pPr>
    </w:p>
    <w:p>
      <w:pPr>
        <w:ind w:left="3247"/>
        <w:spacing w:after="0"/>
        <w:rPr>
          <w:sz w:val="20"/>
          <w:szCs w:val="20"/>
          <w:color w:val="auto"/>
        </w:rPr>
      </w:pPr>
      <w:r>
        <w:rPr>
          <w:rFonts w:ascii="Arial" w:cs="Arial" w:eastAsia="Arial" w:hAnsi="Arial"/>
          <w:sz w:val="18"/>
          <w:szCs w:val="18"/>
          <w:b w:val="1"/>
          <w:bCs w:val="1"/>
          <w:i w:val="1"/>
          <w:iCs w:val="1"/>
          <w:color w:val="auto"/>
        </w:rPr>
        <w:t>(unaudited, in millions, except per share data)</w:t>
      </w:r>
    </w:p>
    <w:p>
      <w:pPr>
        <w:spacing w:after="0" w:line="1" w:lineRule="exact"/>
        <w:rPr>
          <w:sz w:val="20"/>
          <w:szCs w:val="20"/>
          <w:color w:val="auto"/>
        </w:rPr>
      </w:pPr>
    </w:p>
    <w:tbl>
      <w:tblPr>
        <w:tblLayout w:type="fixed"/>
        <w:tblInd w:w="67"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50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Twelve Months Ended</w:t>
            </w:r>
          </w:p>
        </w:tc>
      </w:tr>
      <w:tr>
        <w:trPr>
          <w:trHeight w:val="216"/>
        </w:trPr>
        <w:tc>
          <w:tcPr>
            <w:tcW w:w="41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0"/>
        </w:trPr>
        <w:tc>
          <w:tcPr>
            <w:tcW w:w="4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4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1,129.5</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1,165.3</w:t>
            </w:r>
          </w:p>
        </w:tc>
      </w:tr>
      <w:tr>
        <w:trPr>
          <w:trHeight w:val="24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r>
              <w:rPr>
                <w:rFonts w:ascii="Arial" w:cs="Arial" w:eastAsia="Arial" w:hAnsi="Arial"/>
                <w:sz w:val="21"/>
                <w:szCs w:val="21"/>
                <w:color w:val="auto"/>
                <w:vertAlign w:val="superscript"/>
              </w:rPr>
              <w:t>(1)</w:t>
            </w: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354.6</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364.9</w:t>
            </w:r>
          </w:p>
        </w:tc>
      </w:tr>
      <w:tr>
        <w:trPr>
          <w:trHeight w:val="217"/>
        </w:trPr>
        <w:tc>
          <w:tcPr>
            <w:tcW w:w="4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176.9</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774.9</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800.4</w:t>
            </w: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
        </w:trPr>
        <w:tc>
          <w:tcPr>
            <w:tcW w:w="4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and administrative expense</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294.8</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240.3</w:t>
            </w: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63.3</w:t>
            </w:r>
          </w:p>
        </w:tc>
      </w:tr>
      <w:tr>
        <w:trPr>
          <w:trHeight w:val="28"/>
        </w:trPr>
        <w:tc>
          <w:tcPr>
            <w:tcW w:w="4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Other operating expenses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8"/>
        </w:trPr>
        <w:tc>
          <w:tcPr>
            <w:tcW w:w="4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179.9</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465.3</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308.4</w:t>
            </w:r>
          </w:p>
        </w:tc>
      </w:tr>
      <w:tr>
        <w:trPr>
          <w:trHeight w:val="208"/>
        </w:trPr>
        <w:tc>
          <w:tcPr>
            <w:tcW w:w="4140" w:type="dxa"/>
            <w:vAlign w:val="bottom"/>
          </w:tcPr>
          <w:p>
            <w:pPr>
              <w:ind w:left="700"/>
              <w:spacing w:after="0"/>
              <w:rPr>
                <w:sz w:val="20"/>
                <w:szCs w:val="20"/>
                <w:color w:val="auto"/>
              </w:rPr>
            </w:pPr>
            <w:r>
              <w:rPr>
                <w:rFonts w:ascii="Arial" w:cs="Arial" w:eastAsia="Arial" w:hAnsi="Arial"/>
                <w:sz w:val="16"/>
                <w:szCs w:val="16"/>
                <w:color w:val="auto"/>
              </w:rPr>
              <w:t>Operating Income (Loss)</w:t>
            </w:r>
          </w:p>
        </w:tc>
        <w:tc>
          <w:tcPr>
            <w:tcW w:w="92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309.6</w:t>
            </w:r>
          </w:p>
        </w:tc>
        <w:tc>
          <w:tcPr>
            <w:tcW w:w="12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492.0</w:t>
            </w:r>
          </w:p>
        </w:tc>
      </w:tr>
      <w:tr>
        <w:trPr>
          <w:trHeight w:val="28"/>
        </w:trPr>
        <w:tc>
          <w:tcPr>
            <w:tcW w:w="4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8"/>
        </w:trPr>
        <w:tc>
          <w:tcPr>
            <w:tcW w:w="4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256.6</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494.9</w:t>
            </w: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Income tax provision (benefit)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80.1</w:t>
            </w:r>
          </w:p>
        </w:tc>
      </w:tr>
      <w:tr>
        <w:trPr>
          <w:trHeight w:val="28"/>
        </w:trPr>
        <w:tc>
          <w:tcPr>
            <w:tcW w:w="4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1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Net Income (Loss)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414.8</w:t>
            </w:r>
          </w:p>
        </w:tc>
      </w:tr>
      <w:tr>
        <w:trPr>
          <w:trHeight w:val="196"/>
        </w:trPr>
        <w:tc>
          <w:tcPr>
            <w:tcW w:w="41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2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per common share:</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15"/>
        </w:trPr>
        <w:tc>
          <w:tcPr>
            <w:tcW w:w="4140" w:type="dxa"/>
            <w:vAlign w:val="bottom"/>
          </w:tcPr>
          <w:p>
            <w:pPr>
              <w:ind w:left="1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8"/>
                <w:szCs w:val="18"/>
                <w:color w:val="auto"/>
              </w:rPr>
            </w:pP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7.28</w:t>
            </w:r>
          </w:p>
        </w:tc>
      </w:tr>
      <w:tr>
        <w:trPr>
          <w:trHeight w:val="28"/>
        </w:trPr>
        <w:tc>
          <w:tcPr>
            <w:tcW w:w="4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5"/>
        </w:trPr>
        <w:tc>
          <w:tcPr>
            <w:tcW w:w="4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w:t>
            </w:r>
          </w:p>
        </w:tc>
      </w:tr>
      <w:tr>
        <w:trPr>
          <w:trHeight w:val="28"/>
        </w:trPr>
        <w:tc>
          <w:tcPr>
            <w:tcW w:w="4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58" w:lineRule="exact"/>
        <w:rPr>
          <w:sz w:val="20"/>
          <w:szCs w:val="20"/>
          <w:color w:val="auto"/>
        </w:rPr>
      </w:pPr>
    </w:p>
    <w:p>
      <w:pPr>
        <w:jc w:val="both"/>
        <w:ind w:left="7" w:hanging="7"/>
        <w:spacing w:after="0" w:line="263" w:lineRule="auto"/>
        <w:tabs>
          <w:tab w:leader="none" w:pos="237"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periods prior to the separation from BD, this income statement line includes cost of products sold from related party inventory purchases. For the three month period ended September 30, 2021, cost of products sold from related party inventory purchases were $10.2 million. For the twelve month periods ended September 30, 2022 and 2021, cost of products sold from related party inventory purchases were $28.0 million and $40.6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3"/>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827"/>
          </w:cols>
          <w:pgMar w:left="733" w:top="1255" w:right="339" w:bottom="1440" w:gutter="0" w:footer="0" w:header="0"/>
        </w:sectPr>
      </w:pPr>
    </w:p>
    <w:bookmarkStart w:id="7" w:name="page8"/>
    <w:bookmarkEnd w:id="7"/>
    <w:p>
      <w:pPr>
        <w:ind w:left="4360"/>
        <w:spacing w:after="0"/>
        <w:rPr>
          <w:sz w:val="20"/>
          <w:szCs w:val="20"/>
          <w:color w:val="auto"/>
        </w:rPr>
      </w:pPr>
      <w:r>
        <w:rPr>
          <w:rFonts w:ascii="Arial" w:cs="Arial" w:eastAsia="Arial" w:hAnsi="Arial"/>
          <w:sz w:val="18"/>
          <w:szCs w:val="18"/>
          <w:b w:val="1"/>
          <w:bCs w:val="1"/>
          <w:color w:val="auto"/>
        </w:rPr>
        <w:t>Consolidated Balance Sheets</w:t>
      </w:r>
    </w:p>
    <w:p>
      <w:pPr>
        <w:ind w:left="4980"/>
        <w:spacing w:after="0" w:line="203"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i w:val="1"/>
          <w:iCs w:val="1"/>
          <w:color w:val="auto"/>
        </w:rPr>
        <w:t>(unaudited, in millions, except share and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2022</w:t>
            </w:r>
          </w:p>
        </w:tc>
        <w:tc>
          <w:tcPr>
            <w:tcW w:w="140" w:type="dxa"/>
            <w:vAlign w:val="bottom"/>
          </w:tcPr>
          <w:p>
            <w:pPr>
              <w:spacing w:after="0"/>
              <w:rPr>
                <w:sz w:val="18"/>
                <w:szCs w:val="18"/>
                <w:color w:val="auto"/>
              </w:rPr>
            </w:pPr>
          </w:p>
        </w:tc>
        <w:tc>
          <w:tcPr>
            <w:tcW w:w="174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 2021</w:t>
            </w:r>
          </w:p>
        </w:tc>
        <w:tc>
          <w:tcPr>
            <w:tcW w:w="0" w:type="dxa"/>
            <w:vAlign w:val="bottom"/>
          </w:tcPr>
          <w:p>
            <w:pPr>
              <w:spacing w:after="0"/>
              <w:rPr>
                <w:sz w:val="1"/>
                <w:szCs w:val="1"/>
                <w:color w:val="auto"/>
              </w:rPr>
            </w:pPr>
          </w:p>
        </w:tc>
      </w:tr>
      <w:tr>
        <w:trPr>
          <w:trHeight w:val="203"/>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7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7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3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Trade receivables, net</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Inventories:</w:t>
            </w: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1060"/>
              <w:spacing w:after="0"/>
              <w:rPr>
                <w:sz w:val="20"/>
                <w:szCs w:val="20"/>
                <w:color w:val="auto"/>
              </w:rPr>
            </w:pPr>
            <w:r>
              <w:rPr>
                <w:rFonts w:ascii="Arial" w:cs="Arial" w:eastAsia="Arial" w:hAnsi="Arial"/>
                <w:sz w:val="16"/>
                <w:szCs w:val="16"/>
                <w:color w:val="auto"/>
              </w:rPr>
              <w:t>Materials</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Work in process</w:t>
            </w: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5"/>
        </w:trPr>
        <w:tc>
          <w:tcPr>
            <w:tcW w:w="7380" w:type="dxa"/>
            <w:vAlign w:val="bottom"/>
          </w:tcPr>
          <w:p>
            <w:pPr>
              <w:ind w:left="1060"/>
              <w:spacing w:after="0"/>
              <w:rPr>
                <w:sz w:val="20"/>
                <w:szCs w:val="20"/>
                <w:color w:val="auto"/>
              </w:rPr>
            </w:pPr>
            <w:r>
              <w:rPr>
                <w:rFonts w:ascii="Arial" w:cs="Arial" w:eastAsia="Arial" w:hAnsi="Arial"/>
                <w:sz w:val="16"/>
                <w:szCs w:val="16"/>
                <w:color w:val="auto"/>
              </w:rPr>
              <w:t>Finished products</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Amounts due from Becton, Dickinson and Company</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Prepaid expenses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8"/>
        </w:trPr>
        <w:tc>
          <w:tcPr>
            <w:tcW w:w="7380" w:type="dxa"/>
            <w:vAlign w:val="bottom"/>
          </w:tcPr>
          <w:p>
            <w:pPr>
              <w:ind w:left="106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664.7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291.8</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450.9</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Goodwill and Other Intangible Assets</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1,086.4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788.0</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36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Amounts due to Becton, Dickinson and Company</w:t>
            </w: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Salaries, wages and related items</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Current debt obligations</w:t>
            </w: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Current finance lease liabilities</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380" w:type="dxa"/>
            <w:vAlign w:val="bottom"/>
          </w:tcPr>
          <w:p>
            <w:pPr>
              <w:ind w:left="106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164.0</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and Other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1,598.1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 Current Finance Lease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Embecta Corp. Equity</w:t>
            </w: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380" w:type="dxa"/>
            <w:vAlign w:val="bottom"/>
          </w:tcPr>
          <w:p>
            <w:pPr>
              <w:ind w:left="700"/>
              <w:spacing w:after="0"/>
              <w:rPr>
                <w:sz w:val="20"/>
                <w:szCs w:val="20"/>
                <w:color w:val="auto"/>
              </w:rPr>
            </w:pPr>
            <w:r>
              <w:rPr>
                <w:rFonts w:ascii="Arial" w:cs="Arial" w:eastAsia="Arial" w:hAnsi="Arial"/>
                <w:sz w:val="16"/>
                <w:szCs w:val="16"/>
                <w:color w:val="auto"/>
              </w:rPr>
              <w:t>Common stock, $0.01 par value</w:t>
            </w: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ind w:left="700"/>
              <w:spacing w:after="0"/>
              <w:rPr>
                <w:sz w:val="20"/>
                <w:szCs w:val="20"/>
                <w:color w:val="auto"/>
              </w:rPr>
            </w:pPr>
            <w:r>
              <w:rPr>
                <w:rFonts w:ascii="Arial" w:cs="Arial" w:eastAsia="Arial" w:hAnsi="Arial"/>
                <w:sz w:val="16"/>
                <w:szCs w:val="16"/>
                <w:color w:val="auto"/>
              </w:rPr>
              <w:t>Authorized - 250,000,000</w:t>
            </w:r>
          </w:p>
        </w:tc>
        <w:tc>
          <w:tcPr>
            <w:tcW w:w="140" w:type="dxa"/>
            <w:vAlign w:val="bottom"/>
          </w:tcPr>
          <w:p>
            <w:pPr>
              <w:spacing w:after="0"/>
              <w:rPr>
                <w:sz w:val="16"/>
                <w:szCs w:val="16"/>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7380" w:type="dxa"/>
            <w:vAlign w:val="bottom"/>
          </w:tcPr>
          <w:p>
            <w:pPr>
              <w:ind w:left="700"/>
              <w:spacing w:after="0"/>
              <w:rPr>
                <w:sz w:val="20"/>
                <w:szCs w:val="20"/>
                <w:color w:val="auto"/>
              </w:rPr>
            </w:pPr>
            <w:r>
              <w:rPr>
                <w:rFonts w:ascii="Arial" w:cs="Arial" w:eastAsia="Arial" w:hAnsi="Arial"/>
                <w:sz w:val="16"/>
                <w:szCs w:val="16"/>
                <w:color w:val="auto"/>
              </w:rPr>
              <w:t>Issued and outstanding - 57,055,327</w:t>
            </w:r>
          </w:p>
        </w:tc>
        <w:tc>
          <w:tcPr>
            <w:tcW w:w="14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Additional paid-in capital</w:t>
            </w: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(577.1)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Investment from Becton, Dickinson and Company</w:t>
            </w:r>
          </w:p>
        </w:tc>
        <w:tc>
          <w:tcPr>
            <w:tcW w:w="14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864.8</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(270.5)</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594.3</w:t>
            </w: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1,086.4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788.0</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012" w:right="339" w:bottom="1440" w:gutter="0" w:footer="0" w:header="0"/>
        </w:sectPr>
      </w:pPr>
    </w:p>
    <w:bookmarkStart w:id="8" w:name="page9"/>
    <w:bookmarkEnd w:id="8"/>
    <w:p>
      <w:pPr>
        <w:ind w:left="3420"/>
        <w:spacing w:after="0"/>
        <w:rPr>
          <w:sz w:val="20"/>
          <w:szCs w:val="20"/>
          <w:color w:val="auto"/>
        </w:rPr>
      </w:pPr>
      <w:r>
        <w:rPr>
          <w:rFonts w:ascii="Arial" w:cs="Arial" w:eastAsia="Arial" w:hAnsi="Arial"/>
          <w:sz w:val="18"/>
          <w:szCs w:val="18"/>
          <w:b w:val="1"/>
          <w:bCs w:val="1"/>
          <w:color w:val="auto"/>
        </w:rPr>
        <w:t>Consolidated Statements of Cash Flows</w:t>
      </w:r>
    </w:p>
    <w:p>
      <w:pPr>
        <w:ind w:left="4500"/>
        <w:spacing w:after="0" w:line="203"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i w:val="1"/>
          <w:iCs w:val="1"/>
          <w:color w:val="auto"/>
        </w:rPr>
        <w:t>(unaudited, in millions)</w:t>
      </w:r>
    </w:p>
    <w:p>
      <w:pPr>
        <w:spacing w:after="0" w:line="3" w:lineRule="exact"/>
        <w:rPr>
          <w:sz w:val="20"/>
          <w:szCs w:val="20"/>
          <w:color w:val="auto"/>
        </w:rPr>
      </w:pPr>
    </w:p>
    <w:p>
      <w:pPr>
        <w:jc w:val="center"/>
        <w:ind w:left="7220"/>
        <w:spacing w:after="0"/>
        <w:rPr>
          <w:sz w:val="20"/>
          <w:szCs w:val="20"/>
          <w:color w:val="auto"/>
        </w:rPr>
      </w:pPr>
      <w:r>
        <w:rPr>
          <w:rFonts w:ascii="Arial" w:cs="Arial" w:eastAsia="Arial" w:hAnsi="Arial"/>
          <w:sz w:val="16"/>
          <w:szCs w:val="16"/>
          <w:b w:val="1"/>
          <w:bCs w:val="1"/>
          <w:color w:val="auto"/>
        </w:rPr>
        <w:t>Twelve Months Ended</w:t>
      </w:r>
    </w:p>
    <w:p>
      <w:pPr>
        <w:jc w:val="center"/>
        <w:ind w:left="72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10795</wp:posOffset>
            </wp:positionV>
            <wp:extent cx="1945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72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414.8</w:t>
            </w:r>
          </w:p>
        </w:tc>
        <w:tc>
          <w:tcPr>
            <w:tcW w:w="0" w:type="dxa"/>
            <w:vAlign w:val="bottom"/>
          </w:tcPr>
          <w:p>
            <w:pPr>
              <w:spacing w:after="0"/>
              <w:rPr>
                <w:sz w:val="1"/>
                <w:szCs w:val="1"/>
                <w:color w:val="auto"/>
              </w:rPr>
            </w:pPr>
          </w:p>
        </w:tc>
      </w:tr>
      <w:tr>
        <w:trPr>
          <w:trHeight w:val="215"/>
        </w:trPr>
        <w:tc>
          <w:tcPr>
            <w:tcW w:w="7220" w:type="dxa"/>
            <w:vAlign w:val="bottom"/>
          </w:tcPr>
          <w:p>
            <w:pPr>
              <w:ind w:left="340"/>
              <w:spacing w:after="0"/>
              <w:rPr>
                <w:sz w:val="20"/>
                <w:szCs w:val="20"/>
                <w:color w:val="auto"/>
              </w:rPr>
            </w:pPr>
            <w:r>
              <w:rPr>
                <w:rFonts w:ascii="Arial" w:cs="Arial" w:eastAsia="Arial" w:hAnsi="Arial"/>
                <w:sz w:val="16"/>
                <w:szCs w:val="16"/>
                <w:color w:val="auto"/>
              </w:rPr>
              <w:t>Adjustments to net income to derive net cash provided by operating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5"/>
        </w:trPr>
        <w:tc>
          <w:tcPr>
            <w:tcW w:w="7220" w:type="dxa"/>
            <w:vAlign w:val="bottom"/>
          </w:tcPr>
          <w:p>
            <w:pPr>
              <w:ind w:left="700"/>
              <w:spacing w:after="0"/>
              <w:rPr>
                <w:sz w:val="20"/>
                <w:szCs w:val="20"/>
                <w:color w:val="auto"/>
              </w:rPr>
            </w:pPr>
            <w:r>
              <w:rPr>
                <w:rFonts w:ascii="Arial" w:cs="Arial" w:eastAsia="Arial" w:hAnsi="Arial"/>
                <w:sz w:val="16"/>
                <w:szCs w:val="16"/>
                <w:color w:val="auto"/>
              </w:rPr>
              <w:t>Amortization of debt issuance costs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Impairment of property, plant and equipment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5"/>
        </w:trPr>
        <w:tc>
          <w:tcPr>
            <w:tcW w:w="7220" w:type="dxa"/>
            <w:vAlign w:val="bottom"/>
          </w:tcPr>
          <w:p>
            <w:pPr>
              <w:ind w:left="70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periodic pension benefit and other postretirement costs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5"/>
        </w:trPr>
        <w:tc>
          <w:tcPr>
            <w:tcW w:w="7220" w:type="dxa"/>
            <w:vAlign w:val="bottom"/>
          </w:tcPr>
          <w:p>
            <w:pPr>
              <w:ind w:left="70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Change in operating assets and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1060"/>
              <w:spacing w:after="0"/>
              <w:rPr>
                <w:sz w:val="20"/>
                <w:szCs w:val="20"/>
                <w:color w:val="auto"/>
              </w:rPr>
            </w:pPr>
            <w:r>
              <w:rPr>
                <w:rFonts w:ascii="Arial" w:cs="Arial" w:eastAsia="Arial" w:hAnsi="Arial"/>
                <w:sz w:val="16"/>
                <w:szCs w:val="16"/>
                <w:color w:val="auto"/>
              </w:rPr>
              <w:t>Trade receivables,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Inventories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5"/>
        </w:trPr>
        <w:tc>
          <w:tcPr>
            <w:tcW w:w="7220" w:type="dxa"/>
            <w:vAlign w:val="bottom"/>
          </w:tcPr>
          <w:p>
            <w:pPr>
              <w:ind w:left="1060"/>
              <w:spacing w:after="0"/>
              <w:rPr>
                <w:sz w:val="20"/>
                <w:szCs w:val="20"/>
                <w:color w:val="auto"/>
              </w:rPr>
            </w:pPr>
            <w:r>
              <w:rPr>
                <w:rFonts w:ascii="Arial" w:cs="Arial" w:eastAsia="Arial" w:hAnsi="Arial"/>
                <w:sz w:val="16"/>
                <w:szCs w:val="16"/>
                <w:color w:val="auto"/>
              </w:rPr>
              <w:t>Due from/due to Becton, Dickinson and Company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Prepaid expenses and other</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5"/>
        </w:trPr>
        <w:tc>
          <w:tcPr>
            <w:tcW w:w="7220" w:type="dxa"/>
            <w:vAlign w:val="bottom"/>
          </w:tcPr>
          <w:p>
            <w:pPr>
              <w:ind w:left="1060"/>
              <w:spacing w:after="0"/>
              <w:rPr>
                <w:sz w:val="20"/>
                <w:szCs w:val="20"/>
                <w:color w:val="auto"/>
              </w:rPr>
            </w:pPr>
            <w:r>
              <w:rPr>
                <w:rFonts w:ascii="Arial" w:cs="Arial" w:eastAsia="Arial" w:hAnsi="Arial"/>
                <w:sz w:val="16"/>
                <w:szCs w:val="16"/>
                <w:color w:val="auto"/>
              </w:rPr>
              <w:t>Accounts payable, accrued expenses and other current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Income and other net taxes payable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220" w:type="dxa"/>
            <w:vAlign w:val="bottom"/>
          </w:tcPr>
          <w:p>
            <w:pPr>
              <w:ind w:left="660"/>
              <w:spacing w:after="0"/>
              <w:rPr>
                <w:sz w:val="20"/>
                <w:szCs w:val="20"/>
                <w:color w:val="auto"/>
              </w:rPr>
            </w:pPr>
            <w:r>
              <w:rPr>
                <w:rFonts w:ascii="Arial" w:cs="Arial" w:eastAsia="Arial" w:hAnsi="Arial"/>
                <w:sz w:val="16"/>
                <w:szCs w:val="16"/>
                <w:color w:val="auto"/>
              </w:rPr>
              <w:t>Other assets,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8"/>
        </w:trPr>
        <w:tc>
          <w:tcPr>
            <w:tcW w:w="7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456.3</w:t>
            </w:r>
          </w:p>
        </w:tc>
        <w:tc>
          <w:tcPr>
            <w:tcW w:w="0" w:type="dxa"/>
            <w:vAlign w:val="bottom"/>
          </w:tcPr>
          <w:p>
            <w:pPr>
              <w:spacing w:after="0"/>
              <w:rPr>
                <w:sz w:val="1"/>
                <w:szCs w:val="1"/>
                <w:color w:val="auto"/>
              </w:rPr>
            </w:pPr>
          </w:p>
        </w:tc>
      </w:tr>
      <w:tr>
        <w:trPr>
          <w:trHeight w:val="203"/>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Capital expenditures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15"/>
        </w:trPr>
        <w:tc>
          <w:tcPr>
            <w:tcW w:w="7220" w:type="dxa"/>
            <w:vAlign w:val="bottom"/>
          </w:tcPr>
          <w:p>
            <w:pPr>
              <w:ind w:left="700"/>
              <w:spacing w:after="0"/>
              <w:rPr>
                <w:sz w:val="20"/>
                <w:szCs w:val="20"/>
                <w:color w:val="auto"/>
              </w:rPr>
            </w:pPr>
            <w:r>
              <w:rPr>
                <w:rFonts w:ascii="Arial" w:cs="Arial" w:eastAsia="Arial" w:hAnsi="Arial"/>
                <w:sz w:val="16"/>
                <w:szCs w:val="16"/>
                <w:color w:val="auto"/>
              </w:rPr>
              <w:t>Acquisition of intangible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8"/>
        </w:trPr>
        <w:tc>
          <w:tcPr>
            <w:tcW w:w="7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Used for Investing Activities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03"/>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Proceeds from the issuance of long-term debt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1,450.0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220" w:type="dxa"/>
            <w:vAlign w:val="bottom"/>
          </w:tcPr>
          <w:p>
            <w:pPr>
              <w:ind w:left="700"/>
              <w:spacing w:after="0"/>
              <w:rPr>
                <w:sz w:val="20"/>
                <w:szCs w:val="20"/>
                <w:color w:val="auto"/>
              </w:rPr>
            </w:pPr>
            <w:r>
              <w:rPr>
                <w:rFonts w:ascii="Arial" w:cs="Arial" w:eastAsia="Arial" w:hAnsi="Arial"/>
                <w:sz w:val="16"/>
                <w:szCs w:val="16"/>
                <w:color w:val="auto"/>
              </w:rPr>
              <w:t>Payments on long-term debt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Payment of long-term debt issuance costs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220" w:type="dxa"/>
            <w:vAlign w:val="bottom"/>
          </w:tcPr>
          <w:p>
            <w:pPr>
              <w:ind w:left="700"/>
              <w:spacing w:after="0"/>
              <w:rPr>
                <w:sz w:val="20"/>
                <w:szCs w:val="20"/>
                <w:color w:val="auto"/>
              </w:rPr>
            </w:pPr>
            <w:r>
              <w:rPr>
                <w:rFonts w:ascii="Arial" w:cs="Arial" w:eastAsia="Arial" w:hAnsi="Arial"/>
                <w:sz w:val="16"/>
                <w:szCs w:val="16"/>
                <w:color w:val="auto"/>
              </w:rPr>
              <w:t>Payment of revolving credit facility fees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Payments on finance lease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220" w:type="dxa"/>
            <w:vAlign w:val="bottom"/>
          </w:tcPr>
          <w:p>
            <w:pPr>
              <w:ind w:left="700"/>
              <w:spacing w:after="0"/>
              <w:rPr>
                <w:sz w:val="20"/>
                <w:szCs w:val="20"/>
                <w:color w:val="auto"/>
              </w:rPr>
            </w:pPr>
            <w:r>
              <w:rPr>
                <w:rFonts w:ascii="Arial" w:cs="Arial" w:eastAsia="Arial" w:hAnsi="Arial"/>
                <w:sz w:val="16"/>
                <w:szCs w:val="16"/>
                <w:color w:val="auto"/>
              </w:rPr>
              <w:t>Dividend payments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72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Net consideration paid to Becton, Dickinson and Company in connection with the</w:t>
            </w: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(1,266.0)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Separation</w:t>
            </w:r>
          </w:p>
        </w:tc>
        <w:tc>
          <w:tcPr>
            <w:tcW w:w="34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700"/>
              <w:spacing w:after="0"/>
              <w:rPr>
                <w:sz w:val="20"/>
                <w:szCs w:val="20"/>
                <w:color w:val="auto"/>
              </w:rPr>
            </w:pPr>
            <w:r>
              <w:rPr>
                <w:rFonts w:ascii="Arial" w:cs="Arial" w:eastAsia="Arial" w:hAnsi="Arial"/>
                <w:sz w:val="16"/>
                <w:szCs w:val="16"/>
                <w:color w:val="auto"/>
              </w:rPr>
              <w:t>Net transfers to Becton, Dickinson and Company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(417.1)</w:t>
            </w:r>
          </w:p>
        </w:tc>
        <w:tc>
          <w:tcPr>
            <w:tcW w:w="0" w:type="dxa"/>
            <w:vAlign w:val="bottom"/>
          </w:tcPr>
          <w:p>
            <w:pPr>
              <w:spacing w:after="0"/>
              <w:rPr>
                <w:sz w:val="1"/>
                <w:szCs w:val="1"/>
                <w:color w:val="auto"/>
              </w:rPr>
            </w:pPr>
          </w:p>
        </w:tc>
      </w:tr>
      <w:tr>
        <w:trPr>
          <w:trHeight w:val="28"/>
        </w:trPr>
        <w:tc>
          <w:tcPr>
            <w:tcW w:w="7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Used for Financing Activities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(417.1)</w:t>
            </w:r>
          </w:p>
        </w:tc>
        <w:tc>
          <w:tcPr>
            <w:tcW w:w="0" w:type="dxa"/>
            <w:vAlign w:val="bottom"/>
          </w:tcPr>
          <w:p>
            <w:pPr>
              <w:spacing w:after="0"/>
              <w:rPr>
                <w:sz w:val="1"/>
                <w:szCs w:val="1"/>
                <w:color w:val="auto"/>
              </w:rPr>
            </w:pPr>
          </w:p>
        </w:tc>
      </w:tr>
      <w:tr>
        <w:trPr>
          <w:trHeight w:val="208"/>
        </w:trPr>
        <w:tc>
          <w:tcPr>
            <w:tcW w:w="7220" w:type="dxa"/>
            <w:vAlign w:val="bottom"/>
          </w:tcPr>
          <w:p>
            <w:pPr>
              <w:ind w:left="34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220" w:type="dxa"/>
            <w:vAlign w:val="bottom"/>
          </w:tcPr>
          <w:p>
            <w:pPr>
              <w:ind w:left="340"/>
              <w:spacing w:after="0"/>
              <w:rPr>
                <w:sz w:val="20"/>
                <w:szCs w:val="20"/>
                <w:color w:val="auto"/>
              </w:rPr>
            </w:pPr>
            <w:r>
              <w:rPr>
                <w:rFonts w:ascii="Arial" w:cs="Arial" w:eastAsia="Arial" w:hAnsi="Arial"/>
                <w:sz w:val="16"/>
                <w:szCs w:val="16"/>
                <w:color w:val="auto"/>
              </w:rPr>
              <w:t>Opening Cash and cash equivalents</w:t>
            </w: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Closing Cash and cash equivalents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80"/>
          </w:cols>
          <w:pgMar w:left="800" w:top="1255" w:right="81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financial measures</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evaluating our operating performance, we supplement the reporting of our financial information determined under GAAP with certain non-GAAP financial measures including (i) earnings before interest, taxes, depreciation, and amortization (“EBITDA”), (ii) Adjusted EBITDA, as further defined below, (iii) adjusted gross profit and adjusted gross profit margin, and (iv) Constant Currency revenue growth.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stockholders and other readers of our consolidated financial statements in making comparisons to our historical operating results and analyzing the underlying performance of our results of operations. Additionally, EBITDA and Adjusted EBITDA are important metrics for debt investors who utilize debt-to-EBITDA ratios. These non-GAAP financial measures are not intended to be, and should not be, considered separately from, or as an alternative to, the most directly comparable GAAP financial measures.</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We believe EBITDA is an important valuation measurement for management and investors given the effect non-cash charges such as amortization related to acquired intangible assets and depreciation of capital equipment have on net income. Additionally, we regard EBITDA as a useful measure of operating performance and cash flow before the effect of interest, taxes, depreciation and amortization and as a complement to operating income, net income and other GAAP financial performance measures. We define Adjusted EBITDA as EBITDA excluding certain items that affect comparability of operating results and the trend of earnings. These adjustments are either non-cash or irregular in nature, may not be indicative of our past and future performance and are therefore excluded to allow investors to better understand underlying operating trends. The following are examples of the types of adjustments that are excluded: (i) stock-based compensation, (ii) non-cash long-lived fixed asset, goodwill and/or intangible asset impairment charges, (iii) restructuring-related costs, (iv) various costs that will enable the Company to operate as a stand-alone publicly traded company, and (v) other significant items management deems irregular or non-operating in nature. We use Adjusted EBITDA when evaluating operating performance because we believe the exclusion of such adjustments is necessary to help provide an accurate measure of on-going core operating results and to evaluate comparative results period over period</w:t>
      </w:r>
      <w:r>
        <w:rPr>
          <w:rFonts w:ascii="Times New Roman" w:cs="Times New Roman" w:eastAsia="Times New Roman" w:hAnsi="Times New Roman"/>
          <w:sz w:val="17"/>
          <w:szCs w:val="17"/>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twelve month periods ended September 30, 2022 and 2021, the reconciliation of net income (loss) to EBITDA and adjusted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EBITDA was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2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6"/>
        </w:trPr>
        <w:tc>
          <w:tcPr>
            <w:tcW w:w="42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300" w:type="dxa"/>
            <w:vAlign w:val="bottom"/>
          </w:tcPr>
          <w:p>
            <w:pPr>
              <w:spacing w:after="0"/>
              <w:rPr>
                <w:sz w:val="18"/>
                <w:szCs w:val="18"/>
                <w:color w:val="auto"/>
              </w:rPr>
            </w:pPr>
          </w:p>
        </w:tc>
        <w:tc>
          <w:tcPr>
            <w:tcW w:w="262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8"/>
                <w:szCs w:val="18"/>
                <w:color w:val="auto"/>
              </w:rPr>
            </w:pPr>
          </w:p>
        </w:tc>
        <w:tc>
          <w:tcPr>
            <w:tcW w:w="252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2"/>
        </w:trPr>
        <w:tc>
          <w:tcPr>
            <w:tcW w:w="4200" w:type="dxa"/>
            <w:vAlign w:val="bottom"/>
            <w:vMerge w:val="continue"/>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vMerge w:val="restart"/>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vMerge w:val="restart"/>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vMerge w:val="restart"/>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vMerge w:val="restart"/>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(17.2)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97.1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223.6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414.8</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8"/>
        </w:trPr>
        <w:tc>
          <w:tcPr>
            <w:tcW w:w="4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EBITDA</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334.5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533.2</w:t>
            </w:r>
          </w:p>
        </w:tc>
        <w:tc>
          <w:tcPr>
            <w:tcW w:w="0" w:type="dxa"/>
            <w:vAlign w:val="bottom"/>
          </w:tcPr>
          <w:p>
            <w:pPr>
              <w:spacing w:after="0"/>
              <w:rPr>
                <w:sz w:val="1"/>
                <w:szCs w:val="1"/>
                <w:color w:val="auto"/>
              </w:rPr>
            </w:pPr>
          </w:p>
        </w:tc>
      </w:tr>
      <w:tr>
        <w:trPr>
          <w:trHeight w:val="208"/>
        </w:trPr>
        <w:tc>
          <w:tcPr>
            <w:tcW w:w="42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8"/>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9"/>
                <w:szCs w:val="9"/>
                <w:b w:val="1"/>
                <w:bCs w:val="1"/>
                <w:color w:val="auto"/>
              </w:rPr>
              <w:t>(1) (2)</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 xml:space="preserve">Other costs associated with impairment </w:t>
            </w:r>
            <w:r>
              <w:rPr>
                <w:rFonts w:ascii="Arial" w:cs="Arial" w:eastAsia="Arial" w:hAnsi="Arial"/>
                <w:sz w:val="9"/>
                <w:szCs w:val="9"/>
                <w:b w:val="1"/>
                <w:bCs w:val="1"/>
                <w:color w:val="auto"/>
              </w:rPr>
              <w:t>(3)(6)</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European regulatory initiative-related costs ("EU MDR") </w:t>
            </w:r>
            <w:r>
              <w:rPr>
                <w:rFonts w:ascii="Arial" w:cs="Arial" w:eastAsia="Arial" w:hAnsi="Arial"/>
                <w:sz w:val="9"/>
                <w:szCs w:val="9"/>
                <w:b w:val="1"/>
                <w:bCs w:val="1"/>
                <w:color w:val="auto"/>
              </w:rPr>
              <w:t>(4)</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 xml:space="preserve">Restructuring-related costs </w:t>
            </w:r>
            <w:r>
              <w:rPr>
                <w:rFonts w:ascii="Arial" w:cs="Arial" w:eastAsia="Arial" w:hAnsi="Arial"/>
                <w:sz w:val="9"/>
                <w:szCs w:val="9"/>
                <w:b w:val="1"/>
                <w:bCs w:val="1"/>
                <w:color w:val="auto"/>
              </w:rPr>
              <w:t>(5)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Impairment losses </w:t>
            </w:r>
            <w:r>
              <w:rPr>
                <w:rFonts w:ascii="Arial" w:cs="Arial" w:eastAsia="Arial" w:hAnsi="Arial"/>
                <w:sz w:val="9"/>
                <w:szCs w:val="9"/>
                <w:b w:val="1"/>
                <w:bCs w:val="1"/>
                <w:color w:val="auto"/>
              </w:rPr>
              <w:t>(6)</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87.2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131.6</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459.9</w:t>
            </w:r>
          </w:p>
        </w:tc>
        <w:tc>
          <w:tcPr>
            <w:tcW w:w="8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565.5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EBITDA Margin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31.8 %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43.8 %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40.7 %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48.5 %</w:t>
            </w:r>
          </w:p>
        </w:tc>
        <w:tc>
          <w:tcPr>
            <w:tcW w:w="0" w:type="dxa"/>
            <w:vAlign w:val="bottom"/>
          </w:tcPr>
          <w:p>
            <w:pPr>
              <w:spacing w:after="0"/>
              <w:rPr>
                <w:sz w:val="1"/>
                <w:szCs w:val="1"/>
                <w:color w:val="auto"/>
              </w:rPr>
            </w:pPr>
          </w:p>
        </w:tc>
      </w:tr>
      <w:tr>
        <w:trPr>
          <w:trHeight w:val="21"/>
        </w:trPr>
        <w:tc>
          <w:tcPr>
            <w:tcW w:w="4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00" w:right="380" w:hanging="388"/>
        <w:spacing w:after="0" w:line="264" w:lineRule="auto"/>
        <w:tabs>
          <w:tab w:leader="none" w:pos="497" w:val="left"/>
        </w:tabs>
        <w:numPr>
          <w:ilvl w:val="0"/>
          <w:numId w:val="9"/>
        </w:numPr>
        <w:rPr>
          <w:rFonts w:ascii="Arial" w:cs="Arial" w:eastAsia="Arial" w:hAnsi="Arial"/>
          <w:sz w:val="14"/>
          <w:szCs w:val="14"/>
          <w:color w:val="auto"/>
        </w:rPr>
      </w:pPr>
      <w:r>
        <w:rPr>
          <w:rFonts w:ascii="Arial" w:cs="Arial" w:eastAsia="Arial" w:hAnsi="Arial"/>
          <w:sz w:val="14"/>
          <w:szCs w:val="14"/>
          <w:color w:val="auto"/>
        </w:rPr>
        <w:t>One-time stand up costs incurred during the three months ended September 30, 2022 and 2021 primarily include costs to stand up the Company. Amounts for both periods are recorded in Other operating expenses. During 2022, the Company updated its definition for adjustments to include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440" w:right="339" w:bottom="1440" w:gutter="0" w:footer="0" w:header="0"/>
          <w:type w:val="continuous"/>
        </w:sectPr>
      </w:pPr>
    </w:p>
    <w:bookmarkStart w:id="10" w:name="page11"/>
    <w:bookmarkEnd w:id="10"/>
    <w:p>
      <w:pPr>
        <w:ind w:left="388"/>
        <w:spacing w:after="0"/>
        <w:rPr>
          <w:sz w:val="20"/>
          <w:szCs w:val="20"/>
          <w:color w:val="auto"/>
        </w:rPr>
      </w:pPr>
      <w:r>
        <w:rPr>
          <w:rFonts w:ascii="Arial" w:cs="Arial" w:eastAsia="Arial" w:hAnsi="Arial"/>
          <w:sz w:val="14"/>
          <w:szCs w:val="14"/>
          <w:color w:val="auto"/>
        </w:rPr>
        <w:t>one-time stand up costs. This amount was not previously included as an adjustment for fiscal year 2021 as presented in embecta’s Registration Statement on Form 10.</w:t>
      </w:r>
    </w:p>
    <w:p>
      <w:pPr>
        <w:spacing w:after="0" w:line="42" w:lineRule="exact"/>
        <w:rPr>
          <w:sz w:val="20"/>
          <w:szCs w:val="20"/>
          <w:color w:val="auto"/>
        </w:rPr>
      </w:pPr>
    </w:p>
    <w:p>
      <w:pPr>
        <w:ind w:left="388" w:hanging="388"/>
        <w:spacing w:after="0" w:line="225" w:lineRule="auto"/>
        <w:tabs>
          <w:tab w:leader="none" w:pos="384"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One-time stand up costs incurred during the twelve months ended September 30, 2022 and 2021 primarily include costs to stand up the Company. Approximately $37.3 million of the one-time stand up costs are recorded in Other operating expenses and $0.9 million are recorded in Selling, general and administrative expenses. For the twelve months ended September 30, 2021, $4.8 million of the one-time stand up costs are recorded in Other operating expenses. During 2022, the Company updated its definition for adjustments to include one-time stand up costs. This amount was not previously included as an adjustment for fiscal year 2021 as presented in embecta’s Registration Statement on Form 10.</w:t>
      </w:r>
    </w:p>
    <w:p>
      <w:pPr>
        <w:spacing w:after="0" w:line="14" w:lineRule="exact"/>
        <w:rPr>
          <w:rFonts w:ascii="Arial" w:cs="Arial" w:eastAsia="Arial" w:hAnsi="Arial"/>
          <w:sz w:val="14"/>
          <w:szCs w:val="14"/>
          <w:color w:val="auto"/>
        </w:rPr>
      </w:pPr>
    </w:p>
    <w:p>
      <w:pPr>
        <w:ind w:left="388" w:right="360" w:hanging="388"/>
        <w:spacing w:after="0" w:line="252" w:lineRule="auto"/>
        <w:tabs>
          <w:tab w:leader="none" w:pos="384"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expected costs of purchase commitments associated with the abandonment and impairment of certain manufacturing lines. Please see footnote (6) below. These costs are recorded in Other operating expenses.</w:t>
      </w:r>
    </w:p>
    <w:p>
      <w:pPr>
        <w:ind w:left="388" w:right="260" w:hanging="388"/>
        <w:spacing w:after="0" w:line="229" w:lineRule="auto"/>
        <w:tabs>
          <w:tab w:leader="none" w:pos="384"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European Union Medical Device Regulation ("EU MDR") and General Data Protection Regulation ("GDPR") which represent a significant, unusual change to the existing regulatory framework. We consider these costs to be duplicative of previously incurred costs and/or one-off costs, which are limited to a specific period of time. These costs were recorded in Research and development expense. During 2022, the Company updated its definition for adjustments to include costs associated with complying with EU MDR. This amount was not previously included as an adjustment for fiscal year 2021 as presented in embecta’s Registration Statement on Form 10.</w:t>
      </w:r>
    </w:p>
    <w:p>
      <w:pPr>
        <w:spacing w:after="0" w:line="13" w:lineRule="exact"/>
        <w:rPr>
          <w:rFonts w:ascii="Arial" w:cs="Arial" w:eastAsia="Arial" w:hAnsi="Arial"/>
          <w:sz w:val="14"/>
          <w:szCs w:val="14"/>
          <w:color w:val="auto"/>
        </w:rPr>
      </w:pPr>
    </w:p>
    <w:p>
      <w:pPr>
        <w:ind w:left="388" w:hanging="388"/>
        <w:spacing w:after="0"/>
        <w:tabs>
          <w:tab w:leader="none" w:pos="388"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restructuring-related costs recorded in Other operating expenses.</w:t>
      </w:r>
    </w:p>
    <w:p>
      <w:pPr>
        <w:spacing w:after="0" w:line="29" w:lineRule="exact"/>
        <w:rPr>
          <w:rFonts w:ascii="Arial" w:cs="Arial" w:eastAsia="Arial" w:hAnsi="Arial"/>
          <w:sz w:val="14"/>
          <w:szCs w:val="14"/>
          <w:color w:val="auto"/>
        </w:rPr>
      </w:pPr>
    </w:p>
    <w:p>
      <w:pPr>
        <w:ind w:left="388" w:right="420" w:hanging="388"/>
        <w:spacing w:after="0" w:line="242" w:lineRule="auto"/>
        <w:tabs>
          <w:tab w:leader="none" w:pos="384"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Relates to impairment charges incurred during fiscal years 2022 and 2021. During 2022, the Company updated its definition for adjustments to include fixed asset, goodwill and/or intangible asset impairment charges. For 2021, this amount was not previously included as an adjustment as presented in embecta’s Registration Statement on Form 10. The impairment charges recorded in 2022 and 2021 were recorded in Impairment Expense and Cost of products sold,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2"/>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108"/>
          </w:cols>
          <w:pgMar w:left="432" w:top="1183" w:right="35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For the three and twelve month periods ended September 30, 2022 and 2021, the reconciliation of GAAP Gross Profit and Gross Margin to Non-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GAAP Adjusted Gross Profit and Adjusted Gross Margin was as follows:</w:t>
      </w:r>
    </w:p>
    <w:p>
      <w:pPr>
        <w:spacing w:after="0" w:line="234"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276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6"/>
        </w:trPr>
        <w:tc>
          <w:tcPr>
            <w:tcW w:w="34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0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6"/>
                <w:szCs w:val="16"/>
                <w:b w:val="1"/>
                <w:bCs w:val="1"/>
                <w:color w:val="auto"/>
              </w:rPr>
              <w:t>September 30,</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vMerge w:val="continue"/>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640" w:type="dxa"/>
            <w:vAlign w:val="bottom"/>
          </w:tcPr>
          <w:p>
            <w:pPr>
              <w:spacing w:after="0"/>
              <w:rPr>
                <w:sz w:val="17"/>
                <w:szCs w:val="17"/>
                <w:color w:val="auto"/>
              </w:rPr>
            </w:pPr>
          </w:p>
        </w:tc>
        <w:tc>
          <w:tcPr>
            <w:tcW w:w="106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94"/>
              </w:rPr>
              <w:t>274.6</w:t>
            </w:r>
          </w:p>
        </w:tc>
        <w:tc>
          <w:tcPr>
            <w:tcW w:w="10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4"/>
              </w:rPr>
              <w:t>300.8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1,129.5</w:t>
            </w:r>
          </w:p>
        </w:tc>
        <w:tc>
          <w:tcPr>
            <w:tcW w:w="64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1,165.3</w:t>
            </w:r>
          </w:p>
        </w:tc>
        <w:tc>
          <w:tcPr>
            <w:tcW w:w="0" w:type="dxa"/>
            <w:vAlign w:val="bottom"/>
          </w:tcPr>
          <w:p>
            <w:pPr>
              <w:spacing w:after="0"/>
              <w:rPr>
                <w:sz w:val="1"/>
                <w:szCs w:val="1"/>
                <w:color w:val="auto"/>
              </w:rPr>
            </w:pPr>
          </w:p>
        </w:tc>
      </w:tr>
      <w:tr>
        <w:trPr>
          <w:trHeight w:val="215"/>
        </w:trPr>
        <w:tc>
          <w:tcPr>
            <w:tcW w:w="34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100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97.7</w:t>
            </w:r>
          </w:p>
        </w:tc>
        <w:tc>
          <w:tcPr>
            <w:tcW w:w="106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91.1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354.6</w:t>
            </w:r>
          </w:p>
        </w:tc>
        <w:tc>
          <w:tcPr>
            <w:tcW w:w="6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364.9</w:t>
            </w:r>
          </w:p>
        </w:tc>
        <w:tc>
          <w:tcPr>
            <w:tcW w:w="0" w:type="dxa"/>
            <w:vAlign w:val="bottom"/>
          </w:tcPr>
          <w:p>
            <w:pPr>
              <w:spacing w:after="0"/>
              <w:rPr>
                <w:sz w:val="1"/>
                <w:szCs w:val="1"/>
                <w:color w:val="auto"/>
              </w:rPr>
            </w:pPr>
          </w:p>
        </w:tc>
      </w:tr>
      <w:tr>
        <w:trPr>
          <w:trHeight w:val="28"/>
        </w:trPr>
        <w:tc>
          <w:tcPr>
            <w:tcW w:w="3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94"/>
              </w:rPr>
              <w:t>176.9</w:t>
            </w:r>
          </w:p>
        </w:tc>
        <w:tc>
          <w:tcPr>
            <w:tcW w:w="10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4"/>
              </w:rPr>
              <w:t>209.7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774.9</w:t>
            </w:r>
          </w:p>
        </w:tc>
        <w:tc>
          <w:tcPr>
            <w:tcW w:w="6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800.4</w:t>
            </w:r>
          </w:p>
        </w:tc>
        <w:tc>
          <w:tcPr>
            <w:tcW w:w="0" w:type="dxa"/>
            <w:vAlign w:val="bottom"/>
          </w:tcPr>
          <w:p>
            <w:pPr>
              <w:spacing w:after="0"/>
              <w:rPr>
                <w:sz w:val="1"/>
                <w:szCs w:val="1"/>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i w:val="1"/>
                <w:iCs w:val="1"/>
                <w:color w:val="auto"/>
              </w:rPr>
              <w:t>Gross Margin</w:t>
            </w:r>
          </w:p>
        </w:tc>
        <w:tc>
          <w:tcPr>
            <w:tcW w:w="10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i w:val="1"/>
                <w:iCs w:val="1"/>
                <w:color w:val="auto"/>
              </w:rPr>
              <w:t>64.4 %</w:t>
            </w: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69.7 %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68.6 %</w:t>
            </w: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68.7 %</w:t>
            </w:r>
          </w:p>
        </w:tc>
        <w:tc>
          <w:tcPr>
            <w:tcW w:w="0" w:type="dxa"/>
            <w:vAlign w:val="bottom"/>
          </w:tcPr>
          <w:p>
            <w:pPr>
              <w:spacing w:after="0"/>
              <w:rPr>
                <w:sz w:val="1"/>
                <w:szCs w:val="1"/>
                <w:color w:val="auto"/>
              </w:rPr>
            </w:pPr>
          </w:p>
        </w:tc>
      </w:tr>
      <w:tr>
        <w:trPr>
          <w:trHeight w:val="29"/>
        </w:trPr>
        <w:tc>
          <w:tcPr>
            <w:tcW w:w="3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0.2</w:t>
            </w:r>
          </w:p>
        </w:tc>
        <w:tc>
          <w:tcPr>
            <w:tcW w:w="6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460" w:type="dxa"/>
            <w:vAlign w:val="bottom"/>
          </w:tcPr>
          <w:p>
            <w:pPr>
              <w:ind w:left="20"/>
              <w:spacing w:after="0"/>
              <w:rPr>
                <w:sz w:val="20"/>
                <w:szCs w:val="20"/>
                <w:color w:val="auto"/>
              </w:rPr>
            </w:pPr>
            <w:r>
              <w:rPr>
                <w:rFonts w:ascii="Arial" w:cs="Arial" w:eastAsia="Arial" w:hAnsi="Arial"/>
                <w:sz w:val="16"/>
                <w:szCs w:val="16"/>
                <w:color w:val="auto"/>
              </w:rPr>
              <w:t>Impairment losses</w:t>
            </w:r>
          </w:p>
        </w:tc>
        <w:tc>
          <w:tcPr>
            <w:tcW w:w="100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8"/>
        </w:trPr>
        <w:tc>
          <w:tcPr>
            <w:tcW w:w="3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Adjusted Gross Profit </w:t>
            </w:r>
            <w:r>
              <w:rPr>
                <w:rFonts w:ascii="Arial" w:cs="Arial" w:eastAsia="Arial" w:hAnsi="Arial"/>
                <w:sz w:val="9"/>
                <w:szCs w:val="9"/>
                <w:b w:val="1"/>
                <w:bCs w:val="1"/>
                <w:color w:val="auto"/>
              </w:rPr>
              <w:t>(1)</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94"/>
              </w:rPr>
              <w:t>176.9</w:t>
            </w:r>
          </w:p>
        </w:tc>
        <w:tc>
          <w:tcPr>
            <w:tcW w:w="10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4"/>
              </w:rPr>
              <w:t>209.7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775.1</w:t>
            </w:r>
          </w:p>
        </w:tc>
        <w:tc>
          <w:tcPr>
            <w:tcW w:w="64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814.2</w:t>
            </w:r>
          </w:p>
        </w:tc>
        <w:tc>
          <w:tcPr>
            <w:tcW w:w="0" w:type="dxa"/>
            <w:vAlign w:val="bottom"/>
          </w:tcPr>
          <w:p>
            <w:pPr>
              <w:spacing w:after="0"/>
              <w:rPr>
                <w:sz w:val="1"/>
                <w:szCs w:val="1"/>
                <w:color w:val="auto"/>
              </w:rPr>
            </w:pPr>
          </w:p>
        </w:tc>
      </w:tr>
      <w:tr>
        <w:trPr>
          <w:trHeight w:val="222"/>
        </w:trPr>
        <w:tc>
          <w:tcPr>
            <w:tcW w:w="34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Adjusted Gross Profit Margin</w:t>
            </w:r>
          </w:p>
        </w:tc>
        <w:tc>
          <w:tcPr>
            <w:tcW w:w="100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i w:val="1"/>
                <w:iCs w:val="1"/>
                <w:color w:val="auto"/>
              </w:rPr>
              <w:t>64.4 %</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69.7 %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68.6 %</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69.9 %</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660" w:right="260" w:hanging="4"/>
        <w:spacing w:after="0" w:line="285" w:lineRule="auto"/>
        <w:tabs>
          <w:tab w:leader="none" w:pos="876" w:val="left"/>
        </w:tabs>
        <w:numPr>
          <w:ilvl w:val="0"/>
          <w:numId w:val="11"/>
        </w:numPr>
        <w:rPr>
          <w:rFonts w:ascii="Arial" w:cs="Arial" w:eastAsia="Arial" w:hAnsi="Arial"/>
          <w:sz w:val="14"/>
          <w:szCs w:val="14"/>
          <w:color w:val="auto"/>
        </w:rPr>
      </w:pPr>
      <w:r>
        <w:rPr>
          <w:rFonts w:ascii="Arial" w:cs="Arial" w:eastAsia="Arial" w:hAnsi="Arial"/>
          <w:sz w:val="14"/>
          <w:szCs w:val="14"/>
          <w:color w:val="auto"/>
        </w:rPr>
        <w:t>Adjusted Gross Profit is calculated by excluding impairment losses and the portion of stock-based compensation expense allocated to Cost of sales associated with the modification of employee share awards on the Separation Date.</w:t>
      </w:r>
    </w:p>
    <w:p>
      <w:pPr>
        <w:spacing w:after="0" w:line="104" w:lineRule="exact"/>
        <w:rPr>
          <w:sz w:val="20"/>
          <w:szCs w:val="20"/>
          <w:color w:val="auto"/>
        </w:rPr>
      </w:pPr>
    </w:p>
    <w:p>
      <w:pPr>
        <w:jc w:val="both"/>
        <w:ind w:right="40"/>
        <w:spacing w:after="0" w:line="255" w:lineRule="auto"/>
        <w:rPr>
          <w:sz w:val="20"/>
          <w:szCs w:val="20"/>
          <w:color w:val="auto"/>
        </w:rPr>
      </w:pPr>
      <w:r>
        <w:rPr>
          <w:rFonts w:ascii="Arial" w:cs="Arial" w:eastAsia="Arial" w:hAnsi="Arial"/>
          <w:sz w:val="17"/>
          <w:szCs w:val="17"/>
          <w:color w:val="auto"/>
        </w:rPr>
        <w:t>Each reporting period, we face currency exposure that arises from translating the results of our worldwide operations to the U.S. dollar at exchange rates that fluctuate from the beginning of such period. A stronger U.S. dollar, compared to the prior-year period, resulted in an unfavorable foreign currency translation impact to our revenues as compared to the prior-year period. We evaluate our results of operations on both a reported and a Constant Currency basis, which excludes the impact of fluctuations in foreign currency exchange rates by comparing results between periods as if exchange rates had remained constant period-over-period. As exchange rates are an important factor in understanding period-to-period comparisons, we believe the presentation of results on a Constant Currency basis in addition to reported results helps improve investors’ ability to understand our operating results and evaluate our performance in comparison to prior periods. We calculate Constant Currency percentages by converting our current-period local currency financial results using the prior-period foreign currency exchange rates and comparing these adjusted amounts to our current-period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 the three and twelve month periods ended September 30, 2022, the reconciliation of revenue growth to Constant Currency was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6"/>
                <w:szCs w:val="16"/>
                <w:b w:val="1"/>
                <w:bCs w:val="1"/>
                <w:color w:val="auto"/>
              </w:rPr>
              <w:t>Three months ended September 30,</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Total</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Estimated FX</w:t>
            </w:r>
          </w:p>
        </w:tc>
        <w:tc>
          <w:tcPr>
            <w:tcW w:w="13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40"/>
        </w:trPr>
        <w:tc>
          <w:tcPr>
            <w:tcW w:w="4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Change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Impact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65"/>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6"/>
                <w:szCs w:val="16"/>
                <w:b w:val="1"/>
                <w:bCs w:val="1"/>
                <w:color w:val="auto"/>
              </w:rPr>
              <w:t>Twelve months ended September 30,</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Total</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Estimated FX</w:t>
            </w:r>
          </w:p>
        </w:tc>
        <w:tc>
          <w:tcPr>
            <w:tcW w:w="13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40"/>
        </w:trPr>
        <w:tc>
          <w:tcPr>
            <w:tcW w:w="4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Change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Impact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65"/>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238"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About embecta</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embecta, formerly part of BD (Becton, Dickinson and Company), is one of the largest pure-play diabetes care companies in the world, leveraging its nearly 100-year legacy in insulin delivery to empower people with diabetes to live their best life through innovative solutions, partnerships and the passion of more than 2,000 employees around the globe. For more information, visit embecta.com, the content of which is not a part of this press release.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Statement Regarding Forward-Looking Statements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This press release contains express or implied "forward-looking statements" as that term is defined in the Private Securities Litigation Reform Act of 1995 and other securities laws. These forward-looking statements concern our current expectations regarding our future results from operations, performance, financial condition, goals, strategies, plans and achievements.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"plans," "intends", “pursue”, “will” or similar expressions, we are making forward-looking statements. For example, embecta is using forward-looking statements when it discusses its fiscal 2023 financial guidance and its expectations to strengthen its core business, make additional progress towards separating and standing up embecta as an independent company, and invest in growth opportunities, including the further development of its type 2 closed loop insulin delivery system.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(i) competitive factors that could adversely affect embecta’s operations, (ii) any events that adversely affect the sale or profitability of embecta’s products or the revenues delivered from sales to its customers, (iii) any failure by BD to perform of its obligations under the various separation agreements entered into in connection with the separation and distribution; (iv) increases in operating costs, including fluctuations in the cost and availability of raw materials or components used in its products, the ability to maintain favorable supplier arrangements and relationships, and the potential adverse effects of any disruption in the availability of such items; (v) changes in reimbursement practices of governments or private payers or other cost containment measures; (vi) the adverse financial impact resulting from unfavorable changes in foreign currency exchange rates, as well as regional, national and foreign economic factors, including inflation, deflation, and fluctuations in interest rates;</w:t>
      </w:r>
    </w:p>
    <w:p>
      <w:pPr>
        <w:spacing w:after="0" w:line="2" w:lineRule="exact"/>
        <w:rPr>
          <w:sz w:val="20"/>
          <w:szCs w:val="20"/>
          <w:color w:val="auto"/>
        </w:rPr>
      </w:pPr>
    </w:p>
    <w:p>
      <w:pPr>
        <w:jc w:val="both"/>
        <w:ind w:firstLine="8"/>
        <w:spacing w:after="0" w:line="250" w:lineRule="auto"/>
        <w:tabs>
          <w:tab w:leader="none" w:pos="32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impact of changes in U.S. federal laws and policy that could affect fiscal and tax policies, healthcare and international trade, including import and export regulation and international trade agreements; (viii) any continuing impact of the COVID-19 pandemic or geopolitical instability, including disruptions in its operations and supply chains; (ix) new or changing laws and regulations, or changes in enforcement practices, including laws relating to healthcare, environmental protection, trade, monetary and fiscal policies, taxation and licensing and regulatory requirements for products;</w:t>
      </w:r>
    </w:p>
    <w:p>
      <w:pPr>
        <w:spacing w:after="0" w:line="2" w:lineRule="exact"/>
        <w:rPr>
          <w:rFonts w:ascii="Arial" w:cs="Arial" w:eastAsia="Arial" w:hAnsi="Arial"/>
          <w:sz w:val="17"/>
          <w:szCs w:val="17"/>
          <w:color w:val="auto"/>
        </w:rPr>
      </w:pPr>
    </w:p>
    <w:p>
      <w:pPr>
        <w:jc w:val="both"/>
        <w:ind w:firstLine="8"/>
        <w:spacing w:after="0" w:line="256" w:lineRule="auto"/>
        <w:tabs>
          <w:tab w:leader="none" w:pos="25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expected benefits of the separation from BD; (xi) risks associated with embecta’s indebtedness; (xii) the risk that embecta’s separation from BD will be more difficult or costly than expected; (xiii) risks associated with not completing strategic collaborative partnerships and acquisitions for innovative technologies, complementary product lines, and new markets; and (xiv) the other risks described in our periodic reports filed with the Securities and Exchange Commission (“SEC”), including under the caption “Risk Factors” in our Information Statement dated February 11, 2022, filed with the SEC on February 11, 2022 as Exhibit 99.1 to our Current Report on Form 8-K and our most recent Annual Report on Form 10-K, as further updated by our Quarterly Reports on Form 10-Q we have filed or will file hereafter. Except as required by law, we undertake no obligation to update any forward-looking statements appearing in this release.</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Pravesh Khandelwal</w:t>
      </w:r>
    </w:p>
    <w:p>
      <w:pPr>
        <w:spacing w:after="0"/>
        <w:rPr>
          <w:sz w:val="20"/>
          <w:szCs w:val="20"/>
          <w:color w:val="auto"/>
        </w:rPr>
      </w:pPr>
      <w:r>
        <w:rPr>
          <w:rFonts w:ascii="Arial" w:cs="Arial" w:eastAsia="Arial" w:hAnsi="Arial"/>
          <w:sz w:val="17"/>
          <w:szCs w:val="17"/>
          <w:color w:val="auto"/>
        </w:rPr>
        <w:t>VP, Head of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551-264-6547</w:t>
      </w:r>
    </w:p>
    <w:p>
      <w:pPr>
        <w:spacing w:after="0"/>
        <w:rPr>
          <w:sz w:val="20"/>
          <w:szCs w:val="20"/>
          <w:color w:val="auto"/>
        </w:rPr>
      </w:pPr>
      <w:r>
        <w:rPr>
          <w:rFonts w:ascii="Arial" w:cs="Arial" w:eastAsia="Arial" w:hAnsi="Arial"/>
          <w:sz w:val="17"/>
          <w:szCs w:val="17"/>
          <w:color w:val="auto"/>
        </w:rPr>
        <w:t>Contact IR</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Christian Glazar</w:t>
      </w:r>
    </w:p>
    <w:p>
      <w:pPr>
        <w:spacing w:after="0" w:line="232" w:lineRule="auto"/>
        <w:rPr>
          <w:sz w:val="20"/>
          <w:szCs w:val="20"/>
          <w:color w:val="auto"/>
        </w:rPr>
      </w:pPr>
      <w:r>
        <w:rPr>
          <w:rFonts w:ascii="Arial" w:cs="Arial" w:eastAsia="Arial" w:hAnsi="Arial"/>
          <w:sz w:val="17"/>
          <w:szCs w:val="17"/>
          <w:color w:val="auto"/>
        </w:rPr>
        <w:t>Sr. Director, Corporate Communications</w:t>
      </w:r>
    </w:p>
    <w:p>
      <w:pPr>
        <w:spacing w:after="0"/>
        <w:rPr>
          <w:sz w:val="20"/>
          <w:szCs w:val="20"/>
          <w:color w:val="auto"/>
        </w:rPr>
      </w:pPr>
      <w:r>
        <w:rPr>
          <w:rFonts w:ascii="Arial" w:cs="Arial" w:eastAsia="Arial" w:hAnsi="Arial"/>
          <w:sz w:val="17"/>
          <w:szCs w:val="17"/>
          <w:color w:val="auto"/>
        </w:rPr>
        <w:t>908-821-6922</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Contact Media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sectPr>
      <w:pgSz w:w="11900" w:h="16838" w:orient="portrait"/>
      <w:cols w:equalWidth="0" w:num="1">
        <w:col w:w="11240"/>
      </w:cols>
      <w:pgMar w:left="320" w:top="11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2"/>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lowerRoman"/>
      <w:start w:val="7"/>
    </w:lvl>
  </w:abstractNum>
  <w:abstractNum w:abstractNumId="12">
    <w:nsid w:val="3352255A"/>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2022-12-20T05:50:44Z</dcterms:created>
  <dcterms:modified xsi:type="dcterms:W3CDTF">2022-12-20T05:50:44Z</dcterms:modified>
</cp:coreProperties>
</file>