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876935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1065530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82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180975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7"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0"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05890"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57467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842645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82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1781"/>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78"/>
        </w:trPr>
        <w:tc>
          <w:tcPr>
            <w:tcW w:w="782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82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0"/>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3420" w:type="dxa"/>
            <w:vAlign w:val="bottom"/>
          </w:tcPr>
          <w:p>
            <w:pPr>
              <w:jc w:val="right"/>
              <w:ind w:right="200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50"/>
        </w:trPr>
        <w:tc>
          <w:tcPr>
            <w:tcW w:w="68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(862) 401-0000</w:t>
            </w: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60"/>
        </w:trPr>
        <w:tc>
          <w:tcPr>
            <w:tcW w:w="7820" w:type="dxa"/>
            <w:vAlign w:val="bottom"/>
            <w:gridSpan w:val="3"/>
          </w:tcPr>
          <w:p>
            <w:pPr>
              <w:jc w:val="center"/>
              <w:ind w:left="3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420" w:type="dxa"/>
            <w:vAlign w:val="bottom"/>
          </w:tcPr>
          <w:p>
            <w:pPr>
              <w:spacing w:after="0"/>
              <w:rPr>
                <w:sz w:val="22"/>
                <w:szCs w:val="22"/>
                <w:color w:val="auto"/>
              </w:rPr>
            </w:pPr>
          </w:p>
        </w:tc>
      </w:tr>
      <w:tr>
        <w:trPr>
          <w:trHeight w:val="199"/>
        </w:trPr>
        <w:tc>
          <w:tcPr>
            <w:tcW w:w="4460" w:type="dxa"/>
            <w:vAlign w:val="bottom"/>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1054"/>
        </w:trPr>
        <w:tc>
          <w:tcPr>
            <w:tcW w:w="44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1"/>
        </w:trPr>
        <w:tc>
          <w:tcPr>
            <w:tcW w:w="47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1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3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306"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4"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Embecta Corp. common stock outstanding as of January 30, 2025 was 58,134,434 shares,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480" w:type="dxa"/>
            <w:vAlign w:val="bottom"/>
            <w:gridSpan w:val="16"/>
            <w:vMerge w:val="continue"/>
          </w:tcPr>
          <w:p>
            <w:pPr>
              <w:spacing w:after="0"/>
              <w:rPr>
                <w:sz w:val="15"/>
                <w:szCs w:val="15"/>
                <w:color w:val="auto"/>
              </w:rPr>
            </w:pPr>
          </w:p>
        </w:tc>
        <w:tc>
          <w:tcPr>
            <w:tcW w:w="7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360" w:type="dxa"/>
            <w:vAlign w:val="bottom"/>
            <w:gridSpan w:val="8"/>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4200" w:type="dxa"/>
            <w:vAlign w:val="bottom"/>
            <w:gridSpan w:val="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7"/>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20" w:type="dxa"/>
            <w:vAlign w:val="bottom"/>
            <w:gridSpan w:val="3"/>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02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8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880" w:type="dxa"/>
            <w:vAlign w:val="bottom"/>
            <w:gridSpan w:val="10"/>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7"/>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0"/>
        </w:trPr>
        <w:tc>
          <w:tcPr>
            <w:tcW w:w="79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7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Operating Income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04"/>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79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r>
      <w:tr>
        <w:trPr>
          <w:trHeight w:val="21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0"/>
        </w:trPr>
        <w:tc>
          <w:tcPr>
            <w:tcW w:w="79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7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33"/>
        </w:trPr>
        <w:tc>
          <w:tcPr>
            <w:tcW w:w="79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209"/>
        </w:trPr>
        <w:tc>
          <w:tcPr>
            <w:tcW w:w="7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Cash and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Trade receivables, net (net of allowance for doubtful accounts of $2.7 million and $2.8 million as of</w:t>
            </w:r>
          </w:p>
        </w:tc>
        <w:tc>
          <w:tcPr>
            <w:tcW w:w="200" w:type="dxa"/>
            <w:vAlign w:val="bottom"/>
            <w:shd w:val="clear" w:color="auto" w:fill="CCEEFF"/>
          </w:tcPr>
          <w:p>
            <w:pPr>
              <w:spacing w:after="0"/>
              <w:rPr>
                <w:sz w:val="16"/>
                <w:szCs w:val="16"/>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December 31, 2024 and September 30, 2024, respectively)</w:t>
            </w:r>
          </w:p>
        </w:tc>
        <w:tc>
          <w:tcPr>
            <w:tcW w:w="20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Materials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0"/>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Work in process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Finished products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0" w:type="dxa"/>
            <w:vAlign w:val="bottom"/>
          </w:tcPr>
          <w:p>
            <w:pPr>
              <w:spacing w:after="0"/>
              <w:rPr>
                <w:sz w:val="1"/>
                <w:szCs w:val="1"/>
                <w:color w:val="auto"/>
              </w:rPr>
            </w:pPr>
          </w:p>
        </w:tc>
      </w:tr>
      <w:tr>
        <w:trPr>
          <w:trHeight w:val="204"/>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Total Inventories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Amounts due from Becton, Dickinson and Company</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761.0</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Assets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4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Amounts due to Becton, Dickinson and Company</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Salaries, wages and related items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Current debt obligations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Income taxes</w:t>
            </w:r>
          </w:p>
        </w:tc>
        <w:tc>
          <w:tcPr>
            <w:tcW w:w="20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1,565.3</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Contingencies (Note 6)</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Embecta Corp. Equity</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Authorized - 250,000,000</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400" w:type="dxa"/>
            <w:vAlign w:val="bottom"/>
            <w:shd w:val="clear" w:color="auto" w:fill="CCEEFF"/>
          </w:tcPr>
          <w:p>
            <w:pPr>
              <w:ind w:left="700"/>
              <w:spacing w:after="0" w:line="175" w:lineRule="exact"/>
              <w:rPr>
                <w:sz w:val="20"/>
                <w:szCs w:val="20"/>
                <w:color w:val="auto"/>
              </w:rPr>
            </w:pPr>
            <w:r>
              <w:rPr>
                <w:rFonts w:ascii="Times New Roman" w:cs="Times New Roman" w:eastAsia="Times New Roman" w:hAnsi="Times New Roman"/>
                <w:sz w:val="16"/>
                <w:szCs w:val="16"/>
                <w:color w:val="auto"/>
              </w:rPr>
              <w:t>Issued and outstanding - 58,131,759 as of December 31, 2024 and 57,707,285 as of September 30,</w:t>
            </w: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(738.3)</w:t>
            </w:r>
          </w:p>
        </w:tc>
        <w:tc>
          <w:tcPr>
            <w:tcW w:w="0" w:type="dxa"/>
            <w:vAlign w:val="bottom"/>
          </w:tcPr>
          <w:p>
            <w:pPr>
              <w:spacing w:after="0"/>
              <w:rPr>
                <w:sz w:val="1"/>
                <w:szCs w:val="1"/>
                <w:color w:val="auto"/>
              </w:rPr>
            </w:pPr>
          </w:p>
        </w:tc>
      </w:tr>
      <w:tr>
        <w:trPr>
          <w:trHeight w:val="20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1,149.5</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3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10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Additional Paid-In</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Comprehensive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Capital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(Loss) Income</w:t>
            </w:r>
          </w:p>
        </w:tc>
        <w:tc>
          <w:tcPr>
            <w:tcW w:w="24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2023</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57,333,353</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($0.15 per share)</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240,144</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57,573,497</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(793.5)</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2024</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57,707,285</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(738.3)</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($0.15 per share)</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424,474</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58,131,759</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4"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8890</wp:posOffset>
            </wp:positionV>
            <wp:extent cx="20916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0"/>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Adjustments to net income to derive net cash provided by operating activities: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Impairment of property, plant and equipment</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Deferred income taxes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Trade receivables, net</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Inventories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Due from/due to Becton, Dickinson and Company</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Income and other net taxes payable</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0"/>
        </w:trPr>
        <w:tc>
          <w:tcPr>
            <w:tcW w:w="794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for operating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192"/>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31"/>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Capital expenditures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Dividend payments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equivalents and restricted cash</w:t>
            </w: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Change in Cash and equivalents and restricted cash</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Opening Cash and equivalents and restricted cash</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Closing Cash and equivalents and restricted cash</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298.7</w:t>
            </w:r>
          </w:p>
        </w:tc>
      </w:tr>
      <w:tr>
        <w:trPr>
          <w:trHeight w:val="33"/>
        </w:trPr>
        <w:tc>
          <w:tcPr>
            <w:tcW w:w="79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Corp. ("Embecta" or the "Company") is a leading global medical device company focused on providing solutions to improve the health and well-being of people living with diabetes. The Company has a broad portfolio of marketed products, including a variety of pen needles, syringes and safety devices. The Company primarily sells products to wholesalers and distributors that sell to retail and institutional channels who in turn sell to patients or use the products to deliver insulin injections to patients.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accompanying unaudited financial statements have been prepared in accordance with U.S. Generally Accepted Accounting Principles (“GAAP”) and with the instructions to Form 10-Q and Article 10 of Regulation S-X. Accordingly, certain information and disclosures required by GAAP for complete consolidated financial statements are not included herein. The results of operations of any interim period are not necessarily indicative of the results of operations for the full year. In the Company's opinion, all adjustments necessary for a fair statement of these interim statements have been included and are of a normal and recurring nature. All intercompany transactions and accounts within Embecta have been eliminated. These interim statements should be read in conjunction with the audited financial statements and notes thereto included in Embecta's Annual Report on Form 10-K for the year ended September 30, 2024, filed with the Securities and Exchange Commission on December 11, 2024 (the “2024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or assumptions affect reported assets, liabilities, revenues and expenses, depreciable and amortizable lives, sales returns and allowances, rebate accruals, inventory reserves and taxes on income as reflected in the Condensed Consolidated Financial Statements. Actual results could differ from these estimates.</w:t>
      </w:r>
    </w:p>
    <w:p>
      <w:pPr>
        <w:spacing w:after="0" w:line="121" w:lineRule="exact"/>
        <w:rPr>
          <w:sz w:val="20"/>
          <w:szCs w:val="20"/>
          <w:color w:val="auto"/>
        </w:rPr>
      </w:pPr>
    </w:p>
    <w:p>
      <w:pPr>
        <w:ind w:right="1640"/>
        <w:spacing w:after="0" w:line="369" w:lineRule="auto"/>
        <w:rPr>
          <w:sz w:val="20"/>
          <w:szCs w:val="20"/>
          <w:color w:val="auto"/>
        </w:rPr>
      </w:pPr>
      <w:r>
        <w:rPr>
          <w:rFonts w:ascii="Times New Roman" w:cs="Times New Roman" w:eastAsia="Times New Roman" w:hAnsi="Times New Roman"/>
          <w:sz w:val="18"/>
          <w:szCs w:val="18"/>
          <w:i w:val="1"/>
          <w:iCs w:val="1"/>
          <w:color w:val="auto"/>
        </w:rPr>
        <w:t>The following provides updates to the Company's "Summary of Significant Accounting Policies" as disclosed in the 2024 Form 10-K. Restructuring Costs</w:t>
      </w: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records liabilities for costs associated with exit or disposal activities in the period in which the liability is incurred. In accordance with existing benefit arrangements, future employee termination costs to be incurred in conjunction with involuntary separations are accrued when such separations are probable and estimable. When accruing these costs, the Company will recognize the amount that is the best estimate. Costs for one-time termination benefits are recognized at the date the employee is notified, unless the employee is required to render services beyond a minimum retention period, in which case the benefits are expensed ratably over the service period. Liabilities for other costs associated with a restructuring activity are measured at fair value and are recognized when the liability is incurred. Other costs primarily consist of contract termination fees and other costs related to restructuring activities and are expensed when incurred. In connection with exit and disposal activities, the Company also assesses the recoverability of long-lived assets employed in the business. Additional disclosures regarding the Company’s accounting for restructuring costs are provided in Note 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new material accounting standards adopted in the first quarter of fiscal year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2023, the Financial Accounting Standard Board ("FASB") issued Accounting Standards Update ("ASU") 2023-07, Segment Reporting (Topic 280): Improvements to Reportable Segment Disclosures, which modifies the disclosure and presentation requirements of reportable segments. This update is effective for the Company beginning with its fiscal year 2025 reporting and for interim reporting beginning with its fiscal year 2026. While this accounting standard will increase disclosures, it will not have a material impact on the Company’s Consolidated Financial Statement results.</w:t>
      </w:r>
    </w:p>
    <w:p>
      <w:pPr>
        <w:spacing w:after="0" w:line="6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This update is effective for the Company beginning with its fiscal year 2026 reporting. While this accounting standard will increase disclosures, it will not have a material impact on the Company’s Consolidated Financial Statement results.</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(Subtopic 220-40), to improve disclosures about an entity's expenses including more detailed information about the components of expenses in</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commonly presented expense captions. This update is effective for the Company beginning with its fiscal year 2028 reporting and for interim reporting beginning with its fiscal year 2029. While this accounting standard will increase disclosures, it will not have a material impact on the Company’s Consolidated Financial Statements.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Third Party Arrangements and Related Party Disclosures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B2A29"/>
        </w:rPr>
        <w:t>On April 1, 2022, Embecta and Becton, Dickinson and Company ("BD") entered into a Separation and Distribution Agreement (the "Separation and Distribution Agreement"). Pursuant to the Separation and Distribution Agreement, BD agreed to spin off its diabetes care business (the "Diabetes Care Business") into Embecta, a new, publicly traded company (the "Separation").</w:t>
      </w:r>
    </w:p>
    <w:p>
      <w:pPr>
        <w:spacing w:after="0" w:line="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In connection with the Separation, the Company entered into the Separation and Distribution Agreement, which contains provisions that, among other things, relate to (i) assets, liabilities and contracts to be transferred, assumed and assigned to each of Embecta and BD (including certain deferred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 obligations under existing insurance policies with respect to occurrences prior to completion of the Separation, as well as the right to proceeds and the obligation to incur certain deductibles under certain insurance policies, and (v) procedures governing Embecta’s and BD’s obligations and allocations of liabilities with respect to ongoing litigation matters that may implicate each of BD’s business and Embecta’s business. In addition, the Company entered into a series of agreements with BD that govern aspects of Embecta's relationship with BD following the Separation which include, but are not limited to the Transition Services Agreements ("TSA"), </w:t>
      </w:r>
      <w:r>
        <w:rPr>
          <w:rFonts w:ascii="Times New Roman" w:cs="Times New Roman" w:eastAsia="Times New Roman" w:hAnsi="Times New Roman"/>
          <w:sz w:val="18"/>
          <w:szCs w:val="18"/>
          <w:color w:val="2B2A29"/>
        </w:rPr>
        <w:t>Trade Receivables Factoring Agreements ("Factoring Agreements"),</w:t>
      </w:r>
      <w:r>
        <w:rPr>
          <w:rFonts w:ascii="Times New Roman" w:cs="Times New Roman" w:eastAsia="Times New Roman" w:hAnsi="Times New Roman"/>
          <w:sz w:val="18"/>
          <w:szCs w:val="18"/>
          <w:color w:val="auto"/>
        </w:rPr>
        <w:t xml:space="preserve"> Distribution Agreements, Cannula Supply Agreement, Tax Matters Agreement, Logistics Services Agreement ("LSA"), employee matters agreement, an intellectual property matters agreement, local support services agreements, certain other manufacturing arrangements and a process services agreement and lease agreement for a manufacturing facility located in Holdrege, Nebraska. Certain of these agreements have expired or terminated as disclosed in the 2024 Form 10-K.</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details on the rights and responsibilities of the parties under these agreements refer to Note 4 to the Consolidated Financial Statements in the 2024 Form 10-K.</w:t>
      </w:r>
    </w:p>
    <w:p>
      <w:pPr>
        <w:spacing w:after="0" w:line="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amount due from BD under the above agreements was $39.6 million at December 31, 2024 and is included in </w:t>
      </w:r>
      <w:r>
        <w:rPr>
          <w:rFonts w:ascii="Times New Roman" w:cs="Times New Roman" w:eastAsia="Times New Roman" w:hAnsi="Times New Roman"/>
          <w:sz w:val="18"/>
          <w:szCs w:val="18"/>
          <w:i w:val="1"/>
          <w:iCs w:val="1"/>
          <w:color w:val="auto"/>
        </w:rPr>
        <w:t>Amounts due from Becton, Dickinson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Company</w:t>
      </w:r>
      <w:r>
        <w:rPr>
          <w:rFonts w:ascii="Times New Roman" w:cs="Times New Roman" w:eastAsia="Times New Roman" w:hAnsi="Times New Roman"/>
          <w:sz w:val="18"/>
          <w:szCs w:val="18"/>
          <w:color w:val="auto"/>
        </w:rPr>
        <w:t>. The amount due to BD under these agreements was $42.6 million at December 31, 2024 and is included in</w:t>
      </w:r>
      <w:r>
        <w:rPr>
          <w:rFonts w:ascii="Times New Roman" w:cs="Times New Roman" w:eastAsia="Times New Roman" w:hAnsi="Times New Roman"/>
          <w:sz w:val="18"/>
          <w:szCs w:val="18"/>
          <w:i w:val="1"/>
          <w:iCs w:val="1"/>
          <w:color w:val="auto"/>
        </w:rPr>
        <w:t xml:space="preserve"> Amounts due to Becton, Dickinson and Company</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closing of the transfers of certain assets and liabilities related to the Diabetes Care Business in certain jurisdictions, including India, as contemplated by the Separation and Distribution Agreement did not occur at Separation. The transfer of the relevant local assets and liabilities in India are expected to close at a future date. As of December 31, 2024, the amounts related to certain assets and liabilities in these jurisdictions are not material to the Company’s Condensed Consolidated Financial Statements.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Restructuring Charges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November 22, 2024, the Company’s Board of Directors approved a plan to discontinue internal and external investment in the research and development of the Company's patch pump program. As a result, the Company incurred organizational restructuring plan (the "Restructuring Plan") costs during the three months ended December 31, 2024. This Restructuring Plan is expected to be completed by the end of the first half of fiscal year 2025, with the cumulative pretax costs to be incurred by the Company to implement the Restructuring Plan estimated to be $35.0 million to $45.0 million. The Company plans to refocus its investment on its core business while looking to optimize free cash flow and strengthen its balance sheet by paying down debt.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restructuring related accrual balance as of December 31, 2024 and related activity for the three months ended December 31, 2024: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Non-Employee</w:t>
            </w:r>
          </w:p>
        </w:tc>
        <w:tc>
          <w:tcPr>
            <w:tcW w:w="360" w:type="dxa"/>
            <w:vAlign w:val="bottom"/>
          </w:tcPr>
          <w:p>
            <w:pPr>
              <w:spacing w:after="0"/>
              <w:rPr>
                <w:sz w:val="16"/>
                <w:szCs w:val="16"/>
                <w:color w:val="auto"/>
              </w:rPr>
            </w:pPr>
          </w:p>
        </w:tc>
        <w:tc>
          <w:tcPr>
            <w:tcW w:w="1240" w:type="dxa"/>
            <w:vAlign w:val="bottom"/>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3"/>
              </w:rPr>
              <w:t xml:space="preserve">Related </w:t>
            </w:r>
            <w:r>
              <w:rPr>
                <w:rFonts w:ascii="Times New Roman" w:cs="Times New Roman" w:eastAsia="Times New Roman" w:hAnsi="Times New Roman"/>
                <w:sz w:val="21"/>
                <w:szCs w:val="21"/>
                <w:b w:val="1"/>
                <w:bCs w:val="1"/>
                <w:color w:val="auto"/>
                <w:w w:val="93"/>
                <w:vertAlign w:val="superscript"/>
              </w:rPr>
              <w:t>(a)</w:t>
            </w:r>
          </w:p>
        </w:tc>
        <w:tc>
          <w:tcPr>
            <w:tcW w:w="3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240" w:type="dxa"/>
            <w:vAlign w:val="bottom"/>
            <w:tcBorders>
              <w:top w:val="single" w:sz="8" w:color="auto"/>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Charged to expense </w:t>
            </w:r>
            <w:r>
              <w:rPr>
                <w:rFonts w:ascii="Times New Roman" w:cs="Times New Roman" w:eastAsia="Times New Roman" w:hAnsi="Times New Roman"/>
                <w:sz w:val="21"/>
                <w:szCs w:val="21"/>
                <w:color w:val="auto"/>
                <w:vertAlign w:val="superscript"/>
              </w:rPr>
              <w:t>(b)</w:t>
            </w:r>
          </w:p>
        </w:tc>
        <w:tc>
          <w:tcPr>
            <w:tcW w:w="12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w:t>
            </w:r>
          </w:p>
        </w:tc>
        <w:tc>
          <w:tcPr>
            <w:tcW w:w="1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adjustments</w:t>
            </w:r>
          </w:p>
        </w:tc>
        <w:tc>
          <w:tcPr>
            <w:tcW w:w="1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33"/>
        </w:trPr>
        <w:tc>
          <w:tcPr>
            <w:tcW w:w="62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240" w:type="dxa"/>
            <w:vAlign w:val="bottom"/>
            <w:tcBorders>
              <w:bottom w:val="single" w:sz="8" w:color="CCEEFF"/>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Balance at December 31, 2024 </w:t>
            </w:r>
            <w:r>
              <w:rPr>
                <w:rFonts w:ascii="Times New Roman" w:cs="Times New Roman" w:eastAsia="Times New Roman" w:hAnsi="Times New Roman"/>
                <w:sz w:val="21"/>
                <w:szCs w:val="21"/>
                <w:color w:val="auto"/>
                <w:vertAlign w:val="superscript"/>
              </w:rPr>
              <w:t>(c)</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8"/>
        <w:spacing w:after="0" w:line="266" w:lineRule="auto"/>
        <w:tabs>
          <w:tab w:leader="none" w:pos="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relates to other costs associated with the execution of the Company’s plan, such as termination of contracts and long-lived asset impairments which are discussed further in Note 15 and Note 16.</w:t>
      </w:r>
    </w:p>
    <w:p>
      <w:pPr>
        <w:spacing w:after="0" w:line="52" w:lineRule="exact"/>
        <w:rPr>
          <w:rFonts w:ascii="Times New Roman" w:cs="Times New Roman" w:eastAsia="Times New Roman" w:hAnsi="Times New Roman"/>
          <w:sz w:val="18"/>
          <w:szCs w:val="18"/>
          <w:color w:val="auto"/>
        </w:rPr>
      </w:pPr>
    </w:p>
    <w:p>
      <w:pPr>
        <w:jc w:val="both"/>
        <w:ind w:firstLine="8"/>
        <w:spacing w:after="0" w:line="259" w:lineRule="auto"/>
        <w:tabs>
          <w:tab w:leader="none" w:pos="2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three months ended December 31, 2024, approximately $14.3 million is recorded in </w:t>
      </w:r>
      <w:r>
        <w:rPr>
          <w:rFonts w:ascii="Times New Roman" w:cs="Times New Roman" w:eastAsia="Times New Roman" w:hAnsi="Times New Roman"/>
          <w:sz w:val="18"/>
          <w:szCs w:val="18"/>
          <w:i w:val="1"/>
          <w:iCs w:val="1"/>
          <w:color w:val="auto"/>
        </w:rPr>
        <w:t>Other operating expense,</w:t>
      </w:r>
      <w:r>
        <w:rPr>
          <w:rFonts w:ascii="Times New Roman" w:cs="Times New Roman" w:eastAsia="Times New Roman" w:hAnsi="Times New Roman"/>
          <w:sz w:val="18"/>
          <w:szCs w:val="18"/>
          <w:color w:val="auto"/>
        </w:rPr>
        <w:t xml:space="preserve"> $6.5 million is recorded in </w:t>
      </w: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and $6.2 million is recorded in</w:t>
      </w:r>
      <w:r>
        <w:rPr>
          <w:rFonts w:ascii="Times New Roman" w:cs="Times New Roman" w:eastAsia="Times New Roman" w:hAnsi="Times New Roman"/>
          <w:sz w:val="18"/>
          <w:szCs w:val="18"/>
          <w:i w:val="1"/>
          <w:iCs w:val="1"/>
          <w:color w:val="auto"/>
        </w:rPr>
        <w:t xml:space="preserve"> Cost of products sold</w:t>
      </w:r>
      <w:r>
        <w:rPr>
          <w:rFonts w:ascii="Times New Roman" w:cs="Times New Roman" w:eastAsia="Times New Roman" w:hAnsi="Times New Roman"/>
          <w:sz w:val="18"/>
          <w:szCs w:val="18"/>
          <w:color w:val="auto"/>
        </w:rPr>
        <w:t>. Amounts recorded to</w:t>
      </w:r>
      <w:r>
        <w:rPr>
          <w:rFonts w:ascii="Times New Roman" w:cs="Times New Roman" w:eastAsia="Times New Roman" w:hAnsi="Times New Roman"/>
          <w:sz w:val="18"/>
          <w:szCs w:val="18"/>
          <w:i w:val="1"/>
          <w:iCs w:val="1"/>
          <w:color w:val="auto"/>
        </w:rPr>
        <w:t xml:space="preserve"> Selling and administrative expense </w:t>
      </w:r>
      <w:r>
        <w:rPr>
          <w:rFonts w:ascii="Times New Roman" w:cs="Times New Roman" w:eastAsia="Times New Roman" w:hAnsi="Times New Roman"/>
          <w:sz w:val="18"/>
          <w:szCs w:val="18"/>
          <w:color w:val="auto"/>
        </w:rPr>
        <w:t>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three months ended December 31, 2024 </w:t>
      </w:r>
      <w:r>
        <w:rPr>
          <w:rFonts w:ascii="Times New Roman" w:cs="Times New Roman" w:eastAsia="Times New Roman" w:hAnsi="Times New Roman"/>
          <w:sz w:val="18"/>
          <w:szCs w:val="18"/>
          <w:color w:val="2B2A29"/>
        </w:rPr>
        <w:t>were not material to the Company's Condensed Consolidated Statements of Income.</w:t>
      </w:r>
    </w:p>
    <w:p>
      <w:pPr>
        <w:spacing w:after="0" w:line="58" w:lineRule="exact"/>
        <w:rPr>
          <w:rFonts w:ascii="Times New Roman" w:cs="Times New Roman" w:eastAsia="Times New Roman" w:hAnsi="Times New Roman"/>
          <w:sz w:val="18"/>
          <w:szCs w:val="18"/>
          <w:color w:val="auto"/>
        </w:rPr>
      </w:pPr>
    </w:p>
    <w:p>
      <w:pPr>
        <w:ind w:firstLine="8"/>
        <w:spacing w:after="0" w:line="284" w:lineRule="auto"/>
        <w:tabs>
          <w:tab w:leader="none" w:pos="2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December 31, 2024, approximately $9.2 million is recorded in </w:t>
      </w:r>
      <w:r>
        <w:rPr>
          <w:rFonts w:ascii="Times New Roman" w:cs="Times New Roman" w:eastAsia="Times New Roman" w:hAnsi="Times New Roman"/>
          <w:sz w:val="18"/>
          <w:szCs w:val="18"/>
          <w:i w:val="1"/>
          <w:iCs w:val="1"/>
          <w:color w:val="auto"/>
        </w:rPr>
        <w:t>Salaries, wages and related items</w:t>
      </w:r>
      <w:r>
        <w:rPr>
          <w:rFonts w:ascii="Times New Roman" w:cs="Times New Roman" w:eastAsia="Times New Roman" w:hAnsi="Times New Roman"/>
          <w:sz w:val="18"/>
          <w:szCs w:val="18"/>
          <w:color w:val="auto"/>
        </w:rPr>
        <w:t xml:space="preserve"> and $5.4 million is recorded in </w:t>
      </w:r>
      <w:r>
        <w:rPr>
          <w:rFonts w:ascii="Times New Roman" w:cs="Times New Roman" w:eastAsia="Times New Roman" w:hAnsi="Times New Roman"/>
          <w:sz w:val="18"/>
          <w:szCs w:val="18"/>
          <w:i w:val="1"/>
          <w:iCs w:val="1"/>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Other Operating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40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06"/>
        </w:trPr>
        <w:tc>
          <w:tcPr>
            <w:tcW w:w="79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Pr>
          <w:p>
            <w:pPr>
              <w:spacing w:after="0"/>
              <w:rPr>
                <w:sz w:val="17"/>
                <w:szCs w:val="17"/>
                <w:color w:val="auto"/>
              </w:rPr>
            </w:pPr>
          </w:p>
        </w:tc>
      </w:tr>
      <w:tr>
        <w:trPr>
          <w:trHeight w:val="31"/>
        </w:trPr>
        <w:tc>
          <w:tcPr>
            <w:tcW w:w="79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1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related to the Separation</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7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associated with the discontinued patch pump program</w:t>
            </w:r>
          </w:p>
        </w:tc>
        <w:tc>
          <w:tcPr>
            <w:tcW w:w="1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optimization and severance related costs</w:t>
            </w:r>
          </w:p>
        </w:tc>
        <w:tc>
          <w:tcPr>
            <w:tcW w:w="1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33"/>
        </w:trPr>
        <w:tc>
          <w:tcPr>
            <w:tcW w:w="7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7"/>
                <w:szCs w:val="17"/>
                <w:color w:val="auto"/>
              </w:rPr>
            </w:pPr>
          </w:p>
        </w:tc>
        <w:tc>
          <w:tcPr>
            <w:tcW w:w="120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33"/>
        </w:trPr>
        <w:tc>
          <w:tcPr>
            <w:tcW w:w="79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connection with the Separation, the Company incurred separation and stand-up costs of approximately $10.4 million and $26.4 million during the three months ended December 31, 2024 and December 31, 2023, respectively. The costs incurred primarily consist of costs associated with accounting, auditing, legal services, marketing, supply chain, employee retention, brand transition, and certain other costs to establish certain systems and services, including but not limited to, information technology, procurement, quality and regulatory affairs, medical affairs, tax and treasury services, distribution logistics, and shared services infrastructure support for order-to-cash, source-to-pay, and record-to-report, which, for clarity, includes enterprise resource plan ("ERP") system (“Business Continuity Processes”) and stand-alone functions to assist with the transition to being a stand-alone entity.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December 31, 2024, the Company recognized $14.3 million of costs associated with the discontinuation of the patch pump program which is further discussed in Note 4. The costs incurred primarily consist of severance-related and contract termination costs. For the three months ended December 31, 2023, the Company recognized $1.9 million of costs related to the optimization of certain business functions.</w:t>
      </w:r>
    </w:p>
    <w:p>
      <w:pPr>
        <w:spacing w:after="0" w:line="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2024 and December 31, 2023, respectively, the Company recognized $2.5 million and $0.4 million of costs associated with the amortization of cloud computing arrangements.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Contingencies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was not a party to any material legal proceedings at December 31, 2024 or September 30, 2024, nor is it a party to any material legal proceedings as of the date of issuance of these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policies for recognizing revenue have not changed from those described in the 2024 Form 10-K. The Company sells syringes, pen needles and other products used in the management of diabetes which are primarily sold to wholesalers and distributors that sell to retail and institutional channels who in turn sell to patients or use the products to deliver insulin injections to patients. End-users of the Company’s products include healthcare institutions, physicians, life science researchers, clinical laboratories, the pharmaceutical industry, and the general public.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Revenues</w:t>
      </w:r>
    </w:p>
    <w:p>
      <w:pPr>
        <w:spacing w:after="0" w:line="1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allowance for doubtful accounts reflects the current estimate of credit losses expected to be incurred over the life of its trade receivables. Such estimated credit losses are determined based on historical loss experiences, customer specific credit risk, and reasonable and supportable forward-looking information,</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30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Condensed Consolidated Financial Statements.</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Company’s gross revenues are subject to a variety of gross-to-net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rebate liability include the quantification of inventory that is either in stock at or in transit to the Company’s distributors, as well as the estimated lag time between the sale of product and the payment of corresponding rebates.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liability attributed to variable consideration at December 31, 2024 and September 30, 2024 was $128.6 million and $149.6 million, respectively. Sales deductions recorded as a reduction of gross revenues for the three months ended December 31, 2024 and 2023 were $150.1 million and $126.7 million,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revenue by geographic region and product line is provided within Note 8.</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does not have contract liabilities. Contract assets consist of the Company’s right to consideration that is conditional upon its future performance pursuant to private label agreements and are presented within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in the Condensed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asset balance was $1.2 million as of both December 31, 2024 and September 30,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and Geographical Data</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in which discrete financial information is available for evaluation by the chief operating decision-maker (“CODM”) in making decisions regarding assessing business performance and allocating resources and capital. Management has concluded that the Company operates in one segment based upon the information used by the CODM in evaluating the performance of the Company’s business and allocating resources and capital.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has distribution agreements with regional or national distributors (including wholesalers and medical suppliers) to ensure broad availability of its products as well as a direct sales force in certain countries and regions around the world. In the United States and Canada, the Company utilizes its large and small key account managers that call on payers, retailers, wholesalers and institutional customers, and field-based territory managers that call on health care providers and pharmacies. In certain markets within Europe, the Company has dedicated sales representatives and in certain regions of the Middle East and Africa, the Company has distribution agreements. In Asia, the Company has distribution agreements, and in China the Company relies on its own commercial team to support sales execution. In Latin America, the Company maintains distribution agreements and direct sales representatives.</w:t>
      </w:r>
    </w:p>
    <w:p>
      <w:pPr>
        <w:spacing w:after="0" w:line="9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 by geography and product line as management believes these categories best depict how the nature, amount, and timing of revenues and cash flows are affected by economic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region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440" w:type="dxa"/>
            <w:vAlign w:val="bottom"/>
          </w:tcPr>
          <w:p>
            <w:pPr>
              <w:spacing w:after="0"/>
              <w:rPr>
                <w:sz w:val="18"/>
                <w:szCs w:val="18"/>
                <w:color w:val="auto"/>
              </w:rPr>
            </w:pPr>
          </w:p>
        </w:tc>
      </w:tr>
      <w:tr>
        <w:trPr>
          <w:trHeight w:val="33"/>
        </w:trPr>
        <w:tc>
          <w:tcPr>
            <w:tcW w:w="12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6"/>
        </w:trPr>
        <w:tc>
          <w:tcPr>
            <w:tcW w:w="12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17"/>
                <w:szCs w:val="17"/>
                <w:color w:val="auto"/>
              </w:rPr>
            </w:pPr>
          </w:p>
        </w:tc>
      </w:tr>
      <w:tr>
        <w:trPr>
          <w:trHeight w:val="31"/>
        </w:trPr>
        <w:tc>
          <w:tcPr>
            <w:tcW w:w="12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17"/>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148.6</w:t>
            </w:r>
          </w:p>
        </w:tc>
      </w:tr>
      <w:tr>
        <w:trPr>
          <w:trHeight w:val="243"/>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1"/>
                <w:szCs w:val="21"/>
                <w:color w:val="auto"/>
                <w:vertAlign w:val="superscript"/>
              </w:rPr>
              <w:t>(1)</w:t>
            </w:r>
          </w:p>
        </w:tc>
        <w:tc>
          <w:tcPr>
            <w:tcW w:w="10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128.7</w:t>
            </w:r>
          </w:p>
        </w:tc>
      </w:tr>
      <w:tr>
        <w:trPr>
          <w:trHeight w:val="262"/>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277.3</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220" w:type="dxa"/>
            <w:vAlign w:val="bottom"/>
            <w:tcBorders>
              <w:bottom w:val="single" w:sz="8" w:color="auto"/>
            </w:tcBorders>
          </w:tcPr>
          <w:p>
            <w:pPr>
              <w:spacing w:after="0"/>
              <w:rPr>
                <w:sz w:val="23"/>
                <w:szCs w:val="23"/>
                <w:color w:val="auto"/>
              </w:rPr>
            </w:pPr>
          </w:p>
        </w:tc>
        <w:tc>
          <w:tcPr>
            <w:tcW w:w="67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162" w:lineRule="exact"/>
        <w:rPr>
          <w:sz w:val="20"/>
          <w:szCs w:val="20"/>
          <w:color w:val="auto"/>
        </w:rPr>
      </w:pPr>
    </w:p>
    <w:p>
      <w:pPr>
        <w:ind w:left="340" w:hanging="332"/>
        <w:spacing w:after="0" w:line="225" w:lineRule="auto"/>
        <w:tabs>
          <w:tab w:leader="none" w:pos="32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December 31, 2024 and 2023, no individual country outside of the United States generated net revenues that represented more than 10.0% of total revenues.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product line are as follows:</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220" w:type="dxa"/>
            <w:vAlign w:val="bottom"/>
            <w:tcBorders>
              <w:bottom w:val="single" w:sz="8" w:color="CCEEFF"/>
            </w:tcBorders>
            <w:gridSpan w:val="2"/>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 Needles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209.8</w:t>
            </w:r>
          </w:p>
        </w:tc>
        <w:tc>
          <w:tcPr>
            <w:tcW w:w="0" w:type="dxa"/>
            <w:vAlign w:val="bottom"/>
          </w:tcPr>
          <w:p>
            <w:pPr>
              <w:spacing w:after="0"/>
              <w:rPr>
                <w:sz w:val="1"/>
                <w:szCs w:val="1"/>
                <w:color w:val="auto"/>
              </w:rPr>
            </w:pPr>
          </w:p>
        </w:tc>
      </w:tr>
      <w:tr>
        <w:trPr>
          <w:trHeight w:val="210"/>
        </w:trPr>
        <w:tc>
          <w:tcPr>
            <w:tcW w:w="7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Syringes</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33"/>
        </w:trPr>
        <w:tc>
          <w:tcPr>
            <w:tcW w:w="12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Safety</w:t>
            </w:r>
          </w:p>
        </w:tc>
        <w:tc>
          <w:tcPr>
            <w:tcW w:w="1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43"/>
        </w:trPr>
        <w:tc>
          <w:tcPr>
            <w:tcW w:w="7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(2)</w:t>
            </w:r>
          </w:p>
        </w:tc>
        <w:tc>
          <w:tcPr>
            <w:tcW w:w="1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Manufacturing</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4"/>
        </w:trPr>
        <w:tc>
          <w:tcPr>
            <w:tcW w:w="7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100" w:type="dxa"/>
            <w:vAlign w:val="bottom"/>
          </w:tcPr>
          <w:p>
            <w:pPr>
              <w:spacing w:after="0"/>
              <w:rPr>
                <w:sz w:val="17"/>
                <w:szCs w:val="17"/>
                <w:color w:val="auto"/>
              </w:rPr>
            </w:pPr>
          </w:p>
        </w:tc>
        <w:tc>
          <w:tcPr>
            <w:tcW w:w="1160" w:type="dxa"/>
            <w:vAlign w:val="bottom"/>
            <w:tcBorders>
              <w:top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277.3</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20" w:type="dxa"/>
            <w:vAlign w:val="bottom"/>
          </w:tcPr>
          <w:p>
            <w:pPr>
              <w:spacing w:after="0"/>
              <w:rPr>
                <w:sz w:val="20"/>
                <w:szCs w:val="20"/>
                <w:color w:val="auto"/>
              </w:rPr>
            </w:pPr>
            <w:r>
              <w:rPr>
                <w:rFonts w:ascii="Times New Roman" w:cs="Times New Roman" w:eastAsia="Times New Roman" w:hAnsi="Times New Roman"/>
                <w:sz w:val="11"/>
                <w:szCs w:val="11"/>
                <w:color w:val="auto"/>
              </w:rPr>
              <w:t>(2)</w:t>
            </w:r>
          </w:p>
        </w:tc>
        <w:tc>
          <w:tcPr>
            <w:tcW w:w="7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Other includes product sales for swabs and other accessories.</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772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for the three months ended December 31, 2024 and 2023 and the respective income tax benefits recognized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the Condensed Consolidated Statements of Income are as follows: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920" w:type="dxa"/>
            <w:vAlign w:val="bottom"/>
          </w:tcPr>
          <w:p>
            <w:pPr>
              <w:spacing w:after="0"/>
              <w:rPr>
                <w:sz w:val="18"/>
                <w:szCs w:val="18"/>
                <w:color w:val="auto"/>
              </w:rPr>
            </w:pPr>
          </w:p>
        </w:tc>
        <w:tc>
          <w:tcPr>
            <w:tcW w:w="294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40" w:type="dxa"/>
            <w:vAlign w:val="bottom"/>
          </w:tcPr>
          <w:p>
            <w:pPr>
              <w:spacing w:after="0"/>
              <w:rPr>
                <w:sz w:val="18"/>
                <w:szCs w:val="18"/>
                <w:color w:val="auto"/>
              </w:rPr>
            </w:pPr>
          </w:p>
        </w:tc>
      </w:tr>
      <w:tr>
        <w:trPr>
          <w:trHeight w:val="33"/>
        </w:trPr>
        <w:tc>
          <w:tcPr>
            <w:tcW w:w="79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6"/>
        </w:trPr>
        <w:tc>
          <w:tcPr>
            <w:tcW w:w="7920" w:type="dxa"/>
            <w:vAlign w:val="bottom"/>
          </w:tcPr>
          <w:p>
            <w:pPr>
              <w:spacing w:after="0"/>
              <w:rPr>
                <w:sz w:val="17"/>
                <w:szCs w:val="17"/>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Pr>
          <w:p>
            <w:pPr>
              <w:spacing w:after="0"/>
              <w:rPr>
                <w:sz w:val="17"/>
                <w:szCs w:val="17"/>
                <w:color w:val="auto"/>
              </w:rPr>
            </w:pPr>
          </w:p>
        </w:tc>
      </w:tr>
      <w:tr>
        <w:trPr>
          <w:trHeight w:val="31"/>
        </w:trPr>
        <w:tc>
          <w:tcPr>
            <w:tcW w:w="79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17"/>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33"/>
        </w:trPr>
        <w:tc>
          <w:tcPr>
            <w:tcW w:w="7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2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w:t>
            </w: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4"/>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benefit associated with stock-based compensation costs recognized</w:t>
            </w:r>
          </w:p>
        </w:tc>
        <w:tc>
          <w:tcPr>
            <w:tcW w:w="1140" w:type="dxa"/>
            <w:vAlign w:val="bottom"/>
            <w:tcBorders>
              <w:top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1240" w:type="dxa"/>
            <w:vAlign w:val="bottom"/>
            <w:tcBorders>
              <w:top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33"/>
        </w:trPr>
        <w:tc>
          <w:tcPr>
            <w:tcW w:w="79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
        </w:trPr>
        <w:tc>
          <w:tcPr>
            <w:tcW w:w="79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classification of award for the three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6"/>
        </w:trPr>
        <w:tc>
          <w:tcPr>
            <w:tcW w:w="790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7"/>
                <w:szCs w:val="17"/>
                <w:color w:val="auto"/>
              </w:rPr>
            </w:pPr>
          </w:p>
        </w:tc>
      </w:tr>
      <w:tr>
        <w:trPr>
          <w:trHeight w:val="31"/>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16"/>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Awards</w:t>
            </w:r>
          </w:p>
        </w:tc>
        <w:tc>
          <w:tcPr>
            <w:tcW w:w="112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Liability Awards</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33"/>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17"/>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
        </w:trPr>
        <w:tc>
          <w:tcPr>
            <w:tcW w:w="79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bl>
    <w:p>
      <w:pPr>
        <w:spacing w:after="0" w:line="2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award type for the three months ended December 31, 2024 and 2023:</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4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6"/>
        </w:trPr>
        <w:tc>
          <w:tcPr>
            <w:tcW w:w="7940" w:type="dxa"/>
            <w:vAlign w:val="bottom"/>
          </w:tcPr>
          <w:p>
            <w:pPr>
              <w:spacing w:after="0"/>
              <w:rPr>
                <w:sz w:val="17"/>
                <w:szCs w:val="17"/>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Pr>
          <w:p>
            <w:pPr>
              <w:spacing w:after="0"/>
              <w:rPr>
                <w:sz w:val="17"/>
                <w:szCs w:val="17"/>
                <w:color w:val="auto"/>
              </w:rPr>
            </w:pPr>
          </w:p>
        </w:tc>
      </w:tr>
      <w:tr>
        <w:trPr>
          <w:trHeight w:val="31"/>
        </w:trPr>
        <w:tc>
          <w:tcPr>
            <w:tcW w:w="79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1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Time-Vested Restricted Stock Units (TVUs)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Performance-Based Restricted Stock Units (PSUs)</w:t>
            </w: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33"/>
        </w:trPr>
        <w:tc>
          <w:tcPr>
            <w:tcW w:w="7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Appreciation Rights (SARs)</w:t>
            </w: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tcBorders>
              <w:top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7"/>
                <w:szCs w:val="17"/>
                <w:color w:val="auto"/>
              </w:rPr>
            </w:pPr>
          </w:p>
        </w:tc>
        <w:tc>
          <w:tcPr>
            <w:tcW w:w="1240" w:type="dxa"/>
            <w:vAlign w:val="bottom"/>
            <w:tcBorders>
              <w:top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33"/>
        </w:trPr>
        <w:tc>
          <w:tcPr>
            <w:tcW w:w="79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Time Vested Restricted Stock Units ("TVUs")</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2B2A29"/>
        </w:rPr>
        <w:t xml:space="preserve">During the three </w:t>
      </w:r>
      <w:r>
        <w:rPr>
          <w:rFonts w:ascii="Times New Roman" w:cs="Times New Roman" w:eastAsia="Times New Roman" w:hAnsi="Times New Roman"/>
          <w:sz w:val="18"/>
          <w:szCs w:val="18"/>
          <w:color w:val="000000"/>
        </w:rPr>
        <w:t>months ended December 31, 2024</w:t>
      </w:r>
      <w:r>
        <w:rPr>
          <w:rFonts w:ascii="Times New Roman" w:cs="Times New Roman" w:eastAsia="Times New Roman" w:hAnsi="Times New Roman"/>
          <w:sz w:val="18"/>
          <w:szCs w:val="18"/>
          <w:color w:val="2B2A29"/>
        </w:rPr>
        <w:t>, Embecta granted 1,404,047 restricted stock units ("RSUs") in the form of TVUs to employees. TVUs vest on a graded basis over a period of three years. The related stock-based compensation expense is recorded over the requisite service period, which is the vesting period or is based on retirement eligibility. These awards accumulate dividend equivalents, which are provided as additional units and are subject to the same vesting requirements as the underlying grant.</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2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TVUs outstanding as of December 31, 2024 and changes during the three months ended December 31, 2024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1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TVUs (in thousands)</w:t>
            </w:r>
          </w:p>
        </w:tc>
        <w:tc>
          <w:tcPr>
            <w:tcW w:w="14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25"/>
        </w:trPr>
        <w:tc>
          <w:tcPr>
            <w:tcW w:w="794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December 31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Expected to vest at December 31</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2,502.9</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*Includes accumulated nonvested dividend equivalents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TVUs distributed include shares withheld for taxes that are not formally issued to the market.</w:t>
      </w: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TVUs granted during the three months ended December 31, 2024 is $18.70 and the total fair value of TVUs vested during the three months ended December 31, 2024 is $14.8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 weighted average remaining vesting term of TVUs is 2.2 years.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Performance Based Restricted Stock Units ("PSUs")</w:t>
      </w:r>
    </w:p>
    <w:p>
      <w:pPr>
        <w:spacing w:after="0" w:line="1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8"/>
          <w:szCs w:val="18"/>
          <w:color w:val="000000"/>
        </w:rPr>
        <w:t>three months ended December 31, 2024</w:t>
      </w:r>
      <w:r>
        <w:rPr>
          <w:rFonts w:ascii="Times New Roman" w:cs="Times New Roman" w:eastAsia="Times New Roman" w:hAnsi="Times New Roman"/>
          <w:sz w:val="18"/>
          <w:szCs w:val="18"/>
          <w:color w:val="2B2A29"/>
        </w:rPr>
        <w:t xml:space="preserve">, Embecta awarded 538,031 RSUs in the form of PSUs to certain executive officers and employees which cliff vest after three years, subject to continued employment of the recipients and the achievement of certain performance metric targets. The Company has identified certain performance metrics associated with these awards and certain targets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the Company recognizes stock-based compensation expense for each separately-vesting tranche over the requisite service period based on the fair value at each reporting date. The requisite service period is equal to the vesting period or is based on retirement eligibility. These awards accumulate dividend equivalents, which are provided as additional units and are subject to the same vesting requirements as the underlying grant. 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B2A29"/>
        </w:rPr>
        <w:t>, there were 1,019,799 RSUs in the form of PSUs that have been awarded, inclusive of accumulated dividend equivalents, for which a grant date has not yet been established.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PSUs outstanding as of December 31, 2024 and changes during the three months ended December 31, 2024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Stock Units (in</w:t>
            </w:r>
          </w:p>
        </w:tc>
        <w:tc>
          <w:tcPr>
            <w:tcW w:w="14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794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r>
      <w:tr>
        <w:trPr>
          <w:trHeight w:val="3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r>
      <w:tr>
        <w:trPr>
          <w:trHeight w:val="33"/>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at December 31</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24.20</w:t>
            </w:r>
          </w:p>
        </w:tc>
      </w:tr>
      <w:tr>
        <w:trPr>
          <w:trHeight w:val="3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to vest at December 31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*Includes accumulated nonvested dividend equivalents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 weighted average remaining vesting term of PSUs is 0.7 years.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stock appreciation rights ("SARs") outstanding as of December 31, 2024 and changes during the three months ended December 31, 2024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120" w:type="dxa"/>
            <w:vAlign w:val="bottom"/>
          </w:tcPr>
          <w:p>
            <w:pPr>
              <w:spacing w:after="0"/>
              <w:rPr>
                <w:sz w:val="16"/>
                <w:szCs w:val="16"/>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239"/>
        </w:trPr>
        <w:tc>
          <w:tcPr>
            <w:tcW w:w="458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SARs (in thousands)</w:t>
            </w: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20" w:type="dxa"/>
            <w:vAlign w:val="bottom"/>
          </w:tcPr>
          <w:p>
            <w:pPr>
              <w:spacing w:after="0"/>
              <w:rPr>
                <w:sz w:val="20"/>
                <w:szCs w:val="20"/>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1</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at December 31</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80" w:type="dxa"/>
            <w:vAlign w:val="bottom"/>
            <w:vMerge w:val="continue"/>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at December 31</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amounts exercised include shares withheld for taxes that are not formally issued to the market.</w:t>
      </w: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3,400 SARs were exercised during the three months ended December 31, 2024. The intrinsic value and grant date fair value of SARs exercised was immaterial.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Stock-Based Compensation Expense and Other Stock Plans</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amount of unrecognized compensation expense for all non-vested stock-based awards granted as of December 31, 2024, is approximately $52.3 million which is expected to be recognized over a weighted-average remaining life of approximately 2.2 years. At December 31, 2024, 4.7 million shares were authorized for future grants under the Company's 2022 Employee and Director Equity Based Compensation Plan, as amended.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 and Other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Intangible Assets consisted of:</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33"/>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Amortized intangible assets</w:t>
            </w: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Patents – gross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0"/>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Patents –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4"/>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 and Other – gross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4"/>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 and Other – net</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Goodwill and Other Intangible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Cloud Computing Arrangements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The Company capitalizes costs associated with the development of cloud computing arrangements in a manner consistent with internally developed software. Capitalized costs are included 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Deferred Income Taxes and Other Assets.</w:t>
      </w:r>
      <w:r>
        <w:rPr>
          <w:rFonts w:ascii="Times New Roman" w:cs="Times New Roman" w:eastAsia="Times New Roman" w:hAnsi="Times New Roman"/>
          <w:sz w:val="18"/>
          <w:szCs w:val="18"/>
          <w:color w:val="auto"/>
        </w:rPr>
        <w:t xml:space="preserve"> Capitalized costs to implement cloud computing arrangements at cost and accumulated amortization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Pr>
          <w:p>
            <w:pPr>
              <w:spacing w:after="0"/>
              <w:rPr>
                <w:sz w:val="18"/>
                <w:szCs w:val="18"/>
                <w:color w:val="auto"/>
              </w:rPr>
            </w:pPr>
          </w:p>
        </w:tc>
        <w:tc>
          <w:tcPr>
            <w:tcW w:w="17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33"/>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portion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10.2</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portion</w:t>
            </w:r>
          </w:p>
        </w:tc>
        <w:tc>
          <w:tcPr>
            <w:tcW w:w="200" w:type="dxa"/>
            <w:vAlign w:val="bottom"/>
          </w:tcPr>
          <w:p>
            <w:pPr>
              <w:spacing w:after="0"/>
              <w:rPr>
                <w:sz w:val="18"/>
                <w:szCs w:val="18"/>
                <w:color w:val="auto"/>
              </w:rPr>
            </w:pPr>
          </w:p>
        </w:tc>
        <w:tc>
          <w:tcPr>
            <w:tcW w:w="172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60.6</w:t>
            </w:r>
          </w:p>
        </w:tc>
      </w:tr>
      <w:tr>
        <w:trPr>
          <w:trHeight w:val="33"/>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Capitalized implementation costs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70.8</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00" w:type="dxa"/>
            <w:vAlign w:val="bottom"/>
          </w:tcPr>
          <w:p>
            <w:pPr>
              <w:spacing w:after="0"/>
              <w:rPr>
                <w:sz w:val="18"/>
                <w:szCs w:val="18"/>
                <w:color w:val="auto"/>
              </w:rPr>
            </w:pPr>
          </w:p>
        </w:tc>
        <w:tc>
          <w:tcPr>
            <w:tcW w:w="17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(6.3)</w:t>
            </w:r>
          </w:p>
        </w:tc>
      </w:tr>
      <w:tr>
        <w:trPr>
          <w:trHeight w:val="33"/>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4"/>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Capitalized implementation costs, net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64.5</w:t>
            </w:r>
          </w:p>
        </w:tc>
      </w:tr>
      <w:tr>
        <w:trPr>
          <w:trHeight w:val="33"/>
        </w:trPr>
        <w:tc>
          <w:tcPr>
            <w:tcW w:w="7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Costs amortized during the three months ended December 31, 2024 were $2.5 million and are included in </w:t>
      </w: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Costs amortized during the three months ended December 31, 2023 were not material to the Company's Condensed Consolidated Statements of Income. As of December 31, 2024, cloud computing arrangement assets in-service have useful lives which range from approximately two to eight years.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Long-Term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2022, Embecta entered into a credit agreement (the “Credit Agreement”), providing for:</w:t>
      </w:r>
    </w:p>
    <w:p>
      <w:pPr>
        <w:spacing w:after="0" w:line="104" w:lineRule="exact"/>
        <w:rPr>
          <w:sz w:val="20"/>
          <w:szCs w:val="20"/>
          <w:color w:val="auto"/>
        </w:rPr>
      </w:pPr>
    </w:p>
    <w:p>
      <w:pPr>
        <w:jc w:val="both"/>
        <w:ind w:left="900" w:hanging="568"/>
        <w:spacing w:after="0" w:line="250" w:lineRule="auto"/>
        <w:tabs>
          <w:tab w:leader="none" w:pos="895" w:val="left"/>
        </w:tabs>
        <w:numPr>
          <w:ilvl w:val="0"/>
          <w:numId w:val="5"/>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Term Loan B Facility (the "Term Loan") in the amount of $950.0 million, with a </w:t>
      </w:r>
      <w:r>
        <w:rPr>
          <w:rFonts w:ascii="Times New Roman" w:cs="Times New Roman" w:eastAsia="Times New Roman" w:hAnsi="Times New Roman"/>
          <w:sz w:val="18"/>
          <w:szCs w:val="18"/>
          <w:color w:val="2B2A29"/>
        </w:rPr>
        <w:t>seven</w:t>
      </w:r>
      <w:r>
        <w:rPr>
          <w:rFonts w:ascii="Times New Roman" w:cs="Times New Roman" w:eastAsia="Times New Roman" w:hAnsi="Times New Roman"/>
          <w:sz w:val="18"/>
          <w:szCs w:val="18"/>
          <w:color w:val="auto"/>
        </w:rPr>
        <w:t xml:space="preserve">-year </w:t>
      </w:r>
      <w:r>
        <w:rPr>
          <w:rFonts w:ascii="Times New Roman" w:cs="Times New Roman" w:eastAsia="Times New Roman" w:hAnsi="Times New Roman"/>
          <w:sz w:val="18"/>
          <w:szCs w:val="18"/>
          <w:color w:val="2B2A29"/>
        </w:rPr>
        <w:t>term that matures in March 2029. The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rate is 300 basis points over the secured overnight financing rate (“SOFR”), with a 0.50% SOFR floor. The Term Loan was issued at a discount of 0.50%. Principal and interest payments on the Term Loan commenced on June 30, 2022. Such quarterly principal payments are calculated as 0.25% of the initial principal amount, with the remaining balance payable upon maturity; </w:t>
      </w:r>
      <w:r>
        <w:rPr>
          <w:rFonts w:ascii="Times New Roman" w:cs="Times New Roman" w:eastAsia="Times New Roman" w:hAnsi="Times New Roman"/>
          <w:sz w:val="18"/>
          <w:szCs w:val="18"/>
          <w:color w:val="000000"/>
        </w:rPr>
        <w:t>and</w:t>
      </w:r>
    </w:p>
    <w:p>
      <w:pPr>
        <w:spacing w:after="0" w:line="69" w:lineRule="exact"/>
        <w:rPr>
          <w:rFonts w:ascii="Times New Roman" w:cs="Times New Roman" w:eastAsia="Times New Roman" w:hAnsi="Times New Roman"/>
          <w:sz w:val="18"/>
          <w:szCs w:val="18"/>
          <w:color w:val="2B2A29"/>
        </w:rPr>
      </w:pPr>
    </w:p>
    <w:p>
      <w:pPr>
        <w:jc w:val="both"/>
        <w:ind w:left="900" w:hanging="568"/>
        <w:spacing w:after="0" w:line="247" w:lineRule="auto"/>
        <w:tabs>
          <w:tab w:leader="none" w:pos="895" w:val="left"/>
        </w:tabs>
        <w:numPr>
          <w:ilvl w:val="0"/>
          <w:numId w:val="5"/>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Revolving Credit Facility (the "Revolving Credit Facility") in an aggregate principal amount of up to $500.0 million, with a </w:t>
      </w:r>
      <w:r>
        <w:rPr>
          <w:rFonts w:ascii="Times New Roman" w:cs="Times New Roman" w:eastAsia="Times New Roman" w:hAnsi="Times New Roman"/>
          <w:sz w:val="18"/>
          <w:szCs w:val="18"/>
          <w:color w:val="2B2A29"/>
        </w:rPr>
        <w:t>five</w:t>
      </w:r>
      <w:r>
        <w:rPr>
          <w:rFonts w:ascii="Times New Roman" w:cs="Times New Roman" w:eastAsia="Times New Roman" w:hAnsi="Times New Roman"/>
          <w:sz w:val="18"/>
          <w:szCs w:val="18"/>
          <w:color w:val="auto"/>
        </w:rPr>
        <w:t xml:space="preserve">-year term that matures in 2027. </w:t>
      </w:r>
      <w:r>
        <w:rPr>
          <w:rFonts w:ascii="Times New Roman" w:cs="Times New Roman" w:eastAsia="Times New Roman" w:hAnsi="Times New Roman"/>
          <w:sz w:val="18"/>
          <w:szCs w:val="18"/>
          <w:color w:val="2B2A29"/>
        </w:rPr>
        <w:t>Borrowings under the Revolving Credit Facility bear interest, at Embecta’s option, at an annual rate equal to (a)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case of 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w:t>
      </w:r>
      <w:r>
        <w:rPr>
          <w:rFonts w:ascii="Times New Roman" w:cs="Times New Roman" w:eastAsia="Times New Roman" w:hAnsi="Times New Roman"/>
          <w:sz w:val="18"/>
          <w:szCs w:val="18"/>
          <w:color w:val="000000"/>
        </w:rPr>
        <w:t>As of December 31, 2024, no amount has been drawn on the Revolving Credit</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Facility.</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The Credit Agreement and the indentures for Embecta's outstanding 5.00% senior secured notes due February 2030 (the "5.00% Notes") and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senior secured notes due February 2030 (the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the 5.00% Notes and </w:t>
      </w:r>
      <w:r>
        <w:rPr>
          <w:rFonts w:ascii="Times New Roman" w:cs="Times New Roman" w:eastAsia="Times New Roman" w:hAnsi="Times New Roman"/>
          <w:sz w:val="18"/>
          <w:szCs w:val="18"/>
          <w:color w:val="2B2A29"/>
        </w:rPr>
        <w:t xml:space="preserve">6.75% </w:t>
      </w:r>
      <w:r>
        <w:rPr>
          <w:rFonts w:ascii="Times New Roman" w:cs="Times New Roman" w:eastAsia="Times New Roman" w:hAnsi="Times New Roman"/>
          <w:sz w:val="18"/>
          <w:szCs w:val="18"/>
          <w:color w:val="000000"/>
        </w:rPr>
        <w:t>Notes. In addition, the Credit Agreement contains covenants that will limit, among other things, Embecta’s ability to prepay, redeem or repurchase</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its subordinated and junior lien debt, incur additional debt, make acquisitions, merge with other entities, pay dividends or distributions, redeem or repurchase equity interests, and create or become subject to liens. As of December 31, 2024, we were in compliance with all of such covenants. The credit agreement and the senior secured notes are secured by substantially all assets of Embecta and each subsidiary guarantor, subject to certain exceptions.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December 31,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March 2029</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868.9</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 due February 2030</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5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2B2A29"/>
              </w:rPr>
              <w:t xml:space="preserve">6.75% </w:t>
            </w:r>
            <w:r>
              <w:rPr>
                <w:rFonts w:ascii="Times New Roman" w:cs="Times New Roman" w:eastAsia="Times New Roman" w:hAnsi="Times New Roman"/>
                <w:sz w:val="16"/>
                <w:szCs w:val="16"/>
                <w:color w:val="000000"/>
              </w:rPr>
              <w:t>Notes due February 2030</w:t>
            </w:r>
          </w:p>
        </w:tc>
        <w:tc>
          <w:tcPr>
            <w:tcW w:w="5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1,568.9</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1,534.7</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 xml:space="preserve">The debt issuance costs on the Term Loan, </w:t>
      </w:r>
      <w:r>
        <w:rPr>
          <w:rFonts w:ascii="Times New Roman" w:cs="Times New Roman" w:eastAsia="Times New Roman" w:hAnsi="Times New Roman"/>
          <w:sz w:val="18"/>
          <w:szCs w:val="18"/>
          <w:color w:val="000000"/>
        </w:rPr>
        <w:t>5.00%</w:t>
      </w:r>
      <w:r>
        <w:rPr>
          <w:rFonts w:ascii="Times New Roman" w:cs="Times New Roman" w:eastAsia="Times New Roman" w:hAnsi="Times New Roman"/>
          <w:sz w:val="18"/>
          <w:szCs w:val="18"/>
          <w:color w:val="2B2A29"/>
        </w:rPr>
        <w:t xml:space="preserve"> Notes, 6.75%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B2A29"/>
        </w:rPr>
        <w:t xml:space="preserve"> and the discount on the Term Loan are reported in the Condensed Consolidated Balance Sheets as a reduction of debt and are amortized as a component of </w:t>
      </w:r>
      <w:r>
        <w:rPr>
          <w:rFonts w:ascii="Times New Roman" w:cs="Times New Roman" w:eastAsia="Times New Roman" w:hAnsi="Times New Roman"/>
          <w:sz w:val="18"/>
          <w:szCs w:val="18"/>
          <w:i w:val="1"/>
          <w:iCs w:val="1"/>
          <w:color w:val="2B2A29"/>
        </w:rPr>
        <w:t>Interest expense, net</w:t>
      </w:r>
      <w:r>
        <w:rPr>
          <w:rFonts w:ascii="Times New Roman" w:cs="Times New Roman" w:eastAsia="Times New Roman" w:hAnsi="Times New Roman"/>
          <w:sz w:val="18"/>
          <w:szCs w:val="18"/>
          <w:color w:val="2B2A29"/>
        </w:rPr>
        <w:t xml:space="preserve"> over the term of the related debt using the effective interest method. During the </w:t>
      </w:r>
      <w:r>
        <w:rPr>
          <w:rFonts w:ascii="Times New Roman" w:cs="Times New Roman" w:eastAsia="Times New Roman" w:hAnsi="Times New Roman"/>
          <w:sz w:val="18"/>
          <w:szCs w:val="18"/>
          <w:color w:val="000000"/>
        </w:rPr>
        <w:t>first quarter of fiscal year 2025, the Company recorded approximately $2.1 million of amortization on deferred debt issuance costs and</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discounts.</w:t>
      </w:r>
    </w:p>
    <w:p>
      <w:pPr>
        <w:spacing w:after="0" w:line="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During the first quarter of fiscal 2025, the Company made interest payments of $27.4 million on debt outstanding. The weighted-average interest rate on total borrowings as of </w:t>
      </w:r>
      <w:r>
        <w:rPr>
          <w:rFonts w:ascii="Times New Roman" w:cs="Times New Roman" w:eastAsia="Times New Roman" w:hAnsi="Times New Roman"/>
          <w:sz w:val="18"/>
          <w:szCs w:val="18"/>
          <w:color w:val="2B2A29"/>
        </w:rPr>
        <w:t>December 31, 2024</w:t>
      </w:r>
      <w:r>
        <w:rPr>
          <w:rFonts w:ascii="Times New Roman" w:cs="Times New Roman" w:eastAsia="Times New Roman" w:hAnsi="Times New Roman"/>
          <w:sz w:val="18"/>
          <w:szCs w:val="18"/>
          <w:color w:val="auto"/>
        </w:rPr>
        <w:t xml:space="preserve"> is 6.7%.</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8"/>
          <w:szCs w:val="18"/>
          <w:color w:val="000000"/>
        </w:rPr>
        <w:t>first quarter of fiscal year 2025</w:t>
      </w:r>
      <w:r>
        <w:rPr>
          <w:rFonts w:ascii="Times New Roman" w:cs="Times New Roman" w:eastAsia="Times New Roman" w:hAnsi="Times New Roman"/>
          <w:sz w:val="18"/>
          <w:szCs w:val="18"/>
          <w:color w:val="2B2A29"/>
        </w:rPr>
        <w:t>, the Company paid an aggregate principal amount of approximately $32.4 million on the Term Loan, of which $30.0 million was discretionary. Debt extinguishment charges as a result of this discretionary prepayment were not material to the Company's Condensed Consolidated Statements of Income.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fiscal years and thereafter is as follows: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508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w:t>
            </w: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r>
    </w:tbl>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The estimated fair value of long-term debt (including current portion) at December 31, 2024 was $1,515.3 million compared with a carrying value (which includes a reduction for unamortized debt issuance costs and discounts) of $1,544.2 million. Fair value was estimated using inputs other than quoted prices in active markets for identical assets and liabilities that are observable either directly or indirectly for substantially the full term of the asset or liability and would be considered Level 2 in the fair value hierarchy.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calculation of earnings per basic and diluted common share for the </w:t>
      </w:r>
      <w:r>
        <w:rPr>
          <w:rFonts w:ascii="Times New Roman" w:cs="Times New Roman" w:eastAsia="Times New Roman" w:hAnsi="Times New Roman"/>
          <w:sz w:val="18"/>
          <w:szCs w:val="18"/>
          <w:color w:val="2B2A29"/>
        </w:rPr>
        <w:t>three months ended December 31, 2024 and</w:t>
      </w:r>
      <w:r>
        <w:rPr>
          <w:rFonts w:ascii="Times New Roman" w:cs="Times New Roman" w:eastAsia="Times New Roman" w:hAnsi="Times New Roman"/>
          <w:sz w:val="18"/>
          <w:szCs w:val="18"/>
          <w:color w:val="auto"/>
        </w:rPr>
        <w:t xml:space="preserve"> 2023 </w:t>
      </w:r>
      <w:r>
        <w:rPr>
          <w:rFonts w:ascii="Times New Roman" w:cs="Times New Roman" w:eastAsia="Times New Roman" w:hAnsi="Times New Roman"/>
          <w:sz w:val="18"/>
          <w:szCs w:val="18"/>
          <w:color w:val="2B2A29"/>
        </w:rPr>
        <w:t>was as follows: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i w:val="1"/>
          <w:iCs w:val="1"/>
          <w:color w:val="auto"/>
        </w:rPr>
        <w:t>($ in millions and shares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711517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123190</wp:posOffset>
            </wp:positionV>
            <wp:extent cx="711517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Basic weighted average number of shares outstanding</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Stock awards and equity units (share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Diluted 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123190</wp:posOffset>
            </wp:positionV>
            <wp:extent cx="711517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Earnings per common share - Basic</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Earnings per common share - Diluted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405"/>
        </w:trPr>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57,952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57,486</w:t>
            </w:r>
          </w:p>
        </w:tc>
      </w:tr>
      <w:tr>
        <w:trPr>
          <w:trHeight w:val="243"/>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43"/>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57,632</w:t>
            </w:r>
          </w:p>
        </w:tc>
      </w:tr>
      <w:tr>
        <w:trPr>
          <w:trHeight w:val="405"/>
        </w:trPr>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r>
      <w:tr>
        <w:trPr>
          <w:trHeight w:val="243"/>
        </w:trPr>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r>
    </w:tbl>
    <w:p>
      <w:pPr>
        <w:spacing w:after="0" w:line="200" w:lineRule="exact"/>
        <w:rPr>
          <w:sz w:val="20"/>
          <w:szCs w:val="20"/>
          <w:color w:val="auto"/>
        </w:rPr>
      </w:pPr>
    </w:p>
    <w:p>
      <w:pPr>
        <w:sectPr>
          <w:pgSz w:w="11900" w:h="16838" w:orient="portrait"/>
          <w:cols w:equalWidth="0" w:num="2">
            <w:col w:w="7220" w:space="720"/>
            <w:col w:w="3300"/>
          </w:cols>
          <w:pgMar w:left="320" w:top="226" w:right="339" w:bottom="1440" w:gutter="0" w:footer="0" w:header="0"/>
          <w:type w:val="continuous"/>
        </w:sectPr>
      </w:pPr>
    </w:p>
    <w:p>
      <w:pPr>
        <w:spacing w:after="0" w:line="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Earnings per diluted share is computed by giving effect to all potentially dilutive stock awards that are outstanding. The computation of earnings per diluted share excludes the effect of the potential exercise of stock-based awards, when the effect of the potential exercise would be anti-dilutive. For the three </w:t>
      </w:r>
      <w:r>
        <w:rPr>
          <w:rFonts w:ascii="Times New Roman" w:cs="Times New Roman" w:eastAsia="Times New Roman" w:hAnsi="Times New Roman"/>
          <w:sz w:val="18"/>
          <w:szCs w:val="18"/>
          <w:color w:val="2B2A29"/>
        </w:rPr>
        <w:t xml:space="preserve">months ended December 31, 2024 </w:t>
      </w:r>
      <w:r>
        <w:rPr>
          <w:rFonts w:ascii="Times New Roman" w:cs="Times New Roman" w:eastAsia="Times New Roman" w:hAnsi="Times New Roman"/>
          <w:sz w:val="18"/>
          <w:szCs w:val="18"/>
          <w:color w:val="000000"/>
        </w:rPr>
        <w:t>and 2023, 3.0 million and 3.2 million, respectively, of dilutive share equivalents issuable under stock-based</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compensation plans were excluded from the diluted shares outstanding calculation because the result would have been antidilutive.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income tax in the various jurisdictions in which it operates. A significant portion of the Company's earnings are taxed in jurisdictions with tax rates that are lower than the statutory tax rate of the United States. The effective tax rate can change from quarter to quarter because of variability in global pretax income or geographical mix of the Company's earnings, changes in tax laws and matters related to tax audits.</w:t>
      </w:r>
    </w:p>
    <w:p>
      <w:pPr>
        <w:spacing w:after="0" w:line="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effective tax rates were 100.0% and (40.6)% for the three months ended December 31, 2024 and 2023, respectively. The increase in the Company’s effective tax rate from the prior comparative period is primarily due to the absence of a tax</w:t>
      </w: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from the establishment of deferred tax assets related to tax law changes in Switzerland, as well as a decrease in earnings.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Financial Instruments and Fair Value Measurements</w:t>
      </w:r>
    </w:p>
    <w:p>
      <w:pPr>
        <w:spacing w:after="0" w:line="1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following reconciles </w:t>
      </w:r>
      <w:r>
        <w:rPr>
          <w:rFonts w:ascii="Times New Roman" w:cs="Times New Roman" w:eastAsia="Times New Roman" w:hAnsi="Times New Roman"/>
          <w:sz w:val="18"/>
          <w:szCs w:val="18"/>
          <w:i w:val="1"/>
          <w:iCs w:val="1"/>
          <w:color w:val="auto"/>
        </w:rPr>
        <w:t>Cash and equivalents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reported within the Condensed Consolidated Balance Sheets as of December 31, 2024 and September 30, 2024, to the total amounts shown in the Condensed Consolidated Statements of Cash Flows: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1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r>
      <w:tr>
        <w:trPr>
          <w:trHeight w:val="21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 and restricted cash</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Cash and equivalents as of December 31, 2024 includes cash held in money market funds and other cash equivalents. All cash and equivalents are Level 1 in the fair value hierarchy. Interest income on </w:t>
      </w:r>
      <w:r>
        <w:rPr>
          <w:rFonts w:ascii="Times New Roman" w:cs="Times New Roman" w:eastAsia="Times New Roman" w:hAnsi="Times New Roman"/>
          <w:sz w:val="18"/>
          <w:szCs w:val="18"/>
          <w:i w:val="1"/>
          <w:iCs w:val="1"/>
          <w:color w:val="auto"/>
        </w:rPr>
        <w:t>Cash and equivalents</w:t>
      </w:r>
      <w:r>
        <w:rPr>
          <w:rFonts w:ascii="Times New Roman" w:cs="Times New Roman" w:eastAsia="Times New Roman" w:hAnsi="Times New Roman"/>
          <w:sz w:val="18"/>
          <w:szCs w:val="18"/>
          <w:color w:val="auto"/>
        </w:rPr>
        <w:t xml:space="preserve"> was $1.8 million and $3.4 million for the three months ended December 31, 2024 and 2023, respectively, and is included as a component of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Restricted cash consists of cash not readily available for use in the Company's operating activities. The Company's restricted cash balance is primarily pledged as collateral for bank guarantees related to certain customer performance guarantees and property leases internationally.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Risks and Related Strategies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foreign currency exposures throughout Europe, Asia, Canada and Latin America. Transactional currency exposures that arise from entering into transactions, generally on an intercompany basis, in non-hyperinflationary countries that are denominated in currencies other than the functional currency are mitigated primarily through the use of forward contracts.</w:t>
      </w:r>
    </w:p>
    <w:p>
      <w:pPr>
        <w:spacing w:after="0" w:line="6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notional amounts of the Company’s foreign currency-related derivative instruments were as follows as of December 31, 2024 and September 30, 2024, respectively: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Hedge Designation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13"/>
        </w:trPr>
        <w:tc>
          <w:tcPr>
            <w:tcW w:w="546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Foreign exchange contracts</w:t>
            </w:r>
            <w:r>
              <w:rPr>
                <w:rFonts w:ascii="Times New Roman" w:cs="Times New Roman" w:eastAsia="Times New Roman" w:hAnsi="Times New Roman"/>
                <w:sz w:val="21"/>
                <w:szCs w:val="21"/>
                <w:color w:val="auto"/>
                <w:vertAlign w:val="superscript"/>
              </w:rPr>
              <w:t>(a)</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Undesignated</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715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340" w:hanging="332"/>
        <w:spacing w:after="0" w:line="258" w:lineRule="auto"/>
        <w:tabs>
          <w:tab w:leader="none" w:pos="33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hedges of transactional foreign exchange exposures resulting primarily from intercompany payables and receivables. Gains and losses on these instruments are recognized immediately in Other income (expense), net. These gains and losses are largely offset by gains and losses on the underlying hedged items, as well as the hedging costs associated with the derivative instruments. Gains and losses recognized to date on these instruments were not material to the Company's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 the first quarter of fiscal year 2025, the Company recorded a non-cash asset impairment charge of $10.4 million to write down the carrying value of certain property and equipment as a result of the Company's plan to discontinue the patch pump program. $6.1 million was recorded to </w:t>
      </w:r>
      <w:r>
        <w:rPr>
          <w:rFonts w:ascii="Times New Roman" w:cs="Times New Roman" w:eastAsia="Times New Roman" w:hAnsi="Times New Roman"/>
          <w:sz w:val="18"/>
          <w:szCs w:val="18"/>
          <w:i w:val="1"/>
          <w:iCs w:val="1"/>
          <w:color w:val="auto"/>
        </w:rPr>
        <w:t>Cost of products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sold </w:t>
      </w:r>
      <w:r>
        <w:rPr>
          <w:rFonts w:ascii="Times New Roman" w:cs="Times New Roman" w:eastAsia="Times New Roman" w:hAnsi="Times New Roman"/>
          <w:sz w:val="18"/>
          <w:szCs w:val="18"/>
          <w:color w:val="auto"/>
        </w:rPr>
        <w:t>and $4.3 million was recorded to</w:t>
      </w:r>
      <w:r>
        <w:rPr>
          <w:rFonts w:ascii="Times New Roman" w:cs="Times New Roman" w:eastAsia="Times New Roman" w:hAnsi="Times New Roman"/>
          <w:sz w:val="18"/>
          <w:szCs w:val="18"/>
          <w:i w:val="1"/>
          <w:iCs w:val="1"/>
          <w:color w:val="auto"/>
        </w:rPr>
        <w:t xml:space="preserve"> Research and development expense</w:t>
      </w:r>
      <w:r>
        <w:rPr>
          <w:rFonts w:ascii="Times New Roman" w:cs="Times New Roman" w:eastAsia="Times New Roman" w:hAnsi="Times New Roman"/>
          <w:sz w:val="18"/>
          <w:szCs w:val="18"/>
          <w:color w:val="auto"/>
        </w:rPr>
        <w:t>. The amount recognized was recorded to adjust the carrying amount of assets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assets' fair values, which were estimated, based upon a market participant's perspective, using Level 3 measurements, including values estimated using the income approach.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Three of the Company’s customers represented at least 10.0% of total gross revenues individually and, in the aggregate, represented approximately 42.0% for the three months ended December 31, 2024, and three of the Company's customers represented at least 10.0% of total gross revenues individually and, in the aggregate, represented approximately 40.8% of total revenues for the three months ended December 31, 2023.</w:t>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Two of the Company's customers represented at least 10.0% of total gross trade receivables individually and, in the aggregate, represented approximately 31.0% as of December 31, 2024.</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Substantially all of the Company’s trade receivables are due from public and private entities involved in the healthcare industry. The Company does not normally require collateral from its customers.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19"/>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860" w:type="dxa"/>
            <w:vAlign w:val="bottom"/>
            <w:tcBorders>
              <w:bottom w:val="single" w:sz="8" w:color="CCEEFF"/>
            </w:tcBorders>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1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w:t>
            </w:r>
          </w:p>
        </w:tc>
      </w:tr>
      <w:tr>
        <w:trPr>
          <w:trHeight w:val="33"/>
        </w:trPr>
        <w:tc>
          <w:tcPr>
            <w:tcW w:w="6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equipment and fixtures</w:t>
            </w:r>
          </w:p>
        </w:tc>
        <w:tc>
          <w:tcPr>
            <w:tcW w:w="18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607.3</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33"/>
        </w:trPr>
        <w:tc>
          <w:tcPr>
            <w:tcW w:w="6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04"/>
        </w:trPr>
        <w:tc>
          <w:tcPr>
            <w:tcW w:w="6380" w:type="dxa"/>
            <w:vAlign w:val="bottom"/>
          </w:tcPr>
          <w:p>
            <w:pPr>
              <w:spacing w:after="0"/>
              <w:rPr>
                <w:sz w:val="17"/>
                <w:szCs w:val="17"/>
                <w:color w:val="auto"/>
              </w:rPr>
            </w:pPr>
          </w:p>
        </w:tc>
        <w:tc>
          <w:tcPr>
            <w:tcW w:w="1860" w:type="dxa"/>
            <w:vAlign w:val="bottom"/>
            <w:tcBorders>
              <w:top w:val="single" w:sz="8" w:color="auto"/>
            </w:tcBorders>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735.6</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779.1</w:t>
            </w:r>
          </w:p>
        </w:tc>
      </w:tr>
      <w:tr>
        <w:trPr>
          <w:trHeight w:val="33"/>
        </w:trPr>
        <w:tc>
          <w:tcPr>
            <w:tcW w:w="6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w:t>
            </w:r>
          </w:p>
        </w:tc>
      </w:tr>
      <w:tr>
        <w:trPr>
          <w:trHeight w:val="20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1860" w:type="dxa"/>
            <w:vAlign w:val="bottom"/>
            <w:tcBorders>
              <w:top w:val="single" w:sz="8" w:color="auto"/>
            </w:tcBorders>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290.4</w:t>
            </w:r>
          </w:p>
        </w:tc>
      </w:tr>
      <w:tr>
        <w:trPr>
          <w:trHeight w:val="33"/>
        </w:trPr>
        <w:tc>
          <w:tcPr>
            <w:tcW w:w="63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
        </w:trPr>
        <w:tc>
          <w:tcPr>
            <w:tcW w:w="6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the first quarter of fiscal year 2025, the Company recorded a non-cash asset impairment charge of $10.4 million to write down the carrying value of certain property and equipment as a result of the Company's Restructuring Plan to discontinue the patch pump program. $6.1 million was recorded to </w:t>
      </w:r>
      <w:r>
        <w:rPr>
          <w:rFonts w:ascii="Times New Roman" w:cs="Times New Roman" w:eastAsia="Times New Roman" w:hAnsi="Times New Roman"/>
          <w:sz w:val="18"/>
          <w:szCs w:val="18"/>
          <w:i w:val="1"/>
          <w:iCs w:val="1"/>
          <w:color w:val="auto"/>
        </w:rPr>
        <w:t>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products sold </w:t>
      </w:r>
      <w:r>
        <w:rPr>
          <w:rFonts w:ascii="Times New Roman" w:cs="Times New Roman" w:eastAsia="Times New Roman" w:hAnsi="Times New Roman"/>
          <w:sz w:val="18"/>
          <w:szCs w:val="18"/>
          <w:color w:val="auto"/>
        </w:rPr>
        <w:t>and $4.3 million was recorded to</w:t>
      </w:r>
      <w:r>
        <w:rPr>
          <w:rFonts w:ascii="Times New Roman" w:cs="Times New Roman" w:eastAsia="Times New Roman" w:hAnsi="Times New Roman"/>
          <w:sz w:val="18"/>
          <w:szCs w:val="18"/>
          <w:i w:val="1"/>
          <w:iCs w:val="1"/>
          <w:color w:val="auto"/>
        </w:rPr>
        <w:t xml:space="preserve"> Research and development expense</w:t>
      </w:r>
      <w:r>
        <w:rPr>
          <w:rFonts w:ascii="Times New Roman" w:cs="Times New Roman" w:eastAsia="Times New Roman" w:hAnsi="Times New Roman"/>
          <w:sz w:val="18"/>
          <w:szCs w:val="18"/>
          <w:color w:val="auto"/>
        </w:rPr>
        <w: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Leases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finance lease assets and liabilities are attributed to its manufacturing site in Holdrege, Nebraska, which has an initial term of ten years and an option for the Company to extend the lease term for an additional period of up to five years. This lease is classified as a finance lease because the present value of the sum of the lease payments associated with the lease exceeds substantially all of the fair value of the manufacturing site.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leases primarily relate to its real estate leases that are not classified as finance leases.</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Lease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leases are included in its Condensed Consolidated Balance Sheets as follows: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06"/>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1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920" w:type="dxa"/>
            <w:vAlign w:val="bottom"/>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30.8</w:t>
            </w:r>
          </w:p>
        </w:tc>
      </w:tr>
      <w:tr>
        <w:trPr>
          <w:trHeight w:val="33"/>
        </w:trPr>
        <w:tc>
          <w:tcPr>
            <w:tcW w:w="62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1"/>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Finance Lease Assets</w:t>
            </w:r>
          </w:p>
        </w:tc>
        <w:tc>
          <w:tcPr>
            <w:tcW w:w="1920" w:type="dxa"/>
            <w:vAlign w:val="bottom"/>
            <w:tcBorders>
              <w:bottom w:val="single" w:sz="8" w:color="CCEEFF"/>
            </w:tcBorders>
            <w:shd w:val="clear" w:color="auto" w:fill="CCEEFF"/>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30.8</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62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120" w:type="dxa"/>
            <w:vAlign w:val="bottom"/>
          </w:tcPr>
          <w:p>
            <w:pPr>
              <w:spacing w:after="0"/>
              <w:rPr>
                <w:sz w:val="4"/>
                <w:szCs w:val="4"/>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1920" w:type="dxa"/>
            <w:vAlign w:val="bottom"/>
            <w:tcBorders>
              <w:bottom w:val="single" w:sz="8" w:color="CCEEFF"/>
            </w:tcBorders>
            <w:shd w:val="clear" w:color="auto" w:fill="CCEEFF"/>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1920" w:type="dxa"/>
            <w:vAlign w:val="bottom"/>
          </w:tcPr>
          <w:p>
            <w:pPr>
              <w:spacing w:after="0"/>
              <w:rPr>
                <w:sz w:val="18"/>
                <w:szCs w:val="18"/>
                <w:color w:val="auto"/>
              </w:rPr>
            </w:pPr>
          </w:p>
        </w:tc>
        <w:tc>
          <w:tcPr>
            <w:tcW w:w="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30.2</w:t>
            </w:r>
          </w:p>
        </w:tc>
      </w:tr>
      <w:tr>
        <w:trPr>
          <w:trHeight w:val="33"/>
        </w:trPr>
        <w:tc>
          <w:tcPr>
            <w:tcW w:w="62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1"/>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1920" w:type="dxa"/>
            <w:vAlign w:val="bottom"/>
            <w:tcBorders>
              <w:bottom w:val="single" w:sz="8" w:color="CCEEFF"/>
            </w:tcBorders>
            <w:shd w:val="clear" w:color="auto" w:fill="CCEEFF"/>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33"/>
        </w:trPr>
        <w:tc>
          <w:tcPr>
            <w:tcW w:w="6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08"/>
        </w:trPr>
        <w:tc>
          <w:tcPr>
            <w:tcW w:w="6200" w:type="dxa"/>
            <w:vAlign w:val="bottom"/>
            <w:shd w:val="clear" w:color="auto" w:fill="CCEEFF"/>
          </w:tcPr>
          <w:p>
            <w:pPr>
              <w:spacing w:after="0"/>
              <w:rPr>
                <w:sz w:val="9"/>
                <w:szCs w:val="9"/>
                <w:color w:val="auto"/>
              </w:rPr>
            </w:pPr>
          </w:p>
        </w:tc>
        <w:tc>
          <w:tcPr>
            <w:tcW w:w="19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120" w:type="dxa"/>
            <w:vAlign w:val="bottom"/>
            <w:shd w:val="clear" w:color="auto" w:fill="CCEEFF"/>
          </w:tcPr>
          <w:p>
            <w:pPr>
              <w:spacing w:after="0"/>
              <w:rPr>
                <w:sz w:val="9"/>
                <w:szCs w:val="9"/>
                <w:color w:val="auto"/>
              </w:rPr>
            </w:pPr>
          </w:p>
        </w:tc>
      </w:tr>
      <w:tr>
        <w:trPr>
          <w:trHeight w:val="212"/>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31"/>
        </w:trPr>
        <w:tc>
          <w:tcPr>
            <w:tcW w:w="6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920" w:type="dxa"/>
            <w:vAlign w:val="bottom"/>
            <w:tcBorders>
              <w:bottom w:val="single" w:sz="8" w:color="CCEEFF"/>
            </w:tcBorders>
            <w:shd w:val="clear" w:color="auto" w:fill="CCEEFF"/>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22.6</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Lease Assets</w:t>
            </w:r>
          </w:p>
        </w:tc>
        <w:tc>
          <w:tcPr>
            <w:tcW w:w="1920" w:type="dxa"/>
            <w:vAlign w:val="bottom"/>
            <w:tcBorders>
              <w:top w:val="single" w:sz="8" w:color="auto"/>
            </w:tcBorders>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22.6</w:t>
            </w:r>
          </w:p>
        </w:tc>
      </w:tr>
      <w:tr>
        <w:trPr>
          <w:trHeight w:val="33"/>
        </w:trPr>
        <w:tc>
          <w:tcPr>
            <w:tcW w:w="62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1920" w:type="dxa"/>
            <w:vAlign w:val="bottom"/>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r>
      <w:tr>
        <w:trPr>
          <w:trHeight w:val="33"/>
        </w:trPr>
        <w:tc>
          <w:tcPr>
            <w:tcW w:w="6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1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920" w:type="dxa"/>
            <w:vAlign w:val="bottom"/>
            <w:tcBorders>
              <w:top w:val="single" w:sz="8" w:color="auto"/>
            </w:tcBorders>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17.9</w:t>
            </w:r>
          </w:p>
        </w:tc>
      </w:tr>
      <w:tr>
        <w:trPr>
          <w:trHeight w:val="33"/>
        </w:trPr>
        <w:tc>
          <w:tcPr>
            <w:tcW w:w="62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920" w:type="dxa"/>
            <w:vAlign w:val="bottom"/>
          </w:tcPr>
          <w:p>
            <w:pPr>
              <w:spacing w:after="0"/>
              <w:rPr>
                <w:sz w:val="18"/>
                <w:szCs w:val="18"/>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r>
      <w:tr>
        <w:trPr>
          <w:trHeight w:val="33"/>
        </w:trPr>
        <w:tc>
          <w:tcPr>
            <w:tcW w:w="6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33"/>
        </w:trPr>
        <w:tc>
          <w:tcPr>
            <w:tcW w:w="62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three months ended December 31, 2024 and 2023 were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both the three months ended December 31, 2024 and 2023, right of use assets obtained in exchange for lease liabilities were not material.</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1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 for amounts included in the measurement of lease liabilities</w:t>
            </w:r>
          </w:p>
        </w:tc>
        <w:tc>
          <w:tcPr>
            <w:tcW w:w="1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3"/>
        </w:trPr>
        <w:tc>
          <w:tcPr>
            <w:tcW w:w="6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960" w:type="dxa"/>
            <w:vAlign w:val="bottom"/>
            <w:tcBorders>
              <w:bottom w:val="single" w:sz="8" w:color="CCEEFF"/>
            </w:tcBorders>
            <w:shd w:val="clear" w:color="auto" w:fill="CCEEFF"/>
          </w:tcPr>
          <w:p>
            <w:pPr>
              <w:jc w:val="right"/>
              <w:ind w:right="17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w:t>
            </w:r>
          </w:p>
        </w:tc>
        <w:tc>
          <w:tcPr>
            <w:tcW w:w="19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33"/>
        </w:trPr>
        <w:tc>
          <w:tcPr>
            <w:tcW w:w="6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w:t>
            </w:r>
          </w:p>
        </w:tc>
        <w:tc>
          <w:tcPr>
            <w:tcW w:w="1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33"/>
        </w:trPr>
        <w:tc>
          <w:tcPr>
            <w:tcW w:w="64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the Company's finance and operating lease liabilities as of December 31, 2024 by fiscal year are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00" w:type="dxa"/>
            <w:vAlign w:val="bottom"/>
          </w:tcPr>
          <w:p>
            <w:pPr>
              <w:spacing w:after="0"/>
              <w:rPr>
                <w:sz w:val="18"/>
                <w:szCs w:val="18"/>
                <w:color w:val="auto"/>
              </w:rPr>
            </w:pPr>
          </w:p>
        </w:tc>
        <w:tc>
          <w:tcPr>
            <w:tcW w:w="174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4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780" w:type="dxa"/>
            <w:vAlign w:val="bottom"/>
            <w:tcBorders>
              <w:top w:val="single" w:sz="8" w:color="auto"/>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33"/>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2028</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33"/>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2029</w:t>
            </w:r>
          </w:p>
        </w:tc>
        <w:tc>
          <w:tcPr>
            <w:tcW w:w="1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33"/>
        </w:trPr>
        <w:tc>
          <w:tcPr>
            <w:tcW w:w="4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6"/>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r>
      <w:tr>
        <w:trPr>
          <w:trHeight w:val="204"/>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17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33"/>
        </w:trPr>
        <w:tc>
          <w:tcPr>
            <w:tcW w:w="4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1"/>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6" w:right="339" w:bottom="1440" w:gutter="0" w:footer="0" w:header="0"/>
        </w:sect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2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Factors Affecting Forward-Looking Statements</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Condensed Consolidated Financial Statements and accompanying notes contained elsewhere in this Quarterly Report on Form 10-Q. This discussion contains a number of forward-looking statements, all of which are based on our current expectations and could be affected by the uncertainties and other factors described throughout this discussion and analysis, particularly in the section “Cautionary Statement Concerning Forward-Looking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a leading global medical device company focused on providing solutions to improve the health and well-being of people living with diabetes. In the 100-year history of our business, we believe that our products have become some of the most widely recognized and respected brands in diabetes management in the world. We estimate that our products are used by approximately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 broad portfolio of marketed products, including a variety of pen needles, syringes and safety injection devices. Our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a sliding safety shield that can be activated with one-hand after the injection to help prevent needlestick exposure and injury during injection and disposal.</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primarily sell our products to wholesalers and distributors that sell to retail and institutional channels who in turn sell to patients or use the products to deliver insulin injections to patients.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Results of Operations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Competition. The regions in which we conduct our business and the medical devices industry in general are highly competitive. We 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Pricing Pressures. We face significant pricing pressures from competitors in the pen needle and insulin syringe categories who not only can provide competitive products at lower costs, but also provide payors and customers with more choices for formulary partners in these categories. In addition, the increased scrutiny by regulators on healthcare spending, which accelerated in light of the COVID-19 pandemic, along with a shift towards volume-based procurement and group purchasing organizations, which generally values lower cost over product features, benefits and quality, have placed significant pressure on Embecta to lower price in both developed and emerging markets. These trends may reduce our operating margins, which are only partially offset by our ability to differentiate our products and sell at higher prices.</w:t>
      </w:r>
    </w:p>
    <w:p>
      <w:pPr>
        <w:spacing w:after="0" w:line="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Commoditization of Injection Devices. Given the growing demand for medical devices to assist in the treatment of diabetes and 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 This has forced providers to provide clinical evidence to differentiate their products.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Changes in Clinical Practice. Introduction of new drugs and increased penetration of oral and once-weekly anti-diabetic drugs (e.g., SGLT-2s), GLP-1s and GLP-1 combination products have delayed initiation of insulin therapy and contributed to less demand for our products. New drug therapies, including weekly insulin, are targeted to challenge the current diabetes treatment paradigm, including the frequency insulin is dosed (weekly vs. daily injections) and amount of insulin used. Additionally, insulin therapy in developed markets continues to transition to infusion pumps.</w:t>
      </w:r>
    </w:p>
    <w:p>
      <w:pPr>
        <w:spacing w:after="0" w:line="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Decentralization of Chronic Care. Many countries are facing an aging population and a rapidly growing number of people living with diabetes. While healthcare investments in certain regions continue to grow, there is an increased burden on</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physicians and longer wait times for patients. Healthcare delivery for non-emergency diabetes care is expected to continue shifting outside of hospitals to primary care providers, which could have a material impact on our results of operations.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Political and Economic Instability in Emerging Markets. We operate in a number of emerging markets, many of which are subject from time to time to significant political and economic disruptions. However, the number of countries we provide products to and our proactive channel management strategies help us manage this variability.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continue to face increases in the cost and disrupted availability of raw materials, components, and other inputs necessary to manufacture and distribute our products due to constraints and inflation within the global supply chain, as well as increases in the cost and time to distribute our products. To date we have been able to successfully mitigate this disruption and provide uninterrupted supply to our customers by increasing our inventory levels and taking other measures.</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November 22, 2024, the Company's Board of Directors approved a plan to discontinue internal and external investment in the research and development of our patch pump program. As a result of this decision, the Company is in the process of executing an organizational Restructuring Plan which is expected to be completed by the end of the first half of the fiscal year, with the cumulative pretax costs to be incurred by the Company to implement the Restructuring Plan estimated to be $35.0 million to $45.0 million. In addition, we discontinued our commercial operation plans for the insulin delivery system, including the previous intended limited launch. The Company plans to refocus its investment on its core business while looking to optimize free cash flow and strengthen its balance sheet by paying down debt.</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continue to monitor the conflict in Ukraine and the associated sanctions and other restrictions. We also are monitoring the Israel-Hamas war and Houthi attacks on commercial shipping vessels and other naval vessels. As of February 6, 2025, there is no material impact to our business operations and financial performance as a result of the aforementioned conflicts. However, the full impact of the conflicts on our business operations and financial performance remains uncertain and will depend on future developments, including the severity and duration of the conflicts and their impact on regional and global economic conditions. We will continue to monitor these conflicts and assess the related restrictions and other effects on our business.</w:t>
      </w:r>
    </w:p>
    <w:p>
      <w:pPr>
        <w:spacing w:after="0" w:line="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our revenues and results of operations have been affected by various fluctuations in macroeconomic conditions and regulatory and policy changes, both on a global level and in particular markets, which include inflation and slowing economic growth and contractions, a changing interest rate environment, supply chain interruptions, tariff policy changes, volatility in capital markets and the availability of credit, tax rates and the rate of exchange between the United States dollar and foreign currencies. The nature and extent of the impact of these factors among others varies by region and remains uncertain and unpredictable and may affect our business.</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unaudited Condensed Consolidated Statements of Income are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820" w:type="dxa"/>
            <w:vAlign w:val="bottom"/>
            <w:tcBorders>
              <w:bottom w:val="single" w:sz="8" w:color="auto"/>
            </w:tcBorders>
          </w:tcPr>
          <w:p>
            <w:pPr>
              <w:spacing w:after="0"/>
              <w:rPr>
                <w:sz w:val="18"/>
                <w:szCs w:val="18"/>
                <w:color w:val="auto"/>
              </w:rPr>
            </w:pPr>
          </w:p>
        </w:tc>
      </w:tr>
      <w:tr>
        <w:trPr>
          <w:trHeight w:val="209"/>
        </w:trPr>
        <w:tc>
          <w:tcPr>
            <w:tcW w:w="70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70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6"/>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261.9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14.7</w:t>
            </w:r>
          </w:p>
        </w:tc>
      </w:tr>
      <w:tr>
        <w:trPr>
          <w:trHeight w:val="33"/>
        </w:trPr>
        <w:tc>
          <w:tcPr>
            <w:tcW w:w="70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157.1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(15.5)</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3"/>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8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(10.2)</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r>
      <w:tr>
        <w:trPr>
          <w:trHeight w:val="33"/>
        </w:trPr>
        <w:tc>
          <w:tcPr>
            <w:tcW w:w="7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(9.7)</w:t>
            </w:r>
          </w:p>
        </w:tc>
      </w:tr>
      <w:tr>
        <w:trPr>
          <w:trHeight w:val="204"/>
        </w:trPr>
        <w:tc>
          <w:tcPr>
            <w:tcW w:w="7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128.4</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(8.5)</w:t>
            </w:r>
          </w:p>
        </w:tc>
      </w:tr>
      <w:tr>
        <w:trPr>
          <w:trHeight w:val="33"/>
        </w:trPr>
        <w:tc>
          <w:tcPr>
            <w:tcW w:w="70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8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(36.9)</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r>
      <w:tr>
        <w:trPr>
          <w:trHeight w:val="33"/>
        </w:trPr>
        <w:tc>
          <w:tcPr>
            <w:tcW w:w="7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(57.1)</w:t>
            </w:r>
          </w:p>
        </w:tc>
      </w:tr>
      <w:tr>
        <w:trPr>
          <w:trHeight w:val="204"/>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8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(104.9)</w:t>
            </w:r>
          </w:p>
        </w:tc>
      </w:tr>
      <w:tr>
        <w:trPr>
          <w:trHeight w:val="33"/>
        </w:trPr>
        <w:tc>
          <w:tcPr>
            <w:tcW w:w="7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(87.9)</w:t>
            </w:r>
          </w:p>
        </w:tc>
      </w:tr>
      <w:tr>
        <w:trPr>
          <w:trHeight w:val="204"/>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(100.0)</w:t>
            </w:r>
          </w:p>
        </w:tc>
      </w:tr>
      <w:tr>
        <w:trPr>
          <w:trHeight w:val="33"/>
        </w:trPr>
        <w:tc>
          <w:tcPr>
            <w:tcW w:w="70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70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3"/>
        </w:trPr>
        <w:tc>
          <w:tcPr>
            <w:tcW w:w="7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0"/>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December 31, 2024 Summary (on a comparative basis)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results for the three months ended December 31, 2024 were as follows:</w:t>
      </w:r>
    </w:p>
    <w:p>
      <w:pPr>
        <w:spacing w:after="0" w:line="144"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$15.4 million to $261.9 million from $277.3 million;</w:t>
      </w:r>
    </w:p>
    <w:p>
      <w:pPr>
        <w:spacing w:after="0" w:line="14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by $28.8 million to $157.1 million from $185.9 million. Gross profit as a percent of revenue was 60.0%, as compared to 67.0% in the prior year comparative period;</w:t>
      </w:r>
    </w:p>
    <w:p>
      <w:pPr>
        <w:spacing w:after="0" w:line="8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by $16.8 million to $28.7 million from $45.5 million;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by $20.1 million to $0.0 million from $20.1 million.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revenues decreased by $15.4 million, or 5.6%, to $261.9 million for the three months ended December 31, 2024 as compared to revenues of $277.3 million for the three months ended December 31, 2023. Changes in revenues are driven by the volume of goods that the Company sells, the prices it negotiates with customers, and changes in foreign exchange rates. The decrease in revenues was driven by $17.9 million of unfavorable changes in volume and $2.0 million associated with the negative impact of foreign currency translation primarily due to the strengthening of the U.S. dollar. This was partially offset by a $2.9 million increase in contract manufacturing revenues related to sales of non-diabetes products to BD and $1.6 million of favorable changes in price.</w:t>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 sold</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Cost of products sold increased by $13.4 million, or 14.7%, to $104.8 million for the three months ended December 31, 2024 as compared to $91.4 million for the three months ended December 31, 2023. Cost of products sold as a percentage of revenues was 40.0% for the three months ended December 31, 2024 as compared to 33.0% for the three months ended December 31, 2023. The increase in cost of products sold for the three month comparative period was primarily driven by a non-cash asset impairment charge to write down the carrying value of certain property and equipment as a result of the Company's plan to discontinue the patch pump program. Also, contributing to the period over period increase was the impact of net changes in profit in inventory adjustments. These items were partially offset by the impact of lower sales recognized in the current period as compared to the prior year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2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Selling and administrative expenses decreased by $9.2 million, or 10.2%, to $81.1 million for the three months ended December 31, 2024 as compared to $90.3 million for the three months ended December 31, 2023. The decrease for the three month comparative period was primarily driven by lower TSA and LSA costs with BD in addition to lower compensation and marketing expense recognized in the current period.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Research and development expenses increased by $0.1 million, or 0.5%, to $20.3 million for the three months ended December 31, 2024 as compared to $20.2 million for the three months ended December 31, 2023. The increase for the three month comparative period was primarily driven by certain asset impairments attributed to our decision to discontinue internal and external investment in the research and development of the Company's patch pump program. This was partially offset by a reduction in payments made in connection with the development of our insulin patch pump program in the current period as compared to the prior period, given the discontinuation of the patch pump program. We expect our research and development expense to decrease sequentially in fiscal year 2025 compared to fiscal year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operating expenses incurred primarily relate to accounting, auditing, legal services, marketing, supply chain, employee retention, costs associated with the implementation of our new ERP system and other Business Continuity Processes, costs associated with brand transition, and certain other costs to establish certain stand-alone functions to assist with the transition to being a stand-alone entity. These costs also include certain severance costs related to the optimization of certain business functions as we transition to being a stand-alone entity and severance and contract termination costs associated with the discontinued patch pump program.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40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06"/>
        </w:trPr>
        <w:tc>
          <w:tcPr>
            <w:tcW w:w="79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Pr>
          <w:p>
            <w:pPr>
              <w:spacing w:after="0"/>
              <w:rPr>
                <w:sz w:val="17"/>
                <w:szCs w:val="17"/>
                <w:color w:val="auto"/>
              </w:rPr>
            </w:pPr>
          </w:p>
        </w:tc>
      </w:tr>
      <w:tr>
        <w:trPr>
          <w:trHeight w:val="31"/>
        </w:trPr>
        <w:tc>
          <w:tcPr>
            <w:tcW w:w="79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1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related to the Separation</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7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associated with the discontinued patch pump program</w:t>
            </w:r>
          </w:p>
        </w:tc>
        <w:tc>
          <w:tcPr>
            <w:tcW w:w="1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optimization and severance related costs</w:t>
            </w:r>
          </w:p>
        </w:tc>
        <w:tc>
          <w:tcPr>
            <w:tcW w:w="1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33"/>
        </w:trPr>
        <w:tc>
          <w:tcPr>
            <w:tcW w:w="7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7"/>
                <w:szCs w:val="17"/>
                <w:color w:val="auto"/>
              </w:rPr>
            </w:pPr>
          </w:p>
        </w:tc>
        <w:tc>
          <w:tcPr>
            <w:tcW w:w="120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33"/>
        </w:trPr>
        <w:tc>
          <w:tcPr>
            <w:tcW w:w="79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1"/>
        </w:trPr>
        <w:tc>
          <w:tcPr>
            <w:tcW w:w="7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expense, net increased by $0.2 million to $27.9 million for the three months ended December 31, 2024 as compared to $27.7 million for the three months ended December 31, 2023, which equates to a relatively flat change period over period. It remains unclear whether the United States Federal Reserve will increase or decrease the benchmark interest rate during the remainder of fiscal 2025. An increase in the benchmark interest rate would result in an increase in interest expense on our variable rate debt and a decrease in the benchmark interest rate would result in a decrease in interest expense on our variable rate debt.</w:t>
      </w: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income (expense), net, was $(1.5) million and $(3.5) million for the three months ended December 31, 2024 and 2023, respectively. The costs incurred for the three month period ended December 31, 2024 are primarily attributed to unfavorable impacts from foreign exchange. The costs incurred for the three month period ended December 31, 2023, are primarily attributed to amounts due to BD for income taxes payable incurred in deferred jurisdictions where BD is considered the primary obligor. We do not expect to incur any additional amounts where BD is considered the primary obligor in the current fiscal year.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9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effective tax rates were 100.0% and (40.6)% for the three months ended December 31, 2024 and 2023, respectively. The increase in the Company’s effective tax rate from the prior comparative period is primarily due to the absence of a tax benefit from the establishment of deferred tax assets related to tax law changes in Switzerland, as well as a decrease in earnings.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our cash and our cash equivalents and cash from operations, together with our borrowing capacity under our Revolving Credit Facility, will provide sufficient financial flexibility to fund seasonal and other working capital requirements, capital expenditures, debt service requirements and other obligations, cash dividends on common shares and additional growth opportunities for the foreseeable future. However, should it become necessary, we believe that our credit profile should provide us with access to additional financing in order to fund normal business operations, make interest payments, fund growth opportunities and satisfy upcoming debt maturities.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868.9</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2B2A29"/>
              </w:rPr>
              <w:t xml:space="preserve">6.75% </w:t>
            </w:r>
            <w:r>
              <w:rPr>
                <w:rFonts w:ascii="Times New Roman" w:cs="Times New Roman" w:eastAsia="Times New Roman" w:hAnsi="Times New Roman"/>
                <w:sz w:val="16"/>
                <w:szCs w:val="16"/>
                <w:color w:val="000000"/>
              </w:rPr>
              <w:t>Notes</w:t>
            </w: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1,568.9</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1,534.7</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years and thereafter is as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08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w:t>
            </w: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r>
    </w:tbl>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measures relating to our total debt outstanding as of December 31, 2024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38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1,544.2</w:t>
            </w:r>
          </w:p>
        </w:tc>
      </w:tr>
      <w:tr>
        <w:trPr>
          <w:trHeight w:val="148"/>
        </w:trPr>
        <w:tc>
          <w:tcPr>
            <w:tcW w:w="62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4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debt as a percentage of total debt</w:t>
            </w:r>
          </w:p>
        </w:tc>
        <w:tc>
          <w:tcPr>
            <w:tcW w:w="38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37"/>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cost of total debt</w:t>
            </w:r>
          </w:p>
        </w:tc>
        <w:tc>
          <w:tcPr>
            <w:tcW w:w="38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r>
    </w:tbl>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credit agreement and the indentures for the 5.00% Notes and the 6.75%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indentures governing the 5.00% Notes and the 6.75% Notes. In addition, the credit agreement contains covenants that limit, among other things, our ability to prepay, redeem or repurchase our subordinated and junior lien debt, incur additional debt, make acquisitions, merge with other entities, pay dividends or distributions, redeem or repurchase equity interests, and create or become subject to liens. As of December 31, 2024, we were in compliance with all of such covenants. The credit agreement and the senior secured notes are secured by substantially all assets of Embecta and each subsidiary guarantor, subject to certain exceptions.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8"/>
          <w:szCs w:val="18"/>
          <w:color w:val="000000"/>
        </w:rPr>
        <w:t>first quarter of fiscal year 2025</w:t>
      </w:r>
      <w:r>
        <w:rPr>
          <w:rFonts w:ascii="Times New Roman" w:cs="Times New Roman" w:eastAsia="Times New Roman" w:hAnsi="Times New Roman"/>
          <w:sz w:val="18"/>
          <w:szCs w:val="18"/>
          <w:color w:val="2B2A29"/>
        </w:rPr>
        <w:t>, the Company paid an aggregate principal amount of approximately $32.4 million on the Term Loan, of which $30.0 million was discretionary. Debt extinguishment charges as a result of this discretionary prepayment were not material to the Company's Condensed Consolidated Statements of Income.</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from time to time, seek to retire or repurchase our outstanding debt through cash purchases and/or exchanges for equity or debt, in open-market purchase, or privately negotiated transactions, or otherwise may redeem some or all of our debt pursuant to its terms. Such repurchases or exchanges, if any, will depend upon various factors existing at the time, including prevailing market conditions, our liquidity requirements, contractual restrictions and other factors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there can be no assurance as to which, if any, of these alternatives, or combination thereof, we may choose to pursue in the future.</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For additional information related to the Company's debt related activities, refer to Note 12 within the </w:t>
      </w:r>
      <w:r>
        <w:rPr>
          <w:rFonts w:ascii="Times New Roman" w:cs="Times New Roman" w:eastAsia="Times New Roman" w:hAnsi="Times New Roman"/>
          <w:sz w:val="18"/>
          <w:szCs w:val="18"/>
          <w:i w:val="1"/>
          <w:iCs w:val="1"/>
          <w:color w:val="auto"/>
        </w:rPr>
        <w:t>Notes to Condensed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within this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finance lease and operating lease liabilities as of December 31, 2024 by fiscal year are as follows: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17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20" w:type="dxa"/>
            <w:vAlign w:val="bottom"/>
          </w:tcPr>
          <w:p>
            <w:pPr>
              <w:spacing w:after="0"/>
              <w:rPr>
                <w:sz w:val="18"/>
                <w:szCs w:val="18"/>
                <w:color w:val="auto"/>
              </w:rPr>
            </w:pPr>
          </w:p>
        </w:tc>
        <w:tc>
          <w:tcPr>
            <w:tcW w:w="172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41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760" w:type="dxa"/>
            <w:vAlign w:val="bottom"/>
            <w:tcBorders>
              <w:top w:val="single" w:sz="8" w:color="auto"/>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33"/>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2028</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33"/>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2029</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33"/>
        </w:trPr>
        <w:tc>
          <w:tcPr>
            <w:tcW w:w="41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760" w:type="dxa"/>
            <w:vAlign w:val="bottom"/>
            <w:tcBorders>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r>
      <w:tr>
        <w:trPr>
          <w:trHeight w:val="20"/>
        </w:trPr>
        <w:tc>
          <w:tcPr>
            <w:tcW w:w="41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155" w:lineRule="exact"/>
        <w:rPr>
          <w:sz w:val="20"/>
          <w:szCs w:val="20"/>
          <w:color w:val="auto"/>
        </w:rPr>
      </w:pPr>
    </w:p>
    <w:p>
      <w:pPr>
        <w:ind w:right="380"/>
        <w:spacing w:after="0" w:line="400"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leases, refer to Note 17 within the </w:t>
      </w:r>
      <w:r>
        <w:rPr>
          <w:rFonts w:ascii="Times New Roman" w:cs="Times New Roman" w:eastAsia="Times New Roman" w:hAnsi="Times New Roman"/>
          <w:sz w:val="18"/>
          <w:szCs w:val="18"/>
          <w:i w:val="1"/>
          <w:iCs w:val="1"/>
          <w:color w:val="auto"/>
        </w:rPr>
        <w:t>Notes to Condensed Consolidated Financial Statements</w:t>
      </w:r>
      <w:r>
        <w:rPr>
          <w:rFonts w:ascii="Times New Roman" w:cs="Times New Roman" w:eastAsia="Times New Roman" w:hAnsi="Times New Roman"/>
          <w:sz w:val="18"/>
          <w:szCs w:val="18"/>
          <w:color w:val="auto"/>
        </w:rPr>
        <w:t xml:space="preserve"> of this Form 10-Q. </w:t>
      </w:r>
      <w:r>
        <w:rPr>
          <w:rFonts w:ascii="Times New Roman" w:cs="Times New Roman" w:eastAsia="Times New Roman" w:hAnsi="Times New Roman"/>
          <w:sz w:val="18"/>
          <w:szCs w:val="18"/>
          <w:b w:val="1"/>
          <w:bCs w:val="1"/>
          <w:i w:val="1"/>
          <w:iCs w:val="1"/>
          <w:color w:val="auto"/>
        </w:rPr>
        <w:t>Factoring Agreements</w:t>
      </w:r>
    </w:p>
    <w:p>
      <w:pPr>
        <w:spacing w:after="0" w:line="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conjunction with the Separation, we entered into the Factoring Agreements with BD. Embecta owed BD a service fee calculated as 0.1% of annual revenues related to countries subject to the Factoring Agreements, in exchange for the services provided by BD pursuant to the Factoring Agreements.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all Factoring Agreements between Embecta and BD had expired and terminated as a result of our implementation and onboarding of certain Business Continuity Processes in North America, and certain jurisdictions in Europe and Asia.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Capital and Credit Ratings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2024 and June 2024, Moody’s Investor Services and Standard &amp; Poor’s Ratings Services published updates to our credit ratings. Our Moody's Investors Services credit rating is B1 and our Standard &amp; Poor's Rating Services credit rating is B+.</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equivalents and restricted cash were $216.7 million as of December 31, 2024 as compared to $274.2 million as of September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uses of cash that contributed to the $57.5 million decrease were: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2024 Cash and equivalents and restricted cash balance</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for operating activities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for investing activities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for financing activities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equivalents and restricted cash</w:t>
            </w: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2"/>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2024 Cash and equivalents and restricted cash balance</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216.7</w:t>
            </w:r>
          </w:p>
        </w:tc>
      </w:tr>
      <w:tr>
        <w:trPr>
          <w:trHeight w:val="21"/>
        </w:trPr>
        <w:tc>
          <w:tcPr>
            <w:tcW w:w="9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operating activities was primarily attributable to:</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96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Non-cash adjustments related to depreciation and amortization, impairment of property, plant and equipment, stock-based compensation, and</w:t>
            </w:r>
          </w:p>
        </w:tc>
        <w:tc>
          <w:tcPr>
            <w:tcW w:w="6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6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accounts payable and accrued expenses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trade receivables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inventories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amounts due from/due to Becton, Dickinson and Company</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prepaid expenses and other</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income and other net taxes payable</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other assets and liabilities, net</w:t>
            </w: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2"/>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for operating activities</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accounts payable and accrued expenses is primarily attributed to timing of payments to vendors and annual bonus payments.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trade receivables is primarily attributed to the timing of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inventories is primarily attributed to actions taken to build inventory to support the execution of our brand transition program.</w:t>
      </w:r>
    </w:p>
    <w:p>
      <w:pPr>
        <w:spacing w:after="0" w:line="1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change in amounts due from/due to Becton, Dickinson and Company is attributed to the timing of payments associated with certain agreements effectuated at Separation.</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change in prepaid expenses and other is primarily attributed to payments received from BD associated with the transfer of certain assets and liabilities related to the Diabetes Care Business in certain jurisdictions that closed in the first quarter of fiscal 2025.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income and other net taxes payable is primarily attributed to timing of required tax payments.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other assets and liabilities, net is primarily attributed to costs capitalized attributed to cloud computing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movements related to working capital were due to timing of payments and receipts of cash in the ordinary course of business.</w:t>
      </w:r>
    </w:p>
    <w:p>
      <w:pPr>
        <w:spacing w:after="0" w:line="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was comprised of capital expenditures of $1.5 million for the three months ended December 31, 2024 to support our business and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financing activities was primarily attributable to:</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payments</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37"/>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contractual obligations as of December 31, 2024, which require material cash requirements in the future, consist of purchase obligations and lease obligations. Purchase obligations are enforceable and legally binding obligations for purchases of goods and services which include inventory purchase commitments. Over the next several years, we expect to incur material costs associated with operating and maintaining our information technology infrastructure. Lease obligations include lease agreements for which a contract has been signed even if the lease has not yet commenced. Refer to "Item 7. Management's Discussion and Analysis of Financial Condition and Results of Operations" in the 2024 Form 10-K for further details. As of December 31, 2024, there have been no material changes to our contractual obligations outside the ordinary course of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significant accounting policies, which include management’s best estimates and judgments, are included in Note 3 to the Consolidated Financial Statements included in the 2024 Form 10-K. A discussion of accounting estimates considered critical because of the potential for a significant impact on the financial statements due to the inherent uncertainty in such estimates are disclosed in the Critical Accounting Policies section of Management’s Discussion and Analysis of Financial Condition and Results of Operations included in the 2024 Form 10-K. There have been no changes to our critical accounting policies as of December 31, 2024.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constitute forward-looking statements under the Private Securities Litigation Reform Act of 1995 and other securities laws. Forward-looking statements include those containing such words as “anticipates,” “believes,” "can," “could,” “estimates,” “expects,” “forecasts,” “goal,” “guidance,” “intends,” “may,” “outlook,” “plans,” "possible,"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Embecta’s strategy for growth, the Restructuring Plan, brand transition, future product development, anticipated product and regulatory clearances, approvals, and launches, competitive position and expenditures. Forward-looking statements are based upon our present intent, beliefs or expectations, are not guarantees of future performance and are subject to numerous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118" w:lineRule="exact"/>
        <w:rPr>
          <w:sz w:val="20"/>
          <w:szCs w:val="20"/>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that could adversely affect Embecta’s operations, including adoption of new drug therapies for treatment of diabetes, new product introductions by Embecta’s competitors, the development of new technologies, lower cost producers that create pricing pressure, and consolidation resulting in companies with greater scale and market presence than Embecta.</w:t>
      </w:r>
    </w:p>
    <w:p>
      <w:pPr>
        <w:spacing w:after="0" w:line="6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Embecta is unable to replace the services, including the Business Continuity Processes, that BD currently provides to it on substantially similar terms as the terms on which BD is providing these services under the transaction agreements or that BD terminates such services.</w:t>
      </w:r>
    </w:p>
    <w:p>
      <w:pPr>
        <w:spacing w:after="0" w:line="10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BD to perform its obligations under the various separation agreements entered into in connection with the Separation and distribution, including the cannula supply agreement.</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events that adversely affect the sale or profitability of one of Embecta’s key products or the revenue delivered from sales to its key customers.</w:t>
      </w:r>
    </w:p>
    <w:p>
      <w:pPr>
        <w:spacing w:after="0" w:line="155" w:lineRule="exact"/>
        <w:rPr>
          <w:rFonts w:ascii="Times New Roman" w:cs="Times New Roman" w:eastAsia="Times New Roman" w:hAnsi="Times New Roman"/>
          <w:sz w:val="17"/>
          <w:szCs w:val="17"/>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including fluctuations in the cost and availability of oil-based resins, other raw materials, and energy as well as certain components, used in its products, the ability to maintain favorable supplier arrangements and relationships, and the potential adverse effects of any disruption in the availability of such items.</w:t>
      </w:r>
    </w:p>
    <w:p>
      <w:pPr>
        <w:spacing w:after="0" w:line="6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ability to obtain clearance from the U.S. Food and Drug Administration of any product, to market and sell such products successfully, to anticipate the needs of people with diabetes, and future business decisions by Embecta and its competitors.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practices of governments or private payers or other cost containment measures.</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United States, federal laws and policy that could affect fiscal and tax policies, healthcare and international trade, including import and export regulation, tariffs and international trade agreements. In particular, tariffs or other trade barriers imposed by the United States or other countries could adversely impact its supply chain costs or otherwise adversely impact its results of operations.</w:t>
      </w:r>
    </w:p>
    <w:p>
      <w:pPr>
        <w:spacing w:after="0" w:line="10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impact of pandemics or geopolitical instability on Embecta’s business, including disruptions in its operations and supply chains.</w:t>
      </w:r>
    </w:p>
    <w:p>
      <w:pPr>
        <w:spacing w:after="0" w:line="14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10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Separation from BD.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indebtedness and our use of indebtedness available to us.</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dis-synergy costs, costs of restructuring transactions and other costs incurred in connection with the Separation will exceed Embecta's estimates.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Separation on Embecta's businesses and the risk that the Separation may be more difficult, time-consuming or costly than expected, including brand transition, the impact on its resources, systems, including ERP, procedures and controls, diversion of management’s attention and the impact on relationships with customers, suppliers, employees and other business counterparties.</w:t>
      </w:r>
    </w:p>
    <w:p>
      <w:pPr>
        <w:spacing w:after="0" w:line="10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expectations related to the costs, profitability, timing and the estimated financial impact of, and charges associated with, the Restructuring Plan.</w:t>
      </w:r>
    </w:p>
    <w:p>
      <w:pPr>
        <w:spacing w:after="0" w:line="9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complete strategic collaborative partnerships and acquisition opportunities that enable us to accelerate our growth or strategic collaborative opportunities that give us access to innovative technologies, complementary product lines, and new markets.</w:t>
      </w:r>
    </w:p>
    <w:p>
      <w:pPr>
        <w:spacing w:after="0" w:line="8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material weakness identified in our internal control over financial reporting and our ability to remediate such material weakness.</w:t>
      </w:r>
    </w:p>
    <w:p>
      <w:pPr>
        <w:spacing w:after="0" w:line="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There can be no assurance that the transactions or uncertainties described above will in fact be consummated or occur in the manner described or at all. As a result, you should not place undue reliance upon our forward-looking statements. The above list of factors is not exhaustive or necessarily in order of importance. For additional information on identifying factors that may cause actual results to vary materially from those stated in forward-looking statements, see the discussions under “Risk Factors,” included within the 2024 Form 10-K. Any forward-looking statement speaks only as of the date on which it is made, and Embecta expressly disclaims and assumes no obligation to update or revise such statement, whether as a result of new information, future events or otherwise, except as required by applicable law.</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information reported since the filing of the 2024 Form 10-K except as follows: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w:t>
      </w: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From time to time, we enter into foreign currency forward exchange contracts with major financial institutions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15, </w:t>
      </w:r>
      <w:r>
        <w:rPr>
          <w:rFonts w:ascii="Times New Roman" w:cs="Times New Roman" w:eastAsia="Times New Roman" w:hAnsi="Times New Roman"/>
          <w:sz w:val="18"/>
          <w:szCs w:val="18"/>
          <w:i w:val="1"/>
          <w:iCs w:val="1"/>
          <w:color w:val="auto"/>
        </w:rPr>
        <w:t xml:space="preserve">Financial Instruments and Fair Value Measurements </w:t>
      </w:r>
      <w:r>
        <w:rPr>
          <w:rFonts w:ascii="Times New Roman" w:cs="Times New Roman" w:eastAsia="Times New Roman" w:hAnsi="Times New Roman"/>
          <w:sz w:val="18"/>
          <w:szCs w:val="18"/>
          <w:color w:val="auto"/>
        </w:rPr>
        <w:t>of the Notes to Condensed Consolidated Financial Statements for further information.</w:t>
      </w: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Consequently, foreign currency exchange contracts would not subject us to material risk due to exchange rate movements, because gains and losses on these contracts offset gains and losses on the assets, liabilities or transactions being hedged.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Our interest rate risk relates primarily to our Term Loan. The interest rate is set at 300 basis points over SOFR, with a 0.50% SOFR floor.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outstanding borrowings at December 31, 2024, a 100 basis points change in interest rates would have impacted interest expense on the Term Loan by $8.7 million on an annualized basis. To the extent we borrow on our Revolving Credit Facility, we will be subject to risks related to changes in SOFR.</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design and operation of our disclosure controls and procedures (as defined in Rule 13a-15(e) under the Securities Exchange Act of 1934), as amended. Based upon that evaluation as of December 31, 2024, our Chief Executive Officer and Chief Financial Officer each concluded that, as of the end of such period, our disclosure controls and procedures were not effective due to the material weakness in our internal control over financial reporting, as described in Management's Report on Internal Control Over Financial Reporting in "Item 9A. Control and Procedures" in the Annual Report on Form 10-K for the year ended September 30, 2024.</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2022, the Company commenced the process of implementing a new ERP system and other Business Continuity Processes to replace the existing systems provided by BD. The ERP system is designed to accurately maintain the Company's financial records used to report operating results. The implementation of the ERP system and other Business Continuity Processes is highly complex and has occurred and will continue to occur in phases across our geographies. The implementations of North America, EMEA, Asia and Greater China were completed in phases within fiscal years 2023 and 2024. The Latin America implementation was completed in the first quarter of fiscal year 2025. The implementation for India is expected to be completed in fiscal year 2025, subject to the timely receipt of the required government and health authority approvals. A standardized internal control framework is implemented as the Company moves away from relying on BD’s systems and controls. Since the final phase has not been completed as of the date of this Quarterly Report on Form 10-Q, the Company continues to rely on certain processes and internal control over financial reporting performed by BD.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Remediation Plan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identification of the material weakness, management immediately effectuated a plan to remediate the design and operation of the related control activities. The execution of this plan has commenced and will continue to progress through fiscal year 2025. Remediation activities include, but are not limited to the following actions:</w:t>
      </w:r>
    </w:p>
    <w:p>
      <w:pPr>
        <w:spacing w:after="0" w:line="6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reassess the design of processes and internal controls related to certain account reconciliations and certain analyses;</w:t>
      </w:r>
    </w:p>
    <w:p>
      <w:pPr>
        <w:spacing w:after="0" w:line="6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 robust and formal training program regarding diligence in control performance and Sarbanes-Oxley Act requirements and emphasis of certain finance policies;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enhanced oversight and governance over account reconciliations and certain financial analyses;</w:t>
      </w:r>
    </w:p>
    <w:p>
      <w:pPr>
        <w:spacing w:after="0" w:line="6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control documentation and design to include additional procedures regarding confirmation of the completeness and accuracy of data used to perform controls and the precision of control activities; and</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existing technology to develop enhanced reporting and to drive process efficiencies and automation.</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is committed to remediating the material weakness. The actions are subject to ongoing management review, as well as oversight from the Audit Committee. When fully implemented and operational, the Company believes the measures described above will remediate the underlying cause of the material weakness and will strengthen the Company's internal control over financial reporting. However, the Company will not be able to fully remediate this material weakness until these steps have been completed and have been operating effectively for a sufficient period of time. The Company may also identify additional measures that may be required to remediate the material weakness in its internal control over financial reporting, necessitating further action. The Company will continue to build on the progress made in the remediation plan. A determination cannot be made on when the remediation plan will be fully completed, and the Company cannot provide any assurance that these remediation efforts will be successful or that internal control over financial reporting will be effective as a result of these efforts.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working towards executing the remediation plan to address the material weakness. However, none of these efforts have resulted in the remediation of the material weakness as of December 31, 2024. There have been no changes in internal control over financial reporting during the three months ended December 31, 2024, that have materially affected, or are reasonably likely to materially affect, our internal control over financial reporting.</w:t>
      </w: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Embecta’s risk factors from those described in “Risk Factors” included within the 2024 Form 10-K.</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4"/>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800" w:type="dxa"/>
            <w:vAlign w:val="bottom"/>
            <w:gridSpan w:val="5"/>
          </w:tcPr>
          <w:p>
            <w:pPr>
              <w:ind w:left="4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1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45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5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 Rule 13a–14(a)</w:t>
            </w:r>
          </w:p>
        </w:tc>
        <w:tc>
          <w:tcPr>
            <w:tcW w:w="4500" w:type="dxa"/>
            <w:vAlign w:val="bottom"/>
            <w:gridSpan w:val="3"/>
          </w:tcPr>
          <w:p>
            <w:pPr>
              <w:spacing w:after="0"/>
              <w:rPr>
                <w:sz w:val="24"/>
                <w:szCs w:val="24"/>
                <w:color w:val="auto"/>
              </w:rPr>
            </w:pPr>
          </w:p>
        </w:tc>
      </w:tr>
      <w:tr>
        <w:trPr>
          <w:trHeight w:val="5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 Rule 13a–14(a)</w:t>
            </w: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50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13a–14(b) and Section 1350 of Chapter 63 of Title 18 of the U.S. Code</w:t>
            </w:r>
          </w:p>
        </w:tc>
      </w:tr>
      <w:tr>
        <w:trPr>
          <w:trHeight w:val="50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13a–14(b) and Section 1350 of Chapter 63 of Title 18 of the U.S. Code</w:t>
            </w:r>
          </w:p>
        </w:tc>
        <w:tc>
          <w:tcPr>
            <w:tcW w:w="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r>
      <w:tr>
        <w:trPr>
          <w:trHeight w:val="51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materials from this report, formatted in iXBRL (Inline eXtensible Business Reporting Language): (i) the Condensed</w:t>
            </w:r>
          </w:p>
        </w:tc>
      </w:tr>
      <w:tr>
        <w:trPr>
          <w:trHeight w:val="203"/>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Consolidated Statements of Income, (ii) the Condensed Consolidated Statements of Comprehensive Income, (iii) the Condensed</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Consolidated Balance Sheets, (iv) the Condensed Consolidated Statements of Equity, (v) the Condensed Consolidated Statements of</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Cash Flows, and (vi) Notes to Condensed Consolidated Financial Statements.</w:t>
            </w:r>
          </w:p>
        </w:tc>
      </w:tr>
      <w:tr>
        <w:trPr>
          <w:trHeight w:val="52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52" w:lineRule="exact"/>
        <w:rPr>
          <w:sz w:val="20"/>
          <w:szCs w:val="20"/>
          <w:color w:val="auto"/>
        </w:rPr>
      </w:pPr>
    </w:p>
    <w:p>
      <w:pPr>
        <w:ind w:left="560" w:hanging="534"/>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560" w:hanging="534"/>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Devdatt Kurdikar</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2025</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Devdatt Kurdikar</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Jacob Elguicze</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2025</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Jacob Elguicze</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Anthony Roth</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2025</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Roth</w:t>
            </w:r>
          </w:p>
        </w:tc>
      </w:tr>
      <w:tr>
        <w:trPr>
          <w:trHeight w:val="25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40"/>
          </w:cols>
          <w:pgMar w:left="320" w:top="226"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Devdatt Kurdikar, certify that:</w:t>
      </w:r>
    </w:p>
    <w:p>
      <w:pPr>
        <w:spacing w:after="0" w:line="144"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20" w:hanging="332"/>
        <w:spacing w:after="0" w:line="24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Times New Roman" w:cs="Times New Roman" w:eastAsia="Times New Roman" w:hAnsi="Times New Roman"/>
          <w:sz w:val="18"/>
          <w:szCs w:val="18"/>
          <w:color w:val="auto"/>
        </w:rPr>
      </w:pPr>
    </w:p>
    <w:p>
      <w:pPr>
        <w:ind w:left="660" w:right="60" w:hanging="328"/>
        <w:spacing w:after="0" w:line="242"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8"/>
          <w:szCs w:val="18"/>
          <w:color w:val="auto"/>
        </w:rPr>
      </w:pPr>
    </w:p>
    <w:p>
      <w:pPr>
        <w:jc w:val="both"/>
        <w:ind w:left="660" w:right="860" w:hanging="328"/>
        <w:spacing w:after="0" w:line="296" w:lineRule="auto"/>
        <w:tabs>
          <w:tab w:leader="none" w:pos="65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7"/>
          <w:szCs w:val="17"/>
          <w:color w:val="auto"/>
        </w:rPr>
      </w:pPr>
    </w:p>
    <w:p>
      <w:pPr>
        <w:ind w:left="660" w:right="80" w:hanging="328"/>
        <w:spacing w:after="0" w:line="258"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2025</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Jacob Elguicze, certify that:</w:t>
      </w:r>
    </w:p>
    <w:p>
      <w:pPr>
        <w:spacing w:after="0" w:line="144"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20" w:hanging="332"/>
        <w:spacing w:after="0" w:line="24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660" w:right="80" w:hanging="328"/>
        <w:spacing w:after="0" w:line="250"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2025</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Section 1350, in connection with the Quarterly Report on Form 10-Q of Embecta Corp. for the quarter ended December 31,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as filed with the Securities and Exchange Commission (the “Report”).</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Devdatt Kurdikar, the Chief Executive Officer of Embecta Corp., certify that, to the best of my knowledge:</w:t>
      </w:r>
    </w:p>
    <w:p>
      <w:pPr>
        <w:spacing w:after="0" w:line="131"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2025</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54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Section 1350, in connection with the Quarterly Report on Form 10-Q of Embecta Corp. for the quarter ended December 31,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as filed with the Securities and Exchange Commission (the “Report”).</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Jacob Elguicze, the Chief Financial Officer of Embecta Corp., certify that, to the best of my knowledge:</w:t>
      </w:r>
    </w:p>
    <w:p>
      <w:pPr>
        <w:spacing w:after="0" w:line="131" w:lineRule="exact"/>
        <w:rPr>
          <w:sz w:val="20"/>
          <w:szCs w:val="20"/>
          <w:color w:val="auto"/>
        </w:rPr>
      </w:pPr>
    </w:p>
    <w:p>
      <w:pPr>
        <w:ind w:left="420" w:hanging="412"/>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2025</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2025-02-06T11:37:57Z</dcterms:created>
  <dcterms:modified xsi:type="dcterms:W3CDTF">2025-02-06T11:37:57Z</dcterms:modified>
</cp:coreProperties>
</file>