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84"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43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r>
      <w:tr>
        <w:trPr>
          <w:trHeight w:val="148"/>
        </w:trPr>
        <w:tc>
          <w:tcPr>
            <w:tcW w:w="3480" w:type="dxa"/>
            <w:vAlign w:val="bottom"/>
          </w:tcPr>
          <w:p>
            <w:pPr>
              <w:spacing w:after="0"/>
              <w:rPr>
                <w:sz w:val="12"/>
                <w:szCs w:val="12"/>
                <w:color w:val="auto"/>
              </w:rPr>
            </w:pPr>
          </w:p>
        </w:tc>
        <w:tc>
          <w:tcPr>
            <w:tcW w:w="43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r>
      <w:tr>
        <w:trPr>
          <w:trHeight w:val="186"/>
        </w:trPr>
        <w:tc>
          <w:tcPr>
            <w:tcW w:w="3480" w:type="dxa"/>
            <w:vAlign w:val="bottom"/>
          </w:tcPr>
          <w:p>
            <w:pPr>
              <w:spacing w:after="0"/>
              <w:rPr>
                <w:sz w:val="16"/>
                <w:szCs w:val="16"/>
                <w:color w:val="auto"/>
              </w:rPr>
            </w:pPr>
          </w:p>
        </w:tc>
        <w:tc>
          <w:tcPr>
            <w:tcW w:w="43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r>
      <w:tr>
        <w:trPr>
          <w:trHeight w:val="394"/>
        </w:trPr>
        <w:tc>
          <w:tcPr>
            <w:tcW w:w="3480" w:type="dxa"/>
            <w:vAlign w:val="bottom"/>
          </w:tcPr>
          <w:p>
            <w:pPr>
              <w:jc w:val="center"/>
              <w:ind w:right="1"/>
              <w:spacing w:after="0"/>
              <w:rPr>
                <w:sz w:val="20"/>
                <w:szCs w:val="20"/>
                <w:color w:val="auto"/>
              </w:rPr>
            </w:pPr>
            <w:r>
              <w:rPr>
                <w:rFonts w:ascii="Arial" w:cs="Arial" w:eastAsia="Arial" w:hAnsi="Arial"/>
                <w:sz w:val="18"/>
                <w:szCs w:val="18"/>
                <w:b w:val="1"/>
                <w:bCs w:val="1"/>
                <w:color w:val="auto"/>
                <w:w w:val="88"/>
              </w:rPr>
              <w:t>001-41186</w:t>
            </w:r>
          </w:p>
        </w:tc>
        <w:tc>
          <w:tcPr>
            <w:tcW w:w="4340" w:type="dxa"/>
            <w:vAlign w:val="bottom"/>
          </w:tcPr>
          <w:p>
            <w:pPr>
              <w:jc w:val="center"/>
              <w:ind w:left="3141"/>
              <w:spacing w:after="0"/>
              <w:rPr>
                <w:sz w:val="20"/>
                <w:szCs w:val="20"/>
                <w:color w:val="auto"/>
              </w:rPr>
            </w:pPr>
            <w:r>
              <w:rPr>
                <w:rFonts w:ascii="Arial" w:cs="Arial" w:eastAsia="Arial" w:hAnsi="Arial"/>
                <w:sz w:val="18"/>
                <w:szCs w:val="18"/>
                <w:b w:val="1"/>
                <w:bCs w:val="1"/>
                <w:color w:val="auto"/>
                <w:w w:val="91"/>
              </w:rPr>
              <w:t>87-1583942</w:t>
            </w:r>
          </w:p>
        </w:tc>
      </w:tr>
      <w:tr>
        <w:trPr>
          <w:trHeight w:val="148"/>
        </w:trPr>
        <w:tc>
          <w:tcPr>
            <w:tcW w:w="34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(Commission</w:t>
            </w:r>
          </w:p>
        </w:tc>
        <w:tc>
          <w:tcPr>
            <w:tcW w:w="4340" w:type="dxa"/>
            <w:vAlign w:val="bottom"/>
          </w:tcPr>
          <w:p>
            <w:pPr>
              <w:jc w:val="center"/>
              <w:ind w:left="3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1"/>
              <w:spacing w:after="0"/>
              <w:rPr>
                <w:sz w:val="20"/>
                <w:szCs w:val="20"/>
                <w:color w:val="auto"/>
              </w:rPr>
            </w:pPr>
            <w:r>
              <w:rPr>
                <w:rFonts w:ascii="Arial" w:cs="Arial" w:eastAsia="Arial" w:hAnsi="Arial"/>
                <w:sz w:val="14"/>
                <w:szCs w:val="14"/>
                <w:b w:val="1"/>
                <w:bCs w:val="1"/>
                <w:color w:val="auto"/>
                <w:w w:val="98"/>
              </w:rPr>
              <w:t>File Number)</w:t>
            </w:r>
          </w:p>
        </w:tc>
        <w:tc>
          <w:tcPr>
            <w:tcW w:w="4340" w:type="dxa"/>
            <w:vAlign w:val="bottom"/>
          </w:tcPr>
          <w:p>
            <w:pPr>
              <w:jc w:val="center"/>
              <w:ind w:left="314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3480" w:type="dxa"/>
            <w:vAlign w:val="bottom"/>
          </w:tcPr>
          <w:p>
            <w:pPr>
              <w:jc w:val="center"/>
              <w:ind w:right="21"/>
              <w:spacing w:after="0"/>
              <w:rPr>
                <w:sz w:val="20"/>
                <w:szCs w:val="20"/>
                <w:color w:val="auto"/>
              </w:rPr>
            </w:pPr>
            <w:r>
              <w:rPr>
                <w:rFonts w:ascii="Arial" w:cs="Arial" w:eastAsia="Arial" w:hAnsi="Arial"/>
                <w:sz w:val="18"/>
                <w:szCs w:val="18"/>
                <w:b w:val="1"/>
                <w:bCs w:val="1"/>
                <w:color w:val="auto"/>
                <w:w w:val="91"/>
              </w:rPr>
              <w:t>1 Becton Drive, Franklin Lakes, New Jersey</w:t>
            </w:r>
          </w:p>
        </w:tc>
        <w:tc>
          <w:tcPr>
            <w:tcW w:w="4340" w:type="dxa"/>
            <w:vAlign w:val="bottom"/>
          </w:tcPr>
          <w:p>
            <w:pPr>
              <w:jc w:val="center"/>
              <w:ind w:left="314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348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340" w:type="dxa"/>
            <w:vAlign w:val="bottom"/>
          </w:tcPr>
          <w:p>
            <w:pPr>
              <w:jc w:val="center"/>
              <w:ind w:left="31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(201) 847-6880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EMBC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 (Nasdaq</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1, 2022, Becton, Dickinson and Company (“BD”) announced that its board of directors approved a distribution of 100% of the outstanding shares of common stock of Embecta Corp. (“Embecta”) to BD shareholders of record as of the close of business on March 22, 2022 (the “Spin-Off Distribution”). The Spin-Off Distribution is expected to be completed at 12:01 a.m., Eastern time, on April 1, 2022, subject to the satisfaction or waiver of the conditions to the Spin-Off Distribution described in Embecta’s registration statement on Form 10 filed with the U.S. Securities and Exchange Commission (as amended, the “Form 10 Registration Statement”).</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February 10, 2022, Embecta entered into an Indenture (the “Indenture”), by and between Embecta and U.S. Bank Trust Company, National Association, as trustee and as notes collateral agent, pursuant to which Embecta issued $500 million of 5.000% senior secured notes due 2030 (the “Senior Secured Notes”). The Senior Secured Notes were offered and sold to qualified institutional buyers in the United States pursuant to Rule 144A under the Securities Act of 1933, as amended (the “Securities Act”), and to non-U.S. persons in reliance on Regulation S under the Securities Act.</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Senior Secured Notes will mature on February 15, 2030. The Senior Secured Notes will bear interest at a rate of 5.000% per annum, payable semi-annually.</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Senior Secured Notes will not be redeemable until after February 15, 2027, subject to certain limited exceptions. After February 15, 2027, the Senior Secured Notes will be redeemable at Embecta’s option in a customary manner and at the prices set forth therein.</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the completion of the Spin-Off Distribution, the Senior Secured Notes will be unsecured, unsubordinated obligations of Embecta and guaranteed on an unsecured, unsubordinated basis solely by BD, which guarantee will automatically and unconditionally terminate and be released upon the earlier to occur of (i) the completion of the Spin-Off Distribution or (ii) the consummation of a defeasance or satisfaction and discharge in accordance with the provisions of the Indenture. From and after the completion of the Spin-Off Distribution, the Senior Secured Notes will be, jointly and severally, guaranteed by certain of Embecta’s existing and future direct or indirect wholly owned domestic restricted subsidiaries (subject to certain exceptions).</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and after the completion of the Spin-Off Distribution, the Senior Secured Notes and related guarantees will be secured by a first priority lien on substantially all of the assets of Embecta and its subsidiary guarantors (subject to permitted liens and certain other exceptions), equally and ratably with all existing and future first lien obligations of Embecta and the subsidiary guarantors.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Senior Secured Notes contain customary affirmative and negative covenants, including among others, limitations on the incurrence of indebtedness, restricted payments, liens, restrictions on distributions from subsidiaries, sales of assets and subsidiary stock, affiliate transactions and certain mergers and consolidations.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Senior Secured Notes are subject to customary events of default for financings of this type, including, among others, non-payment of principal, interest or premium, failure to comply with certain covenants and certain bankruptcy or insolvency events.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Indenture and form of Senior Secured Note are attached as Exhibits 4.1 and 4.2, respectively, to this Current Report on Form 8-K and are incorporated in this Item 1.01 by reference. The foregoing descriptions of the Indenture and form of Senior Secured Note are qualified in their entirety by reference to the full text of such documents.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and Off-Balance Sheet Arrangement of a Registration.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 Regulation FD Disclosure.</w:t>
      </w:r>
    </w:p>
    <w:p>
      <w:pPr>
        <w:spacing w:after="0" w:line="121" w:lineRule="exact"/>
        <w:rPr>
          <w:sz w:val="20"/>
          <w:szCs w:val="20"/>
          <w:color w:val="auto"/>
        </w:rPr>
      </w:pPr>
    </w:p>
    <w:p>
      <w:pPr>
        <w:ind w:left="4" w:right="400"/>
        <w:spacing w:after="0" w:line="342" w:lineRule="auto"/>
        <w:rPr>
          <w:sz w:val="20"/>
          <w:szCs w:val="20"/>
          <w:color w:val="auto"/>
        </w:rPr>
      </w:pPr>
      <w:r>
        <w:rPr>
          <w:rFonts w:ascii="Arial" w:cs="Arial" w:eastAsia="Arial" w:hAnsi="Arial"/>
          <w:sz w:val="16"/>
          <w:szCs w:val="16"/>
          <w:color w:val="auto"/>
        </w:rPr>
        <w:t>On February 10, 2022, the Form 10 Registration Statement was declared effective. The Form 10 Registration Statement includes a preliminary information statement that describes the Spin-Off Distribution and provides important information regarding Embecta’s business and management.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final information statement, dated February 11, 2022 (the “Information Statement”), is attached hereto as Exhibit 99.1.</w:t>
      </w:r>
    </w:p>
    <w:p>
      <w:pPr>
        <w:spacing w:after="0" w:line="225" w:lineRule="exact"/>
        <w:rPr>
          <w:sz w:val="20"/>
          <w:szCs w:val="20"/>
          <w:color w:val="auto"/>
        </w:rPr>
      </w:pPr>
    </w:p>
    <w:p>
      <w:pPr>
        <w:jc w:val="both"/>
        <w:ind w:left="4" w:right="140"/>
        <w:spacing w:after="0" w:line="311" w:lineRule="auto"/>
        <w:rPr>
          <w:sz w:val="20"/>
          <w:szCs w:val="20"/>
          <w:color w:val="auto"/>
        </w:rPr>
      </w:pPr>
      <w:r>
        <w:rPr>
          <w:rFonts w:ascii="Arial" w:cs="Arial" w:eastAsia="Arial" w:hAnsi="Arial"/>
          <w:sz w:val="16"/>
          <w:szCs w:val="16"/>
          <w:color w:val="auto"/>
        </w:rPr>
        <w:t>As further described in the Information Statement, BD expects to distribute one share of Embecta common stock for every five shares of BD common stock held as of the close of business on March 22, 2022. Subject to the satisfaction or waiver of the conditions to the Spin-Off Distribution, which are described in the Information Statement, the Spin-Off Distribution is expected to occur at 12:01 a.m., Eastern Time, on April 1, 2022.</w:t>
      </w:r>
    </w:p>
    <w:p>
      <w:pPr>
        <w:spacing w:after="0" w:line="149"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i w:val="1"/>
          <w:iCs w:val="1"/>
          <w:color w:val="auto"/>
        </w:rPr>
        <w:t>Exhibit 99.1 is being furnished and shall not be deemed “filed” for purposes of Section 18 of the U.S. Securities Exchange Act of 1934, as amended, or otherwise subject to the liabilities of that section, nor shall it be deemed to be incorporated by reference in any registration statement or other document filed under the Securities Act, except as otherwise expressly stated in such filing.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ind w:left="664" w:right="32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5">
        <w:r>
          <w:rPr>
            <w:rFonts w:ascii="Arial" w:cs="Arial" w:eastAsia="Arial" w:hAnsi="Arial"/>
            <w:sz w:val="18"/>
            <w:szCs w:val="18"/>
            <w:u w:val="single" w:color="auto"/>
            <w:color w:val="0000EE"/>
          </w:rPr>
          <w:t>Indenture, dated February 10, 2022, by and between Embecta Corp. and U.S. Bank Trust Company, National Association, as trustee and as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notes collateral agent</w:t>
        </w:r>
      </w:hyperlink>
    </w:p>
    <w:p>
      <w:pPr>
        <w:spacing w:after="0" w:line="62"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5">
        <w:r>
          <w:rPr>
            <w:rFonts w:ascii="Arial" w:cs="Arial" w:eastAsia="Arial" w:hAnsi="Arial"/>
            <w:sz w:val="16"/>
            <w:szCs w:val="16"/>
            <w:u w:val="single" w:color="auto"/>
            <w:color w:val="0000EE"/>
          </w:rPr>
          <w:t>Form of 5.000% Senior Secured Note due February 15, 2030 (included as Exhibit A to the Indenture filed as Exhibit 4.1 hereto)</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205">
        <w:r>
          <w:rPr>
            <w:rFonts w:ascii="Arial" w:cs="Arial" w:eastAsia="Arial" w:hAnsi="Arial"/>
            <w:sz w:val="16"/>
            <w:szCs w:val="16"/>
            <w:u w:val="single" w:color="auto"/>
            <w:color w:val="0000EE"/>
          </w:rPr>
          <w:t>Information Statement of Embecta Corp., dated February 11, 2022</w:t>
        </w:r>
      </w:hyperlink>
    </w:p>
    <w:p>
      <w:pPr>
        <w:spacing w:after="0" w:line="117" w:lineRule="exact"/>
        <w:rPr>
          <w:sz w:val="20"/>
          <w:szCs w:val="20"/>
          <w:color w:val="auto"/>
        </w:rPr>
      </w:pPr>
    </w:p>
    <w:p>
      <w:pPr>
        <w:ind w:left="5464" w:right="4540" w:hanging="5464"/>
        <w:spacing w:after="0" w:line="490" w:lineRule="auto"/>
        <w:tabs>
          <w:tab w:leader="none" w:pos="662"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3</w:t>
      </w:r>
    </w:p>
    <w:p>
      <w:pPr>
        <w:sectPr>
          <w:pgSz w:w="11900" w:h="16838" w:orient="portrait"/>
          <w:cols w:equalWidth="0" w:num="1">
            <w:col w:w="10984"/>
          </w:cols>
          <w:pgMar w:left="436" w:top="297"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color w:val="auto"/>
              </w:rPr>
              <w:t>Date: February 11, 2022</w:t>
            </w:r>
          </w:p>
        </w:tc>
        <w:tc>
          <w:tcPr>
            <w:tcW w:w="7500" w:type="dxa"/>
            <w:vAlign w:val="bottom"/>
            <w:gridSpan w:val="2"/>
          </w:tcPr>
          <w:p>
            <w:pPr>
              <w:ind w:left="1760"/>
              <w:spacing w:after="0"/>
              <w:rPr>
                <w:sz w:val="20"/>
                <w:szCs w:val="20"/>
                <w:color w:val="auto"/>
              </w:rPr>
            </w:pPr>
            <w:r>
              <w:rPr>
                <w:rFonts w:ascii="Arial" w:cs="Arial" w:eastAsia="Arial" w:hAnsi="Arial"/>
                <w:sz w:val="18"/>
                <w:szCs w:val="18"/>
                <w:b w:val="1"/>
                <w:bCs w:val="1"/>
                <w:color w:val="auto"/>
              </w:rPr>
              <w:t>EMBECTA CORP.</w:t>
            </w:r>
          </w:p>
        </w:tc>
      </w:tr>
      <w:tr>
        <w:trPr>
          <w:trHeight w:val="432"/>
        </w:trPr>
        <w:tc>
          <w:tcPr>
            <w:tcW w:w="3520" w:type="dxa"/>
            <w:vAlign w:val="bottom"/>
          </w:tcPr>
          <w:p>
            <w:pPr>
              <w:spacing w:after="0"/>
              <w:rPr>
                <w:sz w:val="24"/>
                <w:szCs w:val="24"/>
                <w:color w:val="auto"/>
              </w:rPr>
            </w:pPr>
          </w:p>
        </w:tc>
        <w:tc>
          <w:tcPr>
            <w:tcW w:w="7500" w:type="dxa"/>
            <w:vAlign w:val="bottom"/>
            <w:gridSpan w:val="2"/>
          </w:tcPr>
          <w:p>
            <w:pPr>
              <w:ind w:left="1760"/>
              <w:spacing w:after="0"/>
              <w:rPr>
                <w:sz w:val="20"/>
                <w:szCs w:val="20"/>
                <w:color w:val="auto"/>
              </w:rPr>
            </w:pPr>
            <w:r>
              <w:rPr>
                <w:rFonts w:ascii="Arial" w:cs="Arial" w:eastAsia="Arial" w:hAnsi="Arial"/>
                <w:sz w:val="18"/>
                <w:szCs w:val="18"/>
                <w:color w:val="auto"/>
              </w:rPr>
              <w:t>By:    /s/ Devdatt Kurdikar</w:t>
            </w:r>
          </w:p>
        </w:tc>
      </w:tr>
      <w:tr>
        <w:trPr>
          <w:trHeight w:val="209"/>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Devdatt Kurdikar</w:t>
            </w:r>
          </w:p>
        </w:tc>
      </w:tr>
      <w:tr>
        <w:trPr>
          <w:trHeight w:val="230"/>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3520" w:type="dxa"/>
            <w:vAlign w:val="bottom"/>
          </w:tcPr>
          <w:p>
            <w:pPr>
              <w:spacing w:after="0"/>
              <w:rPr>
                <w:sz w:val="24"/>
                <w:szCs w:val="24"/>
                <w:color w:val="auto"/>
              </w:rPr>
            </w:pPr>
          </w:p>
        </w:tc>
        <w:tc>
          <w:tcPr>
            <w:tcW w:w="232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Guarantors party hereto from time to time,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U.S. BANK TRUST COMPANY,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 and as Notes Collateral Agent</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 Senior Secured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0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r>
      <w:tr>
        <w:trPr>
          <w:trHeight w:val="406"/>
        </w:trPr>
        <w:tc>
          <w:tcPr>
            <w:tcW w:w="12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17"/>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rPr>
              <w:t>ARTICLE I</w:t>
            </w:r>
          </w:p>
        </w:tc>
        <w:tc>
          <w:tcPr>
            <w:tcW w:w="1740" w:type="dxa"/>
            <w:vAlign w:val="bottom"/>
          </w:tcPr>
          <w:p>
            <w:pPr>
              <w:spacing w:after="0"/>
              <w:rPr>
                <w:sz w:val="24"/>
                <w:szCs w:val="24"/>
                <w:color w:val="auto"/>
              </w:rPr>
            </w:pPr>
          </w:p>
        </w:tc>
      </w:tr>
      <w:tr>
        <w:trPr>
          <w:trHeight w:val="446"/>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color w:val="auto"/>
                <w:w w:val="96"/>
              </w:rPr>
              <w:t>DEFINITIONS AND INCORPORATION BY REFERENCE</w:t>
            </w:r>
          </w:p>
        </w:tc>
        <w:tc>
          <w:tcPr>
            <w:tcW w:w="174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802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SECTION 1.04   Rules of Construction</w:t>
            </w:r>
          </w:p>
        </w:tc>
        <w:tc>
          <w:tcPr>
            <w:tcW w:w="1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rPr>
              <w:t>ARTICLE II</w:t>
            </w:r>
          </w:p>
        </w:tc>
        <w:tc>
          <w:tcPr>
            <w:tcW w:w="1740" w:type="dxa"/>
            <w:vAlign w:val="bottom"/>
          </w:tcPr>
          <w:p>
            <w:pPr>
              <w:spacing w:after="0"/>
              <w:rPr>
                <w:sz w:val="24"/>
                <w:szCs w:val="24"/>
                <w:color w:val="auto"/>
              </w:rPr>
            </w:pPr>
          </w:p>
        </w:tc>
      </w:tr>
      <w:tr>
        <w:trPr>
          <w:trHeight w:val="446"/>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color w:val="auto"/>
                <w:w w:val="93"/>
              </w:rPr>
              <w:t>THE NOTES</w:t>
            </w:r>
          </w:p>
        </w:tc>
        <w:tc>
          <w:tcPr>
            <w:tcW w:w="1740" w:type="dxa"/>
            <w:vAlign w:val="bottom"/>
          </w:tcPr>
          <w:p>
            <w:pPr>
              <w:spacing w:after="0"/>
              <w:rPr>
                <w:sz w:val="24"/>
                <w:szCs w:val="24"/>
                <w:color w:val="auto"/>
              </w:rPr>
            </w:pPr>
          </w:p>
        </w:tc>
      </w:tr>
      <w:tr>
        <w:trPr>
          <w:trHeight w:val="229"/>
        </w:trPr>
        <w:tc>
          <w:tcPr>
            <w:tcW w:w="9280" w:type="dxa"/>
            <w:vAlign w:val="bottom"/>
            <w:gridSpan w:val="2"/>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2.01   Form, Dating and Terms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2.02   Execution and Authentication</w:t>
            </w:r>
          </w:p>
        </w:tc>
        <w:tc>
          <w:tcPr>
            <w:tcW w:w="17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2.03   Registrar, Paying Agent and Notes Collateral Agent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2.04   Paying Agent to Hold Money in Trust</w:t>
            </w:r>
          </w:p>
        </w:tc>
        <w:tc>
          <w:tcPr>
            <w:tcW w:w="1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Holder Lists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2.06   Transfer and Exchange</w:t>
            </w:r>
          </w:p>
        </w:tc>
        <w:tc>
          <w:tcPr>
            <w:tcW w:w="1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2.08   Form of Certificate to be Delivered in Connection with Transfers to IAIs</w:t>
            </w: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2.09   Form of Certificate to be Delivered in Connection with Transfers Pursuant to Regulation 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2.10   Form of Certificate to be Delivered in Connection with Transfers to AIs</w:t>
            </w:r>
          </w:p>
        </w:tc>
        <w:tc>
          <w:tcPr>
            <w:tcW w:w="1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2.11   Mutilated, Destroyed, Lost or Stolen Notes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2.12</w:t>
            </w:r>
          </w:p>
        </w:tc>
        <w:tc>
          <w:tcPr>
            <w:tcW w:w="802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Temporary Notes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2.14</w:t>
            </w:r>
          </w:p>
        </w:tc>
        <w:tc>
          <w:tcPr>
            <w:tcW w:w="802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2.15   Payment of Interest; Defaulted Interest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SECTION 2.16   CUSIP and ISIN Numbers</w:t>
            </w:r>
          </w:p>
        </w:tc>
        <w:tc>
          <w:tcPr>
            <w:tcW w:w="1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18"/>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b w:val="1"/>
                <w:bCs w:val="1"/>
                <w:color w:val="auto"/>
              </w:rPr>
              <w:t>ARTICLE III</w:t>
            </w:r>
          </w:p>
        </w:tc>
        <w:tc>
          <w:tcPr>
            <w:tcW w:w="1740" w:type="dxa"/>
            <w:vAlign w:val="bottom"/>
          </w:tcPr>
          <w:p>
            <w:pPr>
              <w:spacing w:after="0"/>
              <w:rPr>
                <w:sz w:val="24"/>
                <w:szCs w:val="24"/>
                <w:color w:val="auto"/>
              </w:rPr>
            </w:pPr>
          </w:p>
        </w:tc>
      </w:tr>
      <w:tr>
        <w:trPr>
          <w:trHeight w:val="445"/>
        </w:trPr>
        <w:tc>
          <w:tcPr>
            <w:tcW w:w="126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Arial" w:cs="Arial" w:eastAsia="Arial" w:hAnsi="Arial"/>
                <w:sz w:val="18"/>
                <w:szCs w:val="18"/>
                <w:color w:val="auto"/>
                <w:w w:val="96"/>
              </w:rPr>
              <w:t>COVENANTS</w:t>
            </w:r>
          </w:p>
        </w:tc>
        <w:tc>
          <w:tcPr>
            <w:tcW w:w="174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Notes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3.02   Limitation on Indebtedness</w:t>
            </w:r>
          </w:p>
        </w:tc>
        <w:tc>
          <w:tcPr>
            <w:tcW w:w="17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3.03   Limitation on Restricted Payments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3.04   Limitation on Restrictions on Distributions from Guarantors</w:t>
            </w: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3.05   Limitation on Sales of Assets and Subsidiary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3.06   Limitation on Liens</w:t>
            </w:r>
          </w:p>
        </w:tc>
        <w:tc>
          <w:tcPr>
            <w:tcW w:w="1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3.07   Limitation on Guarantees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3.08   Limitation on Affiliate Transactions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of Control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3.10</w:t>
            </w:r>
          </w:p>
        </w:tc>
        <w:tc>
          <w:tcPr>
            <w:tcW w:w="8020" w:type="dxa"/>
            <w:vAlign w:val="bottom"/>
          </w:tcPr>
          <w:p>
            <w:pPr>
              <w:ind w:left="140"/>
              <w:spacing w:after="0"/>
              <w:rPr>
                <w:sz w:val="20"/>
                <w:szCs w:val="20"/>
                <w:color w:val="auto"/>
              </w:rPr>
            </w:pPr>
            <w:r>
              <w:rPr>
                <w:rFonts w:ascii="Arial" w:cs="Arial" w:eastAsia="Arial" w:hAnsi="Arial"/>
                <w:sz w:val="18"/>
                <w:szCs w:val="18"/>
                <w:color w:val="auto"/>
              </w:rPr>
              <w:t>Reports</w:t>
            </w:r>
          </w:p>
        </w:tc>
        <w:tc>
          <w:tcPr>
            <w:tcW w:w="17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3.12   Maintenance of Office or Agency</w:t>
            </w:r>
          </w:p>
        </w:tc>
        <w:tc>
          <w:tcPr>
            <w:tcW w:w="1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After-Acquired Collateral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SECTION 3.14   Spin-Off Date Transaction Deliverables</w:t>
            </w:r>
          </w:p>
        </w:tc>
        <w:tc>
          <w:tcPr>
            <w:tcW w:w="17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3.16</w:t>
            </w:r>
          </w:p>
        </w:tc>
        <w:tc>
          <w:tcPr>
            <w:tcW w:w="802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1740" w:type="dxa"/>
            <w:vAlign w:val="bottom"/>
          </w:tcPr>
          <w:p>
            <w:pPr>
              <w:jc w:val="right"/>
              <w:spacing w:after="0"/>
              <w:rPr>
                <w:sz w:val="20"/>
                <w:szCs w:val="20"/>
                <w:color w:val="auto"/>
              </w:rPr>
            </w:pPr>
            <w:r>
              <w:rPr>
                <w:rFonts w:ascii="Arial" w:cs="Arial" w:eastAsia="Arial" w:hAnsi="Arial"/>
                <w:sz w:val="18"/>
                <w:szCs w:val="18"/>
                <w:color w:val="auto"/>
              </w:rPr>
              <w:t>124</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3.17   Further Instruments and Acts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3.18</w:t>
            </w:r>
          </w:p>
        </w:tc>
        <w:tc>
          <w:tcPr>
            <w:tcW w:w="760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3.19   Statement by Officers as to Default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3.20   Designation of Restricted and Unrestricted Subsidiaries</w:t>
            </w:r>
          </w:p>
        </w:tc>
        <w:tc>
          <w:tcPr>
            <w:tcW w:w="2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3.21   Suspension of Certain Covenants on Achievement of Investment Grade Status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1260" w:type="dxa"/>
            <w:vAlign w:val="bottom"/>
          </w:tcPr>
          <w:p>
            <w:pPr>
              <w:spacing w:after="0"/>
              <w:rPr>
                <w:sz w:val="24"/>
                <w:szCs w:val="24"/>
                <w:color w:val="auto"/>
              </w:rPr>
            </w:pPr>
          </w:p>
        </w:tc>
        <w:tc>
          <w:tcPr>
            <w:tcW w:w="7600" w:type="dxa"/>
            <w:vAlign w:val="bottom"/>
          </w:tcPr>
          <w:p>
            <w:pPr>
              <w:jc w:val="center"/>
              <w:ind w:left="330"/>
              <w:spacing w:after="0"/>
              <w:rPr>
                <w:sz w:val="20"/>
                <w:szCs w:val="20"/>
                <w:color w:val="auto"/>
              </w:rPr>
            </w:pPr>
            <w:r>
              <w:rPr>
                <w:rFonts w:ascii="Arial" w:cs="Arial" w:eastAsia="Arial" w:hAnsi="Arial"/>
                <w:sz w:val="18"/>
                <w:szCs w:val="18"/>
                <w:b w:val="1"/>
                <w:bCs w:val="1"/>
                <w:color w:val="auto"/>
              </w:rPr>
              <w:t>ARTICLE IV</w:t>
            </w:r>
          </w:p>
        </w:tc>
        <w:tc>
          <w:tcPr>
            <w:tcW w:w="21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1260" w:type="dxa"/>
            <w:vAlign w:val="bottom"/>
            <w:shd w:val="clear" w:color="auto" w:fill="CCEEFF"/>
          </w:tcPr>
          <w:p>
            <w:pPr>
              <w:spacing w:after="0"/>
              <w:rPr>
                <w:sz w:val="19"/>
                <w:szCs w:val="19"/>
                <w:color w:val="auto"/>
              </w:rPr>
            </w:pPr>
          </w:p>
        </w:tc>
        <w:tc>
          <w:tcPr>
            <w:tcW w:w="76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SUCCESSOR COMPANY</w:t>
            </w:r>
          </w:p>
        </w:tc>
        <w:tc>
          <w:tcPr>
            <w:tcW w:w="2160" w:type="dxa"/>
            <w:vAlign w:val="bottom"/>
            <w:shd w:val="clear" w:color="auto" w:fill="CCEEFF"/>
          </w:tcPr>
          <w:p>
            <w:pPr>
              <w:spacing w:after="0"/>
              <w:rPr>
                <w:sz w:val="19"/>
                <w:szCs w:val="19"/>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4.01   Merger and Consolidation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2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1260" w:type="dxa"/>
            <w:vAlign w:val="bottom"/>
            <w:shd w:val="clear" w:color="auto" w:fill="CCEEFF"/>
          </w:tcPr>
          <w:p>
            <w:pPr>
              <w:spacing w:after="0"/>
              <w:rPr>
                <w:sz w:val="19"/>
                <w:szCs w:val="19"/>
                <w:color w:val="auto"/>
              </w:rPr>
            </w:pPr>
          </w:p>
        </w:tc>
        <w:tc>
          <w:tcPr>
            <w:tcW w:w="7600" w:type="dxa"/>
            <w:vAlign w:val="bottom"/>
            <w:shd w:val="clear" w:color="auto" w:fill="CCEEFF"/>
          </w:tcPr>
          <w:p>
            <w:pPr>
              <w:jc w:val="center"/>
              <w:ind w:left="310"/>
              <w:spacing w:after="0"/>
              <w:rPr>
                <w:sz w:val="20"/>
                <w:szCs w:val="20"/>
                <w:color w:val="auto"/>
              </w:rPr>
            </w:pPr>
            <w:r>
              <w:rPr>
                <w:rFonts w:ascii="Arial" w:cs="Arial" w:eastAsia="Arial" w:hAnsi="Arial"/>
                <w:sz w:val="18"/>
                <w:szCs w:val="18"/>
                <w:b w:val="1"/>
                <w:bCs w:val="1"/>
                <w:color w:val="auto"/>
              </w:rPr>
              <w:t>ARTICLE V</w:t>
            </w:r>
          </w:p>
        </w:tc>
        <w:tc>
          <w:tcPr>
            <w:tcW w:w="2160" w:type="dxa"/>
            <w:vAlign w:val="bottom"/>
            <w:shd w:val="clear" w:color="auto" w:fill="CCEEFF"/>
          </w:tcPr>
          <w:p>
            <w:pPr>
              <w:spacing w:after="0"/>
              <w:rPr>
                <w:sz w:val="19"/>
                <w:szCs w:val="19"/>
                <w:color w:val="auto"/>
              </w:rPr>
            </w:pPr>
          </w:p>
        </w:tc>
      </w:tr>
      <w:tr>
        <w:trPr>
          <w:trHeight w:val="432"/>
        </w:trPr>
        <w:tc>
          <w:tcPr>
            <w:tcW w:w="1260" w:type="dxa"/>
            <w:vAlign w:val="bottom"/>
          </w:tcPr>
          <w:p>
            <w:pPr>
              <w:spacing w:after="0"/>
              <w:rPr>
                <w:sz w:val="24"/>
                <w:szCs w:val="24"/>
                <w:color w:val="auto"/>
              </w:rPr>
            </w:pPr>
          </w:p>
        </w:tc>
        <w:tc>
          <w:tcPr>
            <w:tcW w:w="7600" w:type="dxa"/>
            <w:vAlign w:val="bottom"/>
          </w:tcPr>
          <w:p>
            <w:pPr>
              <w:jc w:val="center"/>
              <w:ind w:left="330"/>
              <w:spacing w:after="0"/>
              <w:rPr>
                <w:sz w:val="20"/>
                <w:szCs w:val="20"/>
                <w:color w:val="auto"/>
              </w:rPr>
            </w:pPr>
            <w:r>
              <w:rPr>
                <w:rFonts w:ascii="Arial" w:cs="Arial" w:eastAsia="Arial" w:hAnsi="Arial"/>
                <w:sz w:val="18"/>
                <w:szCs w:val="18"/>
                <w:color w:val="auto"/>
                <w:w w:val="95"/>
              </w:rPr>
              <w:t>REDEMPTION OF SECURITIES</w:t>
            </w:r>
          </w:p>
        </w:tc>
        <w:tc>
          <w:tcPr>
            <w:tcW w:w="21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to Trustee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5.02   Selection of Notes to Be Redeemed or Purchased</w:t>
            </w:r>
          </w:p>
        </w:tc>
        <w:tc>
          <w:tcPr>
            <w:tcW w:w="2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5.03   Notice of Redemption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5.04</w:t>
            </w:r>
          </w:p>
        </w:tc>
        <w:tc>
          <w:tcPr>
            <w:tcW w:w="760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5.05   Deposit of Redemption or Purchase Price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5.06   Notes Redeemed or Purchased in Part</w:t>
            </w:r>
          </w:p>
        </w:tc>
        <w:tc>
          <w:tcPr>
            <w:tcW w:w="2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5.07</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Optional Redemption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5.08</w:t>
            </w:r>
          </w:p>
        </w:tc>
        <w:tc>
          <w:tcPr>
            <w:tcW w:w="7600" w:type="dxa"/>
            <w:vAlign w:val="bottom"/>
          </w:tcPr>
          <w:p>
            <w:pPr>
              <w:ind w:left="140"/>
              <w:spacing w:after="0"/>
              <w:rPr>
                <w:sz w:val="20"/>
                <w:szCs w:val="20"/>
                <w:color w:val="auto"/>
              </w:rPr>
            </w:pPr>
            <w:r>
              <w:rPr>
                <w:rFonts w:ascii="Arial" w:cs="Arial" w:eastAsia="Arial" w:hAnsi="Arial"/>
                <w:sz w:val="18"/>
                <w:szCs w:val="18"/>
                <w:color w:val="auto"/>
              </w:rPr>
              <w:t>Mandatory Redemption</w:t>
            </w:r>
          </w:p>
        </w:tc>
        <w:tc>
          <w:tcPr>
            <w:tcW w:w="21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5.09   Special Mandatory Redemption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1260" w:type="dxa"/>
            <w:vAlign w:val="bottom"/>
          </w:tcPr>
          <w:p>
            <w:pPr>
              <w:spacing w:after="0"/>
              <w:rPr>
                <w:sz w:val="24"/>
                <w:szCs w:val="24"/>
                <w:color w:val="auto"/>
              </w:rPr>
            </w:pPr>
          </w:p>
        </w:tc>
        <w:tc>
          <w:tcPr>
            <w:tcW w:w="7600" w:type="dxa"/>
            <w:vAlign w:val="bottom"/>
          </w:tcPr>
          <w:p>
            <w:pPr>
              <w:jc w:val="center"/>
              <w:ind w:left="330"/>
              <w:spacing w:after="0"/>
              <w:rPr>
                <w:sz w:val="20"/>
                <w:szCs w:val="20"/>
                <w:color w:val="auto"/>
              </w:rPr>
            </w:pPr>
            <w:r>
              <w:rPr>
                <w:rFonts w:ascii="Arial" w:cs="Arial" w:eastAsia="Arial" w:hAnsi="Arial"/>
                <w:sz w:val="18"/>
                <w:szCs w:val="18"/>
                <w:b w:val="1"/>
                <w:bCs w:val="1"/>
                <w:color w:val="auto"/>
              </w:rPr>
              <w:t>ARTICLE VI</w:t>
            </w:r>
          </w:p>
        </w:tc>
        <w:tc>
          <w:tcPr>
            <w:tcW w:w="21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1260" w:type="dxa"/>
            <w:vAlign w:val="bottom"/>
            <w:shd w:val="clear" w:color="auto" w:fill="CCEEFF"/>
          </w:tcPr>
          <w:p>
            <w:pPr>
              <w:spacing w:after="0"/>
              <w:rPr>
                <w:sz w:val="19"/>
                <w:szCs w:val="19"/>
                <w:color w:val="auto"/>
              </w:rPr>
            </w:pPr>
          </w:p>
        </w:tc>
        <w:tc>
          <w:tcPr>
            <w:tcW w:w="76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6"/>
              </w:rPr>
              <w:t>DEFAULTS AND REMEDIES</w:t>
            </w:r>
          </w:p>
        </w:tc>
        <w:tc>
          <w:tcPr>
            <w:tcW w:w="2160" w:type="dxa"/>
            <w:vAlign w:val="bottom"/>
            <w:shd w:val="clear" w:color="auto" w:fill="CCEEFF"/>
          </w:tcPr>
          <w:p>
            <w:pPr>
              <w:spacing w:after="0"/>
              <w:rPr>
                <w:sz w:val="19"/>
                <w:szCs w:val="19"/>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6.01</w:t>
            </w:r>
          </w:p>
        </w:tc>
        <w:tc>
          <w:tcPr>
            <w:tcW w:w="760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1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6.02</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Acceleration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6.03</w:t>
            </w:r>
          </w:p>
        </w:tc>
        <w:tc>
          <w:tcPr>
            <w:tcW w:w="760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2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6.04   Waiver of Past Defaults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21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6.06</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 on Suits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2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6.08   Collection Suit by Trustee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2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6.10</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Priorities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21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2"/>
        </w:trPr>
        <w:tc>
          <w:tcPr>
            <w:tcW w:w="126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30"/>
        </w:trPr>
        <w:tc>
          <w:tcPr>
            <w:tcW w:w="1260" w:type="dxa"/>
            <w:vAlign w:val="bottom"/>
            <w:shd w:val="clear" w:color="auto" w:fill="CCEEFF"/>
          </w:tcPr>
          <w:p>
            <w:pPr>
              <w:spacing w:after="0"/>
              <w:rPr>
                <w:sz w:val="19"/>
                <w:szCs w:val="19"/>
                <w:color w:val="auto"/>
              </w:rPr>
            </w:pPr>
          </w:p>
        </w:tc>
        <w:tc>
          <w:tcPr>
            <w:tcW w:w="7600" w:type="dxa"/>
            <w:vAlign w:val="bottom"/>
            <w:shd w:val="clear" w:color="auto" w:fill="CCEEFF"/>
          </w:tcPr>
          <w:p>
            <w:pPr>
              <w:jc w:val="center"/>
              <w:ind w:left="310"/>
              <w:spacing w:after="0"/>
              <w:rPr>
                <w:sz w:val="20"/>
                <w:szCs w:val="20"/>
                <w:color w:val="auto"/>
              </w:rPr>
            </w:pPr>
            <w:r>
              <w:rPr>
                <w:rFonts w:ascii="Arial" w:cs="Arial" w:eastAsia="Arial" w:hAnsi="Arial"/>
                <w:sz w:val="18"/>
                <w:szCs w:val="18"/>
                <w:b w:val="1"/>
                <w:bCs w:val="1"/>
                <w:color w:val="auto"/>
              </w:rPr>
              <w:t>ARTICLE VII</w:t>
            </w:r>
          </w:p>
        </w:tc>
        <w:tc>
          <w:tcPr>
            <w:tcW w:w="2160" w:type="dxa"/>
            <w:vAlign w:val="bottom"/>
            <w:shd w:val="clear" w:color="auto" w:fill="CCEEFF"/>
          </w:tcPr>
          <w:p>
            <w:pPr>
              <w:spacing w:after="0"/>
              <w:rPr>
                <w:sz w:val="19"/>
                <w:szCs w:val="19"/>
                <w:color w:val="auto"/>
              </w:rPr>
            </w:pPr>
          </w:p>
        </w:tc>
      </w:tr>
      <w:tr>
        <w:trPr>
          <w:trHeight w:val="432"/>
        </w:trPr>
        <w:tc>
          <w:tcPr>
            <w:tcW w:w="1260" w:type="dxa"/>
            <w:vAlign w:val="bottom"/>
          </w:tcPr>
          <w:p>
            <w:pPr>
              <w:spacing w:after="0"/>
              <w:rPr>
                <w:sz w:val="24"/>
                <w:szCs w:val="24"/>
                <w:color w:val="auto"/>
              </w:rPr>
            </w:pPr>
          </w:p>
        </w:tc>
        <w:tc>
          <w:tcPr>
            <w:tcW w:w="7600" w:type="dxa"/>
            <w:vAlign w:val="bottom"/>
          </w:tcPr>
          <w:p>
            <w:pPr>
              <w:jc w:val="center"/>
              <w:ind w:left="310"/>
              <w:spacing w:after="0"/>
              <w:rPr>
                <w:sz w:val="20"/>
                <w:szCs w:val="20"/>
                <w:color w:val="auto"/>
              </w:rPr>
            </w:pPr>
            <w:r>
              <w:rPr>
                <w:rFonts w:ascii="Arial" w:cs="Arial" w:eastAsia="Arial" w:hAnsi="Arial"/>
                <w:sz w:val="18"/>
                <w:szCs w:val="18"/>
                <w:color w:val="auto"/>
                <w:w w:val="95"/>
              </w:rPr>
              <w:t>TRUSTEE</w:t>
            </w:r>
          </w:p>
        </w:tc>
        <w:tc>
          <w:tcPr>
            <w:tcW w:w="216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Duties of Trustee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7.02</w:t>
            </w:r>
          </w:p>
        </w:tc>
        <w:tc>
          <w:tcPr>
            <w:tcW w:w="760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21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7.03   Individual Rights of Trustee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7.04</w:t>
            </w:r>
          </w:p>
        </w:tc>
        <w:tc>
          <w:tcPr>
            <w:tcW w:w="7600" w:type="dxa"/>
            <w:vAlign w:val="bottom"/>
          </w:tcPr>
          <w:p>
            <w:pPr>
              <w:ind w:left="140"/>
              <w:spacing w:after="0"/>
              <w:rPr>
                <w:sz w:val="20"/>
                <w:szCs w:val="20"/>
                <w:color w:val="auto"/>
              </w:rPr>
            </w:pPr>
            <w:r>
              <w:rPr>
                <w:rFonts w:ascii="Arial" w:cs="Arial" w:eastAsia="Arial" w:hAnsi="Arial"/>
                <w:sz w:val="18"/>
                <w:szCs w:val="18"/>
                <w:color w:val="auto"/>
              </w:rPr>
              <w:t>Trustee’s Disclaimer</w:t>
            </w:r>
          </w:p>
        </w:tc>
        <w:tc>
          <w:tcPr>
            <w:tcW w:w="2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 of Defaults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7.06</w:t>
            </w:r>
          </w:p>
        </w:tc>
        <w:tc>
          <w:tcPr>
            <w:tcW w:w="760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7.07   Compensation and Indemnity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7.08   Replacement of Trustee</w:t>
            </w:r>
          </w:p>
        </w:tc>
        <w:tc>
          <w:tcPr>
            <w:tcW w:w="2160" w:type="dxa"/>
            <w:vAlign w:val="bottom"/>
          </w:tcPr>
          <w:p>
            <w:pPr>
              <w:jc w:val="right"/>
              <w:spacing w:after="0"/>
              <w:rPr>
                <w:sz w:val="20"/>
                <w:szCs w:val="20"/>
                <w:color w:val="auto"/>
              </w:rPr>
            </w:pPr>
            <w:r>
              <w:rPr>
                <w:rFonts w:ascii="Arial" w:cs="Arial" w:eastAsia="Arial" w:hAnsi="Arial"/>
                <w:sz w:val="18"/>
                <w:szCs w:val="18"/>
                <w:color w:val="auto"/>
              </w:rPr>
              <w:t>145</w:t>
            </w:r>
          </w:p>
        </w:tc>
      </w:tr>
    </w:tbl>
    <w:p>
      <w:pPr>
        <w:jc w:val="right"/>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7.09</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Successor Trustee by Merger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7.10</w:t>
            </w:r>
          </w:p>
        </w:tc>
        <w:tc>
          <w:tcPr>
            <w:tcW w:w="8540" w:type="dxa"/>
            <w:vAlign w:val="bottom"/>
          </w:tcPr>
          <w:p>
            <w:pPr>
              <w:ind w:left="100"/>
              <w:spacing w:after="0"/>
              <w:rPr>
                <w:sz w:val="20"/>
                <w:szCs w:val="20"/>
                <w:color w:val="auto"/>
              </w:rPr>
            </w:pPr>
            <w:r>
              <w:rPr>
                <w:rFonts w:ascii="Arial" w:cs="Arial" w:eastAsia="Arial" w:hAnsi="Arial"/>
                <w:sz w:val="18"/>
                <w:szCs w:val="18"/>
                <w:color w:val="auto"/>
              </w:rPr>
              <w:t>Eligibility; Disqualification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7.11</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Preferential Collection of Claims against the Issuer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7.12</w:t>
            </w:r>
          </w:p>
        </w:tc>
        <w:tc>
          <w:tcPr>
            <w:tcW w:w="8540" w:type="dxa"/>
            <w:vAlign w:val="bottom"/>
          </w:tcPr>
          <w:p>
            <w:pPr>
              <w:ind w:left="100"/>
              <w:spacing w:after="0"/>
              <w:rPr>
                <w:sz w:val="20"/>
                <w:szCs w:val="20"/>
                <w:color w:val="auto"/>
              </w:rPr>
            </w:pPr>
            <w:r>
              <w:rPr>
                <w:rFonts w:ascii="Arial" w:cs="Arial" w:eastAsia="Arial" w:hAnsi="Arial"/>
                <w:sz w:val="18"/>
                <w:szCs w:val="18"/>
                <w:color w:val="auto"/>
              </w:rPr>
              <w:t>Trustee’s Application for Instruction from the Issuer</w:t>
            </w: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7.13</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 on Duty of Trustee in Respect of Collateral; Indemnification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432"/>
        </w:trPr>
        <w:tc>
          <w:tcPr>
            <w:tcW w:w="1300" w:type="dxa"/>
            <w:vAlign w:val="bottom"/>
          </w:tcPr>
          <w:p>
            <w:pPr>
              <w:spacing w:after="0"/>
              <w:rPr>
                <w:sz w:val="24"/>
                <w:szCs w:val="24"/>
                <w:color w:val="auto"/>
              </w:rPr>
            </w:pPr>
          </w:p>
        </w:tc>
        <w:tc>
          <w:tcPr>
            <w:tcW w:w="8540" w:type="dxa"/>
            <w:vAlign w:val="bottom"/>
          </w:tcPr>
          <w:p>
            <w:pPr>
              <w:jc w:val="center"/>
              <w:ind w:right="530"/>
              <w:spacing w:after="0"/>
              <w:rPr>
                <w:sz w:val="20"/>
                <w:szCs w:val="20"/>
                <w:color w:val="auto"/>
              </w:rPr>
            </w:pPr>
            <w:r>
              <w:rPr>
                <w:rFonts w:ascii="Arial" w:cs="Arial" w:eastAsia="Arial" w:hAnsi="Arial"/>
                <w:sz w:val="18"/>
                <w:szCs w:val="18"/>
                <w:b w:val="1"/>
                <w:bCs w:val="1"/>
                <w:color w:val="auto"/>
              </w:rPr>
              <w:t>ARTICLE VIII</w:t>
            </w:r>
          </w:p>
        </w:tc>
        <w:tc>
          <w:tcPr>
            <w:tcW w:w="118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300" w:type="dxa"/>
            <w:vAlign w:val="bottom"/>
            <w:shd w:val="clear" w:color="auto" w:fill="CCEEFF"/>
          </w:tcPr>
          <w:p>
            <w:pPr>
              <w:spacing w:after="0"/>
              <w:rPr>
                <w:sz w:val="19"/>
                <w:szCs w:val="19"/>
                <w:color w:val="auto"/>
              </w:rPr>
            </w:pPr>
          </w:p>
        </w:tc>
        <w:tc>
          <w:tcPr>
            <w:tcW w:w="85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7"/>
              </w:rPr>
              <w:t>LEGAL DEFEASANCE AND COVENANT DEFEASANCE</w:t>
            </w:r>
          </w:p>
        </w:tc>
        <w:tc>
          <w:tcPr>
            <w:tcW w:w="118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8540" w:type="dxa"/>
            <w:vAlign w:val="bottom"/>
          </w:tcPr>
          <w:p>
            <w:pPr>
              <w:ind w:left="100"/>
              <w:spacing w:after="0"/>
              <w:rPr>
                <w:sz w:val="20"/>
                <w:szCs w:val="20"/>
                <w:color w:val="auto"/>
              </w:rPr>
            </w:pPr>
            <w:r>
              <w:rPr>
                <w:rFonts w:ascii="Arial" w:cs="Arial" w:eastAsia="Arial" w:hAnsi="Arial"/>
                <w:sz w:val="18"/>
                <w:szCs w:val="18"/>
                <w:color w:val="auto"/>
              </w:rPr>
              <w:t>Option to Effect Legal Defeasance or Covenant Defeasance;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Defeasance and Discharge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8.03</w:t>
            </w:r>
          </w:p>
        </w:tc>
        <w:tc>
          <w:tcPr>
            <w:tcW w:w="854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8.04</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Conditions to Legal or Covenant Defeasance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854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8.06</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to the Issuer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8.07</w:t>
            </w:r>
          </w:p>
        </w:tc>
        <w:tc>
          <w:tcPr>
            <w:tcW w:w="85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2"/>
        </w:trPr>
        <w:tc>
          <w:tcPr>
            <w:tcW w:w="130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300" w:type="dxa"/>
            <w:vAlign w:val="bottom"/>
            <w:shd w:val="clear" w:color="auto" w:fill="CCEEFF"/>
          </w:tcPr>
          <w:p>
            <w:pPr>
              <w:spacing w:after="0"/>
              <w:rPr>
                <w:sz w:val="19"/>
                <w:szCs w:val="19"/>
                <w:color w:val="auto"/>
              </w:rPr>
            </w:pPr>
          </w:p>
        </w:tc>
        <w:tc>
          <w:tcPr>
            <w:tcW w:w="854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rPr>
              <w:t>ARTICLE IX</w:t>
            </w:r>
          </w:p>
        </w:tc>
        <w:tc>
          <w:tcPr>
            <w:tcW w:w="118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8540" w:type="dxa"/>
            <w:vAlign w:val="bottom"/>
          </w:tcPr>
          <w:p>
            <w:pPr>
              <w:jc w:val="center"/>
              <w:ind w:right="530"/>
              <w:spacing w:after="0"/>
              <w:rPr>
                <w:sz w:val="20"/>
                <w:szCs w:val="20"/>
                <w:color w:val="auto"/>
              </w:rPr>
            </w:pPr>
            <w:r>
              <w:rPr>
                <w:rFonts w:ascii="Arial" w:cs="Arial" w:eastAsia="Arial" w:hAnsi="Arial"/>
                <w:sz w:val="18"/>
                <w:szCs w:val="18"/>
                <w:color w:val="auto"/>
                <w:w w:val="99"/>
              </w:rPr>
              <w:t>AMENDMENTS</w:t>
            </w:r>
          </w:p>
        </w:tc>
        <w:tc>
          <w:tcPr>
            <w:tcW w:w="118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Without Consent of 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9.02</w:t>
            </w:r>
          </w:p>
        </w:tc>
        <w:tc>
          <w:tcPr>
            <w:tcW w:w="8540" w:type="dxa"/>
            <w:vAlign w:val="bottom"/>
          </w:tcPr>
          <w:p>
            <w:pPr>
              <w:ind w:left="100"/>
              <w:spacing w:after="0"/>
              <w:rPr>
                <w:sz w:val="20"/>
                <w:szCs w:val="20"/>
                <w:color w:val="auto"/>
              </w:rPr>
            </w:pPr>
            <w:r>
              <w:rPr>
                <w:rFonts w:ascii="Arial" w:cs="Arial" w:eastAsia="Arial" w:hAnsi="Arial"/>
                <w:sz w:val="18"/>
                <w:szCs w:val="18"/>
                <w:color w:val="auto"/>
              </w:rPr>
              <w:t>With Consent of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9.04</w:t>
            </w:r>
          </w:p>
        </w:tc>
        <w:tc>
          <w:tcPr>
            <w:tcW w:w="8540" w:type="dxa"/>
            <w:vAlign w:val="bottom"/>
          </w:tcPr>
          <w:p>
            <w:pPr>
              <w:ind w:left="100"/>
              <w:spacing w:after="0"/>
              <w:rPr>
                <w:sz w:val="20"/>
                <w:szCs w:val="20"/>
                <w:color w:val="auto"/>
              </w:rPr>
            </w:pPr>
            <w:r>
              <w:rPr>
                <w:rFonts w:ascii="Arial" w:cs="Arial" w:eastAsia="Arial" w:hAnsi="Arial"/>
                <w:sz w:val="18"/>
                <w:szCs w:val="18"/>
                <w:color w:val="auto"/>
              </w:rPr>
              <w:t>Revocation and Effect of Consents and Waivers</w:t>
            </w: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Notation on or Exchange of Notes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9.06</w:t>
            </w:r>
          </w:p>
        </w:tc>
        <w:tc>
          <w:tcPr>
            <w:tcW w:w="8540" w:type="dxa"/>
            <w:vAlign w:val="bottom"/>
          </w:tcPr>
          <w:p>
            <w:pPr>
              <w:ind w:left="100"/>
              <w:spacing w:after="0"/>
              <w:rPr>
                <w:sz w:val="20"/>
                <w:szCs w:val="20"/>
                <w:color w:val="auto"/>
              </w:rPr>
            </w:pPr>
            <w:r>
              <w:rPr>
                <w:rFonts w:ascii="Arial" w:cs="Arial" w:eastAsia="Arial" w:hAnsi="Arial"/>
                <w:sz w:val="18"/>
                <w:szCs w:val="18"/>
                <w:color w:val="auto"/>
              </w:rPr>
              <w:t>Trustee and Notes Collateral Agent to Sign Amendments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02"/>
        </w:trPr>
        <w:tc>
          <w:tcPr>
            <w:tcW w:w="130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300" w:type="dxa"/>
            <w:vAlign w:val="bottom"/>
            <w:shd w:val="clear" w:color="auto" w:fill="CCEEFF"/>
          </w:tcPr>
          <w:p>
            <w:pPr>
              <w:spacing w:after="0"/>
              <w:rPr>
                <w:sz w:val="19"/>
                <w:szCs w:val="19"/>
                <w:color w:val="auto"/>
              </w:rPr>
            </w:pPr>
          </w:p>
        </w:tc>
        <w:tc>
          <w:tcPr>
            <w:tcW w:w="854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ARTICLE X</w:t>
            </w:r>
          </w:p>
        </w:tc>
        <w:tc>
          <w:tcPr>
            <w:tcW w:w="118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8540" w:type="dxa"/>
            <w:vAlign w:val="bottom"/>
          </w:tcPr>
          <w:p>
            <w:pPr>
              <w:jc w:val="center"/>
              <w:ind w:right="510"/>
              <w:spacing w:after="0"/>
              <w:rPr>
                <w:sz w:val="20"/>
                <w:szCs w:val="20"/>
                <w:color w:val="auto"/>
              </w:rPr>
            </w:pPr>
            <w:r>
              <w:rPr>
                <w:rFonts w:ascii="Arial" w:cs="Arial" w:eastAsia="Arial" w:hAnsi="Arial"/>
                <w:sz w:val="18"/>
                <w:szCs w:val="18"/>
                <w:color w:val="auto"/>
                <w:w w:val="98"/>
              </w:rPr>
              <w:t>GUARANTEE</w:t>
            </w:r>
          </w:p>
        </w:tc>
        <w:tc>
          <w:tcPr>
            <w:tcW w:w="118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10.01</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Guarantee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10.02</w:t>
            </w:r>
          </w:p>
        </w:tc>
        <w:tc>
          <w:tcPr>
            <w:tcW w:w="8540" w:type="dxa"/>
            <w:vAlign w:val="bottom"/>
          </w:tcPr>
          <w:p>
            <w:pPr>
              <w:ind w:left="100"/>
              <w:spacing w:after="0"/>
              <w:rPr>
                <w:sz w:val="20"/>
                <w:szCs w:val="20"/>
                <w:color w:val="auto"/>
              </w:rPr>
            </w:pPr>
            <w:r>
              <w:rPr>
                <w:rFonts w:ascii="Arial" w:cs="Arial" w:eastAsia="Arial" w:hAnsi="Arial"/>
                <w:sz w:val="18"/>
                <w:szCs w:val="18"/>
                <w:color w:val="auto"/>
              </w:rPr>
              <w:t>Limitation on Liability; Termination, Release and Discharge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10.03</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Contribution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8"/>
              </w:rPr>
              <w:t>SECTION 10.04</w:t>
            </w:r>
          </w:p>
        </w:tc>
        <w:tc>
          <w:tcPr>
            <w:tcW w:w="8540" w:type="dxa"/>
            <w:vAlign w:val="bottom"/>
          </w:tcPr>
          <w:p>
            <w:pPr>
              <w:ind w:left="100"/>
              <w:spacing w:after="0"/>
              <w:rPr>
                <w:sz w:val="20"/>
                <w:szCs w:val="20"/>
                <w:color w:val="auto"/>
              </w:rPr>
            </w:pPr>
            <w:r>
              <w:rPr>
                <w:rFonts w:ascii="Arial" w:cs="Arial" w:eastAsia="Arial" w:hAnsi="Arial"/>
                <w:sz w:val="18"/>
                <w:szCs w:val="18"/>
                <w:color w:val="auto"/>
              </w:rPr>
              <w:t>No Subrogation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02"/>
        </w:trPr>
        <w:tc>
          <w:tcPr>
            <w:tcW w:w="130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300" w:type="dxa"/>
            <w:vAlign w:val="bottom"/>
            <w:shd w:val="clear" w:color="auto" w:fill="CCEEFF"/>
          </w:tcPr>
          <w:p>
            <w:pPr>
              <w:spacing w:after="0"/>
              <w:rPr>
                <w:sz w:val="19"/>
                <w:szCs w:val="19"/>
                <w:color w:val="auto"/>
              </w:rPr>
            </w:pPr>
          </w:p>
        </w:tc>
        <w:tc>
          <w:tcPr>
            <w:tcW w:w="8540" w:type="dxa"/>
            <w:vAlign w:val="bottom"/>
            <w:shd w:val="clear" w:color="auto" w:fill="CCEEFF"/>
          </w:tcPr>
          <w:p>
            <w:pPr>
              <w:jc w:val="center"/>
              <w:ind w:right="510"/>
              <w:spacing w:after="0"/>
              <w:rPr>
                <w:sz w:val="20"/>
                <w:szCs w:val="20"/>
                <w:color w:val="auto"/>
              </w:rPr>
            </w:pPr>
            <w:r>
              <w:rPr>
                <w:rFonts w:ascii="Arial" w:cs="Arial" w:eastAsia="Arial" w:hAnsi="Arial"/>
                <w:sz w:val="18"/>
                <w:szCs w:val="18"/>
                <w:b w:val="1"/>
                <w:bCs w:val="1"/>
                <w:color w:val="auto"/>
              </w:rPr>
              <w:t>ARTICLE XI</w:t>
            </w:r>
          </w:p>
        </w:tc>
        <w:tc>
          <w:tcPr>
            <w:tcW w:w="118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8540" w:type="dxa"/>
            <w:vAlign w:val="bottom"/>
          </w:tcPr>
          <w:p>
            <w:pPr>
              <w:jc w:val="center"/>
              <w:ind w:right="530"/>
              <w:spacing w:after="0"/>
              <w:rPr>
                <w:sz w:val="20"/>
                <w:szCs w:val="20"/>
                <w:color w:val="auto"/>
              </w:rPr>
            </w:pPr>
            <w:r>
              <w:rPr>
                <w:rFonts w:ascii="Arial" w:cs="Arial" w:eastAsia="Arial" w:hAnsi="Arial"/>
                <w:sz w:val="18"/>
                <w:szCs w:val="18"/>
                <w:color w:val="auto"/>
                <w:w w:val="96"/>
              </w:rPr>
              <w:t>SATISFACTION AND DISCHARGE</w:t>
            </w:r>
          </w:p>
        </w:tc>
        <w:tc>
          <w:tcPr>
            <w:tcW w:w="118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11.01</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Satisfaction and Discharge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85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02"/>
        </w:trPr>
        <w:tc>
          <w:tcPr>
            <w:tcW w:w="130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300" w:type="dxa"/>
            <w:vAlign w:val="bottom"/>
            <w:shd w:val="clear" w:color="auto" w:fill="CCEEFF"/>
          </w:tcPr>
          <w:p>
            <w:pPr>
              <w:spacing w:after="0"/>
              <w:rPr>
                <w:sz w:val="19"/>
                <w:szCs w:val="19"/>
                <w:color w:val="auto"/>
              </w:rPr>
            </w:pPr>
          </w:p>
        </w:tc>
        <w:tc>
          <w:tcPr>
            <w:tcW w:w="854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ARTICLE XII</w:t>
            </w:r>
          </w:p>
        </w:tc>
        <w:tc>
          <w:tcPr>
            <w:tcW w:w="118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8540" w:type="dxa"/>
            <w:vAlign w:val="bottom"/>
          </w:tcPr>
          <w:p>
            <w:pPr>
              <w:jc w:val="center"/>
              <w:ind w:right="530"/>
              <w:spacing w:after="0"/>
              <w:rPr>
                <w:sz w:val="20"/>
                <w:szCs w:val="20"/>
                <w:color w:val="auto"/>
              </w:rPr>
            </w:pPr>
            <w:r>
              <w:rPr>
                <w:rFonts w:ascii="Arial" w:cs="Arial" w:eastAsia="Arial" w:hAnsi="Arial"/>
                <w:sz w:val="18"/>
                <w:szCs w:val="18"/>
                <w:color w:val="auto"/>
                <w:w w:val="99"/>
              </w:rPr>
              <w:t>COLLATERAL</w:t>
            </w:r>
          </w:p>
        </w:tc>
        <w:tc>
          <w:tcPr>
            <w:tcW w:w="118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12.01</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Security Documents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12.02</w:t>
            </w:r>
          </w:p>
        </w:tc>
        <w:tc>
          <w:tcPr>
            <w:tcW w:w="8540" w:type="dxa"/>
            <w:vAlign w:val="bottom"/>
          </w:tcPr>
          <w:p>
            <w:pPr>
              <w:ind w:left="100"/>
              <w:spacing w:after="0"/>
              <w:rPr>
                <w:sz w:val="20"/>
                <w:szCs w:val="20"/>
                <w:color w:val="auto"/>
              </w:rPr>
            </w:pPr>
            <w:r>
              <w:rPr>
                <w:rFonts w:ascii="Arial" w:cs="Arial" w:eastAsia="Arial" w:hAnsi="Arial"/>
                <w:sz w:val="18"/>
                <w:szCs w:val="18"/>
                <w:color w:val="auto"/>
              </w:rPr>
              <w:t>Notes Collateral Agent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12.03</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Authorization of Actions to Be Taken.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12.04</w:t>
            </w:r>
          </w:p>
        </w:tc>
        <w:tc>
          <w:tcPr>
            <w:tcW w:w="8540" w:type="dxa"/>
            <w:vAlign w:val="bottom"/>
          </w:tcPr>
          <w:p>
            <w:pPr>
              <w:ind w:left="100"/>
              <w:spacing w:after="0"/>
              <w:rPr>
                <w:sz w:val="20"/>
                <w:szCs w:val="20"/>
                <w:color w:val="auto"/>
              </w:rPr>
            </w:pPr>
            <w:r>
              <w:rPr>
                <w:rFonts w:ascii="Arial" w:cs="Arial" w:eastAsia="Arial" w:hAnsi="Arial"/>
                <w:sz w:val="18"/>
                <w:szCs w:val="18"/>
                <w:color w:val="auto"/>
              </w:rPr>
              <w:t>Release of Collateral and Subordination of Liens on the Collateral.</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12.05</w:t>
            </w:r>
          </w:p>
        </w:tc>
        <w:tc>
          <w:tcPr>
            <w:tcW w:w="8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Powers Exercisable by Receiver or Trustee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jc w:val="right"/>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12.06</w:t>
            </w: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SECTION 12.07  Junior Lien Intercreditor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02"/>
        </w:trPr>
        <w:tc>
          <w:tcPr>
            <w:tcW w:w="130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30"/>
        </w:trPr>
        <w:tc>
          <w:tcPr>
            <w:tcW w:w="1300" w:type="dxa"/>
            <w:vAlign w:val="bottom"/>
            <w:shd w:val="clear" w:color="auto" w:fill="CCEEFF"/>
          </w:tcPr>
          <w:p>
            <w:pPr>
              <w:spacing w:after="0"/>
              <w:rPr>
                <w:sz w:val="19"/>
                <w:szCs w:val="19"/>
                <w:color w:val="auto"/>
              </w:rPr>
            </w:pPr>
          </w:p>
        </w:tc>
        <w:tc>
          <w:tcPr>
            <w:tcW w:w="7260" w:type="dxa"/>
            <w:vAlign w:val="bottom"/>
            <w:shd w:val="clear" w:color="auto" w:fill="CCEEFF"/>
          </w:tcPr>
          <w:p>
            <w:pPr>
              <w:ind w:left="3360"/>
              <w:spacing w:after="0"/>
              <w:rPr>
                <w:sz w:val="20"/>
                <w:szCs w:val="20"/>
                <w:color w:val="auto"/>
              </w:rPr>
            </w:pPr>
            <w:r>
              <w:rPr>
                <w:rFonts w:ascii="Arial" w:cs="Arial" w:eastAsia="Arial" w:hAnsi="Arial"/>
                <w:sz w:val="18"/>
                <w:szCs w:val="18"/>
                <w:b w:val="1"/>
                <w:bCs w:val="1"/>
                <w:color w:val="auto"/>
              </w:rPr>
              <w:t>ARTICLE XIII</w:t>
            </w:r>
          </w:p>
        </w:tc>
        <w:tc>
          <w:tcPr>
            <w:tcW w:w="2460" w:type="dxa"/>
            <w:vAlign w:val="bottom"/>
            <w:shd w:val="clear" w:color="auto" w:fill="CCEEFF"/>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7260" w:type="dxa"/>
            <w:vAlign w:val="bottom"/>
          </w:tcPr>
          <w:p>
            <w:pPr>
              <w:ind w:left="3220"/>
              <w:spacing w:after="0"/>
              <w:rPr>
                <w:sz w:val="20"/>
                <w:szCs w:val="20"/>
                <w:color w:val="auto"/>
              </w:rPr>
            </w:pPr>
            <w:r>
              <w:rPr>
                <w:rFonts w:ascii="Arial" w:cs="Arial" w:eastAsia="Arial" w:hAnsi="Arial"/>
                <w:sz w:val="18"/>
                <w:szCs w:val="18"/>
                <w:color w:val="auto"/>
              </w:rPr>
              <w:t>MISCELLANEOUS</w:t>
            </w:r>
          </w:p>
        </w:tc>
        <w:tc>
          <w:tcPr>
            <w:tcW w:w="246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13.01</w:t>
            </w: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SECTION 13.02  Certificate and Opinion as to Conditions Precedent</w:t>
            </w:r>
          </w:p>
        </w:tc>
        <w:tc>
          <w:tcPr>
            <w:tcW w:w="24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13.03  Statements Required in Certificate or Opinion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SECTION 13.04  When Notes Disregarded</w:t>
            </w:r>
          </w:p>
        </w:tc>
        <w:tc>
          <w:tcPr>
            <w:tcW w:w="24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13.05  Rules by Trustee, Notes Collateral Agent, Paying Agent and Registrar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13.06</w:t>
            </w:r>
          </w:p>
        </w:tc>
        <w:tc>
          <w:tcPr>
            <w:tcW w:w="726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4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13.07</w:t>
            </w: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Governing Law</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13.08</w:t>
            </w:r>
          </w:p>
        </w:tc>
        <w:tc>
          <w:tcPr>
            <w:tcW w:w="726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24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13.09  Waivers of Jury Trial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SECTION 13.10  USA PATRIOT Act</w:t>
            </w:r>
          </w:p>
        </w:tc>
        <w:tc>
          <w:tcPr>
            <w:tcW w:w="24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13.11  No Recourse against Others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13.12</w:t>
            </w:r>
          </w:p>
        </w:tc>
        <w:tc>
          <w:tcPr>
            <w:tcW w:w="726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4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13.13</w:t>
            </w: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Multiple Originals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SECTION 13.14  Electronic Transmission; Electronic Signatures</w:t>
            </w:r>
          </w:p>
        </w:tc>
        <w:tc>
          <w:tcPr>
            <w:tcW w:w="24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13.15  Table of Contents; Headings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13.16</w:t>
            </w:r>
          </w:p>
        </w:tc>
        <w:tc>
          <w:tcPr>
            <w:tcW w:w="726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24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8"/>
              </w:rPr>
              <w:t>SECTION 13.17</w:t>
            </w: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w w:val="98"/>
              </w:rPr>
              <w:t>SECTION 13.18</w:t>
            </w:r>
          </w:p>
        </w:tc>
        <w:tc>
          <w:tcPr>
            <w:tcW w:w="7260" w:type="dxa"/>
            <w:vAlign w:val="bottom"/>
          </w:tcPr>
          <w:p>
            <w:pPr>
              <w:ind w:left="100"/>
              <w:spacing w:after="0"/>
              <w:rPr>
                <w:sz w:val="20"/>
                <w:szCs w:val="20"/>
                <w:color w:val="auto"/>
              </w:rPr>
            </w:pPr>
            <w:r>
              <w:rPr>
                <w:rFonts w:ascii="Arial" w:cs="Arial" w:eastAsia="Arial" w:hAnsi="Arial"/>
                <w:sz w:val="18"/>
                <w:szCs w:val="18"/>
                <w:color w:val="auto"/>
              </w:rPr>
              <w:t>Intercreditor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13.19  Waiver of Immunities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Form of Global Restricted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Supplemental Indenture to Add 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Form of Special Mandatory Redemption Notice</w:t>
      </w:r>
    </w:p>
    <w:p>
      <w:pPr>
        <w:sectPr>
          <w:pgSz w:w="11900" w:h="16838" w:orient="portrait"/>
          <w:cols w:equalWidth="0" w:num="1">
            <w:col w:w="11020"/>
          </w:cols>
          <w:pgMar w:left="440" w:top="288" w:right="439" w:bottom="1440" w:gutter="0" w:footer="0" w:header="0"/>
        </w:sectPr>
      </w:pPr>
    </w:p>
    <w:bookmarkStart w:id="9" w:name="page10"/>
    <w:bookmarkEnd w:id="9"/>
    <w:p>
      <w:pPr>
        <w:ind w:right="2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February 10, 2022, by and between Embecta Corp., a Delaware corporation, the Guarantors (as defined below) party hereto from time to time, and U.S. Bank Trust Company, National Association, as Trustee and as Notes Collateral Agent.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the Issuer has duly authorized the execution and delivery of this Indenture to provide for the issuance of (i) its 5.000% Senior Secured Notes due 2030 issued on the date hereof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 (ii) any additional Notes (“</w:t>
      </w:r>
      <w:r>
        <w:rPr>
          <w:rFonts w:ascii="Arial" w:cs="Arial" w:eastAsia="Arial" w:hAnsi="Arial"/>
          <w:sz w:val="18"/>
          <w:szCs w:val="18"/>
          <w:u w:val="single" w:color="auto"/>
          <w:color w:val="auto"/>
        </w:rPr>
        <w:t>Additional Notes</w:t>
      </w:r>
      <w:r>
        <w:rPr>
          <w:rFonts w:ascii="Arial" w:cs="Arial" w:eastAsia="Arial" w:hAnsi="Arial"/>
          <w:sz w:val="18"/>
          <w:szCs w:val="18"/>
          <w:color w:val="auto"/>
        </w:rPr>
        <w:t>” and, together with the Initial Notes, the “</w:t>
      </w:r>
      <w:r>
        <w:rPr>
          <w:rFonts w:ascii="Arial" w:cs="Arial" w:eastAsia="Arial" w:hAnsi="Arial"/>
          <w:sz w:val="18"/>
          <w:szCs w:val="18"/>
          <w:u w:val="single" w:color="auto"/>
          <w:color w:val="auto"/>
        </w:rPr>
        <w:t>Notes</w:t>
      </w:r>
      <w:r>
        <w:rPr>
          <w:rFonts w:ascii="Arial" w:cs="Arial" w:eastAsia="Arial" w:hAnsi="Arial"/>
          <w:sz w:val="18"/>
          <w:szCs w:val="18"/>
          <w:color w:val="auto"/>
        </w:rPr>
        <w:t>”) that may be issued after the Issue Date;</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WHEREAS, all things necessary (i) to make the Notes, when executed and duly issued by the Issuer and authenticated and delivered hereunder, the valid obligations of the Issuer, and (ii) to make this Indenture a valid agreement of the Issuer have been done;</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WHEREAS, on the date hereof, BD, as the parent of the Issuer, has duly authorized, executed and delivered to the Trustee the parent guaranty agreement, dated as of the Issue Date (as amended, restated, amended and restated, supplemented or otherwise modified or replaced from time to time, the “</w:t>
      </w:r>
      <w:r>
        <w:rPr>
          <w:rFonts w:ascii="Arial" w:cs="Arial" w:eastAsia="Arial" w:hAnsi="Arial"/>
          <w:sz w:val="18"/>
          <w:szCs w:val="18"/>
          <w:u w:val="single" w:color="auto"/>
          <w:color w:val="auto"/>
        </w:rPr>
        <w:t>Parent Guaranty Agreement</w:t>
      </w:r>
      <w:r>
        <w:rPr>
          <w:rFonts w:ascii="Arial" w:cs="Arial" w:eastAsia="Arial" w:hAnsi="Arial"/>
          <w:sz w:val="18"/>
          <w:szCs w:val="18"/>
          <w:color w:val="auto"/>
        </w:rPr>
        <w:t>”); and</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WHEREAS, on the Spin-Off Date, pursuant to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hereof (x) each of the Subsidiary Guarantors shall duly authorize, execute and deliver the Supplemental Indenture, to be dated as of the Spin-Off Date, pursuant to which each of the Subsidiary Guarantors shall guarantee on a senior secured basis, the full and punctual payment when due, whether at maturity, by acceleration or otherwise, all the Issuer’s obligations under this Indenture and the Notes, whether for payment of principal of, premium, if any, or interest on the Notes, expenses, indemnification or otherwise, (y) each of the Issuer and the Subsidiary Guarantors shall duly authorize, execute and deliver each of the Note Security Documents to which it is a party, each to be dated as of the Spin-Off Date, pursuant to which the Notes will be secured by the Collateral as set forth in the Notes Security Documents and (z) each of the Issuer and the Subsidiary Guarantors, the Trustee, the Notes Collateral Agent, the Credit Agreement Administrative Agent and the Credit Agreement Collateral Agent shall duly execute and deliver the First Lien Pari Passu Intercreditor Agreement, to be dated as of the Spin-Off Date.</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NOW, THEREFORE, in consideration of the premises and the purchase of the Notes by the Holders thereof, it is mutually covenanted and agreed, for the equal and proportionate benefit of all Holders,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AND INCORPORATION BY REFERENCE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Acquired Entity or Business or any Converted Restricted Subsidiary for any period, the amount for such period of Consolidated EBITDA of such Acquired Entity or Business or Converted Restricted Subsidiary, as applicable, all determined on a consolidated basis for such Acquired Entity or Business or Converted Restricted Subsidiary, as applicable.</w:t>
      </w:r>
    </w:p>
    <w:p>
      <w:pPr>
        <w:sectPr>
          <w:pgSz w:w="11900" w:h="16838" w:orient="portrait"/>
          <w:cols w:equalWidth="0" w:num="1">
            <w:col w:w="11000"/>
          </w:cols>
          <w:pgMar w:left="440" w:top="274" w:right="459" w:bottom="1440" w:gutter="0" w:footer="0" w:header="0"/>
        </w:sectPr>
      </w:pPr>
    </w:p>
    <w:bookmarkStart w:id="10" w:name="page11"/>
    <w:bookmarkEnd w:id="10"/>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Acquired Indebtedness</w:t>
      </w:r>
      <w:r>
        <w:rPr>
          <w:rFonts w:ascii="Arial" w:cs="Arial" w:eastAsia="Arial" w:hAnsi="Arial"/>
          <w:sz w:val="17"/>
          <w:szCs w:val="17"/>
          <w:color w:val="auto"/>
        </w:rPr>
        <w:t>” means, with respect to any Person, (x) Indebtedness of any other Person or any of its Subsidiaries existing at the time such other Person becomes a Restricted Subsidiary or merges or amalgamates with or into or consolidates or otherwise combines with the Issuer or any Restricted Subsidiary and (y) Indebtedness secured by a Lien encumbering any asset acquired by such Person. Acquired Indebtedness shall be deemed to have been incurred, with respect to clause (x) of the preceding sentence, on the date such Person becomes a Restricted Subsidiary or on the date of the relevant merger, amalgamation, consolidation, acquisition or other combination.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Indebtedness</w:t>
      </w:r>
      <w:r>
        <w:rPr>
          <w:rFonts w:ascii="Arial" w:cs="Arial" w:eastAsia="Arial" w:hAnsi="Arial"/>
          <w:sz w:val="17"/>
          <w:szCs w:val="17"/>
          <w:color w:val="auto"/>
        </w:rPr>
        <w:t>” means any Indebtedness incurred in connection with an acquisition or Investment permitted under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Assets</w:t>
      </w:r>
      <w:r>
        <w:rPr>
          <w:rFonts w:ascii="Arial" w:cs="Arial" w:eastAsia="Arial" w:hAnsi="Arial"/>
          <w:sz w:val="18"/>
          <w:szCs w:val="18"/>
          <w:color w:val="auto"/>
        </w:rPr>
        <w:t>” means:</w:t>
      </w:r>
    </w:p>
    <w:p>
      <w:pPr>
        <w:spacing w:after="0" w:line="117" w:lineRule="exact"/>
        <w:rPr>
          <w:sz w:val="20"/>
          <w:szCs w:val="20"/>
          <w:color w:val="auto"/>
        </w:rPr>
      </w:pPr>
    </w:p>
    <w:p>
      <w:pPr>
        <w:jc w:val="both"/>
        <w:ind w:left="440" w:firstLine="419"/>
        <w:spacing w:after="0" w:line="286" w:lineRule="auto"/>
        <w:tabs>
          <w:tab w:leader="none" w:pos="1118"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property or assets (other than Capital Stock) used or to be used by the Issuer,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57" w:lineRule="exact"/>
        <w:rPr>
          <w:rFonts w:ascii="Arial" w:cs="Arial" w:eastAsia="Arial" w:hAnsi="Arial"/>
          <w:sz w:val="17"/>
          <w:szCs w:val="17"/>
          <w:color w:val="auto"/>
        </w:rPr>
      </w:pPr>
    </w:p>
    <w:p>
      <w:pPr>
        <w:ind w:left="440" w:right="160" w:firstLine="419"/>
        <w:spacing w:after="0" w:line="277" w:lineRule="auto"/>
        <w:tabs>
          <w:tab w:leader="none" w:pos="11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Capital Stock of a Person that is engaged in a Similar Business and becomes a Restricted Subsidiary as a result of the acquisition of such Capital Stock by the Issuer or a Restricted Subsidiary;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Stock constituting a minority interest in any Person that at such time is a Restricted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has the meaning ascribed to it in the recitals of this Indenture.</w:t>
      </w:r>
    </w:p>
    <w:p>
      <w:pPr>
        <w:spacing w:after="0" w:line="225"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w:t>
      </w:r>
      <w:r>
        <w:rPr>
          <w:rFonts w:ascii="Arial" w:cs="Arial" w:eastAsia="Arial" w:hAnsi="Arial"/>
          <w:sz w:val="18"/>
          <w:szCs w:val="18"/>
          <w:color w:val="auto"/>
        </w:rPr>
        <w:t>” means an “accredited investor” as described in Rule 501(a)(4) under the Securities Act.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any currency (other than Dollars) that is a lawful currency (other than Dollars) that is readily available and freely transferable and convertible into Dollars (as determined in good faith by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Jurisdiction</w:t>
      </w:r>
      <w:r>
        <w:rPr>
          <w:rFonts w:ascii="Arial" w:cs="Arial" w:eastAsia="Arial" w:hAnsi="Arial"/>
          <w:sz w:val="18"/>
          <w:szCs w:val="18"/>
          <w:color w:val="auto"/>
        </w:rPr>
        <w:t>” means the United States of America, any state thereof or the District of Columbia.</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100.0%;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Percentage shall be (1) 50.0% if, on a pro forma basis after giving effect to such Asset Disposition and the use of proceeds therefrom the Consolidated First Lien Net Leverage Ratio would be less than or equal to 2.60 to 1.00 but greater than 2.10 to 1.00, or (2) 0.0% if, on a pro forma basis after giving effect to such Asset Disposition and the use of proceeds therefrom, the Consolidated First Lien Net Leverage Ratio would be less than or equal to 2.10 to 1.00. Any Net Available Cash in respect of an Asset Disposition that does not constitute Applicable Proceeds as a result of the application of this definition shall collectively constitute “</w:t>
      </w:r>
      <w:r>
        <w:rPr>
          <w:rFonts w:ascii="Arial" w:cs="Arial" w:eastAsia="Arial" w:hAnsi="Arial"/>
          <w:sz w:val="16"/>
          <w:szCs w:val="16"/>
          <w:u w:val="single" w:color="auto"/>
          <w:color w:val="auto"/>
        </w:rPr>
        <w:t>Total Leverage Excess Proceeds</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w:t>
      </w:r>
    </w:p>
    <w:p>
      <w:pPr>
        <w:spacing w:after="0" w:line="117" w:lineRule="exact"/>
        <w:rPr>
          <w:sz w:val="20"/>
          <w:szCs w:val="20"/>
          <w:color w:val="auto"/>
        </w:rPr>
      </w:pPr>
    </w:p>
    <w:p>
      <w:pPr>
        <w:ind w:right="240" w:firstLine="212"/>
        <w:spacing w:after="0" w:line="31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voluntary sale, conveyance, transfer or other disposition, whether in a single transaction or a series of related transactions, of property or assets (including by way of a Sale and Leaseback Transaction), in each case outside the ordinary course of business, of the Issuer or any of its Restricted Subsidiaries (in each case other than Capital Stock of the Issuer) (each referred to in this definition as a “disposition”); or</w:t>
      </w:r>
    </w:p>
    <w:p>
      <w:pPr>
        <w:spacing w:after="0" w:line="40" w:lineRule="exact"/>
        <w:rPr>
          <w:rFonts w:ascii="Arial" w:cs="Arial" w:eastAsia="Arial" w:hAnsi="Arial"/>
          <w:sz w:val="16"/>
          <w:szCs w:val="16"/>
          <w:color w:val="auto"/>
        </w:rPr>
      </w:pPr>
    </w:p>
    <w:p>
      <w:pPr>
        <w:ind w:right="20" w:firstLine="212"/>
        <w:spacing w:after="0" w:line="263" w:lineRule="auto"/>
        <w:tabs>
          <w:tab w:leader="none" w:pos="47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issuance or sale of Capital Stock of any Restricted Subsidiary (other than Preferred Stock or Disqualified Stock of Restricted Subsidiaries issued in compliance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 or directors’ qualifying shares and shares issued to foreign nationals as required under applicable law), whether in a single transaction or a series of related transactions;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each case, other than:</w:t>
      </w:r>
    </w:p>
    <w:p>
      <w:pPr>
        <w:spacing w:after="0" w:line="117" w:lineRule="exact"/>
        <w:rPr>
          <w:sz w:val="20"/>
          <w:szCs w:val="20"/>
          <w:color w:val="auto"/>
        </w:rPr>
      </w:pPr>
    </w:p>
    <w:p>
      <w:pPr>
        <w:ind w:right="140" w:firstLine="212"/>
        <w:spacing w:after="0" w:line="277" w:lineRule="auto"/>
        <w:tabs>
          <w:tab w:leader="none" w:pos="4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disposition by the Issuer or a Restricted Subsidiary to the Issuer or a Restricted Subsidiary, including pursuant to any Intercompany License Agreement;</w:t>
      </w:r>
    </w:p>
    <w:p>
      <w:pPr>
        <w:spacing w:after="0" w:line="62" w:lineRule="exact"/>
        <w:rPr>
          <w:rFonts w:ascii="Arial" w:cs="Arial" w:eastAsia="Arial" w:hAnsi="Arial"/>
          <w:sz w:val="18"/>
          <w:szCs w:val="18"/>
          <w:color w:val="auto"/>
        </w:rPr>
      </w:pPr>
    </w:p>
    <w:p>
      <w:pPr>
        <w:ind w:right="100" w:firstLine="212"/>
        <w:spacing w:after="0" w:line="277" w:lineRule="auto"/>
        <w:tabs>
          <w:tab w:leader="none" w:pos="4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disposition of cash, Cash Equivalents or Investment Grade Securities, including any marketable securities portfolio owned by the Issuer and its Subsidiaries on the Spin-Off Date;</w:t>
      </w:r>
    </w:p>
    <w:p>
      <w:pPr>
        <w:spacing w:after="0" w:line="62" w:lineRule="exact"/>
        <w:rPr>
          <w:rFonts w:ascii="Arial" w:cs="Arial" w:eastAsia="Arial" w:hAnsi="Arial"/>
          <w:sz w:val="18"/>
          <w:szCs w:val="18"/>
          <w:color w:val="auto"/>
        </w:rPr>
      </w:pPr>
    </w:p>
    <w:p>
      <w:pPr>
        <w:ind w:right="520" w:firstLine="212"/>
        <w:spacing w:after="0" w:line="263" w:lineRule="auto"/>
        <w:tabs>
          <w:tab w:leader="none" w:pos="4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75" w:lineRule="exact"/>
        <w:rPr>
          <w:rFonts w:ascii="Arial" w:cs="Arial" w:eastAsia="Arial" w:hAnsi="Arial"/>
          <w:sz w:val="18"/>
          <w:szCs w:val="18"/>
          <w:color w:val="auto"/>
        </w:rPr>
      </w:pPr>
    </w:p>
    <w:p>
      <w:pPr>
        <w:ind w:firstLine="212"/>
        <w:spacing w:after="0" w:line="272" w:lineRule="auto"/>
        <w:tabs>
          <w:tab w:leader="none" w:pos="471"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disposition of obsolete, worn-out, uneconomic, damaged, non-core or surplus property, equipment or other assets or property, equipment or other assets that are no longer economically practical or commercially desirable to maintain or used or useful in the business of the Issuer and its Restricted Subsidiaries whether now or hereafter owned or leased or acquired in connection with an acquisition or used or useful in the conduct of the business of the Issuer and its Restricted Subsidiaries (including by ceasing to enforce, allowing the lapse, abandonment or invalidation of or discontinuing the use or maintenance of or putting into the public domain any intellectual property that is, in the reasonable judgment of the Issuer or its Restricted Subsidiaries, no longer used or useful, or economically practicable to maintain, or in respect of which the Issuer or any Restricted Subsidiary determines in its reasonable judgment that such action or inaction is desirable);</w:t>
      </w:r>
    </w:p>
    <w:p>
      <w:pPr>
        <w:spacing w:after="0" w:line="69" w:lineRule="exact"/>
        <w:rPr>
          <w:rFonts w:ascii="Arial" w:cs="Arial" w:eastAsia="Arial" w:hAnsi="Arial"/>
          <w:sz w:val="17"/>
          <w:szCs w:val="17"/>
          <w:color w:val="auto"/>
        </w:rPr>
      </w:pPr>
    </w:p>
    <w:p>
      <w:pPr>
        <w:ind w:left="460" w:hanging="24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hereof or a transaction that constitutes a Change of Control;</w:t>
      </w:r>
    </w:p>
    <w:p>
      <w:pPr>
        <w:spacing w:after="0" w:line="117" w:lineRule="exact"/>
        <w:rPr>
          <w:rFonts w:ascii="Arial" w:cs="Arial" w:eastAsia="Arial" w:hAnsi="Arial"/>
          <w:sz w:val="18"/>
          <w:szCs w:val="18"/>
          <w:color w:val="auto"/>
        </w:rPr>
      </w:pPr>
    </w:p>
    <w:p>
      <w:pPr>
        <w:ind w:right="200" w:firstLine="212"/>
        <w:spacing w:after="0" w:line="277" w:lineRule="auto"/>
        <w:tabs>
          <w:tab w:leader="none" w:pos="4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issuance of Capital Stock by a Restricted Subsidiary to the Issuer or to another Restricted Subsidiary or as part of or pursuant to an equity incentive or compensation plan approved by the Board of Directors of the Issuer;</w:t>
      </w:r>
    </w:p>
    <w:p>
      <w:pPr>
        <w:spacing w:after="0" w:line="62" w:lineRule="exact"/>
        <w:rPr>
          <w:rFonts w:ascii="Arial" w:cs="Arial" w:eastAsia="Arial" w:hAnsi="Arial"/>
          <w:sz w:val="18"/>
          <w:szCs w:val="18"/>
          <w:color w:val="auto"/>
        </w:rPr>
      </w:pPr>
    </w:p>
    <w:p>
      <w:pPr>
        <w:ind w:right="540" w:firstLine="212"/>
        <w:spacing w:after="0" w:line="308" w:lineRule="auto"/>
        <w:tabs>
          <w:tab w:leader="none" w:pos="471"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dispositions of Capital Stock, properties or assets in a single transaction or series of related transactions with a fair market value (as determined in good faith by the Issuer) of less than the greater of (i) $75.0 million and (ii) 15.0% of LTM EBITDA;</w:t>
      </w:r>
    </w:p>
    <w:p>
      <w:pPr>
        <w:spacing w:after="0" w:line="7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660" w:top="274" w:right="459" w:bottom="1440" w:gutter="0" w:footer="0" w:header="0"/>
        </w:sectPr>
      </w:pPr>
    </w:p>
    <w:bookmarkStart w:id="12" w:name="page13"/>
    <w:bookmarkEnd w:id="12"/>
    <w:p>
      <w:pPr>
        <w:jc w:val="both"/>
        <w:ind w:right="140" w:firstLine="212"/>
        <w:spacing w:after="0" w:line="263" w:lineRule="auto"/>
        <w:tabs>
          <w:tab w:leader="none" w:pos="471"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Restricted Payment that is permitted to be made, and is made,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the making of any Permitted Payment or Permitted Investment, or solely for purposes of </w:t>
      </w:r>
      <w:r>
        <w:rPr>
          <w:rFonts w:ascii="Arial" w:cs="Arial" w:eastAsia="Arial" w:hAnsi="Arial"/>
          <w:sz w:val="18"/>
          <w:szCs w:val="18"/>
          <w:u w:val="single" w:color="auto"/>
          <w:color w:val="auto"/>
        </w:rPr>
        <w:t>Section 3.05(a)(3)</w:t>
      </w:r>
      <w:r>
        <w:rPr>
          <w:rFonts w:ascii="Arial" w:cs="Arial" w:eastAsia="Arial" w:hAnsi="Arial"/>
          <w:sz w:val="18"/>
          <w:szCs w:val="18"/>
          <w:color w:val="auto"/>
        </w:rPr>
        <w:t>, asset sales, the proceeds of which are used to make such Restricted Payments or Permitted Investments;</w:t>
      </w:r>
    </w:p>
    <w:p>
      <w:pPr>
        <w:spacing w:after="0" w:line="75" w:lineRule="exact"/>
        <w:rPr>
          <w:rFonts w:ascii="Arial" w:cs="Arial" w:eastAsia="Arial" w:hAnsi="Arial"/>
          <w:sz w:val="18"/>
          <w:szCs w:val="18"/>
          <w:color w:val="auto"/>
        </w:rPr>
      </w:pPr>
    </w:p>
    <w:p>
      <w:pPr>
        <w:ind w:left="460" w:hanging="24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dispositions in connection with Permitted Liens, Permitted Intercompany Activities, Permitted Tax Restructurings and related transactions;</w:t>
      </w:r>
    </w:p>
    <w:p>
      <w:pPr>
        <w:spacing w:after="0" w:line="140" w:lineRule="exact"/>
        <w:rPr>
          <w:rFonts w:ascii="Arial" w:cs="Arial" w:eastAsia="Arial" w:hAnsi="Arial"/>
          <w:sz w:val="16"/>
          <w:szCs w:val="16"/>
          <w:color w:val="auto"/>
        </w:rPr>
      </w:pPr>
    </w:p>
    <w:p>
      <w:pPr>
        <w:ind w:right="740" w:firstLine="212"/>
        <w:spacing w:after="0" w:line="308" w:lineRule="auto"/>
        <w:tabs>
          <w:tab w:leader="none" w:pos="561"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38" w:lineRule="exact"/>
        <w:rPr>
          <w:rFonts w:ascii="Arial" w:cs="Arial" w:eastAsia="Arial" w:hAnsi="Arial"/>
          <w:sz w:val="17"/>
          <w:szCs w:val="17"/>
          <w:color w:val="auto"/>
        </w:rPr>
      </w:pPr>
    </w:p>
    <w:p>
      <w:pPr>
        <w:ind w:firstLine="212"/>
        <w:spacing w:after="0" w:line="301" w:lineRule="auto"/>
        <w:tabs>
          <w:tab w:leader="none" w:pos="554"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conveyances, sales, transfers, licenses, sublicenses, cross-licenses or other dispositions of intellectual property, software or other general intangibles and licenses, sublicenses, cross-licenses (including the provision of software under an open source license),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spacing w:after="0" w:line="49" w:lineRule="exact"/>
        <w:rPr>
          <w:rFonts w:ascii="Arial" w:cs="Arial" w:eastAsia="Arial" w:hAnsi="Arial"/>
          <w:sz w:val="16"/>
          <w:szCs w:val="16"/>
          <w:color w:val="auto"/>
        </w:rPr>
      </w:pPr>
    </w:p>
    <w:p>
      <w:pPr>
        <w:ind w:right="300" w:firstLine="212"/>
        <w:spacing w:after="0" w:line="277"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lease, assignment, license, sublease or sublicense of any real or personal property in the ordinary course of business or consistent with industry practice;</w:t>
      </w:r>
    </w:p>
    <w:p>
      <w:pPr>
        <w:spacing w:after="0" w:line="62" w:lineRule="exact"/>
        <w:rPr>
          <w:rFonts w:ascii="Arial" w:cs="Arial" w:eastAsia="Arial" w:hAnsi="Arial"/>
          <w:sz w:val="18"/>
          <w:szCs w:val="18"/>
          <w:color w:val="auto"/>
        </w:rPr>
      </w:pPr>
    </w:p>
    <w:p>
      <w:pPr>
        <w:ind w:right="80" w:firstLine="212"/>
        <w:spacing w:after="0" w:line="277"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foreclosure, condemnation, expropriation, forced disposition or any similar action with respect to any property or other assets or the granting of Liens not prohibited by this Indenture;</w:t>
      </w:r>
    </w:p>
    <w:p>
      <w:pPr>
        <w:spacing w:after="0" w:line="62" w:lineRule="exact"/>
        <w:rPr>
          <w:rFonts w:ascii="Arial" w:cs="Arial" w:eastAsia="Arial" w:hAnsi="Arial"/>
          <w:sz w:val="18"/>
          <w:szCs w:val="18"/>
          <w:color w:val="auto"/>
        </w:rPr>
      </w:pPr>
    </w:p>
    <w:p>
      <w:pPr>
        <w:ind w:right="40" w:firstLine="212"/>
        <w:spacing w:after="0" w:line="263"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spacing w:after="0" w:line="75" w:lineRule="exact"/>
        <w:rPr>
          <w:rFonts w:ascii="Arial" w:cs="Arial" w:eastAsia="Arial" w:hAnsi="Arial"/>
          <w:sz w:val="18"/>
          <w:szCs w:val="18"/>
          <w:color w:val="auto"/>
        </w:rPr>
      </w:pPr>
    </w:p>
    <w:p>
      <w:pPr>
        <w:ind w:right="120" w:firstLine="212"/>
        <w:spacing w:after="0" w:line="277"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issuance or sale of Capital Stock in, or Indebtedness or other securities of, an Unrestricted Subsidiary or any other disposition of Capital Stock, Indebtedness or other securities of an Unrestricted Subsidiary or an Immaterial Subsidiary;</w:t>
      </w:r>
    </w:p>
    <w:p>
      <w:pPr>
        <w:spacing w:after="0" w:line="62" w:lineRule="exact"/>
        <w:rPr>
          <w:rFonts w:ascii="Arial" w:cs="Arial" w:eastAsia="Arial" w:hAnsi="Arial"/>
          <w:sz w:val="18"/>
          <w:szCs w:val="18"/>
          <w:color w:val="auto"/>
        </w:rPr>
      </w:pPr>
    </w:p>
    <w:p>
      <w:pPr>
        <w:ind w:right="20" w:firstLine="212"/>
        <w:spacing w:after="0" w:line="259"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disposition of Capital Stock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78" w:lineRule="exact"/>
        <w:rPr>
          <w:rFonts w:ascii="Arial" w:cs="Arial" w:eastAsia="Arial" w:hAnsi="Arial"/>
          <w:sz w:val="18"/>
          <w:szCs w:val="18"/>
          <w:color w:val="auto"/>
        </w:rPr>
      </w:pPr>
    </w:p>
    <w:p>
      <w:pPr>
        <w:jc w:val="both"/>
        <w:ind w:right="100" w:firstLine="212"/>
        <w:spacing w:after="0" w:line="287" w:lineRule="auto"/>
        <w:tabs>
          <w:tab w:leader="none" w:pos="561" w:val="left"/>
        </w:tabs>
        <w:numPr>
          <w:ilvl w:val="0"/>
          <w:numId w:val="7"/>
        </w:numPr>
        <w:rPr>
          <w:rFonts w:ascii="Arial" w:cs="Arial" w:eastAsia="Arial" w:hAnsi="Arial"/>
          <w:sz w:val="16"/>
          <w:szCs w:val="16"/>
          <w:color w:val="auto"/>
        </w:rPr>
      </w:pPr>
      <w:r>
        <w:rPr>
          <w:rFonts w:ascii="Arial" w:cs="Arial" w:eastAsia="Arial" w:hAnsi="Arial"/>
          <w:sz w:val="16"/>
          <w:szCs w:val="16"/>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treated as tax-free under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1031 of the Code or comparable law or regulation, any exchange of like property (excluding any boot thereon) for use in a Similar Business;</w:t>
      </w:r>
    </w:p>
    <w:p>
      <w:pPr>
        <w:spacing w:after="0" w:line="125" w:lineRule="exact"/>
        <w:rPr>
          <w:rFonts w:ascii="Arial" w:cs="Arial" w:eastAsia="Arial" w:hAnsi="Arial"/>
          <w:sz w:val="16"/>
          <w:szCs w:val="16"/>
          <w:color w:val="auto"/>
        </w:rPr>
      </w:pPr>
    </w:p>
    <w:p>
      <w:pPr>
        <w:ind w:right="160" w:firstLine="212"/>
        <w:spacing w:after="0" w:line="277" w:lineRule="auto"/>
        <w:tabs>
          <w:tab w:leader="none" w:pos="56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disposition of assets of the type specified in the definitions of “Securitization Assets” or “Receivables Assets,” or participations therein, including in connection with any Qualified Securitization Financing or Receivables Facility;</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660" w:top="274" w:right="459" w:bottom="1440" w:gutter="0" w:footer="0" w:header="0"/>
        </w:sectPr>
      </w:pPr>
    </w:p>
    <w:bookmarkStart w:id="13" w:name="page14"/>
    <w:bookmarkEnd w:id="13"/>
    <w:p>
      <w:pPr>
        <w:ind w:firstLine="212"/>
        <w:spacing w:after="0" w:line="311" w:lineRule="auto"/>
        <w:tabs>
          <w:tab w:leader="none" w:pos="561"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financing transaction with respect to property constructed, acquired, leased, renewed, relocated, expanded, replaced, repaired, maintained, upgraded or improved (including any reconstruction, refurbishment, renovation and/or development of real property) by the Issuer or any Restricted Subsidiary after the Spin-Off Date, including Sale and Leaseback Transactions and asset securitizations, not prohibited by this Indenture;</w:t>
      </w:r>
    </w:p>
    <w:p>
      <w:pPr>
        <w:spacing w:after="0" w:line="40" w:lineRule="exact"/>
        <w:rPr>
          <w:rFonts w:ascii="Arial" w:cs="Arial" w:eastAsia="Arial" w:hAnsi="Arial"/>
          <w:sz w:val="16"/>
          <w:szCs w:val="16"/>
          <w:color w:val="auto"/>
        </w:rPr>
      </w:pPr>
    </w:p>
    <w:p>
      <w:pPr>
        <w:ind w:right="700" w:firstLine="212"/>
        <w:spacing w:after="0" w:line="342" w:lineRule="auto"/>
        <w:tabs>
          <w:tab w:leader="none" w:pos="561"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transfers or other dispositions of Investments in joint ventures or similar entities to the extent required by, or made pursuant to customary buy/sell arrangements between, the parties set forth in joint venture arrangements and similar binding arrangements;</w:t>
      </w:r>
    </w:p>
    <w:p>
      <w:pPr>
        <w:spacing w:after="0" w:line="15" w:lineRule="exact"/>
        <w:rPr>
          <w:rFonts w:ascii="Arial" w:cs="Arial" w:eastAsia="Arial" w:hAnsi="Arial"/>
          <w:sz w:val="16"/>
          <w:szCs w:val="16"/>
          <w:color w:val="auto"/>
        </w:rPr>
      </w:pPr>
    </w:p>
    <w:p>
      <w:pPr>
        <w:ind w:right="240" w:firstLine="212"/>
        <w:spacing w:after="0" w:line="277" w:lineRule="auto"/>
        <w:tabs>
          <w:tab w:leader="none" w:pos="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surrender or waiver of contractual rights or the settlement, release, surrender or waiver of contractual, tort, litigation or other claims of any kind;</w:t>
      </w:r>
    </w:p>
    <w:p>
      <w:pPr>
        <w:spacing w:after="0" w:line="62" w:lineRule="exact"/>
        <w:rPr>
          <w:rFonts w:ascii="Arial" w:cs="Arial" w:eastAsia="Arial" w:hAnsi="Arial"/>
          <w:sz w:val="18"/>
          <w:szCs w:val="18"/>
          <w:color w:val="auto"/>
        </w:rPr>
      </w:pPr>
    </w:p>
    <w:p>
      <w:pPr>
        <w:ind w:left="560" w:hanging="348"/>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unwinding of any Cash Management Obligations or Hedging Obligations;</w:t>
      </w:r>
    </w:p>
    <w:p>
      <w:pPr>
        <w:spacing w:after="0" w:line="117" w:lineRule="exact"/>
        <w:rPr>
          <w:rFonts w:ascii="Arial" w:cs="Arial" w:eastAsia="Arial" w:hAnsi="Arial"/>
          <w:sz w:val="18"/>
          <w:szCs w:val="18"/>
          <w:color w:val="auto"/>
        </w:rPr>
      </w:pPr>
    </w:p>
    <w:p>
      <w:pPr>
        <w:ind w:right="20" w:firstLine="212"/>
        <w:spacing w:after="0" w:line="286" w:lineRule="auto"/>
        <w:tabs>
          <w:tab w:leader="none" w:pos="56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transfers of property or assets subject to Casualty Events upon receipt of the net proceeds of such Casualty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Cash Equivalents received by the Issuer or any of its Restricted Subsidiaries in respect of such Casualty Event shall be deemed to be Net Available Cash of an Asset Disposition, and such Net Available Cash shall be applied in accordance with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560" w:hanging="348"/>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disposition to a Captive Insurance Subsidiary;</w:t>
      </w:r>
    </w:p>
    <w:p>
      <w:pPr>
        <w:spacing w:after="0" w:line="117" w:lineRule="exact"/>
        <w:rPr>
          <w:rFonts w:ascii="Arial" w:cs="Arial" w:eastAsia="Arial" w:hAnsi="Arial"/>
          <w:sz w:val="18"/>
          <w:szCs w:val="18"/>
          <w:color w:val="auto"/>
        </w:rPr>
      </w:pPr>
    </w:p>
    <w:p>
      <w:pPr>
        <w:ind w:firstLine="212"/>
        <w:spacing w:after="0" w:line="277" w:lineRule="auto"/>
        <w:tabs>
          <w:tab w:leader="none" w:pos="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sale of property or assets, if the acquisition of such property or assets was financed with Excluded Contributions and the proceeds of such sale are used to make a Restricted Payment pursuant to </w:t>
      </w:r>
      <w:r>
        <w:rPr>
          <w:rFonts w:ascii="Arial" w:cs="Arial" w:eastAsia="Arial" w:hAnsi="Arial"/>
          <w:sz w:val="18"/>
          <w:szCs w:val="18"/>
          <w:u w:val="single" w:color="auto"/>
          <w:color w:val="auto"/>
        </w:rPr>
        <w:t>Section 3.03(b)(10)(b)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40" w:firstLine="212"/>
        <w:spacing w:after="0" w:line="286" w:lineRule="auto"/>
        <w:tabs>
          <w:tab w:leader="none" w:pos="56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disposition of any assets (including Capital Stock) (i) acquired in a transaction after the Spin-Off Date, which assets are not useful in the core or principal business of the Issuer and its Restricted Subsidiaries, or (ii) made in connection with the approval of any applicable antitrust authority or otherwise necessary or advisable in the reasonable determination of the Issuer to consummate any acquisition;</w:t>
      </w:r>
    </w:p>
    <w:p>
      <w:pPr>
        <w:spacing w:after="0" w:line="57" w:lineRule="exact"/>
        <w:rPr>
          <w:rFonts w:ascii="Arial" w:cs="Arial" w:eastAsia="Arial" w:hAnsi="Arial"/>
          <w:sz w:val="17"/>
          <w:szCs w:val="17"/>
          <w:color w:val="auto"/>
        </w:rPr>
      </w:pPr>
    </w:p>
    <w:p>
      <w:pPr>
        <w:ind w:right="200" w:firstLine="212"/>
        <w:spacing w:after="0" w:line="263" w:lineRule="auto"/>
        <w:tabs>
          <w:tab w:leader="none" w:pos="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sale, transfer or other disposition to affect the formation of any Subsidiary that is a Divided LLC;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formation of such Divided LLC, such Divided LLC shall be a Restricted Subsidiary if the entity was a Restricted Subsidiary prior to the formation of such Divided LLC;</w:t>
      </w:r>
    </w:p>
    <w:p>
      <w:pPr>
        <w:spacing w:after="0" w:line="75" w:lineRule="exact"/>
        <w:rPr>
          <w:rFonts w:ascii="Arial" w:cs="Arial" w:eastAsia="Arial" w:hAnsi="Arial"/>
          <w:sz w:val="18"/>
          <w:szCs w:val="18"/>
          <w:color w:val="auto"/>
        </w:rPr>
      </w:pPr>
    </w:p>
    <w:p>
      <w:pPr>
        <w:jc w:val="both"/>
        <w:ind w:right="120" w:firstLine="212"/>
        <w:spacing w:after="0" w:line="311" w:lineRule="auto"/>
        <w:tabs>
          <w:tab w:leader="none" w:pos="56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any disposition of (i) non-revenue producing assets to a Person who is providing services related to such assets, the provision of which have been or are to be outsourced by the Issuer or any Restricted Subsidiary to such Person, (ii)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amounts of equipment provided to employees of the Issuer or any Subsidiary or (iii) samples, including time-limited evaluation software, provided to customer or prospective customers;</w:t>
      </w:r>
    </w:p>
    <w:p>
      <w:pPr>
        <w:spacing w:after="0" w:line="40" w:lineRule="exact"/>
        <w:rPr>
          <w:rFonts w:ascii="Arial" w:cs="Arial" w:eastAsia="Arial" w:hAnsi="Arial"/>
          <w:sz w:val="16"/>
          <w:szCs w:val="16"/>
          <w:color w:val="auto"/>
        </w:rPr>
      </w:pPr>
    </w:p>
    <w:p>
      <w:pPr>
        <w:ind w:left="560" w:hanging="348"/>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560" w:hanging="348"/>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disposition to effect the Transactions; and</w:t>
      </w:r>
    </w:p>
    <w:p>
      <w:pPr>
        <w:spacing w:after="0" w:line="117" w:lineRule="exact"/>
        <w:rPr>
          <w:rFonts w:ascii="Arial" w:cs="Arial" w:eastAsia="Arial" w:hAnsi="Arial"/>
          <w:sz w:val="18"/>
          <w:szCs w:val="18"/>
          <w:color w:val="auto"/>
        </w:rPr>
      </w:pPr>
    </w:p>
    <w:p>
      <w:pPr>
        <w:ind w:left="560" w:hanging="348"/>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sales or dispositions in an amount not to exceed the greater of (i) $175.0 million and (ii) 35.0% of LTM EBITDA.</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660" w:top="274" w:right="459" w:bottom="1440" w:gutter="0" w:footer="0" w:header="0"/>
        </w:sectPr>
      </w:pPr>
    </w:p>
    <w:bookmarkStart w:id="14" w:name="page15"/>
    <w:bookmarkEnd w:id="1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a transaction (or any portion thereof) meets the criteria of a permitted Asset Disposition and would also be a Permitted Investment or an Investment permitted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Issuer, in its sole discretion, will be entitled to divide, classify and reclassify such transaction (or a portion thereof) as one or more types of Asset Dispositions and/or one or more of the types of Permitted Investments or Investments permitted under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87"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means (i) any Person engaged in a Similar Business of which the Issuer or its Restricted Subsidiaries are the legal and beneficial owners of between 20% and 50% of all outstanding Voting Stock and (ii) any joint venture entered into by the Issuer or any Restricted Subsidiary.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the Bankruptcy Code and any similar federal, state or foreign law for the relief of debtors.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w:t>
      </w:r>
      <w:r>
        <w:rPr>
          <w:rFonts w:ascii="Arial" w:cs="Arial" w:eastAsia="Arial" w:hAnsi="Arial"/>
          <w:sz w:val="18"/>
          <w:szCs w:val="18"/>
          <w:color w:val="auto"/>
        </w:rPr>
        <w:t>” means Becton, Dickinson and Company, a New Jersey corporation and the parent of the Issuer.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 Guarantee</w:t>
      </w:r>
      <w:r>
        <w:rPr>
          <w:rFonts w:ascii="Arial" w:cs="Arial" w:eastAsia="Arial" w:hAnsi="Arial"/>
          <w:sz w:val="18"/>
          <w:szCs w:val="18"/>
          <w:color w:val="auto"/>
        </w:rPr>
        <w:t>” means BD’s Guarantee of Obligations under the Notes pursuant to the Parent Guaranty Agreement.</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(i) with respect to the Issuer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w:t>
      </w:r>
    </w:p>
    <w:p>
      <w:pPr>
        <w:spacing w:after="0" w:line="188"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Issuer.</w:t>
      </w:r>
    </w:p>
    <w:p>
      <w:pPr>
        <w:spacing w:after="0" w:line="187" w:lineRule="exact"/>
        <w:rPr>
          <w:sz w:val="20"/>
          <w:szCs w:val="20"/>
          <w:color w:val="auto"/>
        </w:rPr>
      </w:pPr>
    </w:p>
    <w:p>
      <w:pPr>
        <w:jc w:val="both"/>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Saturday, Sunday or other day on which banking institutions in New York, New York, United States or in the jurisdiction of the place of payment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Successor</w:t>
      </w:r>
      <w:r>
        <w:rPr>
          <w:rFonts w:ascii="Arial" w:cs="Arial" w:eastAsia="Arial" w:hAnsi="Arial"/>
          <w:sz w:val="18"/>
          <w:szCs w:val="18"/>
          <w:color w:val="auto"/>
        </w:rPr>
        <w:t>” means (i) any former Subsidiary of the Issuer and (ii) any Person that, after the Spin-Off Date, has acquired, merged or consolidated with a Subsidiary of the Issuer (that results in such Subsidiary ceasing to be a Subsidiary of the Issuer), or acquired (in one transaction or a series of transactions) all or substantially all of the property and assets or business of a Subsidiary or assets constituting a business unit, line of business or division of a Subsidiary of the Issuer.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freely transferable lawful money of Canada (expressed in Canadian dollars).</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ind w:left="4"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84"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w:t>
      </w:r>
      <w:r>
        <w:rPr>
          <w:rFonts w:ascii="Arial" w:cs="Arial" w:eastAsia="Arial" w:hAnsi="Arial"/>
          <w:sz w:val="17"/>
          <w:szCs w:val="17"/>
          <w:color w:val="auto"/>
        </w:rPr>
        <w:t xml:space="preserve">” means an obligation that is required to be classified and accounted for as a capitalized lease (in accordance with GAAP) (and, for the avoidance of doubt, not a straight-line or operating lease) for financial reporting purposes.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obligations of the Issuer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Indenture regardless of any change in GAAP following January 1, 2015 (in each case, that would otherwise require such obligation to be recharacterized as a Capitalized Lease Obligation).</w:t>
      </w:r>
    </w:p>
    <w:p>
      <w:pPr>
        <w:spacing w:after="0" w:line="18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7" w:lineRule="exact"/>
        <w:rPr>
          <w:sz w:val="20"/>
          <w:szCs w:val="20"/>
          <w:color w:val="auto"/>
        </w:rPr>
      </w:pPr>
    </w:p>
    <w:p>
      <w:pPr>
        <w:jc w:val="both"/>
        <w:ind w:left="4" w:right="4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Captive Insurance Subsidiary</w:t>
      </w:r>
      <w:r>
        <w:rPr>
          <w:rFonts w:ascii="Arial" w:cs="Arial" w:eastAsia="Arial" w:hAnsi="Arial"/>
          <w:sz w:val="16"/>
          <w:szCs w:val="16"/>
          <w:color w:val="auto"/>
        </w:rPr>
        <w:t>” means (i) any Subsidiary of the Issuer operating for the purpose of (a) insuring the businesses, operations or properties owned or operated by the Issuer or any of its Subsidiaries, including their future, present or former employee, director, officer, manager, contractor, consultant or advisor (or their respective Controlled Investment Affiliates or Immediate Family Members), and related benefits and/or</w:t>
      </w:r>
    </w:p>
    <w:p>
      <w:pPr>
        <w:spacing w:after="0" w:line="2" w:lineRule="exact"/>
        <w:rPr>
          <w:sz w:val="20"/>
          <w:szCs w:val="20"/>
          <w:color w:val="auto"/>
        </w:rPr>
      </w:pPr>
    </w:p>
    <w:p>
      <w:pPr>
        <w:jc w:val="both"/>
        <w:ind w:left="4" w:right="60" w:hanging="4"/>
        <w:spacing w:after="0" w:line="255"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224" w:right="100" w:firstLine="212"/>
        <w:spacing w:after="0" w:line="263"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Dollars, Canadian Dollars, Pounds Sterling, Yen, Euro, any national currency of any member state of the European Union or any Alternative Currency; or (b) any other foreign currency held by the Issuer and its Restricted Subsidiaries from time to time in the ordinary course of business or consistent with past practice;</w:t>
      </w:r>
    </w:p>
    <w:p>
      <w:pPr>
        <w:spacing w:after="0" w:line="75" w:lineRule="exact"/>
        <w:rPr>
          <w:rFonts w:ascii="Arial" w:cs="Arial" w:eastAsia="Arial" w:hAnsi="Arial"/>
          <w:sz w:val="18"/>
          <w:szCs w:val="18"/>
          <w:color w:val="auto"/>
        </w:rPr>
      </w:pPr>
    </w:p>
    <w:p>
      <w:pPr>
        <w:ind w:left="224" w:right="60" w:firstLine="212"/>
        <w:spacing w:after="0" w:line="286"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securities issued or directly and fully guaranteed or insured by the United States, Canadian, United Kingdom or Japanese governments, a member state of the European Union or, in each case, any agency or instrumentality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full faith and credit obligation of such country or such member state is pledged in support thereof), with maturities of 36 months or less from the date of acquisition;</w:t>
      </w:r>
    </w:p>
    <w:p>
      <w:pPr>
        <w:spacing w:after="0" w:line="57" w:lineRule="exact"/>
        <w:rPr>
          <w:rFonts w:ascii="Arial" w:cs="Arial" w:eastAsia="Arial" w:hAnsi="Arial"/>
          <w:sz w:val="17"/>
          <w:szCs w:val="17"/>
          <w:color w:val="auto"/>
        </w:rPr>
      </w:pPr>
    </w:p>
    <w:p>
      <w:pPr>
        <w:ind w:left="224" w:right="120" w:firstLine="212"/>
        <w:spacing w:after="0" w:line="275"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certificates of deposit, time deposits, eurodollar time deposits, overnight bank deposits, demand deposits or bankers’ acceptances having maturities of not more than two years from the date of acquisition thereof issued by any bank, trust company or other financial institution (a) whose commercial paper is rated at least “P-2” or the equivalent thereof by S&amp;P or at least “A-2” or the equivalent thereof by Moody’s (or, if at the time, neither S&amp;P or Moody’s is rating such obligations, then a comparable rating from another Nationally Recognized Statistical Rating Organization selected by the Issuer) or (b) having combined capital and surplus in excess of $100.0 million;</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6" w:name="page17"/>
    <w:bookmarkEnd w:id="16"/>
    <w:p>
      <w:pPr>
        <w:ind w:right="120" w:firstLine="212"/>
        <w:spacing w:after="0" w:line="277" w:lineRule="auto"/>
        <w:tabs>
          <w:tab w:leader="none" w:pos="471"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 obligations for underlying securities of the types described in clauses (2), (3), (7) and (8) entered into with any Person meeting the qualifications specified in clause (3) above;</w:t>
      </w:r>
    </w:p>
    <w:p>
      <w:pPr>
        <w:spacing w:after="0" w:line="62" w:lineRule="exact"/>
        <w:rPr>
          <w:rFonts w:ascii="Arial" w:cs="Arial" w:eastAsia="Arial" w:hAnsi="Arial"/>
          <w:sz w:val="18"/>
          <w:szCs w:val="18"/>
          <w:color w:val="auto"/>
        </w:rPr>
      </w:pPr>
    </w:p>
    <w:p>
      <w:pPr>
        <w:ind w:right="60" w:firstLine="212"/>
        <w:spacing w:after="0" w:line="277" w:lineRule="auto"/>
        <w:tabs>
          <w:tab w:leader="none" w:pos="4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with maturities of two years or less from the date of acquisition backed by standby letters of credit issued by any Person meeting the qualifications in clause (3) above;</w:t>
      </w:r>
    </w:p>
    <w:p>
      <w:pPr>
        <w:spacing w:after="0" w:line="62" w:lineRule="exact"/>
        <w:rPr>
          <w:rFonts w:ascii="Arial" w:cs="Arial" w:eastAsia="Arial" w:hAnsi="Arial"/>
          <w:sz w:val="18"/>
          <w:szCs w:val="18"/>
          <w:color w:val="auto"/>
        </w:rPr>
      </w:pPr>
    </w:p>
    <w:p>
      <w:pPr>
        <w:ind w:right="40" w:firstLine="212"/>
        <w:spacing w:after="0" w:line="263" w:lineRule="auto"/>
        <w:tabs>
          <w:tab w:leader="none" w:pos="4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75" w:lineRule="exact"/>
        <w:rPr>
          <w:rFonts w:ascii="Arial" w:cs="Arial" w:eastAsia="Arial" w:hAnsi="Arial"/>
          <w:sz w:val="18"/>
          <w:szCs w:val="18"/>
          <w:color w:val="auto"/>
        </w:rPr>
      </w:pPr>
    </w:p>
    <w:p>
      <w:pPr>
        <w:ind w:firstLine="212"/>
        <w:spacing w:after="0" w:line="263" w:lineRule="auto"/>
        <w:tabs>
          <w:tab w:leader="none" w:pos="4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Issuer);</w:t>
      </w:r>
    </w:p>
    <w:p>
      <w:pPr>
        <w:spacing w:after="0" w:line="75" w:lineRule="exact"/>
        <w:rPr>
          <w:rFonts w:ascii="Arial" w:cs="Arial" w:eastAsia="Arial" w:hAnsi="Arial"/>
          <w:sz w:val="18"/>
          <w:szCs w:val="18"/>
          <w:color w:val="auto"/>
        </w:rPr>
      </w:pPr>
    </w:p>
    <w:p>
      <w:pPr>
        <w:jc w:val="both"/>
        <w:ind w:right="60" w:firstLine="212"/>
        <w:spacing w:after="0" w:line="301" w:lineRule="auto"/>
        <w:tabs>
          <w:tab w:leader="none" w:pos="4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49" w:lineRule="exact"/>
        <w:rPr>
          <w:rFonts w:ascii="Arial" w:cs="Arial" w:eastAsia="Arial" w:hAnsi="Arial"/>
          <w:sz w:val="16"/>
          <w:szCs w:val="16"/>
          <w:color w:val="auto"/>
        </w:rPr>
      </w:pPr>
    </w:p>
    <w:p>
      <w:pPr>
        <w:ind w:right="120" w:firstLine="212"/>
        <w:spacing w:after="0" w:line="279" w:lineRule="auto"/>
        <w:tabs>
          <w:tab w:leader="none" w:pos="4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63" w:lineRule="exact"/>
        <w:rPr>
          <w:rFonts w:ascii="Arial" w:cs="Arial" w:eastAsia="Arial" w:hAnsi="Arial"/>
          <w:sz w:val="17"/>
          <w:szCs w:val="17"/>
          <w:color w:val="auto"/>
        </w:rPr>
      </w:pPr>
    </w:p>
    <w:p>
      <w:pPr>
        <w:ind w:right="100" w:firstLine="212"/>
        <w:spacing w:after="0" w:line="311" w:lineRule="auto"/>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Issuer);</w:t>
      </w:r>
    </w:p>
    <w:p>
      <w:pPr>
        <w:spacing w:after="0" w:line="40" w:lineRule="exact"/>
        <w:rPr>
          <w:rFonts w:ascii="Arial" w:cs="Arial" w:eastAsia="Arial" w:hAnsi="Arial"/>
          <w:sz w:val="16"/>
          <w:szCs w:val="16"/>
          <w:color w:val="auto"/>
        </w:rPr>
      </w:pPr>
    </w:p>
    <w:p>
      <w:pPr>
        <w:ind w:right="60" w:firstLine="212"/>
        <w:spacing w:after="0" w:line="290" w:lineRule="auto"/>
        <w:tabs>
          <w:tab w:leader="none" w:pos="5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with respect to any Non-U.S. Subsidiary: (i) obligations of the national government of the country in which such Non-U.S. Subsidiary maintains its chief executive office and principal place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Non-U.S. Subsidiary maintains its chief executive office and principal place of business provided such country is a member of the Organization for Economic Cooperation and Development, and whose short-term commercial paper rating from S&amp;P is at least “P-2” or the equivalent thereof or from Moody’s is at least “A-2”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 not more than 270 days from the date of acquisition and (iii) the equivalent of demand deposit accounts which are maintained with an Approved Foreign Bank;</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660" w:top="274" w:right="459" w:bottom="1440" w:gutter="0" w:footer="0" w:header="0"/>
        </w:sectPr>
      </w:pPr>
    </w:p>
    <w:bookmarkStart w:id="17" w:name="page18"/>
    <w:bookmarkEnd w:id="17"/>
    <w:p>
      <w:pPr>
        <w:ind w:left="220" w:right="80" w:firstLine="212"/>
        <w:spacing w:after="0" w:line="259"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or Preferred Stock issued by Persons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78" w:lineRule="exact"/>
        <w:rPr>
          <w:rFonts w:ascii="Arial" w:cs="Arial" w:eastAsia="Arial" w:hAnsi="Arial"/>
          <w:sz w:val="18"/>
          <w:szCs w:val="18"/>
          <w:color w:val="auto"/>
        </w:rPr>
      </w:pPr>
    </w:p>
    <w:p>
      <w:pPr>
        <w:ind w:left="220" w:right="20" w:firstLine="212"/>
        <w:spacing w:after="0" w:line="277"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bills of exchange issued in the United States of America, Canada, the United Kingdom, Japan, a member state of the European Union eligible for rediscount at the relevant central bank and accepted by a bank (or any dematerialized equivalent);</w:t>
      </w:r>
    </w:p>
    <w:p>
      <w:pPr>
        <w:spacing w:after="0" w:line="62" w:lineRule="exact"/>
        <w:rPr>
          <w:rFonts w:ascii="Arial" w:cs="Arial" w:eastAsia="Arial" w:hAnsi="Arial"/>
          <w:sz w:val="18"/>
          <w:szCs w:val="18"/>
          <w:color w:val="auto"/>
        </w:rPr>
      </w:pPr>
    </w:p>
    <w:p>
      <w:pPr>
        <w:ind w:left="220" w:right="200" w:firstLine="212"/>
        <w:spacing w:after="0" w:line="263"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 (3) above;</w:t>
      </w:r>
    </w:p>
    <w:p>
      <w:pPr>
        <w:spacing w:after="0" w:line="75" w:lineRule="exact"/>
        <w:rPr>
          <w:rFonts w:ascii="Arial" w:cs="Arial" w:eastAsia="Arial" w:hAnsi="Arial"/>
          <w:sz w:val="18"/>
          <w:szCs w:val="18"/>
          <w:color w:val="auto"/>
        </w:rPr>
      </w:pPr>
    </w:p>
    <w:p>
      <w:pPr>
        <w:ind w:left="780" w:hanging="34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in pooled funds or investment accounts consisting of investments in the nature described in the foregoing clause (14);</w:t>
      </w:r>
    </w:p>
    <w:p>
      <w:pPr>
        <w:spacing w:after="0" w:line="128" w:lineRule="exact"/>
        <w:rPr>
          <w:rFonts w:ascii="Arial" w:cs="Arial" w:eastAsia="Arial" w:hAnsi="Arial"/>
          <w:sz w:val="17"/>
          <w:szCs w:val="17"/>
          <w:color w:val="auto"/>
        </w:rPr>
      </w:pPr>
    </w:p>
    <w:p>
      <w:pPr>
        <w:ind w:left="220" w:right="780" w:firstLine="212"/>
        <w:spacing w:after="0" w:line="277"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money market funds access to which is provided as part of “sweep” accounts maintained with any bank meeting the qualifications specified in clause (3) above;</w:t>
      </w:r>
    </w:p>
    <w:p>
      <w:pPr>
        <w:spacing w:after="0" w:line="62" w:lineRule="exact"/>
        <w:rPr>
          <w:rFonts w:ascii="Arial" w:cs="Arial" w:eastAsia="Arial" w:hAnsi="Arial"/>
          <w:sz w:val="18"/>
          <w:szCs w:val="18"/>
          <w:color w:val="auto"/>
        </w:rPr>
      </w:pPr>
    </w:p>
    <w:p>
      <w:pPr>
        <w:ind w:left="220" w:right="420" w:firstLine="212"/>
        <w:spacing w:after="0" w:line="277"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Equivalents or instruments similar to those referred to in clauses (1) through (16) above denominated in Dollars or any Alternative Currency; and</w:t>
      </w:r>
    </w:p>
    <w:p>
      <w:pPr>
        <w:spacing w:after="0" w:line="62" w:lineRule="exact"/>
        <w:rPr>
          <w:rFonts w:ascii="Arial" w:cs="Arial" w:eastAsia="Arial" w:hAnsi="Arial"/>
          <w:sz w:val="18"/>
          <w:szCs w:val="18"/>
          <w:color w:val="auto"/>
        </w:rPr>
      </w:pPr>
    </w:p>
    <w:p>
      <w:pPr>
        <w:ind w:left="220" w:right="620" w:firstLine="212"/>
        <w:spacing w:after="0" w:line="277" w:lineRule="auto"/>
        <w:tabs>
          <w:tab w:leader="none" w:pos="7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investment company, money market, enhanced high yield, pooled or other investment fund investing 90% or more of its assets in instruments of the types specified in clauses (1) through (17) above.</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the case of Investments by any Non-U.S.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Non-U.S. Subsidiaries that are Restricted Subsidiaries in accordance with normal investment practices for cash management in investments analogous to the foregoing investments in the clauses above and in this paragraph.</w:t>
      </w:r>
    </w:p>
    <w:p>
      <w:pPr>
        <w:spacing w:after="0" w:line="16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or Baa3 (or the equivalent thereof) or better by Moody’s, in each case at the time of such Investment and (b) any Investment with a maturity of more than 12 months that would otherwise constitute Cash Equivalents of the kind described in any of clauses of this definition above or clause (a) in this paragraph, if the maturity of such Investment was 12 months or 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effective maturity of such Investment does not exceed 15 years.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8" w:name="page19"/>
    <w:bookmarkEnd w:id="18"/>
    <w:p>
      <w:pPr>
        <w:ind w:left="4"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Cash Equivalents shall include amounts denominated in currencies other than those set forth in clause (1) above;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amounts are converted into any currency listed in clause (1) as promptly as practicable and in any event within ten (10)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Days following the receipt of such amounts.</w:t>
      </w:r>
    </w:p>
    <w:p>
      <w:pPr>
        <w:spacing w:after="0" w:line="184"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will be deemed to be Cash Equivalents for all purposes under this Indenture regardless of the treatment of such items under GAAP.</w:t>
      </w:r>
    </w:p>
    <w:p>
      <w:pPr>
        <w:spacing w:after="0" w:line="17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Obligations</w:t>
      </w:r>
      <w:r>
        <w:rPr>
          <w:rFonts w:ascii="Arial" w:cs="Arial" w:eastAsia="Arial" w:hAnsi="Arial"/>
          <w:sz w:val="16"/>
          <w:szCs w:val="16"/>
          <w:color w:val="auto"/>
        </w:rPr>
        <w:t>”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66"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Issuer or any Restricted Subsidiary of any insurance proceeds or condemnation awards in respect of any equipment, assets or real property (including any improvements thereon) to replace or repair such equipment, assets or real property.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(x) prior to the Spin-Off Date, BD ceases to own, directly or indirectly, 100% of the Equity Interests of the Issuer, and</w:t>
      </w:r>
    </w:p>
    <w:p>
      <w:pPr>
        <w:spacing w:after="0" w:line="46" w:lineRule="exact"/>
        <w:rPr>
          <w:sz w:val="20"/>
          <w:szCs w:val="20"/>
          <w:color w:val="auto"/>
        </w:rPr>
      </w:pPr>
    </w:p>
    <w:p>
      <w:pPr>
        <w:ind w:left="4" w:right="20" w:hanging="4"/>
        <w:spacing w:after="0" w:line="267" w:lineRule="auto"/>
        <w:tabs>
          <w:tab w:leader="none" w:pos="25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at any time, (1) the Issuer becomes aware of (by way of a report or any other filing pursuant to Section 13(d) of the Exchange Act, proxy, vote, written notice or otherwise) any “person” (as such term is used in Sections 13(d) and 14(d) of the Exchange Act as in effect on the Issue Date), other than a Parent Entity (or, prior to the Spin-Off Date, BD or any of its Subsidiaries), that is or becomes the “beneficial owner” (as defined in Rules 13d-3 and 13d-5 of the Exchange Act as in effect on the Issue Date) of more than 50% of the total voting power of the Voting Stock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 or (2) the sale or transfer, in one or a series of related transactions, of all or substantially all of the assets of the Issuer and its Restricted Subsidiaries, taken as a whole, to a Person (other than the Issuer or any of its Restricted Subsidiaries) and any “person” (as defined in clause (1) above), other than any Parent Entity, is or becomes the “beneficial owner” (as so defined) of more than 50% of the total voting power of the Voting Stock of the transferee person in such sale or transfer of assets,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w:t>
      </w:r>
    </w:p>
    <w:p>
      <w:pPr>
        <w:spacing w:after="0" w:line="181"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9" w:name="page20"/>
    <w:bookmarkEnd w:id="1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transactions contemplated by such agreement,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(iii) the right to acquire Voting Stock (so long as such Person does not have the right to direct the voting of the Voting Stock subject to such right) or any veto power in connection with the acquisition or disposition of Voting Stock will not cause a party to be a beneficial owner and (iv) a passive holding company or special purpose acquisition vehicle shall not be considered a “person” and instead the equityholders of such passive holding company or special purpose acquisition vehicle shall be considered for purposes of the foregoing.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subject or purported to be subject, from time to time, to a Lien under any Notes Security Documents.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Person for any period, the total amount of depreciation and amortization expense and capitalized fees, including amortization or write-off of:</w:t>
      </w:r>
    </w:p>
    <w:p>
      <w:pPr>
        <w:spacing w:after="0" w:line="62" w:lineRule="exact"/>
        <w:rPr>
          <w:sz w:val="20"/>
          <w:szCs w:val="20"/>
          <w:color w:val="auto"/>
        </w:rPr>
      </w:pPr>
    </w:p>
    <w:p>
      <w:pPr>
        <w:ind w:left="1080" w:hanging="221"/>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intangible assets and non-cash organization costs,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financing and debt issuance fees, costs and expenses,</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plant and equipment consisting of leasehold improvements, freehold improvements, office equipment and fittings,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right-of-use assets consisting of property and office equipment,</w:t>
      </w:r>
    </w:p>
    <w:p>
      <w:pPr>
        <w:spacing w:after="0" w:line="117" w:lineRule="exact"/>
        <w:rPr>
          <w:rFonts w:ascii="Arial" w:cs="Arial" w:eastAsia="Arial" w:hAnsi="Arial"/>
          <w:sz w:val="18"/>
          <w:szCs w:val="18"/>
          <w:color w:val="auto"/>
        </w:rPr>
      </w:pPr>
    </w:p>
    <w:p>
      <w:pPr>
        <w:ind w:left="440" w:right="120" w:firstLine="419"/>
        <w:spacing w:after="0" w:line="259"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capitalized expenditures (including Capitalized Software Expenditures), customer acquisition costs and incentive payments and signing bonuses, upfront payments related to any contract signing, media development costs, conversion costs and contract acquisition costs, the amortization of original issue discount resulting from the issuance of Indebtedness at less than par and amortization of favorable or unfavorable lease assets or liabilities, and</w:t>
      </w:r>
    </w:p>
    <w:p>
      <w:pPr>
        <w:spacing w:after="0" w:line="78" w:lineRule="exact"/>
        <w:rPr>
          <w:rFonts w:ascii="Arial" w:cs="Arial" w:eastAsia="Arial" w:hAnsi="Arial"/>
          <w:sz w:val="18"/>
          <w:szCs w:val="18"/>
          <w:color w:val="auto"/>
        </w:rPr>
      </w:pPr>
    </w:p>
    <w:p>
      <w:pPr>
        <w:ind w:left="440" w:right="80" w:firstLine="419"/>
        <w:spacing w:after="0" w:line="263"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capitalized fees related to any Qualified Securitization Financing or Receivables Facility, of such Person and its Restricted Subsidiaries for such period on a consolidated basis and otherwise determined in accordance with GAAP and any write-down of assets or asset value carried on the balance sheet.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with respect to any Person for any period, the Consolidated Net Income of such Person for such period:</w:t>
      </w:r>
    </w:p>
    <w:p>
      <w:pPr>
        <w:spacing w:after="0" w:line="237" w:lineRule="exact"/>
        <w:rPr>
          <w:sz w:val="20"/>
          <w:szCs w:val="20"/>
          <w:color w:val="auto"/>
        </w:rPr>
      </w:pPr>
    </w:p>
    <w:p>
      <w:pPr>
        <w:ind w:left="700" w:hanging="264"/>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117" w:lineRule="exact"/>
        <w:rPr>
          <w:rFonts w:ascii="Arial" w:cs="Arial" w:eastAsia="Arial" w:hAnsi="Arial"/>
          <w:sz w:val="18"/>
          <w:szCs w:val="18"/>
          <w:color w:val="auto"/>
        </w:rPr>
      </w:pPr>
    </w:p>
    <w:p>
      <w:pPr>
        <w:ind w:left="440" w:right="320" w:firstLine="419"/>
        <w:spacing w:after="0" w:line="291" w:lineRule="auto"/>
        <w:tabs>
          <w:tab w:leader="none" w:pos="11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Fixed Charges of such Person for such period (including (w) non-cash rent expense and the implied interest component of synthetic leases with respect to such period, (x) net payments and losses or any obligations on any Hedging Obligations or other derivative instruments,</w:t>
      </w:r>
    </w:p>
    <w:p>
      <w:pPr>
        <w:ind w:left="4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w:t>
      </w:r>
      <w:r>
        <w:rPr>
          <w:rFonts w:ascii="Arial" w:cs="Arial" w:eastAsia="Arial" w:hAnsi="Arial"/>
          <w:sz w:val="18"/>
          <w:szCs w:val="18"/>
          <w:i w:val="1"/>
          <w:iCs w:val="1"/>
          <w:color w:val="auto"/>
        </w:rPr>
        <w:t>plus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0" w:name="page21"/>
    <w:bookmarkEnd w:id="20"/>
    <w:p>
      <w:pPr>
        <w:ind w:firstLine="419"/>
        <w:spacing w:after="0" w:line="291" w:lineRule="auto"/>
        <w:tabs>
          <w:tab w:leader="none" w:pos="678"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state taxes in lieu of business fees (including business license fees), payroll tax credits, income tax credits and similar credits, and similar taxes of such Person paid or accrued during such period (including in respect of repatriated funds), (y) any distributions made to a direct or indirect parent of the Issuer with respect to the foregoing and (z) the net tax expense associated with any adjustments made pursuant to the definition of “Consolidated Net Income” in each case, to the extent deducted (and not added back) in computing Consolidated Net Income; </w:t>
      </w:r>
      <w:r>
        <w:rPr>
          <w:rFonts w:ascii="Arial" w:cs="Arial" w:eastAsia="Arial" w:hAnsi="Arial"/>
          <w:sz w:val="16"/>
          <w:szCs w:val="16"/>
          <w:i w:val="1"/>
          <w:iCs w:val="1"/>
          <w:color w:val="auto"/>
        </w:rPr>
        <w:t>plus</w:t>
      </w:r>
    </w:p>
    <w:p>
      <w:pPr>
        <w:spacing w:after="0" w:line="58" w:lineRule="exact"/>
        <w:rPr>
          <w:rFonts w:ascii="Arial" w:cs="Arial" w:eastAsia="Arial" w:hAnsi="Arial"/>
          <w:sz w:val="16"/>
          <w:szCs w:val="16"/>
          <w:color w:val="auto"/>
        </w:rPr>
      </w:pPr>
    </w:p>
    <w:p>
      <w:pPr>
        <w:ind w:right="400" w:firstLine="419"/>
        <w:spacing w:after="0" w:line="277" w:lineRule="auto"/>
        <w:tabs>
          <w:tab w:leader="none" w:pos="6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deducted (and not added back) in computing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60" w:firstLine="419"/>
        <w:spacing w:after="0" w:line="288" w:lineRule="auto"/>
        <w:tabs>
          <w:tab w:leader="none" w:pos="6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any fees, costs, expenses or charges (other than Consolidated Depreciation and Amortization Expense) related to any actual, proposed or contemplated Equity Offering (including any expense relating to enhanced accounting functions or other transaction costs associated with becoming or being a stand-alone entity or a public company, including Public Company Costs), Permitted Investment, Restricted Payment, acquisition, disposition, recapitalization or the incurrence of Indebtedness permitted to be incurred by this Indenture (including a refinancing thereof) (whether or not successful and including any such transaction consummated prior to the Issue Date), including (i) such fees, expenses or charges (including rating agency fees, consulting fees and other related expenses and/or letter of credit or similar fees) related to the offering or incurrence of, or ongoing administration of the Notes, the Credit Agreement, any other Credit Facilities or notes, any Securitization Fees and the Transactions, including Transaction Costs, and (ii) any amendment, waiver or other modification of the Notes, the Credit Agreement, Receivables Facilities, Securitization Facilities, any other Credit Facilities or notes, any Securitization Fees, any other Indebtedness or any Equity Offering, in each case, whether or not consummated, to the extent deducted (and not added back) in computing Consolidated Net Income; </w:t>
      </w:r>
      <w:r>
        <w:rPr>
          <w:rFonts w:ascii="Arial" w:cs="Arial" w:eastAsia="Arial" w:hAnsi="Arial"/>
          <w:sz w:val="16"/>
          <w:szCs w:val="16"/>
          <w:i w:val="1"/>
          <w:iCs w:val="1"/>
          <w:color w:val="auto"/>
        </w:rPr>
        <w:t>plus</w:t>
      </w:r>
    </w:p>
    <w:p>
      <w:pPr>
        <w:spacing w:after="0" w:line="60" w:lineRule="exact"/>
        <w:rPr>
          <w:rFonts w:ascii="Arial" w:cs="Arial" w:eastAsia="Arial" w:hAnsi="Arial"/>
          <w:sz w:val="16"/>
          <w:szCs w:val="16"/>
          <w:color w:val="auto"/>
        </w:rPr>
      </w:pPr>
    </w:p>
    <w:p>
      <w:pPr>
        <w:ind w:right="60" w:firstLine="419"/>
        <w:spacing w:after="0" w:line="287" w:lineRule="auto"/>
        <w:tabs>
          <w:tab w:leader="none" w:pos="6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the amount of any restructuring charge, accrual, reserve (and adjustments to existing reserves) or expense, integration cost, inventory optimization programs or other business optimization expense or cost (including charges directly related to the implementation of operating expense reductions, platform consolidations and migrations, transitions, insourcing initiatives, operating improvements, cost-savings initiatives and tax restructurings) that is deducted (and not added back) in such period in computing Consolidated Net Income, including any costs incurred in connection with acquisitions or divestitures after the Issue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office or warehouse space costs) and new product design, development and introductions (including intellectual property development, labor costs, scrap costs and lower absorption of costs, including due to decreased productivity and greater inefficiencies), systems and/or software development and establishment costs, operational and reporting systems, technology initiatives, contract termination costs, costs related to customer disputes, distribution networks or sales channels, the implementation, replacement, development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1" w:name="page22"/>
    <w:bookmarkEnd w:id="21"/>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upgrade of operational, reporting and information technology systems and technology initiatives, contract termination, retention, recruiting, severance, signing, consulting and transition services arrangements, future lease commitments, lease breakage and costs related to the pre-opening,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Arial" w:cs="Arial" w:eastAsia="Arial" w:hAnsi="Arial"/>
          <w:sz w:val="18"/>
          <w:szCs w:val="18"/>
          <w:i w:val="1"/>
          <w:iCs w:val="1"/>
          <w:color w:val="auto"/>
        </w:rPr>
        <w:t>plus</w:t>
      </w:r>
    </w:p>
    <w:p>
      <w:pPr>
        <w:spacing w:after="0" w:line="80" w:lineRule="exact"/>
        <w:rPr>
          <w:sz w:val="20"/>
          <w:szCs w:val="20"/>
          <w:color w:val="auto"/>
        </w:rPr>
      </w:pPr>
    </w:p>
    <w:p>
      <w:pPr>
        <w:ind w:left="644" w:hanging="221"/>
        <w:spacing w:after="0"/>
        <w:tabs>
          <w:tab w:leader="none" w:pos="64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other non-cash charges, write-downs, expenses, losses or items reducing Consolidated Net Income for such period including</w:t>
      </w:r>
    </w:p>
    <w:p>
      <w:pPr>
        <w:spacing w:after="0" w:line="34" w:lineRule="exact"/>
        <w:rPr>
          <w:rFonts w:ascii="Arial" w:cs="Arial" w:eastAsia="Arial" w:hAnsi="Arial"/>
          <w:sz w:val="17"/>
          <w:szCs w:val="17"/>
          <w:color w:val="auto"/>
        </w:rPr>
      </w:pPr>
    </w:p>
    <w:p>
      <w:pPr>
        <w:ind w:left="4" w:hanging="4"/>
        <w:spacing w:after="0" w:line="285" w:lineRule="auto"/>
        <w:tabs>
          <w:tab w:leader="none" w:pos="2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Notes and the Credit Agreement) of such Person and its Subsidiaries and/or (iii) 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 write-down, expense, loss or item represents an accrual or reserve for potential cash items in any future period, (A) the Issuer may elect not to add back such non-cash charge, expense or loss in the current period and (B) to the extent the Issuer elects to add back such non-cash charge, the cash payment in respect thereof in such future period shall be subtracted from Consolidated EBITDA when paid), or other items classified by the Issuer as special items less other non-cash items of income increasing Consolidated Net Income (excluding any amortization of a prepaid cash item that was paid in a prior period or such non-cash item of income to the extent it represents a receipt of cash in any future period); </w:t>
      </w:r>
      <w:r>
        <w:rPr>
          <w:rFonts w:ascii="Arial" w:cs="Arial" w:eastAsia="Arial" w:hAnsi="Arial"/>
          <w:sz w:val="16"/>
          <w:szCs w:val="16"/>
          <w:i w:val="1"/>
          <w:iCs w:val="1"/>
          <w:color w:val="auto"/>
        </w:rPr>
        <w:t>plus</w:t>
      </w:r>
    </w:p>
    <w:p>
      <w:pPr>
        <w:spacing w:after="0" w:line="66" w:lineRule="exact"/>
        <w:rPr>
          <w:rFonts w:ascii="Arial" w:cs="Arial" w:eastAsia="Arial" w:hAnsi="Arial"/>
          <w:sz w:val="16"/>
          <w:szCs w:val="16"/>
          <w:color w:val="auto"/>
        </w:rPr>
      </w:pPr>
    </w:p>
    <w:p>
      <w:pPr>
        <w:ind w:left="4" w:right="120" w:firstLine="419"/>
        <w:spacing w:after="0" w:line="284"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(including the entry into material contracts or arrangements), revenue enhancements, and initiatives and synergies (including, to the extent applicable, from (i) the Transactions, (ii) mergers or other business combinations, acquisitions or other investments, divestitures, restructurings, integration, insourcing initiatives, operating improvements, cost savings initiatives or any other initiative, action or event, (iii) the effect of new customer contracts or projects and/or</w:t>
      </w:r>
    </w:p>
    <w:p>
      <w:pPr>
        <w:spacing w:after="0" w:line="4"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(iv) increased pricing or volume in existing contracts) (it is understood and agreed that “run rate” means the full recurring benefit for a period that is associated with any action taken, committed to be taken or expected to be taken, net of the amount of actual benefits realized during such period form such actions) projected by the Issuer in good faith to be reasonably anticipated to be realizable or a plan for realization shall have been established within 36 months of the date thereof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revenue enhancements and initiatives and synergies had been realized on the first day of such period, net of the amount of actual benefits realized prior to or during such period from such actions; </w:t>
      </w:r>
      <w:r>
        <w:rPr>
          <w:rFonts w:ascii="Arial" w:cs="Arial" w:eastAsia="Arial" w:hAnsi="Arial"/>
          <w:sz w:val="17"/>
          <w:szCs w:val="17"/>
          <w:i w:val="1"/>
          <w:iCs w:val="1"/>
          <w:color w:val="auto"/>
        </w:rPr>
        <w:t>plus</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22" w:name="page23"/>
    <w:bookmarkEnd w:id="22"/>
    <w:p>
      <w:pPr>
        <w:ind w:right="40" w:firstLine="419"/>
        <w:spacing w:after="0" w:line="273"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costs or expenses incurred by the Issuer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Issuer or net cash proceeds of an issuance of Capital Stock (other than Disqualified Stock) of the Issuer; </w:t>
      </w:r>
      <w:r>
        <w:rPr>
          <w:rFonts w:ascii="Arial" w:cs="Arial" w:eastAsia="Arial" w:hAnsi="Arial"/>
          <w:sz w:val="17"/>
          <w:szCs w:val="17"/>
          <w:i w:val="1"/>
          <w:iCs w:val="1"/>
          <w:color w:val="auto"/>
        </w:rPr>
        <w:t>plus</w:t>
      </w:r>
    </w:p>
    <w:p>
      <w:pPr>
        <w:spacing w:after="0" w:line="69" w:lineRule="exact"/>
        <w:rPr>
          <w:rFonts w:ascii="Arial" w:cs="Arial" w:eastAsia="Arial" w:hAnsi="Arial"/>
          <w:sz w:val="17"/>
          <w:szCs w:val="17"/>
          <w:color w:val="auto"/>
        </w:rPr>
      </w:pPr>
    </w:p>
    <w:p>
      <w:pPr>
        <w:ind w:right="360" w:firstLine="419"/>
        <w:spacing w:after="0" w:line="263" w:lineRule="auto"/>
        <w:tabs>
          <w:tab w:leader="none" w:pos="6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right="120" w:firstLine="419"/>
        <w:spacing w:after="0" w:line="263" w:lineRule="auto"/>
        <w:tabs>
          <w:tab w:leader="none" w:pos="6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right="580" w:firstLine="419"/>
        <w:spacing w:after="0" w:line="277"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or minority interest expense consisting of Subsidiary income attributable to non-controlling or minority equity interests of third parties in any non-Wholly Owned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180" w:firstLine="419"/>
        <w:spacing w:after="0" w:line="277" w:lineRule="auto"/>
        <w:tabs>
          <w:tab w:leader="none" w:pos="6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 unrealized or realized foreign exchange losses resulting from the impact of foreign currency changes and (ii) gains and losses due to fluctuations in currency values and related tax effects determined in accordance with GAAP;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60" w:firstLine="419"/>
        <w:spacing w:after="0" w:line="259" w:lineRule="auto"/>
        <w:tabs>
          <w:tab w:leader="none" w:pos="7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with respect to any joint venture, an amount equal to the proportion of those items described in clauses (a), (b) and (c) above relating to such joint venture corresponding to the Issuer’s and its Restricted Subsidiaries’ proportionate share of such joint venture’s Consolidated Net Income (determined as if such joint venture were a Restricted Subsidiary) to the extent deducted (and not added back) in computing Consolidated Net Income; </w:t>
      </w:r>
      <w:r>
        <w:rPr>
          <w:rFonts w:ascii="Arial" w:cs="Arial" w:eastAsia="Arial" w:hAnsi="Arial"/>
          <w:sz w:val="18"/>
          <w:szCs w:val="18"/>
          <w:i w:val="1"/>
          <w:iCs w:val="1"/>
          <w:color w:val="auto"/>
        </w:rPr>
        <w:t>plus</w:t>
      </w:r>
    </w:p>
    <w:p>
      <w:pPr>
        <w:spacing w:after="0" w:line="78" w:lineRule="exact"/>
        <w:rPr>
          <w:rFonts w:ascii="Arial" w:cs="Arial" w:eastAsia="Arial" w:hAnsi="Arial"/>
          <w:sz w:val="18"/>
          <w:szCs w:val="18"/>
          <w:color w:val="auto"/>
        </w:rPr>
      </w:pPr>
    </w:p>
    <w:p>
      <w:pPr>
        <w:ind w:firstLine="419"/>
        <w:spacing w:after="0" w:line="257"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 of any costs, charges or expenses relating to payments made to stock appreciation or similar rights, stock option, restricted stock, phantom equity, profits interests or other interests or rights holders of the Issuer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firstLine="419"/>
        <w:spacing w:after="0" w:line="257"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adjustments of the nature or type used in (i) connection with the calculation of “Adjusted EBITDA” as set forth in footnote (3) of “Summary Historical and Unaudited Pro Forma Financial Information” contained in the Offering Memorandum and other adjustments of a similar nature to the foregoing, (ii) at the option of the Issuer, any adjustments (including pro forma adjustments) of the type reflected in any quality of earnings report obtained in connection with the Transactions or from time to time prepared with respect to the target of an acquisition or Investment by a nationally recognized financial advisor or accounting firm; </w:t>
      </w:r>
      <w:r>
        <w:rPr>
          <w:rFonts w:ascii="Arial" w:cs="Arial" w:eastAsia="Arial" w:hAnsi="Arial"/>
          <w:sz w:val="18"/>
          <w:szCs w:val="18"/>
          <w:i w:val="1"/>
          <w:iCs w:val="1"/>
          <w:color w:val="auto"/>
        </w:rPr>
        <w:t>plus</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23" w:name="page24"/>
    <w:bookmarkEnd w:id="23"/>
    <w:p>
      <w:pPr>
        <w:ind w:left="680" w:hanging="26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[reserved];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right="480" w:firstLine="419"/>
        <w:spacing w:after="0" w:line="27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losses, charges and expenses related to the pre-opening and opening of new locations, and start-up period prior to opening, that are operated, or to be operated, by the Issuer or any Restricted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480" w:firstLine="419"/>
        <w:spacing w:after="0" w:line="277"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rent expense as determined in accordance with GAAP not actually paid in cash during such period (net of rent expense paid in case during such period over and above rent expense as determined in accordance with GAAP);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firstLine="419"/>
        <w:spacing w:after="0" w:line="277" w:lineRule="auto"/>
        <w:tabs>
          <w:tab w:leader="none" w:pos="6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losses, charges and expenses related to a new location, plant or facility until the date that is 24 months after the date of commencement of construction or the date of acquisition thereof, as applicable;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340" w:firstLine="419"/>
        <w:spacing w:after="0" w:line="277"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any non-cash increase in expense resulting from the revaluation of inventory (including any impact of changes to inventory valuation policy methods including changes in capitalization of variances) or other inventory adjustments;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right="140" w:firstLine="419"/>
        <w:spacing w:after="0" w:line="25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(1) the net increase (which, for the avoidance of doubt, shall not be negative), if any, of the difference between: (i) the deferred revenue of such Person and its Restricted Subsidiaries, as of the last day of such period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xml:space="preserve">”) and (ii) the deferred revenue of such Person and its Restricted Subsidiaries as of the date that is 12 months prior to the Determination Date, and (2) without duplication of any adjustment pursuant to clause (1), the net adjustment for the annualized full-year gross profit contribution from new customer contracts signed during the 12 months prior to the Determination Date;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right="60" w:firstLine="419"/>
        <w:spacing w:after="0" w:line="269" w:lineRule="auto"/>
        <w:tabs>
          <w:tab w:leader="none" w:pos="6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of incremental contract value of the Issuer and its Restricted Subsidiaries that the Issuer in good faith reasonably believes would have been realized or achieved as Consolidated EBITDA contribution from (i) increased pricing or volume initiatives and/or (ii) the entry into (and performance under) binding and effective new agreements with new customers or, if generating incremental contract value, new agreements (or amendments to existing agreements) with existing customers (collectively, “</w:t>
      </w:r>
      <w:r>
        <w:rPr>
          <w:rFonts w:ascii="Arial" w:cs="Arial" w:eastAsia="Arial" w:hAnsi="Arial"/>
          <w:sz w:val="17"/>
          <w:szCs w:val="17"/>
          <w:u w:val="single" w:color="auto"/>
          <w:color w:val="auto"/>
        </w:rPr>
        <w:t>New Contracts</w:t>
      </w:r>
      <w:r>
        <w:rPr>
          <w:rFonts w:ascii="Arial" w:cs="Arial" w:eastAsia="Arial" w:hAnsi="Arial"/>
          <w:sz w:val="17"/>
          <w:szCs w:val="17"/>
          <w:color w:val="auto"/>
        </w:rPr>
        <w:t xml:space="preserve">”)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EBITDA contribution during such period) as long as such incremental contract value is reasonably identifiable and factually supportable;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incremental contract value shall be calculated on a pro forma basis as though the full run rate effect of such incremental contract value had been realized as Consolidated EBITDA contributed on the first day of such period; </w:t>
      </w:r>
      <w:r>
        <w:rPr>
          <w:rFonts w:ascii="Arial" w:cs="Arial" w:eastAsia="Arial" w:hAnsi="Arial"/>
          <w:sz w:val="17"/>
          <w:szCs w:val="17"/>
          <w:i w:val="1"/>
          <w:iCs w:val="1"/>
          <w:color w:val="auto"/>
        </w:rPr>
        <w:t>plus</w:t>
      </w:r>
    </w:p>
    <w:p>
      <w:pPr>
        <w:spacing w:after="0" w:line="77" w:lineRule="exact"/>
        <w:rPr>
          <w:rFonts w:ascii="Arial" w:cs="Arial" w:eastAsia="Arial" w:hAnsi="Arial"/>
          <w:sz w:val="17"/>
          <w:szCs w:val="17"/>
          <w:color w:val="auto"/>
        </w:rPr>
      </w:pPr>
    </w:p>
    <w:p>
      <w:pPr>
        <w:ind w:right="240" w:firstLine="419"/>
        <w:spacing w:after="0" w:line="301" w:lineRule="auto"/>
        <w:tabs>
          <w:tab w:leader="none" w:pos="7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680" w:hanging="261"/>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any fees, costs, expenses or charges related to or recorded in cost of sales to recognize cost on a last-in-first-out basis; </w:t>
      </w:r>
      <w:r>
        <w:rPr>
          <w:rFonts w:ascii="Arial" w:cs="Arial" w:eastAsia="Arial" w:hAnsi="Arial"/>
          <w:sz w:val="17"/>
          <w:szCs w:val="17"/>
          <w:i w:val="1"/>
          <w:iCs w:val="1"/>
          <w:color w:val="auto"/>
        </w:rPr>
        <w:t>plus</w:t>
      </w:r>
    </w:p>
    <w:p>
      <w:pPr>
        <w:spacing w:after="0" w:line="16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4" w:name="page25"/>
    <w:bookmarkEnd w:id="24"/>
    <w:p>
      <w:pPr>
        <w:ind w:left="444" w:right="220" w:firstLine="419"/>
        <w:spacing w:after="0" w:line="277" w:lineRule="auto"/>
        <w:tabs>
          <w:tab w:leader="none" w:pos="1122"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earn-out obligations incurred in connection with any acquisition or other Investment and paid or accrued during the applicable period, including any mark-to-market adjustments; and</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(without duplication) by non-cash gains increasing Consolidated Net Income of such Person for such period, excluding any</w:t>
      </w:r>
    </w:p>
    <w:p>
      <w:pPr>
        <w:spacing w:after="0" w:line="3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non-cash gains to the extent they represent the reversal of an accrual or reserve for a potential cash item that reduced Consolidated EBITDA in any prior period (other than non-cash gains relating to the application of Accounting Standards Codification Topic 842—Leases) (or any successor provision or other financial accounting standard having a similar result or effect).</w:t>
      </w:r>
    </w:p>
    <w:p>
      <w:pPr>
        <w:spacing w:after="0" w:line="190" w:lineRule="exact"/>
        <w:rPr>
          <w:sz w:val="20"/>
          <w:szCs w:val="20"/>
          <w:color w:val="auto"/>
        </w:rPr>
      </w:pPr>
    </w:p>
    <w:p>
      <w:pPr>
        <w:ind w:left="4" w:right="100" w:firstLine="440"/>
        <w:spacing w:after="0" w:line="290" w:lineRule="auto"/>
        <w:rPr>
          <w:sz w:val="20"/>
          <w:szCs w:val="20"/>
          <w:color w:val="auto"/>
        </w:rPr>
      </w:pPr>
      <w:r>
        <w:rPr>
          <w:rFonts w:ascii="Arial" w:cs="Arial" w:eastAsia="Arial" w:hAnsi="Arial"/>
          <w:sz w:val="16"/>
          <w:szCs w:val="16"/>
          <w:color w:val="auto"/>
        </w:rPr>
        <w:t>There shall be included in determining Consolidated EBITDA for any period, without duplication, (A) the Acquired EBITDA of any Person, property, business or asset acquired by the Issuer or any Restricted Subsidiary (including, as applicable, the property, businesses and assets acquired by (or contributed to) the Issuer and its Restricted Subsidiaries as part of the Transactions) during such period to the extent not subsequently sold, transferred or otherwise disposed of by the Issuer or such Restricted Subsidiary during such period (each such Person, property, business or asset acquired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 Acquired EBITDA of any Unrestricted Subsidiary that is converted into a Restricted Subsidiary during such period (each, a “</w:t>
      </w:r>
      <w:r>
        <w:rPr>
          <w:rFonts w:ascii="Arial" w:cs="Arial" w:eastAsia="Arial" w:hAnsi="Arial"/>
          <w:sz w:val="16"/>
          <w:szCs w:val="16"/>
          <w:u w:val="single" w:color="auto"/>
          <w:color w:val="auto"/>
        </w:rPr>
        <w:t>Converted Restricted Subsidiary</w:t>
      </w:r>
      <w:r>
        <w:rPr>
          <w:rFonts w:ascii="Arial" w:cs="Arial" w:eastAsia="Arial" w:hAnsi="Arial"/>
          <w:sz w:val="16"/>
          <w:szCs w:val="16"/>
          <w:color w:val="auto"/>
        </w:rPr>
        <w:t>”), based on the actual Acquired EBITDA of such Acquired Entity or Business or Converted Restricted Subsidiary for such period (including the portion thereof occurring prior to such acquisition) and (B) pro forma adjustments in respect of each Acquired Entity or Business as are consistent with the definition of “Pro Forma Basis.”</w:t>
      </w:r>
    </w:p>
    <w:p>
      <w:pPr>
        <w:spacing w:after="0" w:line="165"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Issuer or any Restricted Subsidiary during such period (each such Person, property, business or asset so sold or disposed of, a “</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and the Disposed EBITDA of any Restricted Subsidiary that is converted into an Unrestricted Subsidiary during such period (each, a “</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xml:space="preserve">”), based on the actual Disposed EBITDA of such Sold Entity or Business or Converted Unrestricted Subsidiary for such period (including the portion thereof occurring prior to such sale, transfer or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at the Issuer’s option, notwithstanding any classification under GAAP of any Person, property, business or asset as discontinued operations, the Disposed EBITDA of such Person, property, business or asset shall not be excluded for any purposes hereunder until such disposition shall have been consummated.</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Consolidated EBITDA (a) for the fiscal quarter ended September 30, 2021, shall be deemed to be $115.0 million,</w:t>
      </w:r>
    </w:p>
    <w:p>
      <w:pPr>
        <w:spacing w:after="0" w:line="46" w:lineRule="exact"/>
        <w:rPr>
          <w:sz w:val="20"/>
          <w:szCs w:val="20"/>
          <w:color w:val="auto"/>
        </w:rPr>
      </w:pPr>
    </w:p>
    <w:p>
      <w:pPr>
        <w:ind w:left="4" w:right="20" w:hanging="4"/>
        <w:spacing w:after="0" w:line="253"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for the fiscal quarter ended June 30, 2021, shall be deemed to be $123.0 million and (c) for the fiscal quarter ended March 31, 2021, shall be deemed to be $126.0 million, in each case, as may be subject to addbacks and adjustments (without duplication) pursuant to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upon the occurrence of a “pro forma” event that occurs after the Issue Date and which is deemed to have occurred as of the first day of a period that includes any of the foregoing fiscal quarters.</w:t>
      </w:r>
    </w:p>
    <w:p>
      <w:pPr>
        <w:spacing w:after="0" w:line="193" w:lineRule="exact"/>
        <w:rPr>
          <w:sz w:val="20"/>
          <w:szCs w:val="20"/>
          <w:color w:val="auto"/>
        </w:rPr>
      </w:pPr>
    </w:p>
    <w:p>
      <w:pPr>
        <w:ind w:left="4"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Net Leverage Ratio</w:t>
      </w:r>
      <w:r>
        <w:rPr>
          <w:rFonts w:ascii="Arial" w:cs="Arial" w:eastAsia="Arial" w:hAnsi="Arial"/>
          <w:sz w:val="18"/>
          <w:szCs w:val="18"/>
          <w:color w:val="auto"/>
        </w:rPr>
        <w:t>” means, as of any date of determination, the ratio of (a) Consolidated Funded First Lien Indebtedness of the Issuer and its Restricted Subsidiaries as of such date to (b) LTM EBITDA.</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5" w:name="page26"/>
    <w:bookmarkEnd w:id="25"/>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Consolidated Funded First Lien Indebtedness</w:t>
      </w:r>
      <w:r>
        <w:rPr>
          <w:rFonts w:ascii="Arial" w:cs="Arial" w:eastAsia="Arial" w:hAnsi="Arial"/>
          <w:sz w:val="18"/>
          <w:szCs w:val="18"/>
          <w:color w:val="auto"/>
        </w:rPr>
        <w:t>” means Consolidated Total Indebtedness of the Issuer and its Restricted Subsidiaries that is secured by a Lien on the Collateral on an equivalent priority basis (but, in each case, without regard to control of remedies) with the Liens on the Collateral securing the Obligations in respect of the Notes. For the avoidance of doubt, Consolidated Funded First Lien Indebtedness shall not include Capitalized Lease Obligations or Purchase Money Obligations.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sum of:</w:t>
      </w:r>
    </w:p>
    <w:p>
      <w:pPr>
        <w:spacing w:after="0" w:line="225" w:lineRule="exact"/>
        <w:rPr>
          <w:sz w:val="20"/>
          <w:szCs w:val="20"/>
          <w:color w:val="auto"/>
        </w:rPr>
      </w:pPr>
    </w:p>
    <w:p>
      <w:pPr>
        <w:ind w:right="100" w:firstLine="436"/>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to the extent such expense was deducted (and not added back) in computing Consolidated Net Income, which shall include:</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amortization of original issue discount or premium resulting from the issuance of Indebtedness at less than par,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commissions, discounts and other fees and charges owed with respect to letters of credit or bankers acceptances,</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non-cash interest payments (but excluding any non-cash interest expense attributable to the movement in mark-to-market valuation of any Hedging Obligations or other derivative instruments pursuant to GAAP),</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interest component of Capitalized Lease Obligations, and</w:t>
      </w:r>
    </w:p>
    <w:p>
      <w:pPr>
        <w:spacing w:after="0" w:line="117" w:lineRule="exact"/>
        <w:rPr>
          <w:rFonts w:ascii="Arial" w:cs="Arial" w:eastAsia="Arial" w:hAnsi="Arial"/>
          <w:sz w:val="18"/>
          <w:szCs w:val="18"/>
          <w:color w:val="auto"/>
        </w:rPr>
      </w:pPr>
    </w:p>
    <w:p>
      <w:pPr>
        <w:ind w:left="440" w:right="940" w:firstLine="419"/>
        <w:spacing w:after="0" w:line="277" w:lineRule="auto"/>
        <w:tabs>
          <w:tab w:leader="none" w:pos="11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payments, if any made (less net payments, if any, received), pursuant to interest rate Hedging Obligations with respect to Indebtedness, and which shall exclude:</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Securitization Fees,</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penalties and interest relating to taxes,</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2"/>
          <w:numId w:val="24"/>
        </w:numPr>
        <w:rPr>
          <w:rFonts w:ascii="Arial" w:cs="Arial" w:eastAsia="Arial" w:hAnsi="Arial"/>
          <w:sz w:val="17"/>
          <w:szCs w:val="17"/>
          <w:color w:val="auto"/>
        </w:rPr>
      </w:pPr>
      <w:r>
        <w:rPr>
          <w:rFonts w:ascii="Arial" w:cs="Arial" w:eastAsia="Arial" w:hAnsi="Arial"/>
          <w:sz w:val="17"/>
          <w:szCs w:val="17"/>
          <w:color w:val="auto"/>
        </w:rPr>
        <w:t>annual agency or similar fees paid to the administrative agents, collateral agents and other agents under any Credit Facility,</w:t>
      </w:r>
    </w:p>
    <w:p>
      <w:pPr>
        <w:spacing w:after="0" w:line="128" w:lineRule="exact"/>
        <w:rPr>
          <w:rFonts w:ascii="Arial" w:cs="Arial" w:eastAsia="Arial" w:hAnsi="Arial"/>
          <w:sz w:val="17"/>
          <w:szCs w:val="17"/>
          <w:color w:val="auto"/>
        </w:rPr>
      </w:pPr>
    </w:p>
    <w:p>
      <w:pPr>
        <w:ind w:left="1700" w:hanging="312"/>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additional interest or liquidated damages owing pursuant to any registration rights obligations,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costs associated with obtaining Hedging Obligations,</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accretion or accrual of discounted liabilities other than Indebtedness,</w:t>
      </w:r>
    </w:p>
    <w:p>
      <w:pPr>
        <w:spacing w:after="0" w:line="117" w:lineRule="exact"/>
        <w:rPr>
          <w:rFonts w:ascii="Arial" w:cs="Arial" w:eastAsia="Arial" w:hAnsi="Arial"/>
          <w:sz w:val="18"/>
          <w:szCs w:val="18"/>
          <w:color w:val="auto"/>
        </w:rPr>
      </w:pPr>
    </w:p>
    <w:p>
      <w:pPr>
        <w:ind w:left="980" w:firstLine="408"/>
        <w:spacing w:after="0" w:line="277" w:lineRule="auto"/>
        <w:tabs>
          <w:tab w:leader="none" w:pos="1736"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expense resulting from the discounting of any Indebtedness in connection with the application of recapitalization accounting or purchase accounting in connection with the Transactions or any acquisition,</w:t>
      </w:r>
    </w:p>
    <w:p>
      <w:pPr>
        <w:spacing w:after="0" w:line="62" w:lineRule="exact"/>
        <w:rPr>
          <w:rFonts w:ascii="Arial" w:cs="Arial" w:eastAsia="Arial" w:hAnsi="Arial"/>
          <w:sz w:val="18"/>
          <w:szCs w:val="18"/>
          <w:color w:val="auto"/>
        </w:rPr>
      </w:pPr>
    </w:p>
    <w:p>
      <w:pPr>
        <w:ind w:left="980" w:right="20" w:firstLine="408"/>
        <w:spacing w:after="0" w:line="279" w:lineRule="auto"/>
        <w:tabs>
          <w:tab w:leader="none" w:pos="1786" w:val="left"/>
        </w:tabs>
        <w:numPr>
          <w:ilvl w:val="2"/>
          <w:numId w:val="24"/>
        </w:numPr>
        <w:rPr>
          <w:rFonts w:ascii="Arial" w:cs="Arial" w:eastAsia="Arial" w:hAnsi="Arial"/>
          <w:sz w:val="17"/>
          <w:szCs w:val="17"/>
          <w:color w:val="auto"/>
        </w:rPr>
      </w:pPr>
      <w:r>
        <w:rPr>
          <w:rFonts w:ascii="Arial" w:cs="Arial" w:eastAsia="Arial" w:hAnsi="Arial"/>
          <w:sz w:val="17"/>
          <w:szCs w:val="17"/>
          <w:color w:val="auto"/>
        </w:rPr>
        <w:t>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 w:name="page27"/>
    <w:bookmarkEnd w:id="26"/>
    <w:p>
      <w:pPr>
        <w:ind w:left="984" w:right="360" w:firstLine="408"/>
        <w:spacing w:after="0" w:line="277" w:lineRule="auto"/>
        <w:tabs>
          <w:tab w:leader="none" w:pos="169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expensing of bridge, arrangement, structuring, commitment, agency, consent and other financing fees and any other fees related to the Transactions or any acquisitions after the Issue Date,</w:t>
      </w:r>
    </w:p>
    <w:p>
      <w:pPr>
        <w:spacing w:after="0" w:line="62" w:lineRule="exact"/>
        <w:rPr>
          <w:rFonts w:ascii="Arial" w:cs="Arial" w:eastAsia="Arial" w:hAnsi="Arial"/>
          <w:sz w:val="18"/>
          <w:szCs w:val="18"/>
          <w:color w:val="auto"/>
        </w:rPr>
      </w:pPr>
    </w:p>
    <w:p>
      <w:pPr>
        <w:ind w:left="1644" w:hanging="252"/>
        <w:spacing w:after="0"/>
        <w:tabs>
          <w:tab w:leader="none" w:pos="1644"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accretion of accrued interest on discounted liabilities and any prepayment, make-whole or breakage premium, penalty or cost,</w:t>
      </w:r>
    </w:p>
    <w:p>
      <w:pPr>
        <w:spacing w:after="0" w:line="140" w:lineRule="exact"/>
        <w:rPr>
          <w:rFonts w:ascii="Arial" w:cs="Arial" w:eastAsia="Arial" w:hAnsi="Arial"/>
          <w:sz w:val="16"/>
          <w:szCs w:val="16"/>
          <w:color w:val="auto"/>
        </w:rPr>
      </w:pPr>
    </w:p>
    <w:p>
      <w:pPr>
        <w:ind w:left="984" w:right="800" w:firstLine="408"/>
        <w:spacing w:after="0" w:line="277" w:lineRule="auto"/>
        <w:tabs>
          <w:tab w:leader="none" w:pos="16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interest expense with respect to Indebtedness of any direct or indirect parent of such Person resulting from push-down accounting,</w:t>
      </w:r>
    </w:p>
    <w:p>
      <w:pPr>
        <w:spacing w:after="0" w:line="62" w:lineRule="exact"/>
        <w:rPr>
          <w:rFonts w:ascii="Arial" w:cs="Arial" w:eastAsia="Arial" w:hAnsi="Arial"/>
          <w:sz w:val="18"/>
          <w:szCs w:val="18"/>
          <w:color w:val="auto"/>
        </w:rPr>
      </w:pPr>
    </w:p>
    <w:p>
      <w:pPr>
        <w:ind w:left="1744" w:hanging="352"/>
        <w:spacing w:after="0"/>
        <w:tabs>
          <w:tab w:leader="none" w:pos="17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lease, rental or other expense in connection with a Non-Financing Lease Obligations, and</w:t>
      </w:r>
    </w:p>
    <w:p>
      <w:pPr>
        <w:spacing w:after="0" w:line="117" w:lineRule="exact"/>
        <w:rPr>
          <w:rFonts w:ascii="Arial" w:cs="Arial" w:eastAsia="Arial" w:hAnsi="Arial"/>
          <w:sz w:val="18"/>
          <w:szCs w:val="18"/>
          <w:color w:val="auto"/>
        </w:rPr>
      </w:pPr>
    </w:p>
    <w:p>
      <w:pPr>
        <w:ind w:left="1804" w:hanging="412"/>
        <w:spacing w:after="0"/>
        <w:tabs>
          <w:tab w:leader="none" w:pos="18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any interest expense attributable to any actual or prospective legal settlement, fine, judgment or order;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consolidated capitalized interest of such Person and its Restricted Subsidiaries for such period, whether paid or accrued; </w:t>
      </w:r>
      <w:r>
        <w:rPr>
          <w:rFonts w:ascii="Arial" w:cs="Arial" w:eastAsia="Arial" w:hAnsi="Arial"/>
          <w:sz w:val="18"/>
          <w:szCs w:val="18"/>
          <w:i w:val="1"/>
          <w:iCs w:val="1"/>
          <w:color w:val="auto"/>
        </w:rPr>
        <w:t>less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there will not be included in such Consolidated Net Income:</w:t>
      </w:r>
    </w:p>
    <w:p>
      <w:pPr>
        <w:spacing w:after="0" w:line="184" w:lineRule="exact"/>
        <w:rPr>
          <w:sz w:val="20"/>
          <w:szCs w:val="20"/>
          <w:color w:val="auto"/>
        </w:rPr>
      </w:pPr>
    </w:p>
    <w:p>
      <w:pPr>
        <w:ind w:left="4" w:right="160" w:firstLine="436"/>
        <w:spacing w:after="0" w:line="275" w:lineRule="auto"/>
        <w:tabs>
          <w:tab w:leader="none" w:pos="69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net income (loss) of any Person if such Person is not a Restricted Subsidiary (including any net income (loss) from investments recorded in such Person under the equity method of accounting), except that the Issuer’s equity in the net income of any such Person for such period will be included in such Consolidated Net Income up to the aggregate amount of cash or Cash Equivalents actually distributed (or to the extent converted into cash or Cash Equivalents) or that (as determined by the Issuer in its reasonable discretion) could have been distributed by such Person during such period to the Issuer or a Restricted Subsidiary as a dividend or other distribution or return on investment;</w:t>
      </w:r>
    </w:p>
    <w:p>
      <w:pPr>
        <w:spacing w:after="0" w:line="176" w:lineRule="exact"/>
        <w:rPr>
          <w:rFonts w:ascii="Arial" w:cs="Arial" w:eastAsia="Arial" w:hAnsi="Arial"/>
          <w:sz w:val="17"/>
          <w:szCs w:val="17"/>
          <w:color w:val="auto"/>
        </w:rPr>
      </w:pPr>
    </w:p>
    <w:p>
      <w:pPr>
        <w:ind w:left="4" w:right="80" w:firstLine="436"/>
        <w:spacing w:after="0" w:line="284" w:lineRule="auto"/>
        <w:tabs>
          <w:tab w:leader="none" w:pos="699" w:val="left"/>
        </w:tabs>
        <w:numPr>
          <w:ilvl w:val="1"/>
          <w:numId w:val="27"/>
        </w:numPr>
        <w:rPr>
          <w:rFonts w:ascii="Arial" w:cs="Arial" w:eastAsia="Arial" w:hAnsi="Arial"/>
          <w:sz w:val="16"/>
          <w:szCs w:val="16"/>
          <w:color w:val="auto"/>
        </w:rPr>
      </w:pPr>
      <w:r>
        <w:rPr>
          <w:rFonts w:ascii="Arial" w:cs="Arial" w:eastAsia="Arial" w:hAnsi="Arial"/>
          <w:sz w:val="16"/>
          <w:szCs w:val="16"/>
          <w:color w:val="auto"/>
        </w:rPr>
        <w:t>solely for the purpose of determining the amount available for Restricted Payments under clause (A) of the Available Amount Builder Basket, any net income (loss) of any Restricted Subsidiary (other than the Guarantors) if such Subsidiary is subject to restrictions, directly or indirectly, on the payment of dividends or the making of distributions by such Restricted Subsidiary, directly or indirectly, to the Issuer or any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restrictions pursuant to the Credit Agreement, the Notes, this Indenture or other similar indebtedness and (c) restrictions specified in </w:t>
      </w:r>
      <w:r>
        <w:rPr>
          <w:rFonts w:ascii="Arial" w:cs="Arial" w:eastAsia="Arial" w:hAnsi="Arial"/>
          <w:sz w:val="16"/>
          <w:szCs w:val="16"/>
          <w:u w:val="single" w:color="auto"/>
          <w:color w:val="auto"/>
        </w:rPr>
        <w:t>Section 3.04(b)</w:t>
      </w:r>
    </w:p>
    <w:p>
      <w:pPr>
        <w:spacing w:after="0" w:line="32" w:lineRule="exact"/>
        <w:rPr>
          <w:rFonts w:ascii="Arial" w:cs="Arial" w:eastAsia="Arial" w:hAnsi="Arial"/>
          <w:sz w:val="16"/>
          <w:szCs w:val="16"/>
          <w:color w:val="auto"/>
        </w:rPr>
      </w:pPr>
    </w:p>
    <w:p>
      <w:pPr>
        <w:ind w:left="4" w:right="20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(14)(i)</w:t>
      </w:r>
      <w:r>
        <w:rPr>
          <w:rFonts w:ascii="Arial" w:cs="Arial" w:eastAsia="Arial" w:hAnsi="Arial"/>
          <w:sz w:val="18"/>
          <w:szCs w:val="18"/>
          <w:color w:val="auto"/>
        </w:rPr>
        <w:t>), except that the Issuer’s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or that could have been distributed by such Restricted Subsidiary during such period to the Issuer or another Restricted Subsidiary as a dividend or other distribution (subject, in the case of a dividend to another Restricted Subsidiary, to the limitation contained in this clause);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7" w:name="page28"/>
    <w:bookmarkEnd w:id="27"/>
    <w:p>
      <w:pPr>
        <w:ind w:left="-20" w:firstLine="436"/>
        <w:spacing w:after="0" w:line="301" w:lineRule="auto"/>
        <w:tabs>
          <w:tab w:leader="none" w:pos="675"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gain (or loss) (a) in respect of facilities no longer used or useful in the conduct of the business of the Issuer or its Restricted Subsidiaries, abandoned, transferred, closed, disposed or discontinued operations, (b) on disposal, abandonment or discontinuance of disposed, abandoned, transferred, closed or discontinued operations, and (c) attributable to asset dispositions, abandonments, sales or other dispositions of any asset (including pursuant to any Sale and Leaseback Transaction) or the designation of an Unrestricted Subsidiary other than in the ordinary course of business;</w:t>
      </w:r>
    </w:p>
    <w:p>
      <w:pPr>
        <w:spacing w:after="0" w:line="157" w:lineRule="exact"/>
        <w:rPr>
          <w:rFonts w:ascii="Arial" w:cs="Arial" w:eastAsia="Arial" w:hAnsi="Arial"/>
          <w:sz w:val="16"/>
          <w:szCs w:val="16"/>
          <w:color w:val="auto"/>
        </w:rPr>
      </w:pPr>
    </w:p>
    <w:p>
      <w:pPr>
        <w:ind w:left="-20" w:firstLine="436"/>
        <w:spacing w:after="0" w:line="285" w:lineRule="auto"/>
        <w:tabs>
          <w:tab w:leader="none" w:pos="6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any extraordinary, exceptional, unusual, infrequently occurring or nonrecurring loss, charge or expense, as well as Transaction Costs,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Issuer or a Subsidiary or a Parent Entity had entered into with employees of the Issuer or a Subsidiary or a Parent Entity, costs relating to 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(in each case, as applicable, whether or not consummated) and (b) any charge, expense, cost, accrual or reserve of any kind associated with acquisition related litigation and settlements thereof;</w:t>
      </w:r>
    </w:p>
    <w:p>
      <w:pPr>
        <w:spacing w:after="0" w:line="384" w:lineRule="exact"/>
        <w:rPr>
          <w:rFonts w:ascii="Arial" w:cs="Arial" w:eastAsia="Arial" w:hAnsi="Arial"/>
          <w:sz w:val="16"/>
          <w:szCs w:val="16"/>
          <w:color w:val="auto"/>
        </w:rPr>
      </w:pPr>
    </w:p>
    <w:p>
      <w:pPr>
        <w:ind w:left="-20" w:right="100" w:firstLine="436"/>
        <w:spacing w:after="0" w:line="293" w:lineRule="auto"/>
        <w:tabs>
          <w:tab w:leader="none" w:pos="6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at the election of the Issuer with respect to any quarterly period, the cumulative effect (including charges, accruals, expenses and reserves) of a change in law, regulation or accounting principles and changes as a result of the adoption, implementation or modification of accounting policies, including the adoption, (b) subject to the last paragraph of the definition of “GAAP,” the cumulative effect of a change in accounting principles and changes as a result of the adoption or modification of accounting policies during such period (including any impact resulting from an election by the Issuer to apply IFRS or other Accounting Changes) and (c) any costs, charges, losses, fees or expenses in connection with the implementation or tracking of such changes or modifications specified in the foregoing clauses (a) and (b), in each case as reasonably determined by the Issuer;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8" w:name="page29"/>
    <w:bookmarkEnd w:id="28"/>
    <w:p>
      <w:pPr>
        <w:ind w:firstLine="436"/>
        <w:spacing w:after="0" w:line="28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equity-based incentive programs (“</w:t>
      </w:r>
      <w:r>
        <w:rPr>
          <w:rFonts w:ascii="Arial" w:cs="Arial" w:eastAsia="Arial" w:hAnsi="Arial"/>
          <w:sz w:val="16"/>
          <w:szCs w:val="16"/>
          <w:u w:val="single" w:color="auto"/>
          <w:color w:val="auto"/>
        </w:rPr>
        <w:t>equity incentives</w:t>
      </w:r>
      <w:r>
        <w:rPr>
          <w:rFonts w:ascii="Arial" w:cs="Arial" w:eastAsia="Arial" w:hAnsi="Arial"/>
          <w:sz w:val="16"/>
          <w:szCs w:val="16"/>
          <w:color w:val="auto"/>
        </w:rPr>
        <w:t>”), any income (loss) associated with the equity incentives or other long-term incentive compensation plans (including under deferred compensation arrangements of the Issuer or any Parent Entity or any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the Issuer or any Parent Entity or any Subsidiary, and any cash awards granted to employees of the Issuer and its Subsidiaries in replacement for forfeited awards, (b) any non-cash losses attributable to deferred compensations plans or trusts or realized in such period in connection with adjustments to any employee benefit plan due to changes in estimates, actuarial assumptions, valuations, studies or judgments, (c) non-cash compensation expense resulting from the application of Accounting Standards Codification Topic 718, Compensation —Stock Compensation or Accounting Standards Codification Topics 505-50, Equity-Based Payments to Non-Employees (or any successor provision or other financial accounting standard having a similar result or effect), and (d)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112—Employee Benefits (or any successor provision or other financial accounting standard having a similar result or effect), and any other item of a similar nature;</w:t>
      </w:r>
    </w:p>
    <w:p>
      <w:pPr>
        <w:spacing w:after="0" w:line="167"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170" w:lineRule="exact"/>
        <w:rPr>
          <w:rFonts w:ascii="Arial" w:cs="Arial" w:eastAsia="Arial" w:hAnsi="Arial"/>
          <w:sz w:val="18"/>
          <w:szCs w:val="18"/>
          <w:color w:val="auto"/>
        </w:rPr>
      </w:pPr>
    </w:p>
    <w:p>
      <w:pPr>
        <w:ind w:right="80" w:firstLine="436"/>
        <w:spacing w:after="0" w:line="308"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146"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fees, losses, costs, expenses or charges incurred during such period (including any transaction, retention bonus or similar payment), or any amortization thereof for such period, in connection with (a) any acquisition, recapitalization, Investment, Asset Disposition, disposition, issuance or repayment of Indebtedness (including such fees, expense or charges related to the offering, issuance and rating of the Notes, other securities and any Credit Facilities), issuance of Capital Stock, refinancing transaction or amendment or modification of any debt instrument (including any amendment or other modification of the Notes, other securities and any Credit Facilities), in each case, including the Transactions, any such transaction consummated prior to, on or after the Issue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(if applicable) any adjustments resulting from the application of Accounting Standards Codification Topic 460—Guarantees (or any successor provision or other financial accounting standard having a similar result or effect) or any related pronouncements) and (b) complying with the requirements under, or making elections permitted by, the documentation governing any Indebtedness;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 w:name="page30"/>
    <w:bookmarkEnd w:id="29"/>
    <w:p>
      <w:pPr>
        <w:ind w:left="-20" w:right="40" w:firstLine="436"/>
        <w:spacing w:after="0" w:line="275" w:lineRule="auto"/>
        <w:tabs>
          <w:tab w:leader="none" w:pos="765"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loans, accounts receivables, accounts payable, intercompany balances, other balance sheet items, Hedging Obligations or other obligations of the Issuer or any Restricted Subsidiary owing to the Issuer or any Restricted Subsidiary and any other realized or unrealized foreign exchange gains or losses relating to the translation of assets and liabilities denominated in foreign currencies;</w:t>
      </w:r>
    </w:p>
    <w:p>
      <w:pPr>
        <w:spacing w:after="0" w:line="176" w:lineRule="exact"/>
        <w:rPr>
          <w:rFonts w:ascii="Arial" w:cs="Arial" w:eastAsia="Arial" w:hAnsi="Arial"/>
          <w:sz w:val="17"/>
          <w:szCs w:val="17"/>
          <w:color w:val="auto"/>
        </w:rPr>
      </w:pPr>
    </w:p>
    <w:p>
      <w:pPr>
        <w:ind w:left="-20" w:right="300" w:firstLine="436"/>
        <w:spacing w:after="0" w:line="277" w:lineRule="auto"/>
        <w:tabs>
          <w:tab w:leader="none" w:pos="7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unrealized or realized income (loss) or non-cash expense attributable to movement in mark-to-market valuation of foreign currencies, Indebtedness or derivative instruments pursuant to GAAP;</w:t>
      </w:r>
    </w:p>
    <w:p>
      <w:pPr>
        <w:spacing w:after="0" w:line="170" w:lineRule="exact"/>
        <w:rPr>
          <w:rFonts w:ascii="Arial" w:cs="Arial" w:eastAsia="Arial" w:hAnsi="Arial"/>
          <w:sz w:val="18"/>
          <w:szCs w:val="18"/>
          <w:color w:val="auto"/>
        </w:rPr>
      </w:pPr>
    </w:p>
    <w:p>
      <w:pPr>
        <w:ind w:left="-20" w:firstLine="436"/>
        <w:spacing w:after="0" w:line="270" w:lineRule="auto"/>
        <w:tabs>
          <w:tab w:leader="none" w:pos="7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effects of adjustments (including the effects of such adjustments pushed down to such Person and its Restricted Subsidiaries) in such Person’s consolidated financial statements pursuant to GAAP (including, if applicable, those required or permitted by Accounting Standards Codification Topic 805—Business Combinations and (if applicable) Accounting Standards Codification Topic 350—Intangibles-Goodwill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applicable, in relation to the Transactions or any consummated acquisition (by merger, consolidation, amalgamation or otherwise), joint venture investment or other Investment or the amortization or write-off or write-down of any amounts thereof;</w:t>
      </w:r>
    </w:p>
    <w:p>
      <w:pPr>
        <w:spacing w:after="0" w:line="180" w:lineRule="exact"/>
        <w:rPr>
          <w:rFonts w:ascii="Arial" w:cs="Arial" w:eastAsia="Arial" w:hAnsi="Arial"/>
          <w:sz w:val="17"/>
          <w:szCs w:val="17"/>
          <w:color w:val="auto"/>
        </w:rPr>
      </w:pPr>
    </w:p>
    <w:p>
      <w:pPr>
        <w:jc w:val="both"/>
        <w:ind w:left="-20" w:right="160" w:firstLine="436"/>
        <w:spacing w:after="0" w:line="259" w:lineRule="auto"/>
        <w:tabs>
          <w:tab w:leader="none" w:pos="7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spacing w:after="0" w:line="186" w:lineRule="exact"/>
        <w:rPr>
          <w:rFonts w:ascii="Arial" w:cs="Arial" w:eastAsia="Arial" w:hAnsi="Arial"/>
          <w:sz w:val="18"/>
          <w:szCs w:val="18"/>
          <w:color w:val="auto"/>
        </w:rPr>
      </w:pPr>
    </w:p>
    <w:p>
      <w:pPr>
        <w:ind w:left="-20" w:firstLine="436"/>
        <w:spacing w:after="0" w:line="254" w:lineRule="auto"/>
        <w:tabs>
          <w:tab w:leader="none" w:pos="7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accruals and reserves (including contingent liabilities) that are established or adjusted in connection with the Transactions or within 24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 including any mark-to-mark adjustments;</w:t>
      </w:r>
    </w:p>
    <w:p>
      <w:pPr>
        <w:spacing w:after="0" w:line="194" w:lineRule="exact"/>
        <w:rPr>
          <w:rFonts w:ascii="Arial" w:cs="Arial" w:eastAsia="Arial" w:hAnsi="Arial"/>
          <w:sz w:val="18"/>
          <w:szCs w:val="18"/>
          <w:color w:val="auto"/>
        </w:rPr>
      </w:pPr>
    </w:p>
    <w:p>
      <w:pPr>
        <w:ind w:left="-20" w:right="80" w:firstLine="436"/>
        <w:spacing w:after="0" w:line="293" w:lineRule="auto"/>
        <w:tabs>
          <w:tab w:leader="none" w:pos="7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(if applicable) Accounting Standards Codification Topic 825—Financial Instruments (or any successor provision or other financial accounting standard having a similar result or effect) or an alternative basis of accounting applied in lieu of GAAP;</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4" w:right="479" w:bottom="1440" w:gutter="0" w:footer="0" w:header="0"/>
        </w:sectPr>
      </w:pPr>
    </w:p>
    <w:bookmarkStart w:id="30" w:name="page31"/>
    <w:bookmarkEnd w:id="30"/>
    <w:p>
      <w:pPr>
        <w:ind w:right="180" w:firstLine="436"/>
        <w:spacing w:after="0" w:line="342" w:lineRule="auto"/>
        <w:tabs>
          <w:tab w:leader="none" w:pos="785"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123" w:lineRule="exact"/>
        <w:rPr>
          <w:rFonts w:ascii="Arial" w:cs="Arial" w:eastAsia="Arial" w:hAnsi="Arial"/>
          <w:sz w:val="16"/>
          <w:szCs w:val="16"/>
          <w:color w:val="auto"/>
        </w:rPr>
      </w:pPr>
    </w:p>
    <w:p>
      <w:pPr>
        <w:ind w:firstLine="436"/>
        <w:spacing w:after="0" w:line="255"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(x) Board of Directors (or equivalent thereof) fees, management, monitoring, consulting, refinancing, transaction, advisory and other fees (including exit and termination fees) and indemnities, costs and expenses paid or accrued in such period to any member of the Board of Directors (or the equivalent thereof) of the Issuer, any of its Subsidiaries or any Parent Entity, and (y) payments made to option holders of the Issuer or any Parent Entity in connection with, or as a result of, any distribution being made to equityholders of such Person or its Parent Entity, which payments are being made to compensate such option holders as though they were equityholders at the time of, and entitled to share in, such distribution, including any cash consideration for any repurchase of equity;</w:t>
      </w:r>
    </w:p>
    <w:p>
      <w:pPr>
        <w:spacing w:after="0" w:line="192" w:lineRule="exact"/>
        <w:rPr>
          <w:rFonts w:ascii="Arial" w:cs="Arial" w:eastAsia="Arial" w:hAnsi="Arial"/>
          <w:sz w:val="18"/>
          <w:szCs w:val="18"/>
          <w:color w:val="auto"/>
        </w:rPr>
      </w:pPr>
    </w:p>
    <w:p>
      <w:pPr>
        <w:ind w:right="680" w:firstLine="436"/>
        <w:spacing w:after="0" w:line="277"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loss or discount on sale of Securitization Assets, Receivables Assets and related assets in connection with a Qualified Securitization Financing or Receivables Facility;</w:t>
      </w:r>
    </w:p>
    <w:p>
      <w:pPr>
        <w:spacing w:after="0" w:line="170" w:lineRule="exact"/>
        <w:rPr>
          <w:rFonts w:ascii="Arial" w:cs="Arial" w:eastAsia="Arial" w:hAnsi="Arial"/>
          <w:sz w:val="18"/>
          <w:szCs w:val="18"/>
          <w:color w:val="auto"/>
        </w:rPr>
      </w:pPr>
    </w:p>
    <w:p>
      <w:pPr>
        <w:ind w:right="500" w:firstLine="436"/>
        <w:spacing w:after="0" w:line="277"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at the election of the Issuer, payments to third parties in respect of research and development, including amounts paid upon signing, success, completion and other milestones and other progress payments, to the extent expensed and</w:t>
      </w:r>
    </w:p>
    <w:p>
      <w:pPr>
        <w:spacing w:after="0" w:line="170" w:lineRule="exact"/>
        <w:rPr>
          <w:rFonts w:ascii="Arial" w:cs="Arial" w:eastAsia="Arial" w:hAnsi="Arial"/>
          <w:sz w:val="18"/>
          <w:szCs w:val="18"/>
          <w:color w:val="auto"/>
        </w:rPr>
      </w:pPr>
    </w:p>
    <w:p>
      <w:pPr>
        <w:ind w:right="20" w:firstLine="767"/>
        <w:spacing w:after="0" w:line="342" w:lineRule="auto"/>
        <w:tabs>
          <w:tab w:leader="none" w:pos="1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at the election of the Issuer with respect to any quarterly period, effects of adjustments to accruals and reserves during a period relating to any change in the methodology of calculating reserves for returns, rebates and other chargebacks (including government program rebates);</w:t>
      </w:r>
    </w:p>
    <w:p>
      <w:pPr>
        <w:spacing w:after="0" w:line="123" w:lineRule="exact"/>
        <w:rPr>
          <w:rFonts w:ascii="Arial" w:cs="Arial" w:eastAsia="Arial" w:hAnsi="Arial"/>
          <w:sz w:val="16"/>
          <w:szCs w:val="16"/>
          <w:color w:val="auto"/>
        </w:rPr>
      </w:pPr>
    </w:p>
    <w:p>
      <w:pPr>
        <w:ind w:right="120" w:firstLine="436"/>
        <w:spacing w:after="0" w:line="277"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the non-cash portion of “straight-line” rent expense will be excluded and (ii) the cash portion of “straight-line” rent expense that exceeds the amount expensed in respect of such rent expense will be included; and</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charges relating to increases or decreases of deferred tax asset valuation allowances.</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In addition, to the extent not already excluded (or included, as applicable) from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Issuer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Issuer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(including lost profits) with respect to liability or Casualty Events or business interruption. Consolidated Net Income shall be reduced by the amount of distributions for or payments of Permitted Tax Amounts actually made to any Parent Entity of such Person in respect of such period in accordance with </w:t>
      </w:r>
      <w:r>
        <w:rPr>
          <w:rFonts w:ascii="Arial" w:cs="Arial" w:eastAsia="Arial" w:hAnsi="Arial"/>
          <w:sz w:val="16"/>
          <w:szCs w:val="16"/>
          <w:u w:val="single" w:color="auto"/>
          <w:color w:val="auto"/>
        </w:rPr>
        <w:t>Section 3.03(b)(9)(i)</w:t>
      </w:r>
      <w:r>
        <w:rPr>
          <w:rFonts w:ascii="Arial" w:cs="Arial" w:eastAsia="Arial" w:hAnsi="Arial"/>
          <w:sz w:val="16"/>
          <w:szCs w:val="16"/>
          <w:color w:val="auto"/>
        </w:rPr>
        <w:t xml:space="preserve"> as though such amounts had been paid as Taxes directly by such Person for such periods.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1" w:name="page32"/>
    <w:bookmarkEnd w:id="31"/>
    <w:p>
      <w:pPr>
        <w:ind w:right="1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Consolidated Secured Net Leverage Ratio</w:t>
      </w:r>
      <w:r>
        <w:rPr>
          <w:rFonts w:ascii="Arial" w:cs="Arial" w:eastAsia="Arial" w:hAnsi="Arial"/>
          <w:sz w:val="16"/>
          <w:szCs w:val="16"/>
          <w:color w:val="auto"/>
        </w:rPr>
        <w:t>” means, as of any date of determination, the ratio of (a) Consolidated Total Indebtedness of the Issuer and its Restricted Subsidiaries which are Guarantors secured by a Lien on the Collateral as of such date to (b) LTM EBITDA. For the avoidance of doubt, Consolidated Total Indebtedness secured by a Lien shall not include Capitalized Lease Obligations or Purchase Money Obligations.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means, as of any date of determination, an amount equal to:</w:t>
      </w:r>
    </w:p>
    <w:p>
      <w:pPr>
        <w:spacing w:after="0" w:line="225" w:lineRule="exact"/>
        <w:rPr>
          <w:sz w:val="20"/>
          <w:szCs w:val="20"/>
          <w:color w:val="auto"/>
        </w:rPr>
      </w:pPr>
    </w:p>
    <w:p>
      <w:pPr>
        <w:ind w:firstLine="436"/>
        <w:spacing w:after="0" w:line="257"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outstanding Indebtedness for borrowed money (excluding (i) Indebtedness with respect to obligations in respect of Cash Management Obligations, intercompany Indebtedness, Subordinated Indebtedness, Disqualified Stock and Preferred Stock of Restricted Subsidiaries and (ii) Indebtedness outstanding under the Credit Agreement that was used to finance working capital needs of the Issuer and its Restricted Subsidiaries (as reasonably determined by the Issuer)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that may be excluded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exceed $50.0 million),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right="160" w:firstLine="436"/>
        <w:spacing w:after="0" w:line="311"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aggregate principal amount of Capitalized Lease Obligations, Purchase Money Obligations and unreimbursed drawings under letters of credit of the Issuer and its Restricted Subsidiaries outstanding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unreimbursed amount under commercial letters of credit shall not be counted as Consolidated Total Indebtedness until five Business Days after such amount is drawn), </w:t>
      </w:r>
      <w:r>
        <w:rPr>
          <w:rFonts w:ascii="Arial" w:cs="Arial" w:eastAsia="Arial" w:hAnsi="Arial"/>
          <w:sz w:val="16"/>
          <w:szCs w:val="16"/>
          <w:i w:val="1"/>
          <w:iCs w:val="1"/>
          <w:color w:val="auto"/>
        </w:rPr>
        <w:t>minus</w:t>
      </w:r>
    </w:p>
    <w:p>
      <w:pPr>
        <w:spacing w:after="0" w:line="148" w:lineRule="exact"/>
        <w:rPr>
          <w:rFonts w:ascii="Arial" w:cs="Arial" w:eastAsia="Arial" w:hAnsi="Arial"/>
          <w:sz w:val="16"/>
          <w:szCs w:val="16"/>
          <w:color w:val="auto"/>
        </w:rPr>
      </w:pPr>
    </w:p>
    <w:p>
      <w:pPr>
        <w:ind w:right="80" w:firstLine="436"/>
        <w:spacing w:after="0" w:line="263"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amount of Unrestricted Cash and Cash Equivalents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cash proceeds of any proposed incurrence of Indebtedness shall not be included in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for purposes of calculating the Consolidated First Lien Net Leverage Ratio, the Consolidated Secured Net Leverage Ratio or the Consolidated Total Net Leverage Ratio, as applicable),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each case, with such pro forma adjustments as are consistent with the pro forma adjustments set forth in the definition of “Pro Forma Basis.”</w:t>
      </w:r>
    </w:p>
    <w:p>
      <w:pPr>
        <w:spacing w:after="0" w:line="24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For the avoidance of doubt, Consolidated Total Indebtedness shall exclude Indebtedness in respect of any Receivables Facility or Securitization Facility.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Net Leverage Ratio</w:t>
      </w:r>
      <w:r>
        <w:rPr>
          <w:rFonts w:ascii="Arial" w:cs="Arial" w:eastAsia="Arial" w:hAnsi="Arial"/>
          <w:sz w:val="18"/>
          <w:szCs w:val="18"/>
          <w:color w:val="auto"/>
        </w:rPr>
        <w:t>” means, as of any date of determination, the ratio of (a) Consolidated Total Indebtedness of the Issuer and its Restricted Subsidiaries as of such date to (b) LTM EBITDA.</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with respect to any Person, any obligation of such Person guaranteeing in any manner, whether directly or indirectly, any Non-Financing Lease Obligation, dividend or other obligation that does not constitute Indebtedness (“</w:t>
      </w:r>
      <w:r>
        <w:rPr>
          <w:rFonts w:ascii="Arial" w:cs="Arial" w:eastAsia="Arial" w:hAnsi="Arial"/>
          <w:sz w:val="18"/>
          <w:szCs w:val="18"/>
          <w:u w:val="single" w:color="auto"/>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including any obligation of such Person, whether or not contingent:</w:t>
      </w:r>
    </w:p>
    <w:p>
      <w:pPr>
        <w:spacing w:after="0" w:line="184" w:lineRule="exact"/>
        <w:rPr>
          <w:sz w:val="20"/>
          <w:szCs w:val="20"/>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maintain the working capital or equity capital of the primary obligor or otherwise to maintain the net worth or solvency of the primary obligor;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2" w:name="page33"/>
    <w:bookmarkEnd w:id="32"/>
    <w:p>
      <w:pPr>
        <w:ind w:right="12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w:t>
      </w:r>
      <w:r>
        <w:rPr>
          <w:rFonts w:ascii="Arial" w:cs="Arial" w:eastAsia="Arial" w:hAnsi="Arial"/>
          <w:sz w:val="16"/>
          <w:szCs w:val="16"/>
          <w:color w:val="auto"/>
        </w:rPr>
        <w:t>” means, as to any Person, any provision of any security issued by such Person, or of any agreement, loan agreement, indenture, mortgage, deed of trust, lease, instrument or other undertaking to which such Person is a party or by which it or any of its property is bound.</w:t>
      </w:r>
    </w:p>
    <w:p>
      <w:pPr>
        <w:spacing w:after="0" w:line="12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Investment Affiliate</w:t>
      </w:r>
      <w:r>
        <w:rPr>
          <w:rFonts w:ascii="Arial" w:cs="Arial" w:eastAsia="Arial" w:hAnsi="Arial"/>
          <w:sz w:val="18"/>
          <w:szCs w:val="18"/>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Issuer and/or other companies.</w:t>
      </w:r>
    </w:p>
    <w:p>
      <w:pPr>
        <w:spacing w:after="0" w:line="184"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Credit Agreement, to be dated on or prior to the Spin-Off Date (the date of such effectiveness and initial funding thereunder, the “</w:t>
      </w:r>
      <w:r>
        <w:rPr>
          <w:rFonts w:ascii="Arial" w:cs="Arial" w:eastAsia="Arial" w:hAnsi="Arial"/>
          <w:sz w:val="16"/>
          <w:szCs w:val="16"/>
          <w:u w:val="single" w:color="auto"/>
          <w:color w:val="auto"/>
        </w:rPr>
        <w:t>Credit Agreement Effective Date</w:t>
      </w:r>
      <w:r>
        <w:rPr>
          <w:rFonts w:ascii="Arial" w:cs="Arial" w:eastAsia="Arial" w:hAnsi="Arial"/>
          <w:sz w:val="16"/>
          <w:szCs w:val="16"/>
          <w:color w:val="auto"/>
        </w:rPr>
        <w:t>”), to be entered into by and among the Issuer, as the borrower, the other borrowers from time to time party thereto, the guarantors from time to time party thereto, Morgan Stanley Senior Funding, Inc., as administrative agent and collateral agent, and each lender from time to time party thereto, together with the related documents thereto (including the revolving loans thereunder, any letters of credit and reimbursement obligations related thereto,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the applicable Credit Agreement or one or more successors to such Credit Agreement or one or more new credit agreements.</w:t>
      </w:r>
    </w:p>
    <w:p>
      <w:pPr>
        <w:spacing w:after="0" w:line="168"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Administrative Agent</w:t>
      </w:r>
      <w:r>
        <w:rPr>
          <w:rFonts w:ascii="Arial" w:cs="Arial" w:eastAsia="Arial" w:hAnsi="Arial"/>
          <w:sz w:val="16"/>
          <w:szCs w:val="16"/>
          <w:color w:val="auto"/>
        </w:rPr>
        <w:t>” means Morgan Stanley Senior Funding, Inc., acting through such of its Affiliates or branches as it may designate, in its capacity as administrative agent under the Credit Agreement, or any successor administrative agent permitted by the terms hereof.</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Collateral Agent</w:t>
      </w:r>
      <w:r>
        <w:rPr>
          <w:rFonts w:ascii="Arial" w:cs="Arial" w:eastAsia="Arial" w:hAnsi="Arial"/>
          <w:sz w:val="18"/>
          <w:szCs w:val="18"/>
          <w:color w:val="auto"/>
        </w:rPr>
        <w:t>” means Morgan Stanley Senior Funding, Inc., in its capacity as administrative agent and collateral agent under the Credit Agreement, together with its successors and permitted assigns in such capacities.</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Facility</w:t>
      </w:r>
      <w:r>
        <w:rPr>
          <w:rFonts w:ascii="Arial" w:cs="Arial" w:eastAsia="Arial" w:hAnsi="Arial"/>
          <w:sz w:val="16"/>
          <w:szCs w:val="16"/>
          <w:color w:val="auto"/>
        </w:rPr>
        <w:t>” means, with respect to the Issuer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 w:name="page34"/>
    <w:bookmarkEnd w:id="3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and collateral documents). Without limiting the generality of the foregoing, the term “Credit Facility” shall include any agreement or instrument (1) changing the maturity of any Indebtedness incurred thereunder or contemplated thereby, (2) adding Subsidiaries of the Issuer as additional borrowers or guarantors thereunder, (3) increasing the amount of Indebtedness incurred thereunder or available to be borrowed thereunder or (4) otherwise altering the terms and conditions thereof.</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Notes</w:t>
      </w:r>
      <w:r>
        <w:rPr>
          <w:rFonts w:ascii="Arial" w:cs="Arial" w:eastAsia="Arial" w:hAnsi="Arial"/>
          <w:sz w:val="18"/>
          <w:szCs w:val="18"/>
          <w:color w:val="auto"/>
        </w:rPr>
        <w:t>” means certificated Notes.</w:t>
      </w:r>
    </w:p>
    <w:p>
      <w:pPr>
        <w:spacing w:after="0" w:line="225"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means, with respect to the Notes issuable or issued in whole or in part in global form, the Person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hereof as the Depositary with respect to the Notes, and any and all successors thereto appointed as depositary hereunder and having become such pursuant to the applicable provisions of this Indenture.</w:t>
      </w:r>
    </w:p>
    <w:p>
      <w:pPr>
        <w:spacing w:after="0" w:line="184"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Instrument</w:t>
      </w:r>
      <w:r>
        <w:rPr>
          <w:rFonts w:ascii="Arial" w:cs="Arial" w:eastAsia="Arial" w:hAnsi="Arial"/>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Arial" w:cs="Arial" w:eastAsia="Arial" w:hAnsi="Arial"/>
          <w:sz w:val="18"/>
          <w:szCs w:val="18"/>
          <w:u w:val="single" w:color="auto"/>
          <w:color w:val="auto"/>
        </w:rPr>
        <w:t>Performance References</w:t>
      </w:r>
      <w:r>
        <w:rPr>
          <w:rFonts w:ascii="Arial" w:cs="Arial" w:eastAsia="Arial" w:hAnsi="Arial"/>
          <w:sz w:val="18"/>
          <w:szCs w:val="18"/>
          <w:color w:val="auto"/>
        </w:rPr>
        <w:t>”).</w:t>
      </w:r>
    </w:p>
    <w:p>
      <w:pPr>
        <w:spacing w:after="0" w:line="18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(as determined in good faith by the Issuer) of non-cash consideration received by the Issuer or any of its Restricted Subsidiaries in connection with an Asset Disposition as designated by the Issuer, which designation may be made at or after the time of the applicable Asset Disposition,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hereof.</w:t>
      </w:r>
    </w:p>
    <w:p>
      <w:pPr>
        <w:spacing w:after="0" w:line="192"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Preferred Stock</w:t>
      </w:r>
      <w:r>
        <w:rPr>
          <w:rFonts w:ascii="Arial" w:cs="Arial" w:eastAsia="Arial" w:hAnsi="Arial"/>
          <w:sz w:val="16"/>
          <w:szCs w:val="16"/>
          <w:color w:val="auto"/>
        </w:rPr>
        <w:t xml:space="preserve">” means Preferred Stock of the Issuer or a Parent Entity (other than Disqualified Stock) that is issued for cash (other than to the Issuer or a Subsidiary of the Issuer or an employee stock ownership plan or trust established by the Issuer or any such Subsidiary for the benefit of its employees to the extent funded by the Issuer or such Subsidiary) and that is designated as “Designated Preferred Stock” pursuant to an Officer’s Certificate of the Issuer at or prior to the issuance thereof, the net cash proceeds of which are excluded from the calculation set forth in </w:t>
      </w:r>
      <w:r>
        <w:rPr>
          <w:rFonts w:ascii="Arial" w:cs="Arial" w:eastAsia="Arial" w:hAnsi="Arial"/>
          <w:sz w:val="16"/>
          <w:szCs w:val="16"/>
          <w:u w:val="single" w:color="auto"/>
          <w:color w:val="auto"/>
        </w:rPr>
        <w:t>clause</w:t>
      </w:r>
    </w:p>
    <w:p>
      <w:pPr>
        <w:spacing w:after="0" w:line="1" w:lineRule="exact"/>
        <w:rPr>
          <w:sz w:val="20"/>
          <w:szCs w:val="20"/>
          <w:color w:val="auto"/>
        </w:rPr>
      </w:pPr>
    </w:p>
    <w:p>
      <w:pPr>
        <w:ind w:left="284" w:hanging="284"/>
        <w:spacing w:after="0"/>
        <w:tabs>
          <w:tab w:leader="none" w:pos="284" w:val="left"/>
        </w:tabs>
        <w:numPr>
          <w:ilvl w:val="0"/>
          <w:numId w:val="36"/>
        </w:numPr>
        <w:rPr>
          <w:rFonts w:ascii="Arial" w:cs="Arial" w:eastAsia="Arial" w:hAnsi="Arial"/>
          <w:sz w:val="18"/>
          <w:szCs w:val="18"/>
          <w:u w:val="single" w:color="auto"/>
          <w:color w:val="auto"/>
        </w:rPr>
      </w:pPr>
      <w:r>
        <w:rPr>
          <w:rFonts w:ascii="Arial" w:cs="Arial" w:eastAsia="Arial" w:hAnsi="Arial"/>
          <w:sz w:val="18"/>
          <w:szCs w:val="18"/>
          <w:color w:val="auto"/>
        </w:rPr>
        <w:t>of the Available Amount Builder Basket.</w:t>
      </w:r>
    </w:p>
    <w:p>
      <w:pPr>
        <w:spacing w:after="0" w:line="21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Issuer or any Parent Entity or any options, warrants or other rights in respect of such Capital Stock.</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4" w:name="page35"/>
    <w:bookmarkEnd w:id="34"/>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pacing w:after="0" w:line="170" w:lineRule="exact"/>
        <w:rPr>
          <w:sz w:val="20"/>
          <w:szCs w:val="20"/>
          <w:color w:val="auto"/>
        </w:rPr>
      </w:pPr>
    </w:p>
    <w:p>
      <w:pPr>
        <w:ind w:left="700" w:hanging="264"/>
        <w:spacing w:after="0"/>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matures or is mandatorily redeemable for cash or in exchange for Indebtedness pursuant to a sinking fund obligation or otherwise; or</w:t>
      </w:r>
    </w:p>
    <w:p>
      <w:pPr>
        <w:spacing w:after="0" w:line="236" w:lineRule="exact"/>
        <w:rPr>
          <w:rFonts w:ascii="Arial" w:cs="Arial" w:eastAsia="Arial" w:hAnsi="Arial"/>
          <w:sz w:val="17"/>
          <w:szCs w:val="17"/>
          <w:color w:val="auto"/>
        </w:rPr>
      </w:pPr>
    </w:p>
    <w:p>
      <w:pPr>
        <w:ind w:right="80" w:firstLine="436"/>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each case on or prior to the earlier of (a) the Stated Maturity of the Notes or (b) the date on which there are no Notes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issuer thereof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such Capital Stock is issued to any future, current or former employee, director, officer, manager, contractor, consultant or advisor (or their respective Controlled Investment Affiliates or Immediate Family Members) of the Issuer, any of its Subsidiaries, any Parent Entity or any other entity in which the Issuer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Issuer or its Subsidiaries or by any such plan to such employees (or their respective Controlled Investment Affiliates or Immediate Family Members), such Capital Stock shall not constitute Disqualified Stock solely because it may be required to be repurchased by the Issuer or its Subsidiaries in order to satisfy applicable statutory or regulatory obligations.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Divided LLC</w:t>
      </w:r>
      <w:r>
        <w:rPr>
          <w:rFonts w:ascii="Arial" w:cs="Arial" w:eastAsia="Arial" w:hAnsi="Arial"/>
          <w:sz w:val="18"/>
          <w:szCs w:val="18"/>
          <w:color w:val="auto"/>
        </w:rPr>
        <w:t>” means a limited liability company which has been formed upon the consummation of an LLC Division.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or any successor securities clearing agency.</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(x) any Capital Stock that arises only by reason of the happening of a contingency that is outside the control of the holder of such Capital Stock or any debt security that is convertible into, or exchangeable for, Capital Stock and (y) Permitted Call Spread Swap Agreements).</w:t>
      </w:r>
    </w:p>
    <w:p>
      <w:pPr>
        <w:spacing w:after="0" w:line="184"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(x) a sale of Capital Stock (other than through the issuance of Disqualified Stock or Designated Preferred Stock or through an Excluded Contribution) other than (a) offerings registered on Form S-8 (or any successor form) under the Securities Act or any similar offering in other jurisdictions or other securities of the Issuer or any Parent Entity and (b) issuances of Capital Stock to any Subsidiary of the Issuer or (y) a cash equity contribution to the Issuer.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5" w:name="page36"/>
    <w:bookmarkEnd w:id="35"/>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participating member states of the economic and monetary union as contemplated in the Treaty on European Union.</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promulgated thereunder,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any account that is used solely as:</w:t>
      </w:r>
    </w:p>
    <w:p>
      <w:pPr>
        <w:spacing w:after="0" w:line="117" w:lineRule="exact"/>
        <w:rPr>
          <w:sz w:val="20"/>
          <w:szCs w:val="20"/>
          <w:color w:val="auto"/>
        </w:rPr>
      </w:pPr>
    </w:p>
    <w:p>
      <w:pPr>
        <w:ind w:left="1120" w:hanging="2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payroll, healthcare and other employee wage and benefit accounts,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accounts, including, without limitation, sales, use, payroll, and withholding tax accounts,</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escrow, defeasance and redemption accounts, in each case, maintained for the benefit of a Person that is not the Issuer or a Subsidiary Guarantor,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fiduciary or trust accounts, in each case, maintained for the benefit of a Person that is not the Issuer or a Subsidiary Guarantor,</w:t>
      </w:r>
    </w:p>
    <w:p>
      <w:pPr>
        <w:spacing w:after="0" w:line="128" w:lineRule="exact"/>
        <w:rPr>
          <w:rFonts w:ascii="Arial" w:cs="Arial" w:eastAsia="Arial" w:hAnsi="Arial"/>
          <w:sz w:val="17"/>
          <w:szCs w:val="17"/>
          <w:color w:val="auto"/>
        </w:rPr>
      </w:pPr>
    </w:p>
    <w:p>
      <w:pPr>
        <w:ind w:left="440" w:right="220" w:firstLine="419"/>
        <w:spacing w:after="0" w:line="277" w:lineRule="auto"/>
        <w:tabs>
          <w:tab w:leader="none" w:pos="11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collateral accounts subject to Permitted Liens solely to secure reimbursement obligations in respect of letters of credit (other than letters of credit issued pursuant to the Credit Agreement),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funds or other property held in or maintained for such purposes in any such account described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w:t>
      </w:r>
      <w:r>
        <w:rPr>
          <w:rFonts w:ascii="Arial" w:cs="Arial" w:eastAsia="Arial" w:hAnsi="Arial"/>
          <w:sz w:val="17"/>
          <w:szCs w:val="17"/>
          <w:color w:val="auto"/>
        </w:rPr>
        <w:t>.</w:t>
      </w:r>
    </w:p>
    <w:p>
      <w:pPr>
        <w:spacing w:after="0" w:line="23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Contribution</w:t>
      </w:r>
      <w:r>
        <w:rPr>
          <w:rFonts w:ascii="Arial" w:cs="Arial" w:eastAsia="Arial" w:hAnsi="Arial"/>
          <w:sz w:val="18"/>
          <w:szCs w:val="18"/>
          <w:color w:val="auto"/>
        </w:rPr>
        <w:t>” means net cash proceeds or property or assets received by the Issuer as capital contributions to the equity (other than through the issuance of Disqualified Stock or Designated Preferred Stock) of the Issuer after the Issue Date or from the issuance or sale (other than to a Restricted Subsidiary or an employee stock ownership plan or trust established by the Issuer or any Subsidiary of the Issuer for the benefit of their employees to the extent funded by the Issuer or any Restricted Subsidiary) of Capital Stock (other than Disqualified Stock or Designated Preferred Stock) of the Issuer.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means:</w:t>
      </w:r>
    </w:p>
    <w:p>
      <w:pPr>
        <w:spacing w:after="0" w:line="225" w:lineRule="exact"/>
        <w:rPr>
          <w:sz w:val="20"/>
          <w:szCs w:val="20"/>
          <w:color w:val="auto"/>
        </w:rPr>
      </w:pPr>
    </w:p>
    <w:p>
      <w:pPr>
        <w:ind w:left="680" w:hanging="244"/>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fee-owned real property and/or any real property leasehold or subleasehold interests,</w:t>
      </w:r>
    </w:p>
    <w:p>
      <w:pPr>
        <w:spacing w:after="0" w:line="225" w:lineRule="exact"/>
        <w:rPr>
          <w:rFonts w:ascii="Arial" w:cs="Arial" w:eastAsia="Arial" w:hAnsi="Arial"/>
          <w:sz w:val="18"/>
          <w:szCs w:val="18"/>
          <w:color w:val="auto"/>
        </w:rPr>
      </w:pPr>
    </w:p>
    <w:p>
      <w:pPr>
        <w:ind w:right="620" w:firstLine="436"/>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motor vehicles and other assets or goods subject to certificates of title to the extent a Lien thereon cannot be perfected by filing a UCC financing statement,</w:t>
      </w:r>
    </w:p>
    <w:p>
      <w:pPr>
        <w:spacing w:after="0" w:line="170" w:lineRule="exact"/>
        <w:rPr>
          <w:rFonts w:ascii="Arial" w:cs="Arial" w:eastAsia="Arial" w:hAnsi="Arial"/>
          <w:sz w:val="18"/>
          <w:szCs w:val="18"/>
          <w:color w:val="auto"/>
        </w:rPr>
      </w:pPr>
    </w:p>
    <w:p>
      <w:pPr>
        <w:ind w:firstLine="436"/>
        <w:spacing w:after="0" w:line="257"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goods, chattel paper, investment property, documents of title, instruments, money, intangibles and other assets to the extent a security interest in such goods, chattel paper, investment property, documents of title, instruments, money, intangibles and other assets would result in adverse tax consequences to the Issuer or the Restricted Group or any of their direct or indirect equity owners (including, without limitation, as a result of any law or regulation in any applicable jurisdiction similar to Section 956 of the Code), or material adverse regulatory or accounting consequences, in each case, as reasonably determined by the Issuer,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6" w:name="page37"/>
    <w:bookmarkEnd w:id="36"/>
    <w:p>
      <w:pPr>
        <w:jc w:val="both"/>
        <w:ind w:left="4" w:right="20" w:firstLine="436"/>
        <w:spacing w:after="0" w:line="286" w:lineRule="auto"/>
        <w:tabs>
          <w:tab w:leader="none" w:pos="699"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goods, chattel paper, investment property, documents of title, instruments, money, intangibles and other assets, in each case, of or in which pledges or security interests in favor of the Notes Collateral Agent are prohibited by applicable Law (including any requirement to obtain the consent of any Governmental Authority or third person under such applicable Law, unless such consent has been obtained) or by any contract binding on such assets at the time of its acquisition and not entered into in contemplation thereof, in each case, as reasonably determined by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right="120" w:hanging="4"/>
        <w:spacing w:after="0" w:line="290" w:lineRule="auto"/>
        <w:tabs>
          <w:tab w:leader="none" w:pos="2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such limitation described in this clause (d) on the security interests granted under the Notes Security Documents shall only apply to the extent that any such prohibition could not be rendered ineffective pursuant to the UCC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contained in any applicable Law, a security interest in such goods, chattel paper, investment property, documents of title, instruments, money, intangibles and other assets shall be automatically and simultaneously granted under the applicable Notes Security Documents and shall be included as Collateral,</w:t>
      </w:r>
    </w:p>
    <w:p>
      <w:pPr>
        <w:spacing w:after="0" w:line="163" w:lineRule="exact"/>
        <w:rPr>
          <w:rFonts w:ascii="Arial" w:cs="Arial" w:eastAsia="Arial" w:hAnsi="Arial"/>
          <w:sz w:val="16"/>
          <w:szCs w:val="16"/>
          <w:color w:val="auto"/>
        </w:rPr>
      </w:pPr>
    </w:p>
    <w:p>
      <w:pPr>
        <w:ind w:left="4" w:right="20" w:firstLine="436"/>
        <w:spacing w:after="0" w:line="253" w:lineRule="auto"/>
        <w:tabs>
          <w:tab w:leader="none" w:pos="68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governmental licenses or state or local franchises, charters and authorizations (but not the proceeds thereof), to the extent security interests in favor of the Notes Collateral Agent in such licenses, franchises, charters or authorizations are prohibited or restricted thereby; provided that (i) any such limitation described in this clause (e) 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Notes Security Documents and such licenses, franchises, charters or authorizations shall be included as Collateral,</w:t>
      </w:r>
    </w:p>
    <w:p>
      <w:pPr>
        <w:spacing w:after="0" w:line="196" w:lineRule="exact"/>
        <w:rPr>
          <w:rFonts w:ascii="Arial" w:cs="Arial" w:eastAsia="Arial" w:hAnsi="Arial"/>
          <w:sz w:val="18"/>
          <w:szCs w:val="18"/>
          <w:color w:val="auto"/>
        </w:rPr>
      </w:pPr>
    </w:p>
    <w:p>
      <w:pPr>
        <w:ind w:left="4" w:right="60" w:firstLine="436"/>
        <w:spacing w:after="0" w:line="254" w:lineRule="auto"/>
        <w:tabs>
          <w:tab w:leader="none" w:pos="6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Equity Interests in (A) any Person (other than the Issuer and Wholly Owned Restricted Subsidiaries of the Issuer) to the extent and for so long as the pledge thereof in favor of the Notes Collateral Agent is not permitted by the terms of such Person’s joint venture agreement or other applicable organizational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prohibition exists on the Spin-Off Date or at the time such Equity Interests are acquired (so long as such prohibition did not arise in contemplation of the Spin-Off Date or such acquisition), (B) any not-for-profit Subsidiary, (C) any Captive Insurance Subsidiary, (D) any special purpose securitization vehicle (or similar entity), (E) any Unrestricted Subsidiary, (F) any Person which is acquired after the Spin-Off Date to the extent and for so long as such Equity Interests are pledged in respect of Acquired Indebtedness permitted under this Indenture and such pledge constitutes a Permitted Lien and (G) (except to the extent perfected through the filing of a UCC financing statement) any Immaterial Subsidiary,</w:t>
      </w:r>
    </w:p>
    <w:p>
      <w:pPr>
        <w:spacing w:after="0" w:line="191" w:lineRule="exact"/>
        <w:rPr>
          <w:rFonts w:ascii="Arial" w:cs="Arial" w:eastAsia="Arial" w:hAnsi="Arial"/>
          <w:sz w:val="18"/>
          <w:szCs w:val="18"/>
          <w:color w:val="auto"/>
        </w:rPr>
      </w:pPr>
    </w:p>
    <w:p>
      <w:pPr>
        <w:ind w:left="4" w:firstLine="436"/>
        <w:spacing w:after="0" w:line="254" w:lineRule="auto"/>
        <w:tabs>
          <w:tab w:leader="none" w:pos="6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lease, license or other agreement or any goods or other property subject to a purchase money security interest, Capitalized Lease Obligation or similar arrangement, in each case, permitted under this Indenture, to the extent that a grant of a security interest therein would violate or invalidate such lease, license, capital lease or agreement or purchase money arrangement or create a right of termination in favor of any other party thereto (other than the Issuer, the Subsidiary Guarantors or their respective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37" w:name="page38"/>
    <w:bookmarkEnd w:id="37"/>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“intent-to-use” trademark applications prior to the filing of a “Statement of Use” or “Amendment to Allege Use,”</w:t>
      </w:r>
    </w:p>
    <w:p>
      <w:pPr>
        <w:spacing w:after="0" w:line="225" w:lineRule="exact"/>
        <w:rPr>
          <w:rFonts w:ascii="Arial" w:cs="Arial" w:eastAsia="Arial" w:hAnsi="Arial"/>
          <w:sz w:val="18"/>
          <w:szCs w:val="18"/>
          <w:color w:val="auto"/>
        </w:rPr>
      </w:pPr>
    </w:p>
    <w:p>
      <w:pPr>
        <w:ind w:right="100" w:firstLine="436"/>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goods or assets sold pursuant to a Qualified Securitization Financing or Receivables Facility or other factoring or receivables arrangement permitted by this Indenture,</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Margin Stock,</w:t>
      </w:r>
    </w:p>
    <w:p>
      <w:pPr>
        <w:spacing w:after="0" w:line="225" w:lineRule="exact"/>
        <w:rPr>
          <w:rFonts w:ascii="Arial" w:cs="Arial" w:eastAsia="Arial" w:hAnsi="Arial"/>
          <w:sz w:val="18"/>
          <w:szCs w:val="18"/>
          <w:color w:val="auto"/>
        </w:rPr>
      </w:pPr>
    </w:p>
    <w:p>
      <w:pPr>
        <w:ind w:firstLine="436"/>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pledged solely to secure letter of credit reimbursement obligations to the extent such letters of credit and such pledge are permitted by this Indenture,</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5" w:lineRule="exact"/>
        <w:rPr>
          <w:rFonts w:ascii="Arial" w:cs="Arial" w:eastAsia="Arial" w:hAnsi="Arial"/>
          <w:sz w:val="18"/>
          <w:szCs w:val="18"/>
          <w:color w:val="auto"/>
        </w:rPr>
      </w:pPr>
    </w:p>
    <w:p>
      <w:pPr>
        <w:ind w:right="200" w:firstLine="436"/>
        <w:spacing w:after="0" w:line="286" w:lineRule="auto"/>
        <w:tabs>
          <w:tab w:leader="none" w:pos="7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Voting Stock in excess of 65.0% of the total combined voting power of all Voting Stock of any CFC, of any Non-U.S. Subsidiary or of any FSHCO, (B) any Equity Interests of any Subsidiary not directly owned by the Issuer or a Subsidiary Guarantor and (C) the Equity Interests in any Immaterial Subsidiary (except to the extent perfected through the filing of a UCC financing statement), and</w:t>
      </w:r>
    </w:p>
    <w:p>
      <w:pPr>
        <w:spacing w:after="0" w:line="165" w:lineRule="exact"/>
        <w:rPr>
          <w:rFonts w:ascii="Arial" w:cs="Arial" w:eastAsia="Arial" w:hAnsi="Arial"/>
          <w:sz w:val="17"/>
          <w:szCs w:val="17"/>
          <w:color w:val="auto"/>
        </w:rPr>
      </w:pPr>
    </w:p>
    <w:p>
      <w:pPr>
        <w:ind w:right="180" w:firstLine="436"/>
        <w:spacing w:after="0" w:line="342"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so long as the Credit Agreement is outstanding, any asset that is not pledged to secure Obligations arising in respect of the Credit Agreement (whether pursuant to the terms thereof, or as a result of any determination made thereunder, or by amendment, waiver or otherwise).</w:t>
      </w:r>
    </w:p>
    <w:p>
      <w:pPr>
        <w:spacing w:after="0" w:line="124"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Other goods, chattel paper, investment property, documents of title, instruments, money, intangibles and other assets shall be deemed to be “Excluded Property” if, in the Issuer’s reasonable judgment, as notified to the Trustee in writing, the cost or other consequences of obtaining or perfecting a security interest in such goods, chattel paper, investment property, documents of title, instruments, money, intangibles or other assets is excessive in relation to either the value of such goods, chattel paper, investment property, documents of title, instruments, money, intangibles and other assets as Collateral or to the benefit of the Holders of the Notes of the security afforded thereby. Notwithstanding anything herein or the Notes Security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direct or indirect Subsidiary of the Issuer that is:</w:t>
      </w:r>
    </w:p>
    <w:p>
      <w:pPr>
        <w:spacing w:after="0" w:line="225" w:lineRule="exact"/>
        <w:rPr>
          <w:sz w:val="20"/>
          <w:szCs w:val="20"/>
          <w:color w:val="auto"/>
        </w:rPr>
      </w:pPr>
    </w:p>
    <w:p>
      <w:pPr>
        <w:ind w:left="680" w:hanging="24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Unrestricted Subsidiary,</w:t>
      </w:r>
    </w:p>
    <w:p>
      <w:pPr>
        <w:spacing w:after="0" w:line="225" w:lineRule="exact"/>
        <w:rPr>
          <w:rFonts w:ascii="Arial" w:cs="Arial" w:eastAsia="Arial" w:hAnsi="Arial"/>
          <w:sz w:val="18"/>
          <w:szCs w:val="18"/>
          <w:color w:val="auto"/>
        </w:rPr>
      </w:pPr>
    </w:p>
    <w:p>
      <w:pPr>
        <w:ind w:right="300" w:firstLine="436"/>
        <w:spacing w:after="0" w:line="263"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 Wholly Owned Restricted Subsidiary of the Issuer (other than a Subsidiary that was a Wholly Owned Restricted Subsidiary and that ceases to be a Wholly Owned Restricted Subsidiary as a result of (x) a transaction that is not bona fide or (y) the sale of its Equity Interests with sole intention to release such Subsidiary from its Guarantee of the Obligations),</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Immaterial Subsidiary,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FSHCO or a CFC (or any direct or indirect Subsidiary of a Subsidiary that is a FSHCO or CFC),</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Non-U.S. Subsidiary or any direct or indirect Subsidiary of a Non-U.S.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8" w:name="page39"/>
    <w:bookmarkEnd w:id="38"/>
    <w:p>
      <w:pPr>
        <w:ind w:right="100" w:firstLine="436"/>
        <w:spacing w:after="0" w:line="308"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prohibited or restricted by applicable Law from guaranteeing the Notes, or which would require governmental (including regulatory) consent, approval, license or authorization to provide a guarantee unless, such consent, approval, license or authorization has been received,</w:t>
      </w:r>
    </w:p>
    <w:p>
      <w:pPr>
        <w:spacing w:after="0" w:line="146" w:lineRule="exact"/>
        <w:rPr>
          <w:rFonts w:ascii="Arial" w:cs="Arial" w:eastAsia="Arial" w:hAnsi="Arial"/>
          <w:sz w:val="17"/>
          <w:szCs w:val="17"/>
          <w:color w:val="auto"/>
        </w:rPr>
      </w:pPr>
    </w:p>
    <w:p>
      <w:pPr>
        <w:ind w:right="160" w:firstLine="436"/>
        <w:spacing w:after="0" w:line="311"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prohibited or restricted from guaranteeing the Notes by any Contractual Obligation in existence on the Spin-Off Date (but not entered into in contemplation thereof) and for so long as any such Contractual Obligation exists (or, in the case of any newly-acquired Subsidiary, in existence at the time of acquisition thereof but not entered into in contemplation thereof and for so long as any such Contractual Obligation exists),</w:t>
      </w:r>
    </w:p>
    <w:p>
      <w:pPr>
        <w:spacing w:after="0" w:line="148" w:lineRule="exact"/>
        <w:rPr>
          <w:rFonts w:ascii="Arial" w:cs="Arial" w:eastAsia="Arial" w:hAnsi="Arial"/>
          <w:sz w:val="16"/>
          <w:szCs w:val="16"/>
          <w:color w:val="auto"/>
        </w:rPr>
      </w:pPr>
    </w:p>
    <w:p>
      <w:pPr>
        <w:ind w:firstLine="436"/>
        <w:spacing w:after="0" w:line="311"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Subsidiary with respect to which a guarantee by it of the Notes would result in an adverse tax consequence to the Issuer or the Restricted Group or any of their Subsidiaries or direct or indirect equity owners (including, without limitation, as a result of any law or regulation in any applicable jurisdiction similar to Section 956 of the Code), or material adverse regulatory consequences, in each case, as reasonably determined by the Issuer,</w:t>
      </w:r>
    </w:p>
    <w:p>
      <w:pPr>
        <w:spacing w:after="0" w:line="148" w:lineRule="exact"/>
        <w:rPr>
          <w:rFonts w:ascii="Arial" w:cs="Arial" w:eastAsia="Arial" w:hAnsi="Arial"/>
          <w:sz w:val="16"/>
          <w:szCs w:val="16"/>
          <w:color w:val="auto"/>
        </w:rPr>
      </w:pPr>
    </w:p>
    <w:p>
      <w:pPr>
        <w:ind w:left="660" w:hanging="22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not-for-profit subsidiary,</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employee benefit trust or similar construct or a trust company,</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special purpose entity,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Captive Insurance Subsidiary, or</w:t>
      </w:r>
    </w:p>
    <w:p>
      <w:pPr>
        <w:spacing w:after="0" w:line="225" w:lineRule="exact"/>
        <w:rPr>
          <w:rFonts w:ascii="Arial" w:cs="Arial" w:eastAsia="Arial" w:hAnsi="Arial"/>
          <w:sz w:val="18"/>
          <w:szCs w:val="18"/>
          <w:color w:val="auto"/>
        </w:rPr>
      </w:pPr>
    </w:p>
    <w:p>
      <w:pPr>
        <w:jc w:val="both"/>
        <w:ind w:right="80" w:firstLine="436"/>
        <w:spacing w:after="0" w:line="286"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reasonable judgment of the Issuer, a Subsidiary as to which the cost or other consequences of guaranteeing the Obligations in respect of the Notes would be excessive in view of the benefits to be obtained by the Holders therefrom, which such designation shall be evidenced to the Trustee by delivering to the Trustee an Officer’s Certificate certifying that such Subsidiary has been so designated.</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Notwithstanding the foregoing, no Subsidiary of the Issuer that is a guarantor in respect of the Issuer’s Obligations in respect of Indebtedness for borrowed money of the Issuer under the Credit Agreement shall be deemed to be an Excluded Subsidiary.</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property, the price which could be negotiated in an arm’s-length transaction, for cash, between a willing seller and a willing and able buyer; for purposes of this Indenture, fair market value may be conclusively established by means of an Officer’s Certificate or resolutions of the Board of Directors setting out such fair market value as determined by such Officer or such Board of Directors in good faith.</w:t>
      </w:r>
    </w:p>
    <w:p>
      <w:pPr>
        <w:spacing w:after="0" w:line="18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Obligations</w:t>
      </w:r>
      <w:r>
        <w:rPr>
          <w:rFonts w:ascii="Arial" w:cs="Arial" w:eastAsia="Arial" w:hAnsi="Arial"/>
          <w:sz w:val="18"/>
          <w:szCs w:val="18"/>
          <w:color w:val="auto"/>
        </w:rPr>
        <w:t>” means, collectively, (i) the Credit Agreement Obligations (as defined in the First Lien Pari Passu Intercreditor Agreement) and (ii) each Series of Other First Lien Obligations (each as defined in the First Lien Pari Passu Intercreditor Agreement) permitted to be incurred under this Indenture.</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Pari Passu Intercreditor Agreement</w:t>
      </w:r>
      <w:r>
        <w:rPr>
          <w:rFonts w:ascii="Arial" w:cs="Arial" w:eastAsia="Arial" w:hAnsi="Arial"/>
          <w:sz w:val="18"/>
          <w:szCs w:val="18"/>
          <w:color w:val="auto"/>
        </w:rPr>
        <w:t>” means that certain intercreditor agreement, to be entered into on the Spin-Off Date by and among the Trustee, the Notes Collateral Agent, the Credit Agreement Administrative Agent and the Credit Agreement Collateral Agent (as amended, restated, amended and restated, supplemented or otherwise modified or replaced from time to time).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of its successors or assigns that is a Nationally Recognized Statistical Rating Organization.</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Charge Coverage Ratio</w:t>
      </w:r>
      <w:r>
        <w:rPr>
          <w:rFonts w:ascii="Arial" w:cs="Arial" w:eastAsia="Arial" w:hAnsi="Arial"/>
          <w:sz w:val="17"/>
          <w:szCs w:val="17"/>
          <w:color w:val="auto"/>
        </w:rPr>
        <w:t>” means, with respect to any Person on any determination date, the ratio of Consolidated EBITDA of such Person for the most recent four consecutive fiscal quarters ending immediately prior to such determination date (the “</w:t>
      </w:r>
      <w:r>
        <w:rPr>
          <w:rFonts w:ascii="Arial" w:cs="Arial" w:eastAsia="Arial" w:hAnsi="Arial"/>
          <w:sz w:val="17"/>
          <w:szCs w:val="17"/>
          <w:u w:val="single" w:color="auto"/>
          <w:color w:val="auto"/>
        </w:rPr>
        <w:t>reference period</w:t>
      </w:r>
      <w:r>
        <w:rPr>
          <w:rFonts w:ascii="Arial" w:cs="Arial" w:eastAsia="Arial" w:hAnsi="Arial"/>
          <w:sz w:val="17"/>
          <w:szCs w:val="17"/>
          <w:color w:val="auto"/>
        </w:rPr>
        <w:t>”) for which consolidated financial statements are available (which may be internal consolidated financial statements) to the Fixed Charges of such Person for the reference period. In the event that the Issuer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Stock or Preferred Stock subsequent to the commencement of the reference period but prior to or simultaneously with the event for which the calculation of the Fixed Charge Coverage Ratio is made (the “</w:t>
      </w:r>
      <w:r>
        <w:rPr>
          <w:rFonts w:ascii="Arial" w:cs="Arial" w:eastAsia="Arial" w:hAnsi="Arial"/>
          <w:sz w:val="17"/>
          <w:szCs w:val="17"/>
          <w:u w:val="single" w:color="auto"/>
          <w:color w:val="auto"/>
        </w:rPr>
        <w:t>Fixed Charge Coverage Ratio Calculation Date</w:t>
      </w:r>
      <w:r>
        <w:rPr>
          <w:rFonts w:ascii="Arial" w:cs="Arial" w:eastAsia="Arial" w:hAnsi="Arial"/>
          <w:sz w:val="17"/>
          <w:szCs w:val="17"/>
          <w:color w:val="auto"/>
        </w:rPr>
        <w:t>”), then the Fixed Charge Coverage Ratio shall be calculated giving pro forma effect to such incurrence, deemed incurrence, assumption, guarantee, redemption, defeasance, retirement or extinguishment of Indebtedness, or such issuance or redemption of Disqualified Stock or Preferred Stock, as if the same had occurred at the beginning of the applicable four-quarter period.</w:t>
      </w:r>
    </w:p>
    <w:p>
      <w:pPr>
        <w:spacing w:after="0" w:line="18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161"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immediately prior to or in connection therewith.</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Any calculation or measure that is determined with reference to the Issuer’s financial statements (including Consolidated EBITDA, Consolidated Interest Expense, Consolidated Net Income, Fixed Charges, Fixed Charge Coverage Ratio, Consolidated First Lien Net Leverage Ratio, Consolidated Secured Net Leverage Ratio and Consolidated Total Net Leverage Ratio) may be determined with reference to the financial statements of a Parent Entity instead, so long as such Parent Entity does not hold any material assets other than, directly or indirectly, the Capital Stock of the Issuer.</w:t>
      </w:r>
    </w:p>
    <w:p>
      <w:pPr>
        <w:spacing w:after="0" w:line="15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For purposes of making the computation referred to above, the Issuer shall make pro forma adjustments as are consistent with the definition of “Pro Forma Basis” and “Fixed Charge Coverage Ratio”.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period, the sum of (without duplication):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Consolidated Interest Expense of such Person for such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0" w:name="page41"/>
    <w:bookmarkEnd w:id="40"/>
    <w:p>
      <w:pPr>
        <w:ind w:left="4" w:right="180" w:firstLine="436"/>
        <w:spacing w:after="0" w:line="277"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cash dividends or other distributions paid (excluding items eliminated in consolidation) on any series of Preferred Stock of any Restricted Subsidiary of such Person during such period; and</w:t>
      </w:r>
    </w:p>
    <w:p>
      <w:pPr>
        <w:spacing w:after="0" w:line="170" w:lineRule="exact"/>
        <w:rPr>
          <w:rFonts w:ascii="Arial" w:cs="Arial" w:eastAsia="Arial" w:hAnsi="Arial"/>
          <w:sz w:val="18"/>
          <w:szCs w:val="18"/>
          <w:color w:val="auto"/>
        </w:rPr>
      </w:pPr>
    </w:p>
    <w:p>
      <w:pPr>
        <w:ind w:left="4" w:right="120" w:firstLine="436"/>
        <w:spacing w:after="0" w:line="277"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Stock of such Person during such period.</w:t>
      </w:r>
    </w:p>
    <w:p>
      <w:pPr>
        <w:spacing w:after="0" w:line="170"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FSHCO</w:t>
      </w:r>
      <w:r>
        <w:rPr>
          <w:rFonts w:ascii="Arial" w:cs="Arial" w:eastAsia="Arial" w:hAnsi="Arial"/>
          <w:sz w:val="16"/>
          <w:szCs w:val="16"/>
          <w:color w:val="auto"/>
        </w:rPr>
        <w:t>” means any direct or indirect Subsidiary of the Issuer that owns no material assets (directly or indirectly) other than (i) Equity Interests (including, for this purpose, any debt or other instrument treated as equity for U.S. federal income tax purposes (as determined by the Issuer)) and</w:t>
      </w:r>
    </w:p>
    <w:p>
      <w:pPr>
        <w:ind w:left="4" w:right="580" w:hanging="4"/>
        <w:spacing w:after="0" w:line="260" w:lineRule="auto"/>
        <w:tabs>
          <w:tab w:leader="none" w:pos="2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indebtedness, in either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in one or more Subsidiaries that are Non-U.S. Subsidiaries, CFCs and/or one or more other FSHCOs.</w:t>
      </w:r>
    </w:p>
    <w:p>
      <w:pPr>
        <w:spacing w:after="0" w:line="18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all terms of an accounting or financial nature used in this Indenture shall be construed, and all computations of amounts and ratios referred to in this Indenture shall be made, without giving effect to any election under Accounting Standards Codification Topic 825—Financial Instruments (if applicable), or any successor thereto or comparable accounting principle (including pursuant to the Accounting Standards Codification), to value any Indebtedness of the Issuer or any Subsidiary at “fair value,” as defined therein and (b) the amount of any Indebtedness under GAAP with respect to Capitalized Lease Obligations shall be determined in accordance with the definition of “Capitalized Lease Obligation.” At any time after the Issue Date, the Issuer may elect to apply IFRS accounting principles in lieu of GAAP and, upon any such election, references herein to GAAP shall thereafter be construed to mean IFRS (except as otherwise provided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calculation or determination in this Indenture that requires the application of GAAP for periods that include fiscal quarters ended prior to the Issuer’s election to apply IFRS shall remain as previously calculated or determined in accordance with GAAP. The Issuer shall give written notice of any such election made in accordance with this definition to the Trustee. For the avoidance of doubt, solely making an election (without any other action) referred to in this definition will not be treated as an incurrence of Indebtedness.</w:t>
      </w:r>
    </w:p>
    <w:p>
      <w:pPr>
        <w:spacing w:after="0" w:line="171" w:lineRule="exact"/>
        <w:rPr>
          <w:sz w:val="20"/>
          <w:szCs w:val="20"/>
          <w:color w:val="auto"/>
        </w:rPr>
      </w:pPr>
    </w:p>
    <w:p>
      <w:pPr>
        <w:jc w:val="both"/>
        <w:ind w:left="4" w:right="240" w:firstLine="440"/>
        <w:spacing w:after="0" w:line="286" w:lineRule="auto"/>
        <w:rPr>
          <w:sz w:val="20"/>
          <w:szCs w:val="20"/>
          <w:color w:val="auto"/>
        </w:rPr>
      </w:pPr>
      <w:r>
        <w:rPr>
          <w:rFonts w:ascii="Arial" w:cs="Arial" w:eastAsia="Arial" w:hAnsi="Arial"/>
          <w:sz w:val="17"/>
          <w:szCs w:val="17"/>
          <w:color w:val="auto"/>
        </w:rPr>
        <w:t>If there occurs a change in IFRS or GAAP, as applicable, and such change would cause a change in the method of calculation of any standards, terms or measures (including all computations of amounts and ratios) used in this Indenture (an “</w:t>
      </w:r>
      <w:r>
        <w:rPr>
          <w:rFonts w:ascii="Arial" w:cs="Arial" w:eastAsia="Arial" w:hAnsi="Arial"/>
          <w:sz w:val="17"/>
          <w:szCs w:val="17"/>
          <w:u w:val="single" w:color="auto"/>
          <w:color w:val="auto"/>
        </w:rPr>
        <w:t>Accounting Change</w:t>
      </w:r>
      <w:r>
        <w:rPr>
          <w:rFonts w:ascii="Arial" w:cs="Arial" w:eastAsia="Arial" w:hAnsi="Arial"/>
          <w:sz w:val="17"/>
          <w:szCs w:val="17"/>
          <w:color w:val="auto"/>
        </w:rPr>
        <w:t>”), then the Issuer may elect that such standards, terms or measures shall be calculated as if such Accounting Change had or had not occurred.</w:t>
      </w:r>
    </w:p>
    <w:p>
      <w:pPr>
        <w:spacing w:after="0" w:line="165"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All references to an accounting rule, regulation, standard, principal, term or measure, as applicable, in this Indenture (x) with respect to GAAP shall be deemed to refer to the equivalent rule, regulation, standard, principal, term or measure with respect to IFRS (if applicable) and (y) with respect to IFRS shall be deemed to refer to the equivalent rule, regulation, standard, principal, term or measure with respect to GAAP (if applicable).</w:t>
      </w:r>
    </w:p>
    <w:p>
      <w:pPr>
        <w:spacing w:after="0" w:line="149"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1" w:name="page42"/>
    <w:bookmarkEnd w:id="4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 including any such obligation, direct or indirect, contingent or otherwise, of such Person:</w:t>
      </w:r>
    </w:p>
    <w:p>
      <w:pPr>
        <w:spacing w:after="0" w:line="211" w:lineRule="exact"/>
        <w:rPr>
          <w:sz w:val="20"/>
          <w:szCs w:val="20"/>
          <w:color w:val="auto"/>
        </w:rPr>
      </w:pPr>
    </w:p>
    <w:p>
      <w:pPr>
        <w:ind w:right="320" w:firstLine="436"/>
        <w:spacing w:after="0" w:line="263"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83"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will not include (x) endorsements for collection or deposit in the ordinary course of business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consistent with past practice and (y) standard contractual indemnities or product warranties provided in the ordinary course of business,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amount of any Guarantee shall be deemed to be the lower of (i) an amount equal to the stated or determinable amount of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66" w:lineRule="exact"/>
        <w:rPr>
          <w:sz w:val="20"/>
          <w:szCs w:val="20"/>
          <w:color w:val="auto"/>
        </w:rPr>
      </w:pPr>
    </w:p>
    <w:p>
      <w:pPr>
        <w:jc w:val="both"/>
        <w:ind w:right="3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xml:space="preserve">” means (i) as of the Spin-Off Date, the Subsidiary Guarantors that execute and deliver the Supplemental Indenture, and (ii) on and after the Spin-Off Date, any other Restricted Subsidiary that Guarantees the Notes, in each case, until such Note Guarantee is released in accordance with the terms of this Indenture. For the avoidance of doubt, no Excluded Subsidiary shall be a Guarantor, except as provided under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each Person in whose name the Notes are registered on the Registrar’s books, which shall initially be the nominee of DTC.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as issued by the International Accounting Standards Board and adopted by the European Union as in effect from time to time.</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at any date of determination, each Restricted Subsidiary of the Issuer that (i) has not guaranteed any other Indebtedness of the Issuer and (ii) (A) has Total Assets and revenues of less than 5.0% of Total Assets and revenues of the Issuer and its Restricted Subsidiaries on a consolidated basis and (B) together with all other Immaterial Subsidiaries, has Total Assets and revenues of less than 10.0% of Total Assets and revenues of the Issuer and its Restricted Subsidiaries on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basis, in each case for clauses (A) and (B), measured at the end of the most recent fiscal period for which consolidated financial statements are available (which may, at the election of the Issuer, be internal financial statements)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76" w:lineRule="exact"/>
        <w:rPr>
          <w:sz w:val="20"/>
          <w:szCs w:val="20"/>
          <w:color w:val="auto"/>
        </w:rPr>
      </w:pPr>
    </w:p>
    <w:p>
      <w:pPr>
        <w:jc w:val="both"/>
        <w:ind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Increased Amount</w:t>
      </w:r>
      <w:r>
        <w:rPr>
          <w:rFonts w:ascii="Arial" w:cs="Arial" w:eastAsia="Arial" w:hAnsi="Arial"/>
          <w:sz w:val="17"/>
          <w:szCs w:val="17"/>
          <w:color w:val="auto"/>
        </w:rPr>
        <w:t>” means, with respect to any Indebtedness,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incur</w:t>
      </w:r>
      <w:r>
        <w:rPr>
          <w:rFonts w:ascii="Arial" w:cs="Arial" w:eastAsia="Arial" w:hAnsi="Arial"/>
          <w:sz w:val="17"/>
          <w:szCs w:val="17"/>
          <w:color w:val="auto"/>
        </w:rPr>
        <w:t xml:space="preserve">” means to issue, create, assume, enter into any Guarantee of, incur, extend or otherwise become liable 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on any date of determination (without duplication):</w:t>
      </w:r>
    </w:p>
    <w:p>
      <w:pPr>
        <w:spacing w:after="0" w:line="225" w:lineRule="exact"/>
        <w:rPr>
          <w:sz w:val="20"/>
          <w:szCs w:val="20"/>
          <w:color w:val="auto"/>
        </w:rPr>
      </w:pPr>
    </w:p>
    <w:p>
      <w:pPr>
        <w:ind w:left="700" w:hanging="26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of indebtedness of such Person for borrowed money;</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of obligations of such Person evidenced by bonds, debentures, notes or other similar instruments;</w:t>
      </w:r>
    </w:p>
    <w:p>
      <w:pPr>
        <w:spacing w:after="0" w:line="225" w:lineRule="exact"/>
        <w:rPr>
          <w:rFonts w:ascii="Arial" w:cs="Arial" w:eastAsia="Arial" w:hAnsi="Arial"/>
          <w:sz w:val="18"/>
          <w:szCs w:val="18"/>
          <w:color w:val="auto"/>
        </w:rPr>
      </w:pPr>
    </w:p>
    <w:p>
      <w:pPr>
        <w:ind w:right="120" w:firstLine="436"/>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186"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Capitalized Lease Obligations of such Person;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4" w:right="519" w:bottom="1440" w:gutter="0" w:footer="0" w:header="0"/>
        </w:sectPr>
      </w:pPr>
    </w:p>
    <w:bookmarkStart w:id="43" w:name="page44"/>
    <w:bookmarkEnd w:id="43"/>
    <w:p>
      <w:pPr>
        <w:ind w:right="16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component of all obligations, or liquidation preference, of such Person with respect to any Disqualified Stock or, with respect to any Restricted Subsidiary, any Preferred Stock (but excluding, in each case, any accrued dividends);</w:t>
      </w:r>
    </w:p>
    <w:p>
      <w:pPr>
        <w:spacing w:after="0" w:line="170" w:lineRule="exact"/>
        <w:rPr>
          <w:rFonts w:ascii="Arial" w:cs="Arial" w:eastAsia="Arial" w:hAnsi="Arial"/>
          <w:sz w:val="18"/>
          <w:szCs w:val="18"/>
          <w:color w:val="auto"/>
        </w:rPr>
      </w:pPr>
    </w:p>
    <w:p>
      <w:pPr>
        <w:jc w:val="both"/>
        <w:ind w:right="120" w:firstLine="436"/>
        <w:spacing w:after="0" w:line="311"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principal component of all Indebtedness of other Persons secured by a Lien on any asset of such Person, whether or not such Indebtedness is assumed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 of such Indebtedness will be the lesser of (a) the fair market value of such asset at such date of determination (as determined in good faith by the Issuer) and (b) the amount of such Indebtedness of such other Persons;</w:t>
      </w:r>
    </w:p>
    <w:p>
      <w:pPr>
        <w:spacing w:after="0" w:line="148" w:lineRule="exact"/>
        <w:rPr>
          <w:rFonts w:ascii="Arial" w:cs="Arial" w:eastAsia="Arial" w:hAnsi="Arial"/>
          <w:sz w:val="16"/>
          <w:szCs w:val="16"/>
          <w:color w:val="auto"/>
        </w:rPr>
      </w:pPr>
    </w:p>
    <w:p>
      <w:pPr>
        <w:ind w:right="24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Guarantees by such Person of the principal component of Indebtedness of the type referred to in clauses (1), (2), (3), (4), (5) and (9) of other Persons to the extent Guaranteed by such Person; and</w:t>
      </w:r>
    </w:p>
    <w:p>
      <w:pPr>
        <w:spacing w:after="0" w:line="170" w:lineRule="exact"/>
        <w:rPr>
          <w:rFonts w:ascii="Arial" w:cs="Arial" w:eastAsia="Arial" w:hAnsi="Arial"/>
          <w:sz w:val="18"/>
          <w:szCs w:val="18"/>
          <w:color w:val="auto"/>
        </w:rPr>
      </w:pPr>
    </w:p>
    <w:p>
      <w:pPr>
        <w:ind w:right="340"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8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Indenture as a result of accounting for any embedded derivatives created by the terms of such Indebtedness.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above provisions, in no event shall the following constitute Indebtedness:</w:t>
      </w:r>
    </w:p>
    <w:p>
      <w:pPr>
        <w:spacing w:after="0" w:line="225" w:lineRule="exact"/>
        <w:rPr>
          <w:sz w:val="20"/>
          <w:szCs w:val="20"/>
          <w:color w:val="auto"/>
        </w:rPr>
      </w:pPr>
    </w:p>
    <w:p>
      <w:pPr>
        <w:ind w:right="80" w:firstLine="436"/>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or consistent with past practice, other than Guarantees or other assumptions of Indebtedness;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Management Obligations;</w:t>
      </w:r>
    </w:p>
    <w:p>
      <w:pPr>
        <w:spacing w:after="0" w:line="225" w:lineRule="exact"/>
        <w:rPr>
          <w:rFonts w:ascii="Arial" w:cs="Arial" w:eastAsia="Arial" w:hAnsi="Arial"/>
          <w:sz w:val="18"/>
          <w:szCs w:val="18"/>
          <w:color w:val="auto"/>
        </w:rPr>
      </w:pPr>
    </w:p>
    <w:p>
      <w:pPr>
        <w:ind w:right="80" w:firstLine="436"/>
        <w:spacing w:after="0" w:line="263" w:lineRule="auto"/>
        <w:tabs>
          <w:tab w:leader="none" w:pos="7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lease, concession or license of property (or Guarantee thereof) which would be considered an operating lease under GAAP as in effect on the Issue Date, Non-Financing Lease Obligations, Sale and Leaseback Transactions or any prepayments of deposits received from clients or customers in the ordinary course of business or consistent with past practice;</w:t>
      </w:r>
    </w:p>
    <w:p>
      <w:pPr>
        <w:spacing w:after="0" w:line="183" w:lineRule="exact"/>
        <w:rPr>
          <w:rFonts w:ascii="Arial" w:cs="Arial" w:eastAsia="Arial" w:hAnsi="Arial"/>
          <w:sz w:val="18"/>
          <w:szCs w:val="18"/>
          <w:color w:val="auto"/>
        </w:rPr>
      </w:pPr>
    </w:p>
    <w:p>
      <w:pPr>
        <w:ind w:firstLine="436"/>
        <w:spacing w:after="0" w:line="277" w:lineRule="auto"/>
        <w:tabs>
          <w:tab w:leader="none" w:pos="7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obligations under any license, permit or other approval (or Guarantees given in respect of such obligations) incurred prior to the Spin-Off Date or in the ordinary course of business or consistent with past practice;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4" w:name="page45"/>
    <w:bookmarkEnd w:id="44"/>
    <w:p>
      <w:pPr>
        <w:ind w:right="20" w:firstLine="436"/>
        <w:spacing w:after="0" w:line="301"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the purchase by the Issuer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of closing, the amount of any such payment is not determinable and, to the extent such payment thereafter becomes fixed and determined, the amount is paid in a timely manner;</w:t>
      </w:r>
    </w:p>
    <w:p>
      <w:pPr>
        <w:spacing w:after="0" w:line="157" w:lineRule="exact"/>
        <w:rPr>
          <w:rFonts w:ascii="Arial" w:cs="Arial" w:eastAsia="Arial" w:hAnsi="Arial"/>
          <w:sz w:val="16"/>
          <w:szCs w:val="16"/>
          <w:color w:val="auto"/>
        </w:rPr>
      </w:pPr>
    </w:p>
    <w:p>
      <w:pPr>
        <w:ind w:right="180" w:firstLine="436"/>
        <w:spacing w:after="0" w:line="277" w:lineRule="auto"/>
        <w:tabs>
          <w:tab w:leader="none" w:pos="7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70" w:lineRule="exact"/>
        <w:rPr>
          <w:rFonts w:ascii="Arial" w:cs="Arial" w:eastAsia="Arial" w:hAnsi="Arial"/>
          <w:sz w:val="18"/>
          <w:szCs w:val="18"/>
          <w:color w:val="auto"/>
        </w:rPr>
      </w:pPr>
    </w:p>
    <w:p>
      <w:pPr>
        <w:ind w:left="800" w:hanging="364"/>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obligations under or in respect of Qualified Securitization Financings or Receivables Facilities;</w:t>
      </w:r>
    </w:p>
    <w:p>
      <w:pPr>
        <w:spacing w:after="0" w:line="225" w:lineRule="exact"/>
        <w:rPr>
          <w:rFonts w:ascii="Arial" w:cs="Arial" w:eastAsia="Arial" w:hAnsi="Arial"/>
          <w:sz w:val="18"/>
          <w:szCs w:val="18"/>
          <w:color w:val="auto"/>
        </w:rPr>
      </w:pPr>
    </w:p>
    <w:p>
      <w:pPr>
        <w:ind w:left="840" w:hanging="404"/>
        <w:spacing w:after="0"/>
        <w:tabs>
          <w:tab w:leader="none" w:pos="8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Indebtedness of any Parent Entity appearing on the balance sheet of the Issuer solely by reason of push down accounting under GAAP;</w:t>
      </w:r>
    </w:p>
    <w:p>
      <w:pPr>
        <w:spacing w:after="0" w:line="248" w:lineRule="exact"/>
        <w:rPr>
          <w:rFonts w:ascii="Arial" w:cs="Arial" w:eastAsia="Arial" w:hAnsi="Arial"/>
          <w:sz w:val="16"/>
          <w:szCs w:val="16"/>
          <w:color w:val="auto"/>
        </w:rPr>
      </w:pPr>
    </w:p>
    <w:p>
      <w:pPr>
        <w:ind w:left="740" w:hanging="304"/>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 Stock (other than in the case of clause (6) above, Disqualified Stock); or</w:t>
      </w:r>
    </w:p>
    <w:p>
      <w:pPr>
        <w:spacing w:after="0" w:line="225"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Financial Advisor</w:t>
      </w:r>
      <w:r>
        <w:rPr>
          <w:rFonts w:ascii="Arial" w:cs="Arial" w:eastAsia="Arial" w:hAnsi="Arial"/>
          <w:sz w:val="18"/>
          <w:szCs w:val="18"/>
          <w:color w:val="auto"/>
        </w:rPr>
        <w:t xml:space="preserve">” means an accounting, appraisal, investment banking firm or consultant to Persons engaged in Similar Businesses of nationally recognized 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firm or appraiser is not an Affiliate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has the meaning ascribed to it in the recitals of this Indenture.</w:t>
      </w:r>
    </w:p>
    <w:p>
      <w:pPr>
        <w:spacing w:after="0" w:line="225"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Purchasers</w:t>
      </w:r>
      <w:r>
        <w:rPr>
          <w:rFonts w:ascii="Arial" w:cs="Arial" w:eastAsia="Arial" w:hAnsi="Arial"/>
          <w:sz w:val="17"/>
          <w:szCs w:val="17"/>
          <w:color w:val="auto"/>
        </w:rPr>
        <w:t>” means Morgan Stanley &amp; Co. LLC, BNP Paribas Securities Corp., Citigroup Global Markets Inc., J.P. Morgan Securities LLC, MUFG Securities Americas Inc., U.S. Bancorp Investments, Inc., Wells Fargo Securities, LLC, Citizens Capital Markets, Inc., Loop Capital Markets LLC, PNC Capital Markets LLC, Santander Investment Securities Inc. and Siebert Williams Shank &amp; Co., LLC.</w:t>
      </w:r>
    </w:p>
    <w:p>
      <w:pPr>
        <w:spacing w:after="0" w:line="16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License Agreement</w:t>
      </w:r>
      <w:r>
        <w:rPr>
          <w:rFonts w:ascii="Arial" w:cs="Arial" w:eastAsia="Arial" w:hAnsi="Arial"/>
          <w:sz w:val="18"/>
          <w:szCs w:val="18"/>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Issuer or a Restricted Subsidiary.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Agreements</w:t>
      </w:r>
      <w:r>
        <w:rPr>
          <w:rFonts w:ascii="Arial" w:cs="Arial" w:eastAsia="Arial" w:hAnsi="Arial"/>
          <w:sz w:val="16"/>
          <w:szCs w:val="16"/>
          <w:color w:val="auto"/>
        </w:rPr>
        <w:t>” means (a) the First Lien Pari Passu Intercreditor Agreement and (b) the Junior Lien Intercreditor Agreement, if any.</w:t>
      </w:r>
    </w:p>
    <w:p>
      <w:pPr>
        <w:spacing w:after="0" w:line="248"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5" w:name="page46"/>
    <w:bookmarkEnd w:id="4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operations and (iv) intercompany loans, advances or Indebtedness having a term not exceeding 364 days (exclusive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endorsements of negotiable instruments and documents in the ordinary course of business or consistent with past practice will not be deemed to be an Investment.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hereof:</w:t>
      </w:r>
    </w:p>
    <w:p>
      <w:pPr>
        <w:spacing w:after="0" w:line="225" w:lineRule="exact"/>
        <w:rPr>
          <w:sz w:val="20"/>
          <w:szCs w:val="20"/>
          <w:color w:val="auto"/>
        </w:rPr>
      </w:pPr>
    </w:p>
    <w:p>
      <w:pPr>
        <w:ind w:right="100" w:firstLine="436"/>
        <w:spacing w:after="0" w:line="293"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“Investment” will include the portion (proportionate to the Issuer’s equity interest in such Restricted Subsidiary to be designated as an Unrestricted Subsidiary) of the fair market value of the net assets of such Restricted Subsidiary at the time that such Restricted Subsidiary is designated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upon a redesignation of such Subsidiary as a Restricted Subsidiary, the Issuer will be deemed to continue to have a permanent “Investment” in an Unrestricted Subsidiary in an amount (if positive) equal to (a) the Issuer’s “Investment” in such Subsidiary at the time of such redesignation less (b) the portion (proportionate to the Issuer’s equity interest in such Subsidiary) of the fair market value of the net assets (as determined by the Issuer) of such Subsidiary at the time that such Subsidiary is so re-designated a Restricted Subsidiary;</w:t>
      </w:r>
    </w:p>
    <w:p>
      <w:pPr>
        <w:spacing w:after="0" w:line="164" w:lineRule="exact"/>
        <w:rPr>
          <w:rFonts w:ascii="Arial" w:cs="Arial" w:eastAsia="Arial" w:hAnsi="Arial"/>
          <w:sz w:val="16"/>
          <w:szCs w:val="16"/>
          <w:color w:val="auto"/>
        </w:rPr>
      </w:pPr>
    </w:p>
    <w:p>
      <w:pPr>
        <w:ind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property transferred to or from an Unrestricted Subsidiary will be valued at its fair market value at the time of such transfer, in each case as determined by the Issuer; and</w:t>
      </w:r>
    </w:p>
    <w:p>
      <w:pPr>
        <w:spacing w:after="0" w:line="170"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Issuer or any Restricted Subsidiary issues, sells or otherwise disposes of Capital Stock of a Person that is a Restricted Subsidiary such that, after giving effect thereto, such Person is no longer a Restricted Subsidiary, any investment by the Issuer or any Restricted Subsidiary in such Person remaining after giving effect thereto shall not be deemed to be an Investment at such time.</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the Issuer or a Restricted Subsidiary in respect of such Investment to the extent such amounts do not increase any other baskets under this Indenture.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Securities</w:t>
      </w:r>
      <w:r>
        <w:rPr>
          <w:rFonts w:ascii="Arial" w:cs="Arial" w:eastAsia="Arial" w:hAnsi="Arial"/>
          <w:sz w:val="18"/>
          <w:szCs w:val="18"/>
          <w:color w:val="auto"/>
        </w:rPr>
        <w:t>” means:</w:t>
      </w:r>
    </w:p>
    <w:p>
      <w:pPr>
        <w:spacing w:after="0" w:line="225" w:lineRule="exact"/>
        <w:rPr>
          <w:sz w:val="20"/>
          <w:szCs w:val="20"/>
          <w:color w:val="auto"/>
        </w:rPr>
      </w:pPr>
    </w:p>
    <w:p>
      <w:pPr>
        <w:ind w:right="220" w:firstLine="436"/>
        <w:spacing w:after="0" w:line="27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170" w:lineRule="exact"/>
        <w:rPr>
          <w:rFonts w:ascii="Arial" w:cs="Arial" w:eastAsia="Arial" w:hAnsi="Arial"/>
          <w:sz w:val="18"/>
          <w:szCs w:val="18"/>
          <w:color w:val="auto"/>
        </w:rPr>
      </w:pPr>
    </w:p>
    <w:p>
      <w:pPr>
        <w:ind w:right="220" w:firstLine="436"/>
        <w:spacing w:after="0" w:line="311"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Issuer and its Subsidiaries;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6" w:name="page47"/>
    <w:bookmarkEnd w:id="46"/>
    <w:p>
      <w:pPr>
        <w:ind w:right="340" w:firstLine="436"/>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any fund that invests exclusively in investments of the type described in clauses (1), (2) and (3) above which fund may also hold cash and Cash Equivalents pending investment or distribution;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 quality investments.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Status</w:t>
      </w:r>
      <w:r>
        <w:rPr>
          <w:rFonts w:ascii="Arial" w:cs="Arial" w:eastAsia="Arial" w:hAnsi="Arial"/>
          <w:sz w:val="18"/>
          <w:szCs w:val="18"/>
          <w:color w:val="auto"/>
        </w:rPr>
        <w:t>” shall occur when the Notes receive two of the following:</w:t>
      </w:r>
    </w:p>
    <w:p>
      <w:pPr>
        <w:spacing w:after="0" w:line="225" w:lineRule="exact"/>
        <w:rPr>
          <w:sz w:val="20"/>
          <w:szCs w:val="20"/>
          <w:color w:val="auto"/>
        </w:rPr>
      </w:pPr>
    </w:p>
    <w:p>
      <w:pPr>
        <w:ind w:left="700" w:hanging="26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rating of “BBB-” or higher from S&amp;P;</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rating of “Baa3” or higher from Moody’s;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rating of “BBB-” or higher from Fitch;</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or the equivalent of such rating by such rating organization or, if no rating of S&amp;P, Moody’s or Fitch then exists, the equivalent of such rating by any other Nationally Recognized Statistical Ratings Organization.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February 10,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Embecta Corp., a Delaware corporation, and its successors.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joint venture or similar arrangement (in each case, regardless of legal formation), including collaboration arrangements, profit sharing arrangements or other contractual arrangements.</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 Priority Indebtedness</w:t>
      </w:r>
      <w:r>
        <w:rPr>
          <w:rFonts w:ascii="Arial" w:cs="Arial" w:eastAsia="Arial" w:hAnsi="Arial"/>
          <w:sz w:val="18"/>
          <w:szCs w:val="18"/>
          <w:color w:val="auto"/>
        </w:rPr>
        <w:t>” means Indebtedness or obligations of the Issuer and/or the Guarantors that is secured by Liens on the Collateral ranking on a junior basis to the Liens securing the Notes.</w:t>
      </w:r>
    </w:p>
    <w:p>
      <w:pPr>
        <w:spacing w:after="0" w:line="170"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collectively, all applicable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pledge, security interest, encumbrance, lien, hypothecation or charge of any kind (including any conditional sale or other title retention agreement or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Non-Financing Lease Obligations be deemed to constitute a Lien.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in or of any assets, business or Person,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asset sale or a disposition and (5) a “Change of Control.”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7" w:name="page48"/>
    <w:bookmarkEnd w:id="47"/>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LLC Conversion</w:t>
      </w:r>
      <w:r>
        <w:rPr>
          <w:rFonts w:ascii="Arial" w:cs="Arial" w:eastAsia="Arial" w:hAnsi="Arial"/>
          <w:sz w:val="18"/>
          <w:szCs w:val="18"/>
          <w:color w:val="auto"/>
        </w:rPr>
        <w:t>” means the conversion of any Restricted Subsidiary of the Issuer that is a U.S. Subsidiary from a corporation into a limited liability company.</w:t>
      </w:r>
    </w:p>
    <w:p>
      <w:pPr>
        <w:spacing w:after="0" w:line="170"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Division</w:t>
      </w:r>
      <w:r>
        <w:rPr>
          <w:rFonts w:ascii="Arial" w:cs="Arial" w:eastAsia="Arial" w:hAnsi="Arial"/>
          <w:sz w:val="18"/>
          <w:szCs w:val="18"/>
          <w:color w:val="auto"/>
        </w:rPr>
        <w:t>” means the statutory division of any limited liability company into two or more limited liability companies pursuant to Section 18-217 of the Delaware Limited Liability Company Act or a comparable provision of any other Law.</w:t>
      </w:r>
    </w:p>
    <w:p>
      <w:pPr>
        <w:spacing w:after="0" w:line="170"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 Derivative Instrument</w:t>
      </w:r>
      <w:r>
        <w:rPr>
          <w:rFonts w:ascii="Arial" w:cs="Arial" w:eastAsia="Arial" w:hAnsi="Arial"/>
          <w:sz w:val="17"/>
          <w:szCs w:val="17"/>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 EBITDA</w:t>
      </w:r>
      <w:r>
        <w:rPr>
          <w:rFonts w:ascii="Arial" w:cs="Arial" w:eastAsia="Arial" w:hAnsi="Arial"/>
          <w:sz w:val="18"/>
          <w:szCs w:val="18"/>
          <w:color w:val="auto"/>
        </w:rPr>
        <w:t>” means Consolidated EBITDA of the Issuer measured for the period of the most recent four consecutive fiscal quarters ending prior to the date of such determination for which consolidated financial statements are available (which may, at the election of the Issuer, be internal financial statements), in each case with such pro forma adjustments as are consistent with the pro forma adjustments set forth in the definition of “Pro Forma Basis” and “Fixed Charge Coverage Ratio.”</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Advances</w:t>
      </w:r>
      <w:r>
        <w:rPr>
          <w:rFonts w:ascii="Arial" w:cs="Arial" w:eastAsia="Arial" w:hAnsi="Arial"/>
          <w:sz w:val="18"/>
          <w:szCs w:val="18"/>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Issuer or any Restricted Subsidiary:</w:t>
      </w:r>
    </w:p>
    <w:p>
      <w:pPr>
        <w:spacing w:after="0" w:line="184" w:lineRule="exact"/>
        <w:rPr>
          <w:sz w:val="20"/>
          <w:szCs w:val="20"/>
          <w:color w:val="auto"/>
        </w:rPr>
      </w:pPr>
    </w:p>
    <w:p>
      <w:pPr>
        <w:ind w:right="180" w:firstLine="436"/>
        <w:spacing w:after="0" w:line="259"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the Issuer, its Subsidiaries or any Parent Entity with (in the case of this clause (1)(b)) the approval of the Board of Directors of the Issuer;</w:t>
      </w:r>
    </w:p>
    <w:p>
      <w:pPr>
        <w:spacing w:after="0" w:line="186" w:lineRule="exact"/>
        <w:rPr>
          <w:rFonts w:ascii="Arial" w:cs="Arial" w:eastAsia="Arial" w:hAnsi="Arial"/>
          <w:sz w:val="18"/>
          <w:szCs w:val="18"/>
          <w:color w:val="auto"/>
        </w:rPr>
      </w:pPr>
    </w:p>
    <w:p>
      <w:pPr>
        <w:ind w:firstLine="436"/>
        <w:spacing w:after="0" w:line="277"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exceeding the greater of (i) $25.0 million and (ii) 5.0% of LTM EBITDA in the aggregate outstanding at the time of incurrence.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 of the FRB as from time to time in effect.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shall mean intellectual property that is material to the business of the Issuer and its Restricted Subsidiaries, taken as a whole, as determined by the Issuer in good faith.</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Restricted Subsidiary of the Issuer constituting, or group of Restricted Subsidiaries of the Issuer in the aggregate constituting (as if such Restricted Subsidiaries constituted a single Subsidiary), a “significant subsidiary” in accordance with Rule 1-02 under Regulation S-X.</w:t>
      </w:r>
    </w:p>
    <w:p>
      <w:pPr>
        <w:spacing w:after="0" w:line="184"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of its successors or assigns that is a Nationally Recognized Statistical Rating Organization.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8" w:name="page49"/>
    <w:bookmarkEnd w:id="48"/>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Nationally Recognized Statistical Rating Organization</w:t>
      </w:r>
      <w:r>
        <w:rPr>
          <w:rFonts w:ascii="Arial" w:cs="Arial" w:eastAsia="Arial" w:hAnsi="Arial"/>
          <w:sz w:val="18"/>
          <w:szCs w:val="18"/>
          <w:color w:val="auto"/>
        </w:rPr>
        <w:t>” means a nationally recognized statistical rating organization within the meaning of Rule 436 under the Securities Act.</w:t>
      </w:r>
    </w:p>
    <w:p>
      <w:pPr>
        <w:spacing w:after="0" w:line="170"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Available Cash</w:t>
      </w:r>
      <w:r>
        <w:rPr>
          <w:rFonts w:ascii="Arial" w:cs="Arial" w:eastAsia="Arial" w:hAnsi="Arial"/>
          <w:sz w:val="17"/>
          <w:szCs w:val="17"/>
          <w:color w:val="auto"/>
        </w:rPr>
        <w:t>” with respect to any Asset Disposition, means cash proceeds received (including any cash proceeds received from the sale or other disposition of any Designated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71" w:lineRule="exact"/>
        <w:rPr>
          <w:sz w:val="20"/>
          <w:szCs w:val="20"/>
          <w:color w:val="auto"/>
        </w:rPr>
      </w:pPr>
    </w:p>
    <w:p>
      <w:pPr>
        <w:ind w:right="160" w:firstLine="436"/>
        <w:spacing w:after="0" w:line="259"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spacing w:after="0" w:line="186" w:lineRule="exact"/>
        <w:rPr>
          <w:rFonts w:ascii="Arial" w:cs="Arial" w:eastAsia="Arial" w:hAnsi="Arial"/>
          <w:sz w:val="18"/>
          <w:szCs w:val="18"/>
          <w:color w:val="auto"/>
        </w:rPr>
      </w:pPr>
    </w:p>
    <w:p>
      <w:pPr>
        <w:ind w:firstLine="436"/>
        <w:spacing w:after="0" w:line="296"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the Issuer or any of its Subsidiaries, transfer Taxes, deed or mortgage recording Taxes and Taxes that would be payable in connection with any repatriation of such proceeds), as a consequence of such transaction, including distributions and payments for Permitted Tax Amounts, made as a result of or in connection with such transaction or any transactions occurring or deemed to occur to effectuate a payment under this Indenture;</w:t>
      </w:r>
    </w:p>
    <w:p>
      <w:pPr>
        <w:spacing w:after="0" w:line="161" w:lineRule="exact"/>
        <w:rPr>
          <w:rFonts w:ascii="Arial" w:cs="Arial" w:eastAsia="Arial" w:hAnsi="Arial"/>
          <w:sz w:val="16"/>
          <w:szCs w:val="16"/>
          <w:color w:val="auto"/>
        </w:rPr>
      </w:pPr>
    </w:p>
    <w:p>
      <w:pPr>
        <w:ind w:right="200" w:firstLine="436"/>
        <w:spacing w:after="0" w:line="342"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payments made on any Indebtedness which is (x) secured by any assets subject to such transaction, in accordance with the terms of any Lien upon such assets, (y) is owed by a Non-Guarantor or (z) which is required by applicable law be repaid out of the proceeds from such transaction;</w:t>
      </w:r>
    </w:p>
    <w:p>
      <w:pPr>
        <w:spacing w:after="0" w:line="123" w:lineRule="exact"/>
        <w:rPr>
          <w:rFonts w:ascii="Arial" w:cs="Arial" w:eastAsia="Arial" w:hAnsi="Arial"/>
          <w:sz w:val="16"/>
          <w:szCs w:val="16"/>
          <w:color w:val="auto"/>
        </w:rPr>
      </w:pPr>
    </w:p>
    <w:p>
      <w:pPr>
        <w:ind w:right="160" w:firstLine="436"/>
        <w:spacing w:after="0" w:line="27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non-controlling interest or minority interest holders (other than any Parent Entity, the Issuer or any of its Subsidiaries) in Subsidiaries or joint ventures as a result of such transaction;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costs associated with unwinding any related Hedging Obligations in connection with such transaction;</w:t>
      </w:r>
    </w:p>
    <w:p>
      <w:pPr>
        <w:spacing w:after="0" w:line="225" w:lineRule="exact"/>
        <w:rPr>
          <w:rFonts w:ascii="Arial" w:cs="Arial" w:eastAsia="Arial" w:hAnsi="Arial"/>
          <w:sz w:val="18"/>
          <w:szCs w:val="18"/>
          <w:color w:val="auto"/>
        </w:rPr>
      </w:pPr>
    </w:p>
    <w:p>
      <w:pPr>
        <w:ind w:right="500" w:firstLine="436"/>
        <w:spacing w:after="0" w:line="259"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deduction of appropriate amounts required to be provided by the seller as a reserve, in accordance with GAAP, against any liabilities associated with the assets disposed of in such transaction and retained by the Issuer or any Restricted Subsidiary after such transaction, including pension and other post-employment benefit liabilities and liabilities related to environmental matters or against any indemnification obligations associated with such transaction;</w:t>
      </w:r>
    </w:p>
    <w:p>
      <w:pPr>
        <w:spacing w:after="0" w:line="186"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w:t>
      </w:r>
    </w:p>
    <w:p>
      <w:pPr>
        <w:spacing w:after="0" w:line="183" w:lineRule="exact"/>
        <w:rPr>
          <w:rFonts w:ascii="Arial" w:cs="Arial" w:eastAsia="Arial" w:hAnsi="Arial"/>
          <w:sz w:val="18"/>
          <w:szCs w:val="18"/>
          <w:color w:val="auto"/>
        </w:rPr>
      </w:pPr>
    </w:p>
    <w:p>
      <w:pPr>
        <w:ind w:right="340" w:firstLine="436"/>
        <w:spacing w:after="0" w:line="27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any liabilities (other than Indebtedness in respect of the Credit Agreement and the Notes) directly associated with such asset being sold and retained by the Issuer or any of its Restricted Subsidiaries;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9" w:name="page50"/>
    <w:bookmarkEnd w:id="4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 the amount of any Restricted Payment made with the proceeds of any such transaction pursuant to </w:t>
      </w:r>
      <w:r>
        <w:rPr>
          <w:rFonts w:ascii="Arial" w:cs="Arial" w:eastAsia="Arial" w:hAnsi="Arial"/>
          <w:sz w:val="18"/>
          <w:szCs w:val="18"/>
          <w:u w:val="single" w:color="auto"/>
          <w:color w:val="auto"/>
        </w:rPr>
        <w:t>Section 3.03(b)(12)</w:t>
      </w:r>
      <w:r>
        <w:rPr>
          <w:rFonts w:ascii="Arial" w:cs="Arial" w:eastAsia="Arial" w:hAnsi="Arial"/>
          <w:sz w:val="18"/>
          <w:szCs w:val="18"/>
          <w:color w:val="auto"/>
        </w:rPr>
        <w:t>.</w:t>
      </w:r>
    </w:p>
    <w:p>
      <w:pPr>
        <w:spacing w:after="0" w:line="225" w:lineRule="exact"/>
        <w:rPr>
          <w:sz w:val="20"/>
          <w:szCs w:val="20"/>
          <w:color w:val="auto"/>
        </w:rPr>
      </w:pPr>
    </w:p>
    <w:p>
      <w:pPr>
        <w:jc w:val="center"/>
        <w:ind w:right="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Short</w:t>
      </w:r>
      <w:r>
        <w:rPr>
          <w:rFonts w:ascii="Arial" w:cs="Arial" w:eastAsia="Arial" w:hAnsi="Arial"/>
          <w:sz w:val="16"/>
          <w:szCs w:val="16"/>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w:t>
      </w:r>
    </w:p>
    <w:p>
      <w:pPr>
        <w:ind w:left="4" w:right="80" w:hanging="4"/>
        <w:spacing w:after="0" w:line="323" w:lineRule="auto"/>
        <w:tabs>
          <w:tab w:leader="none" w:pos="26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it is reasonably expected that such would have been the case were a Failure to Pay or Bankruptcy Credit Event (each as defined in the 2014 ISDA Credit Derivatives Definitions) to have occurred with respect to the Issuer or any Guarantor immediately prior to such date of determination.</w:t>
      </w:r>
    </w:p>
    <w:p>
      <w:pPr>
        <w:spacing w:after="0" w:line="138"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Non-Financing Lease Obligation</w:t>
      </w:r>
      <w:r>
        <w:rPr>
          <w:rFonts w:ascii="Arial" w:cs="Arial" w:eastAsia="Arial" w:hAnsi="Arial"/>
          <w:sz w:val="16"/>
          <w:szCs w:val="16"/>
          <w:color w:val="auto"/>
        </w:rPr>
        <w:t xml:space="preserve">” means a lease obligation that is not required to be accounted for as a financing or capital lease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obligations of the Issuer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Indenture regardless of any change in GAAP following January 1, 2015 (that would otherwise require such obligation to be recharacterized as a Capitalized Lease Obligation). For the avoidance of doubt, a straight-line or operating lease shall be considered a Non-Financing Lease Obligation.</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w:t>
      </w:r>
      <w:r>
        <w:rPr>
          <w:rFonts w:ascii="Arial" w:cs="Arial" w:eastAsia="Arial" w:hAnsi="Arial"/>
          <w:sz w:val="18"/>
          <w:szCs w:val="18"/>
          <w:color w:val="auto"/>
        </w:rPr>
        <w:t>” means any Restricted Subsidiary that is not a Guarantor.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Subsidiary</w:t>
      </w:r>
      <w:r>
        <w:rPr>
          <w:rFonts w:ascii="Arial" w:cs="Arial" w:eastAsia="Arial" w:hAnsi="Arial"/>
          <w:sz w:val="18"/>
          <w:szCs w:val="18"/>
          <w:color w:val="auto"/>
        </w:rPr>
        <w:t>” means any direct or indirect Subsidiary of the Issuer that is not a U.S. Subsidiary.</w:t>
      </w:r>
    </w:p>
    <w:p>
      <w:pPr>
        <w:spacing w:after="0" w:line="225" w:lineRule="exact"/>
        <w:rPr>
          <w:sz w:val="20"/>
          <w:szCs w:val="20"/>
          <w:color w:val="auto"/>
        </w:rPr>
      </w:pPr>
    </w:p>
    <w:p>
      <w:pPr>
        <w:jc w:val="both"/>
        <w:ind w:left="4"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Documents</w:t>
      </w:r>
      <w:r>
        <w:rPr>
          <w:rFonts w:ascii="Arial" w:cs="Arial" w:eastAsia="Arial" w:hAnsi="Arial"/>
          <w:sz w:val="16"/>
          <w:szCs w:val="16"/>
          <w:color w:val="auto"/>
        </w:rPr>
        <w:t>” means the Notes (including Additional Notes), the Parent Guaranty Agreement, the BD Guarantee, the Note Guarantees, the Security Agreement, the Notes Security Documents, the First Lien Pari Passu Intercreditor Agreement, any Junior Lien Intercreditor Agreement, any other Intercreditor Agreement entered into pursuant to the terms hereof, and this Indenture (including the Supplemental Indenture)</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Guarantees</w:t>
      </w:r>
      <w:r>
        <w:rPr>
          <w:rFonts w:ascii="Arial" w:cs="Arial" w:eastAsia="Arial" w:hAnsi="Arial"/>
          <w:sz w:val="18"/>
          <w:szCs w:val="18"/>
          <w:color w:val="auto"/>
        </w:rPr>
        <w:t>” means the Guarantees of the Initial Notes and any Additional Notes.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ascribed to it in the recitals of this Indenture.</w:t>
      </w:r>
    </w:p>
    <w:p>
      <w:pPr>
        <w:spacing w:after="0" w:line="225"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 means U.S. Bank Trust Company, National Association, as collateral agent under this Indenture, together with its successors and assigns.</w:t>
      </w:r>
    </w:p>
    <w:p>
      <w:pPr>
        <w:spacing w:after="0" w:line="170"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Custodian</w:t>
      </w:r>
      <w:r>
        <w:rPr>
          <w:rFonts w:ascii="Arial" w:cs="Arial" w:eastAsia="Arial" w:hAnsi="Arial"/>
          <w:sz w:val="18"/>
          <w:szCs w:val="18"/>
          <w:color w:val="auto"/>
        </w:rPr>
        <w:t>” means the custodian with respect to the Global Notes (as appointed by DTC) or any successor Person thereto, and shall initially be the Trustee.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Obligations</w:t>
      </w:r>
      <w:r>
        <w:rPr>
          <w:rFonts w:ascii="Arial" w:cs="Arial" w:eastAsia="Arial" w:hAnsi="Arial"/>
          <w:sz w:val="18"/>
          <w:szCs w:val="18"/>
          <w:color w:val="auto"/>
        </w:rPr>
        <w:t>” means Obligations in respect of the Notes, this Indenture, the Guarantees and the Notes Security Documents.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Secured Parties</w:t>
      </w:r>
      <w:r>
        <w:rPr>
          <w:rFonts w:ascii="Arial" w:cs="Arial" w:eastAsia="Arial" w:hAnsi="Arial"/>
          <w:sz w:val="18"/>
          <w:szCs w:val="18"/>
          <w:color w:val="auto"/>
        </w:rPr>
        <w:t>” means the Trustee, the Notes Collateral Agent and the Holders of the Notes.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44"/>
          </w:cols>
          <w:pgMar w:left="436" w:top="274" w:right="619" w:bottom="1440" w:gutter="0" w:footer="0" w:header="0"/>
        </w:sectPr>
      </w:pPr>
    </w:p>
    <w:bookmarkStart w:id="50" w:name="page51"/>
    <w:bookmarkEnd w:id="5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Notes Security Documents</w:t>
      </w:r>
      <w:r>
        <w:rPr>
          <w:rFonts w:ascii="Arial" w:cs="Arial" w:eastAsia="Arial" w:hAnsi="Arial"/>
          <w:sz w:val="18"/>
          <w:szCs w:val="18"/>
          <w:color w:val="auto"/>
        </w:rPr>
        <w:t>” means, collectively, the Security Agreement, the Intellectual Property Security Agreements, collateral assignments, Security Agreement Supplements, Intellectual Property Security Agreement Supplements, security agreements, pledge agreements or other similar agreements delivered to the Notes Collateral Agent that creates or purports to create a Lien in favor of the Notes Collateral Agent, and each of the other agreements, instruments or documents that creates or purports to create a Lien in favor of the Notes Collateral Agent for the benefit of the Notes Secured Parties.</w:t>
      </w:r>
    </w:p>
    <w:p>
      <w:pPr>
        <w:spacing w:after="0" w:line="18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any principal, interest (including Post-Petition Interest (as defined in the First Lien Pari Passu Intercreditor Agreement) accruing on or after the filing of any petition in bankruptcy or for reorganization relating to the Issuer or any Guarantor whether or not a claim for Post-Petition Interest is allowed in such proceedings), penalties, fees, indemnifications, reimbursements (including reimbursement obligations with respect to letters of credit and bankers’ acceptances), damages and other liabilities payable under the documentation governing any Indebtedness.</w:t>
      </w:r>
    </w:p>
    <w:p>
      <w:pPr>
        <w:spacing w:after="0" w:line="15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final offering memorandum dated January 27, 2022, relating to the offering by the Issuer of $500,000,000 principal amount of the Initial Notes and any future offering memorandum relating to Additional Notes.</w:t>
      </w:r>
    </w:p>
    <w:p>
      <w:pPr>
        <w:spacing w:after="0" w:line="170"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w:t>
      </w:r>
      <w:r>
        <w:rPr>
          <w:rFonts w:ascii="Arial" w:cs="Arial" w:eastAsia="Arial" w:hAnsi="Arial"/>
          <w:sz w:val="16"/>
          <w:szCs w:val="16"/>
          <w:color w:val="auto"/>
        </w:rPr>
        <w:t>” means, with respect to any Person, (1) the Chairman of the Board of Directors, the Chief Executive Officer, the President, the Chief Financial Officer, any Executive Vice President, any Senior Vice President, any Vice President, the Treasurer, any Assistant Treasurer, any Managing Director, any Authorized Person, the Secretary or any Assistant Secretary (a) of such Person or (b) if such Person is owned or managed by a single entity, of such entity, or (2) any other individual designated as an “Officer” for the purposes of this Indenture by the Board of Directors of such Person.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one Officer of such Person.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from legal counsel who is reasonably satisfactory to the Trustee. The counsel may be an employee of or counsel to the Issuer or its Subsidiaries.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means any direct or indirect parent of the Issuer which holds directly or indirectly 100.0% of the equity interests of the Issuer and which does not hold Capital Stock in any other Person (except for any other Parent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 Expenses</w:t>
      </w:r>
      <w:r>
        <w:rPr>
          <w:rFonts w:ascii="Arial" w:cs="Arial" w:eastAsia="Arial" w:hAnsi="Arial"/>
          <w:sz w:val="18"/>
          <w:szCs w:val="18"/>
          <w:color w:val="auto"/>
        </w:rPr>
        <w:t>” means:</w:t>
      </w:r>
    </w:p>
    <w:p>
      <w:pPr>
        <w:spacing w:after="0" w:line="225" w:lineRule="exact"/>
        <w:rPr>
          <w:sz w:val="20"/>
          <w:szCs w:val="20"/>
          <w:color w:val="auto"/>
        </w:rPr>
      </w:pPr>
    </w:p>
    <w:p>
      <w:pPr>
        <w:ind w:right="80" w:firstLine="436"/>
        <w:spacing w:after="0" w:line="275" w:lineRule="auto"/>
        <w:tabs>
          <w:tab w:leader="none" w:pos="6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Indenture or any other agreement or instrument relating to the Notes, the Guarantees or any other Indebtedness of the Issuer or any Restricted Subsidiary, including in respect of any reports filed or delivered with respect to the Securities Act, Exchange Act or the respective rules and regulations promulgated thereunder;</w:t>
      </w:r>
    </w:p>
    <w:p>
      <w:pPr>
        <w:spacing w:after="0" w:line="176" w:lineRule="exact"/>
        <w:rPr>
          <w:rFonts w:ascii="Arial" w:cs="Arial" w:eastAsia="Arial" w:hAnsi="Arial"/>
          <w:sz w:val="17"/>
          <w:szCs w:val="17"/>
          <w:color w:val="auto"/>
        </w:rPr>
      </w:pPr>
    </w:p>
    <w:p>
      <w:pPr>
        <w:ind w:right="100" w:firstLine="436"/>
        <w:spacing w:after="0" w:line="311"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to the extent relating to the Issuer and its Subsidiaries;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1" w:name="page52"/>
    <w:bookmarkEnd w:id="51"/>
    <w:p>
      <w:pPr>
        <w:jc w:val="both"/>
        <w:ind w:right="100" w:firstLine="436"/>
        <w:spacing w:after="0" w:line="301"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general corporate operating and overhead fees, costs and expenses, (including all legal, accounting and other professional fees, costs and expenses, and director and officer insurance (including premiums therefor)) and, following the first public offering of the Capital Stock of any Parent Entity, listing fees and other costs and expenses attributable to being a publicly traded company of any Parent Entity and (y) other operational expenses of any Parent Entity related to the ownership or operation of the business of the Issuer or any of the Restricted Subsidiaries;</w:t>
      </w:r>
    </w:p>
    <w:p>
      <w:pPr>
        <w:spacing w:after="0" w:line="157" w:lineRule="exact"/>
        <w:rPr>
          <w:rFonts w:ascii="Arial" w:cs="Arial" w:eastAsia="Arial" w:hAnsi="Arial"/>
          <w:sz w:val="16"/>
          <w:szCs w:val="16"/>
          <w:color w:val="auto"/>
        </w:rPr>
      </w:pPr>
    </w:p>
    <w:p>
      <w:pPr>
        <w:ind w:right="200" w:firstLine="436"/>
        <w:spacing w:after="0" w:line="286"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expenses incurred by any Parent Entity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Parent Entity;</w:t>
      </w:r>
    </w:p>
    <w:p>
      <w:pPr>
        <w:spacing w:after="0" w:line="165" w:lineRule="exact"/>
        <w:rPr>
          <w:rFonts w:ascii="Arial" w:cs="Arial" w:eastAsia="Arial" w:hAnsi="Arial"/>
          <w:sz w:val="17"/>
          <w:szCs w:val="17"/>
          <w:color w:val="auto"/>
        </w:rPr>
      </w:pPr>
    </w:p>
    <w:p>
      <w:pPr>
        <w:ind w:right="40" w:firstLine="436"/>
        <w:spacing w:after="0" w:line="25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Issuer to the Holders when taken as a whole, as compared to the management services or similar agreements as in effect immediately prior to such amendment or replacement), solely to the extent such amounts are not paid directly by the Issuer or its Subsidiaries; and</w:t>
      </w:r>
    </w:p>
    <w:p>
      <w:pPr>
        <w:spacing w:after="0" w:line="187" w:lineRule="exact"/>
        <w:rPr>
          <w:rFonts w:ascii="Arial" w:cs="Arial" w:eastAsia="Arial" w:hAnsi="Arial"/>
          <w:sz w:val="18"/>
          <w:szCs w:val="18"/>
          <w:color w:val="auto"/>
        </w:rPr>
      </w:pPr>
    </w:p>
    <w:p>
      <w:pPr>
        <w:ind w:firstLine="436"/>
        <w:spacing w:after="0" w:line="269"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amounts to finance Investments that would otherwise be permitted to be made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if made by the Issuer or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Restricted Payment shall be made substantially concurrently with the closing of such Investment, (B) such Parent Entity shall, immediately following the closing thereof, cause (1) all property acquired (whether assets or Capital Stock) to be contributed to the capital of the Issuer or one of its Restricted Subsidiaries or (2) the merger, consolidation or amalgamation of the Person formed or acquired by or merged or consolidated with the Issuer or one of its Restricted Subsidiaries (to the extent not prohibited by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hereof) in order to consummate such Investment, (C)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and such consideration or other payment is included as a Restricted Payment under this Indenture, (D) any property received by the Issuer shall not increase amounts available for Restricted Payments pursuant to the Available Amount Builder Basket and (E) such Investment shall be deemed to be made by the Issuer or such Restricted Subsidiary pursuant to a provision of the covenant described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or pursuant to the definition of “Permitted Investments.”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Guaranty Agreement</w:t>
      </w:r>
      <w:r>
        <w:rPr>
          <w:rFonts w:ascii="Arial" w:cs="Arial" w:eastAsia="Arial" w:hAnsi="Arial"/>
          <w:sz w:val="18"/>
          <w:szCs w:val="18"/>
          <w:color w:val="auto"/>
        </w:rPr>
        <w:t>” has the meaning ascribed to it in the recitals of this Indenture.</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Indebtedness</w:t>
      </w:r>
      <w:r>
        <w:rPr>
          <w:rFonts w:ascii="Arial" w:cs="Arial" w:eastAsia="Arial" w:hAnsi="Arial"/>
          <w:sz w:val="18"/>
          <w:szCs w:val="18"/>
          <w:color w:val="auto"/>
        </w:rPr>
        <w:t>” means Indebtedness of the Issuer which ranks equally in right of payment to the Notes or of any Guarantor if such Indebtedness ranks equally in right of payment to the Guarantees of the Notes.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Issuer to pay the principal of (and premium, if any) or interest on any Note on behalf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Exceptions</w:t>
      </w:r>
      <w:r>
        <w:rPr>
          <w:rFonts w:ascii="Arial" w:cs="Arial" w:eastAsia="Arial" w:hAnsi="Arial"/>
          <w:sz w:val="18"/>
          <w:szCs w:val="18"/>
          <w:color w:val="auto"/>
        </w:rPr>
        <w:t>” means the Issuer and Subsidiary Guarantors shall not be required to:</w:t>
      </w:r>
    </w:p>
    <w:p>
      <w:pPr>
        <w:spacing w:after="0" w:line="225" w:lineRule="exact"/>
        <w:rPr>
          <w:sz w:val="20"/>
          <w:szCs w:val="20"/>
          <w:color w:val="auto"/>
        </w:rPr>
      </w:pPr>
    </w:p>
    <w:p>
      <w:pPr>
        <w:ind w:left="660" w:hanging="224"/>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enter into control agreements with respect to, or otherwise perfect any security interest by “control” (or similar arrangements) over,</w:t>
      </w:r>
    </w:p>
    <w:p>
      <w:pPr>
        <w:spacing w:after="0" w:line="34" w:lineRule="exact"/>
        <w:rPr>
          <w:rFonts w:ascii="Arial" w:cs="Arial" w:eastAsia="Arial" w:hAnsi="Arial"/>
          <w:sz w:val="17"/>
          <w:szCs w:val="17"/>
          <w:color w:val="auto"/>
        </w:rPr>
      </w:pPr>
    </w:p>
    <w:p>
      <w:pPr>
        <w:ind w:right="220"/>
        <w:spacing w:after="0" w:line="260" w:lineRule="auto"/>
        <w:rPr>
          <w:rFonts w:ascii="Arial" w:cs="Arial" w:eastAsia="Arial" w:hAnsi="Arial"/>
          <w:sz w:val="17"/>
          <w:szCs w:val="17"/>
          <w:color w:val="auto"/>
        </w:rPr>
      </w:pPr>
      <w:r>
        <w:rPr>
          <w:rFonts w:ascii="Arial" w:cs="Arial" w:eastAsia="Arial" w:hAnsi="Arial"/>
          <w:sz w:val="18"/>
          <w:szCs w:val="18"/>
          <w:color w:val="auto"/>
        </w:rPr>
        <w:t>commodities accounts, securities accounts, deposit accounts, futures accounts, other bank accounts, cash and cash equivalents and accounts related to the clearing, payment processing and similar operations of the Restricted Group,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2" w:name="page53"/>
    <w:bookmarkEnd w:id="52"/>
    <w:p>
      <w:pPr>
        <w:ind w:left="4" w:right="80" w:firstLine="436"/>
        <w:spacing w:after="0" w:line="263" w:lineRule="auto"/>
        <w:tabs>
          <w:tab w:leader="none" w:pos="709"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perfect the security interest in the following other than by the filing of a UCC financing statement: (1) letter-of-credit rights (as defined in the UCC), (2) commercial tort claims (as defined in the UCC), (3) Fixtures (as defined in the UCC), except to the extent that the same are Equipment (as defined in the UCC) and (4) Assigned Agreements (as defined in the Security Agreement),</w:t>
      </w:r>
    </w:p>
    <w:p>
      <w:pPr>
        <w:spacing w:after="0" w:line="183" w:lineRule="exact"/>
        <w:rPr>
          <w:rFonts w:ascii="Arial" w:cs="Arial" w:eastAsia="Arial" w:hAnsi="Arial"/>
          <w:sz w:val="18"/>
          <w:szCs w:val="18"/>
          <w:color w:val="auto"/>
        </w:rPr>
      </w:pPr>
    </w:p>
    <w:p>
      <w:pPr>
        <w:ind w:left="764" w:hanging="324"/>
        <w:spacing w:after="0"/>
        <w:tabs>
          <w:tab w:leader="none" w:pos="7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send notices to account debtors or other contractual third-parties unless an Event of Default has occurred,</w:t>
      </w:r>
    </w:p>
    <w:p>
      <w:pPr>
        <w:spacing w:after="0" w:line="225" w:lineRule="exact"/>
        <w:rPr>
          <w:rFonts w:ascii="Arial" w:cs="Arial" w:eastAsia="Arial" w:hAnsi="Arial"/>
          <w:sz w:val="18"/>
          <w:szCs w:val="18"/>
          <w:color w:val="auto"/>
        </w:rPr>
      </w:pPr>
    </w:p>
    <w:p>
      <w:pPr>
        <w:ind w:left="4" w:right="200" w:firstLine="436"/>
        <w:spacing w:after="0" w:line="257" w:lineRule="auto"/>
        <w:tabs>
          <w:tab w:leader="none" w:pos="7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make or obtain any (x) security documents to be governed by the law of any jurisdiction outside of the United States or (y) other non-U.S. law filings or non-U.S. consents or corporate or organizational action in respect of security, including with respect to any share pledges and any intellectual property registered in any non-U.S. jurisdiction; provided, however, that the foregoing clause (iv) shall not affect the requirements to deliver certificates and related stock powers in respect of Equity Interest of Non-U.S. Subsidiaries constituting Collateral that would otherwise be required to be delivered pursuant to the Notes Security Documents,</w:t>
      </w:r>
    </w:p>
    <w:p>
      <w:pPr>
        <w:spacing w:after="0" w:line="187" w:lineRule="exact"/>
        <w:rPr>
          <w:rFonts w:ascii="Arial" w:cs="Arial" w:eastAsia="Arial" w:hAnsi="Arial"/>
          <w:sz w:val="18"/>
          <w:szCs w:val="18"/>
          <w:color w:val="auto"/>
        </w:rPr>
      </w:pPr>
    </w:p>
    <w:p>
      <w:pPr>
        <w:ind w:left="704" w:hanging="264"/>
        <w:spacing w:after="0"/>
        <w:tabs>
          <w:tab w:leader="none" w:pos="7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deliver landlord waivers, estoppels or collateral access letters,</w:t>
      </w:r>
    </w:p>
    <w:p>
      <w:pPr>
        <w:spacing w:after="0" w:line="225" w:lineRule="exact"/>
        <w:rPr>
          <w:rFonts w:ascii="Arial" w:cs="Arial" w:eastAsia="Arial" w:hAnsi="Arial"/>
          <w:sz w:val="18"/>
          <w:szCs w:val="18"/>
          <w:color w:val="auto"/>
        </w:rPr>
      </w:pPr>
    </w:p>
    <w:p>
      <w:pPr>
        <w:ind w:left="744" w:hanging="304"/>
        <w:spacing w:after="0"/>
        <w:tabs>
          <w:tab w:leader="none" w:pos="7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any source code escrow arrangement or be obligated to register intellectual property, or</w:t>
      </w:r>
    </w:p>
    <w:p>
      <w:pPr>
        <w:spacing w:after="0" w:line="225" w:lineRule="exact"/>
        <w:rPr>
          <w:sz w:val="20"/>
          <w:szCs w:val="20"/>
          <w:color w:val="auto"/>
        </w:rPr>
      </w:pPr>
    </w:p>
    <w:p>
      <w:pPr>
        <w:ind w:left="4" w:right="440" w:firstLine="436"/>
        <w:spacing w:after="0" w:line="342" w:lineRule="auto"/>
        <w:tabs>
          <w:tab w:leader="none" w:pos="7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make any filings or take any other actions to perfect or evidence any Lien on and security interest in any intellectual property except for filings in the United States Patent and Trademark Office of the United States Copyright Office and the filing of UCC financing statements.</w:t>
      </w:r>
    </w:p>
    <w:p>
      <w:pPr>
        <w:spacing w:after="0" w:line="124" w:lineRule="exact"/>
        <w:rPr>
          <w:sz w:val="20"/>
          <w:szCs w:val="20"/>
          <w:color w:val="auto"/>
        </w:rPr>
      </w:pPr>
    </w:p>
    <w:p>
      <w:pPr>
        <w:ind w:left="4"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Asset Swap</w:t>
      </w:r>
      <w:r>
        <w:rPr>
          <w:rFonts w:ascii="Arial" w:cs="Arial" w:eastAsia="Arial" w:hAnsi="Arial"/>
          <w:sz w:val="16"/>
          <w:szCs w:val="16"/>
          <w:color w:val="auto"/>
        </w:rPr>
        <w:t xml:space="preserve">” means the concurrent purchase and sale or exchange of assets used or useful in a Similar Business or a combination of such assets and cash or Cash Equivalents between the Issuer or any of its Restricted Subsidiaries and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cash or Cash Equivalents received in excess of the value of any cash or Cash Equivalents sold or exchanged must be applied in accordance with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hereof.</w:t>
      </w:r>
    </w:p>
    <w:p>
      <w:pPr>
        <w:spacing w:after="0" w:line="14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Call Spread Swap Agreements</w:t>
      </w:r>
      <w:r>
        <w:rPr>
          <w:rFonts w:ascii="Arial" w:cs="Arial" w:eastAsia="Arial" w:hAnsi="Arial"/>
          <w:sz w:val="16"/>
          <w:szCs w:val="16"/>
          <w:color w:val="auto"/>
        </w:rPr>
        <w:t>”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w:t>
      </w:r>
    </w:p>
    <w:p>
      <w:pPr>
        <w:spacing w:after="0" w:line="1" w:lineRule="exact"/>
        <w:rPr>
          <w:sz w:val="20"/>
          <w:szCs w:val="20"/>
          <w:color w:val="auto"/>
        </w:rPr>
      </w:pPr>
    </w:p>
    <w:p>
      <w:pPr>
        <w:ind w:left="4" w:right="100" w:hanging="4"/>
        <w:spacing w:after="0" w:line="269"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if entered into by such Person in connection with any Swap Contract described in clause (a)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conditions and covenants of each such Swap Contract shall be customary or more favorable than customary for Swap Contracts of such type (as determined by the Issuer in good faith).</w:t>
      </w:r>
    </w:p>
    <w:p>
      <w:pPr>
        <w:spacing w:after="0" w:line="11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4"/>
          </w:cols>
          <w:pgMar w:left="436" w:top="274" w:right="499" w:bottom="1440" w:gutter="0" w:footer="0" w:header="0"/>
        </w:sectPr>
      </w:pPr>
    </w:p>
    <w:bookmarkStart w:id="53" w:name="page54"/>
    <w:bookmarkEnd w:id="53"/>
    <w:p>
      <w:pPr>
        <w:ind w:left="4"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Convertible Notes</w:t>
      </w:r>
      <w:r>
        <w:rPr>
          <w:rFonts w:ascii="Arial" w:cs="Arial" w:eastAsia="Arial" w:hAnsi="Arial"/>
          <w:sz w:val="17"/>
          <w:szCs w:val="17"/>
          <w:color w:val="auto"/>
        </w:rPr>
        <w:t xml:space="preserve">” shall mean any notes issued by the Issuer or any direct or indirect parent of the Issuer that are convertible into common stock of the Issuer or any direct or indirect parent of the Issuer (or other Equity Interests, securities, property or assets following a merger event or other event or circumstance resulting in the common stock of the Issuer or any direct or indirect parent of the Issuer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the foregoing, and cash in lieu of fractional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issuance of such notes is permitted under </w:t>
      </w:r>
      <w:r>
        <w:rPr>
          <w:rFonts w:ascii="Arial" w:cs="Arial" w:eastAsia="Arial" w:hAnsi="Arial"/>
          <w:sz w:val="17"/>
          <w:szCs w:val="17"/>
          <w:u w:val="single" w:color="auto"/>
          <w:color w:val="auto"/>
        </w:rPr>
        <w:t>Section 3.02</w:t>
      </w:r>
      <w:r>
        <w:rPr>
          <w:rFonts w:ascii="Arial" w:cs="Arial" w:eastAsia="Arial" w:hAnsi="Arial"/>
          <w:sz w:val="17"/>
          <w:szCs w:val="17"/>
          <w:color w:val="auto"/>
        </w:rPr>
        <w:t>.</w:t>
      </w:r>
    </w:p>
    <w:p>
      <w:pPr>
        <w:spacing w:after="0" w:line="178"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Activities</w:t>
      </w:r>
      <w:r>
        <w:rPr>
          <w:rFonts w:ascii="Arial" w:cs="Arial" w:eastAsia="Arial" w:hAnsi="Arial"/>
          <w:sz w:val="16"/>
          <w:szCs w:val="16"/>
          <w:color w:val="auto"/>
        </w:rPr>
        <w:t>” means any transactions (A) between or among the Issuer and its Restricted Subsidiaries that are entered into in the ordinary course of business or consistent with past practice of the Issuer and its Restricted Subsidiaries and, in the reasonable determination of the Issuer are necessary or advisable in connection with the ownership or operation of the business of the Issuer and its Restricted Subsidiaries, including (i) payroll, cash management, purchasing, insurance and hedging arrangements; (ii) management, technology and licensing arrangements; and</w:t>
      </w:r>
    </w:p>
    <w:p>
      <w:pPr>
        <w:spacing w:after="0" w:line="1" w:lineRule="exact"/>
        <w:rPr>
          <w:sz w:val="20"/>
          <w:szCs w:val="20"/>
          <w:color w:val="auto"/>
        </w:rPr>
      </w:pPr>
    </w:p>
    <w:p>
      <w:pPr>
        <w:ind w:left="444" w:right="240" w:hanging="444"/>
        <w:spacing w:after="0" w:line="492" w:lineRule="auto"/>
        <w:tabs>
          <w:tab w:leader="none" w:pos="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customary loyalty and rewards programs; and (B) between or among the Issuer, its Restricted Subsidiaries and any Captive Insurance Subsidiary. “</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(in each case, by the Issuer or any of the Restricted Subsidiaries):</w:t>
      </w:r>
    </w:p>
    <w:p>
      <w:pPr>
        <w:spacing w:after="0" w:line="1" w:lineRule="exact"/>
        <w:rPr>
          <w:rFonts w:ascii="Arial" w:cs="Arial" w:eastAsia="Arial" w:hAnsi="Arial"/>
          <w:sz w:val="18"/>
          <w:szCs w:val="18"/>
          <w:color w:val="auto"/>
        </w:rPr>
      </w:pPr>
    </w:p>
    <w:p>
      <w:pPr>
        <w:ind w:left="4" w:firstLine="436"/>
        <w:spacing w:after="0" w:line="342" w:lineRule="auto"/>
        <w:tabs>
          <w:tab w:leader="none" w:pos="699"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Investments in (a) a Restricted Subsidiary (including the Capital Stock of, or guarantees of obligations of, a Restricted Subsidiary) or the Issuer or (b) a Person (including the Capital Stock of any such Person) that will, upon the making of such Investment, become a Restricted Subsidiary;</w:t>
      </w:r>
    </w:p>
    <w:p>
      <w:pPr>
        <w:spacing w:after="0" w:line="123" w:lineRule="exact"/>
        <w:rPr>
          <w:rFonts w:ascii="Arial" w:cs="Arial" w:eastAsia="Arial" w:hAnsi="Arial"/>
          <w:sz w:val="16"/>
          <w:szCs w:val="16"/>
          <w:color w:val="auto"/>
        </w:rPr>
      </w:pPr>
    </w:p>
    <w:p>
      <w:pPr>
        <w:ind w:left="4" w:firstLine="436"/>
        <w:spacing w:after="0" w:line="296" w:lineRule="auto"/>
        <w:tabs>
          <w:tab w:leader="none" w:pos="699"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Issuer or a Restricted Subsidiary, and any Investment held by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 was not acquired by such Person in contemplation of such acquisition, merger, amalgamation, consolidation, combination, transfer or conveyance;</w:t>
      </w:r>
    </w:p>
    <w:p>
      <w:pPr>
        <w:spacing w:after="0" w:line="161" w:lineRule="exact"/>
        <w:rPr>
          <w:rFonts w:ascii="Arial" w:cs="Arial" w:eastAsia="Arial" w:hAnsi="Arial"/>
          <w:sz w:val="16"/>
          <w:szCs w:val="16"/>
          <w:color w:val="auto"/>
        </w:rPr>
      </w:pPr>
    </w:p>
    <w:p>
      <w:pPr>
        <w:ind w:left="704" w:hanging="264"/>
        <w:spacing w:after="0"/>
        <w:tabs>
          <w:tab w:leader="none" w:pos="7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Investments in cash, Cash Equivalents or Investment Grade Securities;</w:t>
      </w:r>
    </w:p>
    <w:p>
      <w:pPr>
        <w:spacing w:after="0" w:line="225" w:lineRule="exact"/>
        <w:rPr>
          <w:rFonts w:ascii="Arial" w:cs="Arial" w:eastAsia="Arial" w:hAnsi="Arial"/>
          <w:sz w:val="18"/>
          <w:szCs w:val="18"/>
          <w:color w:val="auto"/>
        </w:rPr>
      </w:pPr>
    </w:p>
    <w:p>
      <w:pPr>
        <w:ind w:left="4" w:right="40" w:firstLine="436"/>
        <w:spacing w:after="0" w:line="277" w:lineRule="auto"/>
        <w:tabs>
          <w:tab w:leader="none" w:pos="69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Investments in receivables owing to the Issuer or any Restricted Subsidiary created or acquired in the ordinary course of business or consistent with past practice;</w:t>
      </w:r>
    </w:p>
    <w:p>
      <w:pPr>
        <w:spacing w:after="0" w:line="170" w:lineRule="exact"/>
        <w:rPr>
          <w:rFonts w:ascii="Arial" w:cs="Arial" w:eastAsia="Arial" w:hAnsi="Arial"/>
          <w:sz w:val="18"/>
          <w:szCs w:val="18"/>
          <w:color w:val="auto"/>
        </w:rPr>
      </w:pPr>
    </w:p>
    <w:p>
      <w:pPr>
        <w:ind w:left="4" w:right="80" w:firstLine="436"/>
        <w:spacing w:after="0" w:line="277" w:lineRule="auto"/>
        <w:tabs>
          <w:tab w:leader="none" w:pos="69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Investments in payroll, travel, entertainment, relocation, moving-related and similar advances that are made in the ordinary course of business or consistent with past practice;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Management Advances;</w:t>
      </w:r>
    </w:p>
    <w:p>
      <w:pPr>
        <w:spacing w:after="0" w:line="225" w:lineRule="exact"/>
        <w:rPr>
          <w:rFonts w:ascii="Arial" w:cs="Arial" w:eastAsia="Arial" w:hAnsi="Arial"/>
          <w:sz w:val="18"/>
          <w:szCs w:val="18"/>
          <w:color w:val="auto"/>
        </w:rPr>
      </w:pPr>
    </w:p>
    <w:p>
      <w:pPr>
        <w:ind w:left="4" w:firstLine="436"/>
        <w:spacing w:after="0" w:line="255" w:lineRule="auto"/>
        <w:tabs>
          <w:tab w:leader="none" w:pos="69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Issuer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54" w:name="page55"/>
    <w:bookmarkEnd w:id="54"/>
    <w:p>
      <w:pPr>
        <w:ind w:right="440" w:firstLine="436"/>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made as a result of the receipt of promissory notes or other non-cash consideration (including earn-outs) from a sale or other disposition of property or assets, including an Asset Disposition;</w:t>
      </w:r>
    </w:p>
    <w:p>
      <w:pPr>
        <w:spacing w:after="0" w:line="170" w:lineRule="exact"/>
        <w:rPr>
          <w:rFonts w:ascii="Arial" w:cs="Arial" w:eastAsia="Arial" w:hAnsi="Arial"/>
          <w:sz w:val="18"/>
          <w:szCs w:val="18"/>
          <w:color w:val="auto"/>
        </w:rPr>
      </w:pPr>
    </w:p>
    <w:p>
      <w:pPr>
        <w:ind w:right="100" w:firstLine="436"/>
        <w:spacing w:after="0" w:line="254"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Investments (a) existing or pursuant to binding commitments, agreements or arrangements in effect on the Spin-Off Date and any modification, replacement, renewal, reinvestment or extension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Investment may not be increased pursuant to this clause (9) except (i) as required by the terms of such Investment or binding commitment as in existence on the Spin-Off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Spin-Off Date or (ii) as otherwise permitted under this Indenture and (b) made after the Spin-Off Date in joint ventures of the Issuer or any of its Restricted Subsidiaries existing on the Spin-Off Date;</w:t>
      </w:r>
    </w:p>
    <w:p>
      <w:pPr>
        <w:spacing w:after="0" w:line="194" w:lineRule="exact"/>
        <w:rPr>
          <w:rFonts w:ascii="Arial" w:cs="Arial" w:eastAsia="Arial" w:hAnsi="Arial"/>
          <w:sz w:val="18"/>
          <w:szCs w:val="18"/>
          <w:color w:val="auto"/>
        </w:rPr>
      </w:pPr>
    </w:p>
    <w:p>
      <w:pPr>
        <w:ind w:left="780" w:hanging="344"/>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Hedging Obligations, which transactions or obligations are not prohibited by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right="120" w:firstLine="436"/>
        <w:spacing w:after="0" w:line="277" w:lineRule="auto"/>
        <w:tabs>
          <w:tab w:leader="none" w:pos="7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right="180" w:firstLine="436"/>
        <w:spacing w:after="0" w:line="277"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Investment to the extent made using Capital Stock of the Issuer (other than Disqualified Stock) or Capital Stock of any Parent Entity or any Unrestricted Subsidiary as consideration;</w:t>
      </w:r>
    </w:p>
    <w:p>
      <w:pPr>
        <w:spacing w:after="0" w:line="170" w:lineRule="exact"/>
        <w:rPr>
          <w:rFonts w:ascii="Arial" w:cs="Arial" w:eastAsia="Arial" w:hAnsi="Arial"/>
          <w:sz w:val="18"/>
          <w:szCs w:val="18"/>
          <w:color w:val="auto"/>
        </w:rPr>
      </w:pPr>
    </w:p>
    <w:p>
      <w:pPr>
        <w:ind w:firstLine="436"/>
        <w:spacing w:after="0" w:line="277"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any transaction to the extent constituting an Investment that is permitted by and made in accordance with </w:t>
      </w:r>
      <w:r>
        <w:rPr>
          <w:rFonts w:ascii="Arial" w:cs="Arial" w:eastAsia="Arial" w:hAnsi="Arial"/>
          <w:sz w:val="18"/>
          <w:szCs w:val="18"/>
          <w:u w:val="single" w:color="auto"/>
          <w:color w:val="auto"/>
        </w:rPr>
        <w:t>Section 3.08(b)</w:t>
      </w:r>
      <w:r>
        <w:rPr>
          <w:rFonts w:ascii="Arial" w:cs="Arial" w:eastAsia="Arial" w:hAnsi="Arial"/>
          <w:sz w:val="18"/>
          <w:szCs w:val="18"/>
          <w:color w:val="auto"/>
        </w:rPr>
        <w:t xml:space="preserve"> hereof (except those described in </w:t>
      </w:r>
      <w:r>
        <w:rPr>
          <w:rFonts w:ascii="Arial" w:cs="Arial" w:eastAsia="Arial" w:hAnsi="Arial"/>
          <w:sz w:val="18"/>
          <w:szCs w:val="18"/>
          <w:u w:val="single" w:color="auto"/>
          <w:color w:val="auto"/>
        </w:rPr>
        <w:t>Sections 3.08(b)(1)</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436"/>
        <w:spacing w:after="0" w:line="259"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p>
    <w:p>
      <w:pPr>
        <w:spacing w:after="0" w:line="186" w:lineRule="exact"/>
        <w:rPr>
          <w:rFonts w:ascii="Arial" w:cs="Arial" w:eastAsia="Arial" w:hAnsi="Arial"/>
          <w:sz w:val="18"/>
          <w:szCs w:val="18"/>
          <w:color w:val="auto"/>
        </w:rPr>
      </w:pPr>
    </w:p>
    <w:p>
      <w:pPr>
        <w:ind w:right="80" w:firstLine="436"/>
        <w:spacing w:after="0" w:line="263"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 Guarantees of Indebtedness not prohibited by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 and (other than with respect to Indebtedness) guarantees, keepwells and similar arrangements in the ordinary course of business or consistent with past practice, and (ii) performance guarantees and Contingent Obligations with respect to obligations that are not prohibited by this Indenture;</w:t>
      </w:r>
    </w:p>
    <w:p>
      <w:pPr>
        <w:spacing w:after="0" w:line="183" w:lineRule="exact"/>
        <w:rPr>
          <w:rFonts w:ascii="Arial" w:cs="Arial" w:eastAsia="Arial" w:hAnsi="Arial"/>
          <w:sz w:val="18"/>
          <w:szCs w:val="18"/>
          <w:color w:val="auto"/>
        </w:rPr>
      </w:pPr>
    </w:p>
    <w:p>
      <w:pPr>
        <w:ind w:right="160" w:firstLine="436"/>
        <w:spacing w:after="0" w:line="277"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consisting of earnest money deposits required in connection with a purchase agreement, or letter of intent, or other acquisitions to the extent not otherwise prohibited by this Indenture;</w:t>
      </w:r>
    </w:p>
    <w:p>
      <w:pPr>
        <w:spacing w:after="0" w:line="170" w:lineRule="exact"/>
        <w:rPr>
          <w:rFonts w:ascii="Arial" w:cs="Arial" w:eastAsia="Arial" w:hAnsi="Arial"/>
          <w:sz w:val="18"/>
          <w:szCs w:val="18"/>
          <w:color w:val="auto"/>
        </w:rPr>
      </w:pPr>
    </w:p>
    <w:p>
      <w:pPr>
        <w:jc w:val="both"/>
        <w:ind w:right="120" w:firstLine="436"/>
        <w:spacing w:after="0" w:line="259"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Investments of a Restricted Subsidiary acquired after the Spin-Off Date or of an entity merged or amalgamated into or consolidated with the Issuer or merged or amalgamated into or consolidated with a Restricted Subsidiary after the Spin-Off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5" w:name="page56"/>
    <w:bookmarkEnd w:id="55"/>
    <w:p>
      <w:pPr>
        <w:ind w:right="180" w:firstLine="436"/>
        <w:spacing w:after="0" w:line="277" w:lineRule="auto"/>
        <w:tabs>
          <w:tab w:leader="none" w:pos="785"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Investment in any Subsidiary or any joint venture in the ordinary course of business or consistent with past practice (including any cash management arrangements, cash pooling arrangements, intercompany loans or activities related thereto);</w:t>
      </w:r>
    </w:p>
    <w:p>
      <w:pPr>
        <w:spacing w:after="0" w:line="170" w:lineRule="exact"/>
        <w:rPr>
          <w:rFonts w:ascii="Arial" w:cs="Arial" w:eastAsia="Arial" w:hAnsi="Arial"/>
          <w:sz w:val="18"/>
          <w:szCs w:val="18"/>
          <w:color w:val="auto"/>
        </w:rPr>
      </w:pPr>
    </w:p>
    <w:p>
      <w:pPr>
        <w:ind w:right="80" w:firstLine="436"/>
        <w:spacing w:after="0" w:line="263" w:lineRule="auto"/>
        <w:tabs>
          <w:tab w:leader="none" w:pos="7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any employee, director, officer, manager, contractor, consultant, advisor or other service providers or other grantor trust subject to claims of creditors in the case of a bankruptcy of the Issuer, and Investments relating to non-qualified deferred payment plans in the ordinary course of business or consistent with past practice;</w:t>
      </w:r>
    </w:p>
    <w:p>
      <w:pPr>
        <w:spacing w:after="0" w:line="183" w:lineRule="exact"/>
        <w:rPr>
          <w:rFonts w:ascii="Arial" w:cs="Arial" w:eastAsia="Arial" w:hAnsi="Arial"/>
          <w:sz w:val="18"/>
          <w:szCs w:val="18"/>
          <w:color w:val="auto"/>
        </w:rPr>
      </w:pPr>
    </w:p>
    <w:p>
      <w:pPr>
        <w:ind w:firstLine="436"/>
        <w:spacing w:after="0" w:line="289" w:lineRule="auto"/>
        <w:tabs>
          <w:tab w:leader="none" w:pos="78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Investments in joint ventures and similar entities and Unrestricted Subsidiaries having an aggregate fair market value, taken together with all other Investments made pursuant to this clause that are at that time outstanding, not to exceed the greater of (i) $175.0 million and (ii) 35.0%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of any amounts applied pursuant to the Available Amount Builder Basket) with the fair market value of each Investment being measured at the time made and without giving effect to subsequent changes in value;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166" w:lineRule="exact"/>
        <w:rPr>
          <w:rFonts w:ascii="Arial" w:cs="Arial" w:eastAsia="Arial" w:hAnsi="Arial"/>
          <w:sz w:val="16"/>
          <w:szCs w:val="16"/>
          <w:color w:val="auto"/>
        </w:rPr>
      </w:pPr>
    </w:p>
    <w:p>
      <w:pPr>
        <w:ind w:right="140" w:firstLine="436"/>
        <w:spacing w:after="0" w:line="270" w:lineRule="auto"/>
        <w:tabs>
          <w:tab w:leader="none" w:pos="7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additional Investments having an aggregate fair market value, taken together with all other Investments made pursuant to this clause that are at that time outstanding, not to exceed the greater of (i) $300.0 million and (ii) 60.0%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of any amounts applied pursuant to the Available Amount Builder Basket) with the fair market value of each Investment being measured at the time made and without giving effect to subsequent changes in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180" w:lineRule="exact"/>
        <w:rPr>
          <w:rFonts w:ascii="Arial" w:cs="Arial" w:eastAsia="Arial" w:hAnsi="Arial"/>
          <w:sz w:val="17"/>
          <w:szCs w:val="17"/>
          <w:color w:val="auto"/>
        </w:rPr>
      </w:pPr>
    </w:p>
    <w:p>
      <w:pPr>
        <w:ind w:right="20" w:firstLine="436"/>
        <w:spacing w:after="0" w:line="270" w:lineRule="auto"/>
        <w:tabs>
          <w:tab w:leader="none" w:pos="7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any Investment in a Similar Business having an aggregate fair market value, taken together with all other Investments made pursuant to this clause that are at that time outstanding, not to exceed the greater of (i) $125.0 million and (ii) 25.0%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of any amounts applied pursuant to the Available Amount Builder Basket) with the fair market value of each Investment being measured at the time made and without giving effect to subsequent changes in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6" w:name="page57"/>
    <w:bookmarkEnd w:id="56"/>
    <w:p>
      <w:pPr>
        <w:ind w:left="4" w:firstLine="436"/>
        <w:spacing w:after="0" w:line="263"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p>
    <w:p>
      <w:pPr>
        <w:spacing w:after="0" w:line="183" w:lineRule="exact"/>
        <w:rPr>
          <w:rFonts w:ascii="Arial" w:cs="Arial" w:eastAsia="Arial" w:hAnsi="Arial"/>
          <w:sz w:val="18"/>
          <w:szCs w:val="18"/>
          <w:color w:val="auto"/>
        </w:rPr>
      </w:pPr>
    </w:p>
    <w:p>
      <w:pPr>
        <w:ind w:left="784" w:hanging="344"/>
        <w:spacing w:after="0"/>
        <w:tabs>
          <w:tab w:leader="none" w:pos="7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Investments in connection with the Transactions;</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225" w:lineRule="exact"/>
        <w:rPr>
          <w:rFonts w:ascii="Arial" w:cs="Arial" w:eastAsia="Arial" w:hAnsi="Arial"/>
          <w:sz w:val="18"/>
          <w:szCs w:val="18"/>
          <w:color w:val="auto"/>
        </w:rPr>
      </w:pPr>
    </w:p>
    <w:p>
      <w:pPr>
        <w:ind w:left="4" w:right="740" w:firstLine="436"/>
        <w:spacing w:after="0" w:line="277"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Investments by an Unrestricted Subsidiary entered into prior to the day such Unrestricted Subsidiary is redesignated as a Restricted Subsidiary as described under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guaranty and indemnification obligations arising in connection with surety bonds issued in the ordinary course of business or consistent with past practice;</w:t>
      </w:r>
    </w:p>
    <w:p>
      <w:pPr>
        <w:spacing w:after="0" w:line="170" w:lineRule="exact"/>
        <w:rPr>
          <w:rFonts w:ascii="Arial" w:cs="Arial" w:eastAsia="Arial" w:hAnsi="Arial"/>
          <w:sz w:val="18"/>
          <w:szCs w:val="18"/>
          <w:color w:val="auto"/>
        </w:rPr>
      </w:pPr>
    </w:p>
    <w:p>
      <w:pPr>
        <w:ind w:left="4" w:right="80" w:firstLine="436"/>
        <w:spacing w:after="0" w:line="257"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187" w:lineRule="exact"/>
        <w:rPr>
          <w:rFonts w:ascii="Arial" w:cs="Arial" w:eastAsia="Arial" w:hAnsi="Arial"/>
          <w:sz w:val="18"/>
          <w:szCs w:val="18"/>
          <w:color w:val="auto"/>
        </w:rPr>
      </w:pPr>
    </w:p>
    <w:p>
      <w:pPr>
        <w:ind w:left="4" w:right="200" w:firstLine="436"/>
        <w:spacing w:after="0" w:line="342" w:lineRule="auto"/>
        <w:tabs>
          <w:tab w:leader="none" w:pos="789"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23" w:lineRule="exact"/>
        <w:rPr>
          <w:rFonts w:ascii="Arial" w:cs="Arial" w:eastAsia="Arial" w:hAnsi="Arial"/>
          <w:sz w:val="16"/>
          <w:szCs w:val="16"/>
          <w:color w:val="auto"/>
        </w:rPr>
      </w:pPr>
    </w:p>
    <w:p>
      <w:pPr>
        <w:ind w:left="4" w:right="340" w:firstLine="436"/>
        <w:spacing w:after="0" w:line="308" w:lineRule="auto"/>
        <w:tabs>
          <w:tab w:leader="none" w:pos="789"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146" w:lineRule="exact"/>
        <w:rPr>
          <w:rFonts w:ascii="Arial" w:cs="Arial" w:eastAsia="Arial" w:hAnsi="Arial"/>
          <w:sz w:val="17"/>
          <w:szCs w:val="17"/>
          <w:color w:val="auto"/>
        </w:rPr>
      </w:pPr>
    </w:p>
    <w:p>
      <w:pPr>
        <w:jc w:val="both"/>
        <w:ind w:left="4" w:right="140" w:firstLine="436"/>
        <w:spacing w:after="0" w:line="259"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Investment by any Captive Insurance Subsidiary in connection with the provision of insurance to the Issuer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186" w:lineRule="exact"/>
        <w:rPr>
          <w:rFonts w:ascii="Arial" w:cs="Arial" w:eastAsia="Arial" w:hAnsi="Arial"/>
          <w:sz w:val="18"/>
          <w:szCs w:val="18"/>
          <w:color w:val="auto"/>
        </w:rPr>
      </w:pPr>
    </w:p>
    <w:p>
      <w:pPr>
        <w:ind w:left="4" w:right="520" w:firstLine="436"/>
        <w:spacing w:after="0" w:line="277"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and Investments in connection with any Permitted Intercompany Activities, Permitted Tax Restructuring and related transactions;</w:t>
      </w:r>
    </w:p>
    <w:p>
      <w:pPr>
        <w:spacing w:after="0" w:line="170" w:lineRule="exact"/>
        <w:rPr>
          <w:rFonts w:ascii="Arial" w:cs="Arial" w:eastAsia="Arial" w:hAnsi="Arial"/>
          <w:sz w:val="18"/>
          <w:szCs w:val="18"/>
          <w:color w:val="auto"/>
        </w:rPr>
      </w:pPr>
    </w:p>
    <w:p>
      <w:pPr>
        <w:ind w:left="4" w:right="520" w:firstLine="436"/>
        <w:spacing w:after="0" w:line="277" w:lineRule="auto"/>
        <w:tabs>
          <w:tab w:leader="none" w:pos="7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Investments made from casualty insurance proceeds in connection with the replacement, substitution, restoration or repair of assets on account of a Casualty Event; and</w:t>
      </w:r>
    </w:p>
    <w:p>
      <w:pPr>
        <w:spacing w:after="0" w:line="170" w:lineRule="exact"/>
        <w:rPr>
          <w:rFonts w:ascii="Arial" w:cs="Arial" w:eastAsia="Arial" w:hAnsi="Arial"/>
          <w:sz w:val="18"/>
          <w:szCs w:val="18"/>
          <w:color w:val="auto"/>
        </w:rPr>
      </w:pPr>
    </w:p>
    <w:p>
      <w:pPr>
        <w:ind w:left="784" w:hanging="344"/>
        <w:spacing w:after="0"/>
        <w:tabs>
          <w:tab w:leader="none" w:pos="784"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any other Investment so long as (x) no Default or Event of Default described in clauses (1), (2), (7) or (8)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exists and</w:t>
      </w:r>
    </w:p>
    <w:p>
      <w:pPr>
        <w:spacing w:after="0" w:line="34" w:lineRule="exact"/>
        <w:rPr>
          <w:rFonts w:ascii="Arial" w:cs="Arial" w:eastAsia="Arial" w:hAnsi="Arial"/>
          <w:sz w:val="17"/>
          <w:szCs w:val="17"/>
          <w:color w:val="auto"/>
        </w:rPr>
      </w:pPr>
    </w:p>
    <w:p>
      <w:pPr>
        <w:ind w:left="4" w:right="40" w:hanging="4"/>
        <w:spacing w:after="0" w:line="260"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giving pro forma effect to the Investment and the incurrence of any Indebtedness the net proceeds of which are used to make such Investment, the Consolidated Total Net Leverage Ratio shall be no greater than 3.10 to 1.00.</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4"/>
          </w:cols>
          <w:pgMar w:left="436" w:top="274" w:right="499" w:bottom="1440" w:gutter="0" w:footer="0" w:header="0"/>
        </w:sectPr>
      </w:pPr>
    </w:p>
    <w:bookmarkStart w:id="57" w:name="page58"/>
    <w:bookmarkEnd w:id="5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20" w:right="280" w:firstLine="436"/>
        <w:spacing w:after="0" w:line="277"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assets or property of a Restricted Subsidiary that is not a Guarantor securing Indebtedness and other Obligations of any Restricted Subsidiary that is not a Guarantor;</w:t>
      </w:r>
    </w:p>
    <w:p>
      <w:pPr>
        <w:spacing w:after="0" w:line="170" w:lineRule="exact"/>
        <w:rPr>
          <w:rFonts w:ascii="Arial" w:cs="Arial" w:eastAsia="Arial" w:hAnsi="Arial"/>
          <w:sz w:val="18"/>
          <w:szCs w:val="18"/>
          <w:color w:val="auto"/>
        </w:rPr>
      </w:pPr>
    </w:p>
    <w:p>
      <w:pPr>
        <w:ind w:left="-20" w:right="40" w:firstLine="436"/>
        <w:spacing w:after="0" w:line="287" w:lineRule="auto"/>
        <w:tabs>
          <w:tab w:leader="none" w:pos="6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171" w:lineRule="exact"/>
        <w:rPr>
          <w:rFonts w:ascii="Arial" w:cs="Arial" w:eastAsia="Arial" w:hAnsi="Arial"/>
          <w:sz w:val="16"/>
          <w:szCs w:val="16"/>
          <w:color w:val="auto"/>
        </w:rPr>
      </w:pPr>
    </w:p>
    <w:p>
      <w:pPr>
        <w:ind w:left="-20" w:right="60" w:firstLine="436"/>
        <w:spacing w:after="0" w:line="257"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Liens imposed by law or regulation, including carriers’, warehousemen’s, mechanics’, landlords’, suppliers’, materialmen’s, repairmen’s, architects’, construction contractors’ or other similar Liens, in each case (x) for amounts not overdue for a period of more than 60 days or, if more than 60 days overdue, are unfiled and no other action has been taken to enforce such Liens or that are being contested in good faith by appropriate proceedings or (y) so long as such Liens do not individually or in the aggregate have a material adverse effect on the Issuer and its Subsidiaries, taken as a whole;</w:t>
      </w:r>
    </w:p>
    <w:p>
      <w:pPr>
        <w:spacing w:after="0" w:line="187" w:lineRule="exact"/>
        <w:rPr>
          <w:rFonts w:ascii="Arial" w:cs="Arial" w:eastAsia="Arial" w:hAnsi="Arial"/>
          <w:sz w:val="18"/>
          <w:szCs w:val="18"/>
          <w:color w:val="auto"/>
        </w:rPr>
      </w:pPr>
    </w:p>
    <w:p>
      <w:pPr>
        <w:ind w:left="-20" w:firstLine="436"/>
        <w:spacing w:after="0" w:line="255"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in each case (x)(i) that are not overdue for a period of more than 60 days, (ii) that are not yet payable or subject to penalties for nonpayment, (iii) that are being contested in good faith by appropriate proceedings and with respect to which appropriate reserves required pursuant to GAAP (or other applicable accounting principles) have been made in respect thereof or (iv) for property Taxes on property of the Issuer or one of its Subsidiaries that the Issuer (or the applicable Subsidiary) has determined to abandon if the sole recourse for such Tax is to such property or (y) so long as such Liens do not individually or in the aggregate have a material adverse effect on the Issuer and its Subsidiaries, taken as a whole;</w:t>
      </w:r>
    </w:p>
    <w:p>
      <w:pPr>
        <w:spacing w:after="0" w:line="192" w:lineRule="exact"/>
        <w:rPr>
          <w:rFonts w:ascii="Arial" w:cs="Arial" w:eastAsia="Arial" w:hAnsi="Arial"/>
          <w:sz w:val="18"/>
          <w:szCs w:val="18"/>
          <w:color w:val="auto"/>
        </w:rPr>
      </w:pPr>
    </w:p>
    <w:p>
      <w:pPr>
        <w:ind w:left="-20" w:firstLine="436"/>
        <w:spacing w:after="0" w:line="271" w:lineRule="auto"/>
        <w:tabs>
          <w:tab w:leader="none" w:pos="675" w:val="left"/>
        </w:tabs>
        <w:numPr>
          <w:ilvl w:val="0"/>
          <w:numId w:val="70"/>
        </w:numPr>
        <w:rPr>
          <w:rFonts w:ascii="Arial" w:cs="Arial" w:eastAsia="Arial" w:hAnsi="Arial"/>
          <w:sz w:val="17"/>
          <w:szCs w:val="17"/>
          <w:color w:val="auto"/>
        </w:rPr>
      </w:pPr>
      <w:r>
        <w:rPr>
          <w:rFonts w:ascii="Arial" w:cs="Arial" w:eastAsia="Arial" w:hAnsi="Arial"/>
          <w:sz w:val="17"/>
          <w:szCs w:val="17"/>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Issuer and its Restricted Subsidiaries, taken as a whole;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460" w:top="274" w:right="479" w:bottom="1440" w:gutter="0" w:footer="0" w:header="0"/>
        </w:sectPr>
      </w:pPr>
    </w:p>
    <w:bookmarkStart w:id="58" w:name="page59"/>
    <w:bookmarkEnd w:id="58"/>
    <w:p>
      <w:pPr>
        <w:ind w:left="-20" w:firstLine="436"/>
        <w:spacing w:after="0" w:line="286"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(a) securing Hedging Obligations,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Issuer or any Subsidiary or consistent with past practice or (iii) relating to purchase orders and other agreements entered into with customers of the Issuer or any Restricted Subsidiary in the ordinary course of business or consistent with past practice; (c) on cash accounts securing Indebtedness and other Obligations permitted to be incurred under </w:t>
      </w:r>
      <w:r>
        <w:rPr>
          <w:rFonts w:ascii="Arial" w:cs="Arial" w:eastAsia="Arial" w:hAnsi="Arial"/>
          <w:sz w:val="16"/>
          <w:szCs w:val="16"/>
          <w:u w:val="single" w:color="auto"/>
          <w:color w:val="auto"/>
        </w:rPr>
        <w:t>Section 3.02(b)(8)(e)</w:t>
      </w:r>
      <w:r>
        <w:rPr>
          <w:rFonts w:ascii="Arial" w:cs="Arial" w:eastAsia="Arial" w:hAnsi="Arial"/>
          <w:sz w:val="16"/>
          <w:szCs w:val="16"/>
          <w:color w:val="auto"/>
        </w:rPr>
        <w:t xml:space="preserve"> 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173" w:lineRule="exact"/>
        <w:rPr>
          <w:rFonts w:ascii="Arial" w:cs="Arial" w:eastAsia="Arial" w:hAnsi="Arial"/>
          <w:sz w:val="16"/>
          <w:szCs w:val="16"/>
          <w:color w:val="auto"/>
        </w:rPr>
      </w:pPr>
    </w:p>
    <w:p>
      <w:pPr>
        <w:ind w:left="-20" w:right="300" w:firstLine="436"/>
        <w:spacing w:after="0" w:line="311"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Issuer and its Restricted Subsidiaries, taken as a whole;</w:t>
      </w:r>
    </w:p>
    <w:p>
      <w:pPr>
        <w:spacing w:after="0" w:line="148" w:lineRule="exact"/>
        <w:rPr>
          <w:rFonts w:ascii="Arial" w:cs="Arial" w:eastAsia="Arial" w:hAnsi="Arial"/>
          <w:sz w:val="16"/>
          <w:szCs w:val="16"/>
          <w:color w:val="auto"/>
        </w:rPr>
      </w:pPr>
    </w:p>
    <w:p>
      <w:pPr>
        <w:ind w:left="-20" w:right="440" w:firstLine="436"/>
        <w:spacing w:after="0" w:line="277" w:lineRule="auto"/>
        <w:tabs>
          <w:tab w:leader="none" w:pos="6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Liens securing or otherwise arising out of judgments, decrees, attachments, orders or awards not giving rise to an Event of Default under </w:t>
      </w:r>
      <w:r>
        <w:rPr>
          <w:rFonts w:ascii="Arial" w:cs="Arial" w:eastAsia="Arial" w:hAnsi="Arial"/>
          <w:sz w:val="18"/>
          <w:szCs w:val="18"/>
          <w:u w:val="single" w:color="auto"/>
          <w:color w:val="auto"/>
        </w:rPr>
        <w:t>Section 6.01(a)(5)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firstLine="436"/>
        <w:spacing w:after="0" w:line="288" w:lineRule="auto"/>
        <w:tabs>
          <w:tab w:leader="none" w:pos="6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Liens (a)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aggregate principal amount of Indebtedness secured by such Liens is otherwise permitted to be incurred under this Indenture, and (ii) any such Liens may not extend to any assets or property of the Issuer or any Restricted Subsidiary other than the assets or property, the acquisition, leasing, expansion, construction, installation, replacement, repair or improvement and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spacing w:after="0" w:line="168" w:lineRule="exact"/>
        <w:rPr>
          <w:rFonts w:ascii="Arial" w:cs="Arial" w:eastAsia="Arial" w:hAnsi="Arial"/>
          <w:sz w:val="16"/>
          <w:szCs w:val="16"/>
          <w:color w:val="auto"/>
        </w:rPr>
      </w:pPr>
    </w:p>
    <w:p>
      <w:pPr>
        <w:ind w:left="-20" w:right="100" w:firstLine="436"/>
        <w:spacing w:after="0" w:line="277" w:lineRule="auto"/>
        <w:tabs>
          <w:tab w:leader="none" w:pos="7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arising from UCC financing statements, including precautionary financing statements (or similar filings) regarding operating leases or consignments entered into by the Issuer and its Restricted Subsidiaries;</w:t>
      </w:r>
    </w:p>
    <w:p>
      <w:pPr>
        <w:spacing w:after="0" w:line="170" w:lineRule="exact"/>
        <w:rPr>
          <w:rFonts w:ascii="Arial" w:cs="Arial" w:eastAsia="Arial" w:hAnsi="Arial"/>
          <w:sz w:val="18"/>
          <w:szCs w:val="18"/>
          <w:color w:val="auto"/>
        </w:rPr>
      </w:pPr>
    </w:p>
    <w:p>
      <w:pPr>
        <w:ind w:left="-20" w:right="220" w:firstLine="436"/>
        <w:spacing w:after="0" w:line="277" w:lineRule="auto"/>
        <w:tabs>
          <w:tab w:leader="none" w:pos="7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existing on the Spin-Off Date, including any Liens securing any Refinancing Indebtedness of any Indebtedness secured by Liens but excluding Liens securing the Credit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60" w:top="274" w:right="479" w:bottom="1440" w:gutter="0" w:footer="0" w:header="0"/>
        </w:sectPr>
      </w:pPr>
    </w:p>
    <w:bookmarkStart w:id="59" w:name="page60"/>
    <w:bookmarkEnd w:id="59"/>
    <w:p>
      <w:pPr>
        <w:ind w:left="-20" w:firstLine="436"/>
        <w:spacing w:after="0" w:line="289" w:lineRule="auto"/>
        <w:tabs>
          <w:tab w:leader="none" w:pos="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property, other assets or shares of stock of a Person at the time such Person becomes a Subsidiary (or at the time the Issuer or a Subsidiary acquires such property, other assets or shares of stock, including any acquisition by means of a merger, amalgamation, consolidation or other business combination transaction with or into the Issuer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Liens are not created in anticipation of such other Person becoming a Subsidiary (or such acquisition of such property, other assets or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Liens are limited to all or part of the same property, other assets or stock (plus property and assets affixed or appurtenant thereto and additions, improvements, accessions, proceeds, dividends or distributions thereof, including (i) after-acquired property that is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166" w:lineRule="exact"/>
        <w:rPr>
          <w:rFonts w:ascii="Arial" w:cs="Arial" w:eastAsia="Arial" w:hAnsi="Arial"/>
          <w:sz w:val="16"/>
          <w:szCs w:val="16"/>
          <w:color w:val="auto"/>
        </w:rPr>
      </w:pPr>
    </w:p>
    <w:p>
      <w:pPr>
        <w:ind w:left="-20" w:right="180" w:firstLine="436"/>
        <w:spacing w:after="0" w:line="277" w:lineRule="auto"/>
        <w:tabs>
          <w:tab w:leader="none" w:pos="7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securing Obligations relating to any Indebtedness or other obligations of the Issuer or a Restricted Subsidiary owing to the Issuer or a Restricted Subsidiary, or Liens in favor of the Issuer or any Restricted Subsidiary or the Trustee;</w:t>
      </w:r>
    </w:p>
    <w:p>
      <w:pPr>
        <w:spacing w:after="0" w:line="170" w:lineRule="exact"/>
        <w:rPr>
          <w:rFonts w:ascii="Arial" w:cs="Arial" w:eastAsia="Arial" w:hAnsi="Arial"/>
          <w:sz w:val="18"/>
          <w:szCs w:val="18"/>
          <w:color w:val="auto"/>
        </w:rPr>
      </w:pPr>
    </w:p>
    <w:p>
      <w:pPr>
        <w:ind w:left="-20" w:right="20" w:firstLine="436"/>
        <w:spacing w:after="0" w:line="291" w:lineRule="auto"/>
        <w:tabs>
          <w:tab w:leader="none" w:pos="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securing Refinancing Indebtedness incurred to refinance Indebtedness that was previously so secured, and permitted to be secured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166" w:lineRule="exact"/>
        <w:rPr>
          <w:rFonts w:ascii="Arial" w:cs="Arial" w:eastAsia="Arial" w:hAnsi="Arial"/>
          <w:sz w:val="16"/>
          <w:szCs w:val="16"/>
          <w:color w:val="auto"/>
        </w:rPr>
      </w:pPr>
    </w:p>
    <w:p>
      <w:pPr>
        <w:jc w:val="both"/>
        <w:ind w:left="-20" w:right="220" w:firstLine="436"/>
        <w:spacing w:after="0" w:line="259" w:lineRule="auto"/>
        <w:tabs>
          <w:tab w:leader="none" w:pos="7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mortgages, liens, security interests, restrictions, encumbrances or any other matters of record that have been placed by any government, statutory or regulatory authority, developer, landlord or other third party on property over which the Issuer or any Restricted Subsidiary has easement rights or on any leased property and subordination or similar arrangements relating thereto and (b) any condemnation or eminent domain proceedings affecting any real property;</w:t>
      </w:r>
    </w:p>
    <w:p>
      <w:pPr>
        <w:spacing w:after="0" w:line="186" w:lineRule="exact"/>
        <w:rPr>
          <w:rFonts w:ascii="Arial" w:cs="Arial" w:eastAsia="Arial" w:hAnsi="Arial"/>
          <w:sz w:val="18"/>
          <w:szCs w:val="18"/>
          <w:color w:val="auto"/>
        </w:rPr>
      </w:pPr>
    </w:p>
    <w:p>
      <w:pPr>
        <w:ind w:left="-20" w:right="340" w:firstLine="436"/>
        <w:spacing w:after="0" w:line="342" w:lineRule="auto"/>
        <w:tabs>
          <w:tab w:leader="none" w:pos="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encumbrance or restriction (including put and call arrangements) with respect to Capital Stock of any joint venture secured financing arrangement, joint venture or similar arrangement pursuant to any joint venture secured financing arrangement, joint venture or similar agreement;</w:t>
      </w:r>
    </w:p>
    <w:p>
      <w:pPr>
        <w:spacing w:after="0" w:line="123" w:lineRule="exact"/>
        <w:rPr>
          <w:rFonts w:ascii="Arial" w:cs="Arial" w:eastAsia="Arial" w:hAnsi="Arial"/>
          <w:sz w:val="16"/>
          <w:szCs w:val="16"/>
          <w:color w:val="auto"/>
        </w:rPr>
      </w:pPr>
    </w:p>
    <w:p>
      <w:pPr>
        <w:ind w:left="-20" w:right="340" w:firstLine="436"/>
        <w:spacing w:after="0" w:line="277" w:lineRule="auto"/>
        <w:tabs>
          <w:tab w:leader="none" w:pos="7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170" w:lineRule="exact"/>
        <w:rPr>
          <w:rFonts w:ascii="Arial" w:cs="Arial" w:eastAsia="Arial" w:hAnsi="Arial"/>
          <w:sz w:val="18"/>
          <w:szCs w:val="18"/>
          <w:color w:val="auto"/>
        </w:rPr>
      </w:pPr>
    </w:p>
    <w:p>
      <w:pPr>
        <w:ind w:left="-20" w:right="380" w:firstLine="436"/>
        <w:spacing w:after="0" w:line="277" w:lineRule="auto"/>
        <w:tabs>
          <w:tab w:leader="none" w:pos="7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170" w:lineRule="exact"/>
        <w:rPr>
          <w:rFonts w:ascii="Arial" w:cs="Arial" w:eastAsia="Arial" w:hAnsi="Arial"/>
          <w:sz w:val="18"/>
          <w:szCs w:val="18"/>
          <w:color w:val="auto"/>
        </w:rPr>
      </w:pPr>
    </w:p>
    <w:p>
      <w:pPr>
        <w:ind w:left="-20" w:right="360" w:firstLine="436"/>
        <w:spacing w:after="0" w:line="286" w:lineRule="auto"/>
        <w:tabs>
          <w:tab w:leader="none" w:pos="76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Liens securing Indebtedness and other obligations in respect of (a) Credit Facilities, including any letter of credit facility relating thereto, under </w:t>
      </w:r>
      <w:r>
        <w:rPr>
          <w:rFonts w:ascii="Arial" w:cs="Arial" w:eastAsia="Arial" w:hAnsi="Arial"/>
          <w:sz w:val="17"/>
          <w:szCs w:val="17"/>
          <w:u w:val="single" w:color="auto"/>
          <w:color w:val="auto"/>
        </w:rPr>
        <w:t>Section 3.02(b)(1)</w:t>
      </w:r>
      <w:r>
        <w:rPr>
          <w:rFonts w:ascii="Arial" w:cs="Arial" w:eastAsia="Arial" w:hAnsi="Arial"/>
          <w:sz w:val="17"/>
          <w:szCs w:val="17"/>
          <w:color w:val="auto"/>
        </w:rPr>
        <w:t xml:space="preserve"> and (b) obligations of the Issuer or any Subsidiary in respect of any Cash Management Obligation or Hedging Obligation provided by any lender party to any Credit Facility or Affiliate of such lender (or any Person that was a lender or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60" w:top="274" w:right="459" w:bottom="1440" w:gutter="0" w:footer="0" w:header="0"/>
        </w:sectPr>
      </w:pPr>
    </w:p>
    <w:bookmarkStart w:id="60" w:name="page61"/>
    <w:bookmarkEnd w:id="6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of a lender at the time the applicable agreements in respect of such Cash Management Obligation or Hedging Obligation were entered into) or provided by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obligation is otherwise permitted to be secured under such Credit Facility;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in the case of any such Liens on the Collateral securing Credit Facilities under this clause (19) and (at the option of the Issuer) securing any other obligations under this clause (19) that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Liens securing the Notes, the applicable representative for such Credit Facility shall be subject to the First Lien Pari Passu Intercreditor Agreement and, in the case of any such Liens on the Collateral securing Credit Facilities under this clause (19) and (at the option of the Issuer) securing any other obligations under this clause (19) that are junior to the Liens securing the Notes, the applicable representative for such Credit Facility shall be subject to a Junior Lien Intercreditor Agreement;</w:t>
      </w:r>
    </w:p>
    <w:p>
      <w:pPr>
        <w:spacing w:after="0" w:line="177" w:lineRule="exact"/>
        <w:rPr>
          <w:sz w:val="20"/>
          <w:szCs w:val="20"/>
          <w:color w:val="auto"/>
        </w:rPr>
      </w:pPr>
    </w:p>
    <w:p>
      <w:pPr>
        <w:ind w:firstLine="436"/>
        <w:spacing w:after="0" w:line="254"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securing Indebtedness and other obligations under </w:t>
      </w:r>
      <w:r>
        <w:rPr>
          <w:rFonts w:ascii="Arial" w:cs="Arial" w:eastAsia="Arial" w:hAnsi="Arial"/>
          <w:sz w:val="18"/>
          <w:szCs w:val="18"/>
          <w:u w:val="single" w:color="auto"/>
          <w:color w:val="auto"/>
        </w:rPr>
        <w:t>Section 3.02(b)(5)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Issuer or any Restricted Subsidiary, in any transaction to which such Indebtedness or other Obligation relates;</w:t>
      </w:r>
    </w:p>
    <w:p>
      <w:pPr>
        <w:spacing w:after="0" w:line="194" w:lineRule="exact"/>
        <w:rPr>
          <w:rFonts w:ascii="Arial" w:cs="Arial" w:eastAsia="Arial" w:hAnsi="Arial"/>
          <w:sz w:val="18"/>
          <w:szCs w:val="18"/>
          <w:color w:val="auto"/>
        </w:rPr>
      </w:pPr>
    </w:p>
    <w:p>
      <w:pPr>
        <w:ind w:right="420" w:firstLine="436"/>
        <w:spacing w:after="0" w:line="277"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securing Indebtedness and other obligations permitted by </w:t>
      </w:r>
      <w:r>
        <w:rPr>
          <w:rFonts w:ascii="Arial" w:cs="Arial" w:eastAsia="Arial" w:hAnsi="Arial"/>
          <w:sz w:val="18"/>
          <w:szCs w:val="18"/>
          <w:u w:val="single" w:color="auto"/>
          <w:color w:val="auto"/>
        </w:rPr>
        <w:t>Section 3.02(b)(11)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clause (11), such Liens cover only the assets of such non-Guarantors) or </w:t>
      </w:r>
      <w:r>
        <w:rPr>
          <w:rFonts w:ascii="Arial" w:cs="Arial" w:eastAsia="Arial" w:hAnsi="Arial"/>
          <w:sz w:val="18"/>
          <w:szCs w:val="18"/>
          <w:u w:val="single" w:color="auto"/>
          <w:color w:val="auto"/>
        </w:rPr>
        <w:t>Section 3.02(b)(17)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500" w:firstLine="436"/>
        <w:spacing w:after="0" w:line="277"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Capital Stock or other securities or assets of any Unrestricted Subsidiary that secure Indebtedness or other obligations of such Unrestricted Subsidiary;</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permitted under clause (4) of the definition of “Cash Equivalents”;</w:t>
      </w:r>
    </w:p>
    <w:p>
      <w:pPr>
        <w:spacing w:after="0" w:line="225" w:lineRule="exact"/>
        <w:rPr>
          <w:rFonts w:ascii="Arial" w:cs="Arial" w:eastAsia="Arial" w:hAnsi="Arial"/>
          <w:sz w:val="18"/>
          <w:szCs w:val="18"/>
          <w:color w:val="auto"/>
        </w:rPr>
      </w:pPr>
    </w:p>
    <w:p>
      <w:pPr>
        <w:ind w:right="40" w:firstLine="436"/>
        <w:spacing w:after="0" w:line="257"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(i) goods the purchase price of which is financed by a documentary letter of credit issued for the account of the Issuer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187" w:lineRule="exact"/>
        <w:rPr>
          <w:rFonts w:ascii="Arial" w:cs="Arial" w:eastAsia="Arial" w:hAnsi="Arial"/>
          <w:sz w:val="18"/>
          <w:szCs w:val="18"/>
          <w:color w:val="auto"/>
        </w:rPr>
      </w:pPr>
    </w:p>
    <w:p>
      <w:pPr>
        <w:ind w:left="780" w:hanging="344"/>
        <w:spacing w:after="0"/>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Liens on vehicles or equipment of the Issuer or any Restricted Subsidiary in the ordinary course of business or consistent with past practice;</w:t>
      </w:r>
    </w:p>
    <w:p>
      <w:pPr>
        <w:spacing w:after="0" w:line="248" w:lineRule="exact"/>
        <w:rPr>
          <w:rFonts w:ascii="Arial" w:cs="Arial" w:eastAsia="Arial" w:hAnsi="Arial"/>
          <w:sz w:val="16"/>
          <w:szCs w:val="16"/>
          <w:color w:val="auto"/>
        </w:rPr>
      </w:pPr>
    </w:p>
    <w:p>
      <w:pPr>
        <w:ind w:firstLine="436"/>
        <w:spacing w:after="0" w:line="277" w:lineRule="auto"/>
        <w:tabs>
          <w:tab w:leader="none" w:pos="7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assets or securities deemed to arise in connection with and solely as a result of the execution, delivery or performance of contracts to sell such assets or securities if such sale is otherwise not prohibited by this Indenture;</w:t>
      </w:r>
    </w:p>
    <w:p>
      <w:pPr>
        <w:spacing w:after="0" w:line="170" w:lineRule="exact"/>
        <w:rPr>
          <w:rFonts w:ascii="Arial" w:cs="Arial" w:eastAsia="Arial" w:hAnsi="Arial"/>
          <w:sz w:val="18"/>
          <w:szCs w:val="18"/>
          <w:color w:val="auto"/>
        </w:rPr>
      </w:pPr>
    </w:p>
    <w:p>
      <w:pPr>
        <w:jc w:val="both"/>
        <w:ind w:right="120" w:firstLine="436"/>
        <w:spacing w:after="0" w:line="286" w:lineRule="auto"/>
        <w:tabs>
          <w:tab w:leader="none" w:pos="7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1" w:name="page62"/>
    <w:bookmarkEnd w:id="61"/>
    <w:p>
      <w:pPr>
        <w:ind w:left="780" w:hanging="344"/>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solely on any cash earnest money deposits made in connection with any letter of intent or purchase agreement permitted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right="360" w:firstLine="436"/>
        <w:spacing w:after="0" w:line="275" w:lineRule="auto"/>
        <w:tabs>
          <w:tab w:leader="none" w:pos="7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Liens (i)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applicable, would have been permitted on the date of the creation of such Lien;</w:t>
      </w:r>
    </w:p>
    <w:p>
      <w:pPr>
        <w:spacing w:after="0" w:line="176" w:lineRule="exact"/>
        <w:rPr>
          <w:rFonts w:ascii="Arial" w:cs="Arial" w:eastAsia="Arial" w:hAnsi="Arial"/>
          <w:sz w:val="17"/>
          <w:szCs w:val="17"/>
          <w:color w:val="auto"/>
        </w:rPr>
      </w:pPr>
    </w:p>
    <w:p>
      <w:pPr>
        <w:ind w:right="300" w:firstLine="436"/>
        <w:spacing w:after="0" w:line="342" w:lineRule="auto"/>
        <w:tabs>
          <w:tab w:leader="none" w:pos="7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Liens securing Indebtedness and other obligations in an aggregate principal amount not to exceed the greater of (i) $250.0 million and (ii) 50.0% of LTM EBITDA at the time incurred and any Liens securing any Refinancing Indebtedness of any Indebtedness secured by such Liens;</w:t>
      </w:r>
    </w:p>
    <w:p>
      <w:pPr>
        <w:spacing w:after="0" w:line="123" w:lineRule="exact"/>
        <w:rPr>
          <w:rFonts w:ascii="Arial" w:cs="Arial" w:eastAsia="Arial" w:hAnsi="Arial"/>
          <w:sz w:val="16"/>
          <w:szCs w:val="16"/>
          <w:color w:val="auto"/>
        </w:rPr>
      </w:pPr>
    </w:p>
    <w:p>
      <w:pPr>
        <w:ind w:firstLine="436"/>
        <w:spacing w:after="0" w:line="277" w:lineRule="auto"/>
        <w:tabs>
          <w:tab w:leader="none" w:pos="7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Liens then existing with respect to assets of an Unrestricted Subsidiary on the day such Unrestricted Subsidiary is redesignated as a Restricted Subsidiary pursuant to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436"/>
        <w:spacing w:after="0" w:line="288" w:lineRule="auto"/>
        <w:tabs>
          <w:tab w:leader="none" w:pos="7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Liens securing Indebtedness and other obligations permitted under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liens securing Indebtedness or other obligations permitted under this clause (33), at the time of incurrence and after giving pro forma effect thereto, (x) for any such Indebtedness or other obligations that are secured by a Lien on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Notes, the Consolidated First Lien Net Leverage Ratio on a pro forma basis does not exceed, at the Issuer’s option, (i) 3.10 to 1.00 or (ii) in the case of Acquisition Indebtedness, the Consolidated First Lien Net Leverage Ratio immediately prior to the incurrence of such Indebtedness; and (y) for any such Indebtedness or other obligations that are secured by a Lien on the Collateral on a junior basis to the Notes, the Consolidated Secured Net Leverage Ratio on a pro forma basis does not exceed, at the Issuer’s option, (i) 3.10 to 1.00 or (ii) in the case of Acquisition Indebtedness, the Consolidated Secured Net Leverage Ratio immediately prior to the incurrence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Liens on the Collateral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Notes, the applicable representative shall be subject to a First Lien Pari Passu Intercreditor Agreement and, in the case of Liens that are junior to the Liens securing the Notes, the applicable representative shall be subject to a Junior Lien Intercreditor Agreement;</w:t>
      </w:r>
    </w:p>
    <w:p>
      <w:pPr>
        <w:spacing w:after="0" w:line="168" w:lineRule="exact"/>
        <w:rPr>
          <w:rFonts w:ascii="Arial" w:cs="Arial" w:eastAsia="Arial" w:hAnsi="Arial"/>
          <w:sz w:val="16"/>
          <w:szCs w:val="16"/>
          <w:color w:val="auto"/>
        </w:rPr>
      </w:pPr>
    </w:p>
    <w:p>
      <w:pPr>
        <w:ind w:right="380" w:firstLine="436"/>
        <w:spacing w:after="0" w:line="308" w:lineRule="auto"/>
        <w:tabs>
          <w:tab w:leader="none" w:pos="7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permitted by the covenant described under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Liens do not extend to any assets other than those that are the subject of such repurchase agreement;</w:t>
      </w:r>
    </w:p>
    <w:p>
      <w:pPr>
        <w:spacing w:after="0" w:line="146" w:lineRule="exact"/>
        <w:rPr>
          <w:rFonts w:ascii="Arial" w:cs="Arial" w:eastAsia="Arial" w:hAnsi="Arial"/>
          <w:sz w:val="17"/>
          <w:szCs w:val="17"/>
          <w:color w:val="auto"/>
        </w:rPr>
      </w:pPr>
    </w:p>
    <w:p>
      <w:pPr>
        <w:ind w:right="320" w:firstLine="436"/>
        <w:spacing w:after="0" w:line="277" w:lineRule="auto"/>
        <w:tabs>
          <w:tab w:leader="none" w:pos="7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arising in connection with a Qualified Securitization Financing or a Receivables Facility, and back-up Liens in connection with any other factoring, securitization or similar arrangement;</w:t>
      </w:r>
    </w:p>
    <w:p>
      <w:pPr>
        <w:spacing w:after="0" w:line="170" w:lineRule="exact"/>
        <w:rPr>
          <w:rFonts w:ascii="Arial" w:cs="Arial" w:eastAsia="Arial" w:hAnsi="Arial"/>
          <w:sz w:val="18"/>
          <w:szCs w:val="18"/>
          <w:color w:val="auto"/>
        </w:rPr>
      </w:pPr>
    </w:p>
    <w:p>
      <w:pPr>
        <w:ind w:left="780" w:hanging="344"/>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225" w:lineRule="exact"/>
        <w:rPr>
          <w:rFonts w:ascii="Arial" w:cs="Arial" w:eastAsia="Arial" w:hAnsi="Arial"/>
          <w:sz w:val="18"/>
          <w:szCs w:val="18"/>
          <w:color w:val="auto"/>
        </w:rPr>
      </w:pPr>
    </w:p>
    <w:p>
      <w:pPr>
        <w:ind w:right="440" w:firstLine="436"/>
        <w:spacing w:after="0" w:line="277" w:lineRule="auto"/>
        <w:tabs>
          <w:tab w:leader="none" w:pos="7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rights of recapture of unused real property in favor of the seller of such property set forth in customary purchase agreements and related arrangements with any government, statutory or regulatory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2" w:name="page63"/>
    <w:bookmarkEnd w:id="62"/>
    <w:p>
      <w:pPr>
        <w:ind w:left="4" w:right="280" w:firstLine="436"/>
        <w:spacing w:after="0" w:line="263" w:lineRule="auto"/>
        <w:tabs>
          <w:tab w:leader="none" w:pos="789"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reserved to or vested in any Person or government, statutory or regulatory authority by the terms of any lease, license, franchise, grant or permit held by the Issuer or any Restricted Subsidiary or by a statutory provision, to terminate any such lease, license, franchise, grant or permit, or to require annual or periodic payments as a condition to the continuance thereof;</w:t>
      </w:r>
    </w:p>
    <w:p>
      <w:pPr>
        <w:spacing w:after="0" w:line="183" w:lineRule="exact"/>
        <w:rPr>
          <w:rFonts w:ascii="Arial" w:cs="Arial" w:eastAsia="Arial" w:hAnsi="Arial"/>
          <w:sz w:val="18"/>
          <w:szCs w:val="18"/>
          <w:color w:val="auto"/>
        </w:rPr>
      </w:pPr>
    </w:p>
    <w:p>
      <w:pPr>
        <w:ind w:left="4" w:right="240" w:firstLine="436"/>
        <w:spacing w:after="0" w:line="263" w:lineRule="auto"/>
        <w:tabs>
          <w:tab w:leader="none" w:pos="7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or covenants do not interfere with the ordinary conduct of the business of the Issuer or any Restricted Subsidiary;</w:t>
      </w:r>
    </w:p>
    <w:p>
      <w:pPr>
        <w:spacing w:after="0" w:line="183" w:lineRule="exact"/>
        <w:rPr>
          <w:rFonts w:ascii="Arial" w:cs="Arial" w:eastAsia="Arial" w:hAnsi="Arial"/>
          <w:sz w:val="18"/>
          <w:szCs w:val="18"/>
          <w:color w:val="auto"/>
        </w:rPr>
      </w:pPr>
    </w:p>
    <w:p>
      <w:pPr>
        <w:ind w:left="4" w:right="360" w:firstLine="436"/>
        <w:spacing w:after="0" w:line="277" w:lineRule="auto"/>
        <w:tabs>
          <w:tab w:leader="none" w:pos="7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Liens on property, assets or Permitted Investments used to defease or to satisfy or discharge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satisfaction or discharge is not prohibited by this Indenture;</w:t>
      </w:r>
    </w:p>
    <w:p>
      <w:pPr>
        <w:spacing w:after="0" w:line="170" w:lineRule="exact"/>
        <w:rPr>
          <w:rFonts w:ascii="Arial" w:cs="Arial" w:eastAsia="Arial" w:hAnsi="Arial"/>
          <w:sz w:val="18"/>
          <w:szCs w:val="18"/>
          <w:color w:val="auto"/>
        </w:rPr>
      </w:pPr>
    </w:p>
    <w:p>
      <w:pPr>
        <w:ind w:left="4" w:right="40" w:firstLine="436"/>
        <w:spacing w:after="0" w:line="275" w:lineRule="auto"/>
        <w:tabs>
          <w:tab w:leader="none" w:pos="789" w:val="left"/>
        </w:tabs>
        <w:numPr>
          <w:ilvl w:val="0"/>
          <w:numId w:val="75"/>
        </w:numPr>
        <w:rPr>
          <w:rFonts w:ascii="Arial" w:cs="Arial" w:eastAsia="Arial" w:hAnsi="Arial"/>
          <w:sz w:val="17"/>
          <w:szCs w:val="17"/>
          <w:color w:val="auto"/>
        </w:rPr>
      </w:pPr>
      <w:r>
        <w:rPr>
          <w:rFonts w:ascii="Arial" w:cs="Arial" w:eastAsia="Arial" w:hAnsi="Arial"/>
          <w:sz w:val="17"/>
          <w:szCs w:val="17"/>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76" w:lineRule="exact"/>
        <w:rPr>
          <w:rFonts w:ascii="Arial" w:cs="Arial" w:eastAsia="Arial" w:hAnsi="Arial"/>
          <w:sz w:val="17"/>
          <w:szCs w:val="17"/>
          <w:color w:val="auto"/>
        </w:rPr>
      </w:pPr>
    </w:p>
    <w:p>
      <w:pPr>
        <w:ind w:left="784" w:hanging="344"/>
        <w:spacing w:after="0"/>
        <w:tabs>
          <w:tab w:leader="none" w:pos="7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securing the Notes outstanding on the Spin-Off Date and the related Guarantees;</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0"/>
          <w:numId w:val="75"/>
        </w:numPr>
        <w:rPr>
          <w:rFonts w:ascii="Arial" w:cs="Arial" w:eastAsia="Arial" w:hAnsi="Arial"/>
          <w:sz w:val="17"/>
          <w:szCs w:val="17"/>
          <w:color w:val="auto"/>
        </w:rPr>
      </w:pPr>
      <w:r>
        <w:rPr>
          <w:rFonts w:ascii="Arial" w:cs="Arial" w:eastAsia="Arial" w:hAnsi="Arial"/>
          <w:sz w:val="17"/>
          <w:szCs w:val="17"/>
          <w:color w:val="auto"/>
        </w:rPr>
        <w:t>Liens on assets securing any Indebtedness owed to any Captive Insurance Subsidiary by the Issuer or any Restricted Subsidiary;</w:t>
      </w:r>
    </w:p>
    <w:p>
      <w:pPr>
        <w:spacing w:after="0" w:line="236" w:lineRule="exact"/>
        <w:rPr>
          <w:rFonts w:ascii="Arial" w:cs="Arial" w:eastAsia="Arial" w:hAnsi="Arial"/>
          <w:sz w:val="17"/>
          <w:szCs w:val="17"/>
          <w:color w:val="auto"/>
        </w:rPr>
      </w:pPr>
    </w:p>
    <w:p>
      <w:pPr>
        <w:ind w:left="784" w:hanging="344"/>
        <w:spacing w:after="0"/>
        <w:tabs>
          <w:tab w:leader="none" w:pos="784" w:val="left"/>
        </w:tabs>
        <w:numPr>
          <w:ilvl w:val="0"/>
          <w:numId w:val="75"/>
        </w:numPr>
        <w:rPr>
          <w:rFonts w:ascii="Arial" w:cs="Arial" w:eastAsia="Arial" w:hAnsi="Arial"/>
          <w:sz w:val="17"/>
          <w:szCs w:val="17"/>
          <w:color w:val="auto"/>
        </w:rPr>
      </w:pPr>
      <w:r>
        <w:rPr>
          <w:rFonts w:ascii="Arial" w:cs="Arial" w:eastAsia="Arial" w:hAnsi="Arial"/>
          <w:sz w:val="17"/>
          <w:szCs w:val="17"/>
          <w:color w:val="auto"/>
        </w:rPr>
        <w:t>Liens arising in connection with any Permitted Intercompany Activities, Permitted Tax Restructuring and related transactions; and</w:t>
      </w:r>
    </w:p>
    <w:p>
      <w:pPr>
        <w:spacing w:after="0" w:line="236" w:lineRule="exact"/>
        <w:rPr>
          <w:rFonts w:ascii="Arial" w:cs="Arial" w:eastAsia="Arial" w:hAnsi="Arial"/>
          <w:sz w:val="17"/>
          <w:szCs w:val="17"/>
          <w:color w:val="auto"/>
        </w:rPr>
      </w:pPr>
    </w:p>
    <w:p>
      <w:pPr>
        <w:ind w:left="784" w:hanging="344"/>
        <w:spacing w:after="0"/>
        <w:tabs>
          <w:tab w:leader="none" w:pos="7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arising in connection with the Transactions.</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In the event that a Permitted Lien meets the criteria of more than one of the types of Permitted Liens (at the time of incurrence or at a later date), the Issuer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Liens” to which such Permitted Lien has been classified or reclassified.</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Amount</w:t>
      </w:r>
      <w:r>
        <w:rPr>
          <w:rFonts w:ascii="Arial" w:cs="Arial" w:eastAsia="Arial" w:hAnsi="Arial"/>
          <w:sz w:val="16"/>
          <w:szCs w:val="16"/>
          <w:color w:val="auto"/>
        </w:rPr>
        <w:t xml:space="preserve">” means (a) for any taxable period for which the Issuer is a member (or is an entity treated as disregarded from a member) of a group filing a consolidated, group, affiliate, unitary, combined, or similar income or similar tax return with any direct or indirect parent of the Issuer, any income or similar Taxes for which such parent is liable that are attributable to the taxable income of the Issuer and its applicable Subsidiaries up to an amount not to exceed with respect to such taxable period the amount of any such Taxes that the Issuer and such Subsidiaries would have been required to pay on a separate company basis or on a consolidated basis calculated as if the Issuer and such Subsidiaries had paid Tax on a consolidated, combined, group, affiliated, unitary or similar basis on behalf of a consolidated, combined, affiliated, unitary or similar group consisting only of the Issuer and such Subsidiaries for all relevant taxable periods;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attributable to the taxable income of an Unrestricted Subsidiary for each taxable period shall not exceed the amount actually paid by such Unrestricted Subsidiary to the Issuer or a Guarantor for such purposes and</w:t>
      </w:r>
    </w:p>
    <w:p>
      <w:pPr>
        <w:spacing w:after="0" w:line="1" w:lineRule="exact"/>
        <w:rPr>
          <w:sz w:val="20"/>
          <w:szCs w:val="20"/>
          <w:color w:val="auto"/>
        </w:rPr>
      </w:pPr>
    </w:p>
    <w:p>
      <w:pPr>
        <w:ind w:left="5364" w:right="1340" w:hanging="5364"/>
        <w:spacing w:after="0" w:line="433" w:lineRule="auto"/>
        <w:tabs>
          <w:tab w:leader="none" w:pos="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franchise and similar taxes required to be paid by any direct or indirect parent of the Issuer to maintain its organizational existence. -54-</w:t>
      </w:r>
    </w:p>
    <w:p>
      <w:pPr>
        <w:sectPr>
          <w:pgSz w:w="11900" w:h="16838" w:orient="portrait"/>
          <w:cols w:equalWidth="0" w:num="1">
            <w:col w:w="11024"/>
          </w:cols>
          <w:pgMar w:left="436" w:top="274" w:right="439" w:bottom="1440" w:gutter="0" w:footer="0" w:header="0"/>
        </w:sectPr>
      </w:pPr>
    </w:p>
    <w:bookmarkStart w:id="63" w:name="page64"/>
    <w:bookmarkEnd w:id="6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Tax Restructuring</w:t>
      </w:r>
      <w:r>
        <w:rPr>
          <w:rFonts w:ascii="Arial" w:cs="Arial" w:eastAsia="Arial" w:hAnsi="Arial"/>
          <w:sz w:val="18"/>
          <w:szCs w:val="18"/>
          <w:color w:val="auto"/>
        </w:rPr>
        <w:t>” means any reorganizations, restructuring and other activities related to Tax planning, Tax reorganization, or any Tax restructuring entered into prior to, on or after the date hereof so long as such Permitted Tax Restructuring is not materially adverse to the Holders of the Notes (as determined by the Issuer in good faith). For purposes of clarity, a Permitted Tax Restructuring may include (but is not limited to) reorganizations, restructurings, and other activities related to Tax planning, Tax reorganization, or any Tax restructuring entered into by or among any Parent Entity and any Subsidiary of the Issuer.</w:t>
      </w:r>
    </w:p>
    <w:p>
      <w:pPr>
        <w:spacing w:after="0" w:line="18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freely transferable lawful money of the United Kingdom (expressed in Pounds Sterling).</w:t>
      </w:r>
    </w:p>
    <w:p>
      <w:pPr>
        <w:spacing w:after="0" w:line="225"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Note</w:t>
      </w:r>
      <w:r>
        <w:rPr>
          <w:rFonts w:ascii="Arial" w:cs="Arial" w:eastAsia="Arial" w:hAnsi="Arial"/>
          <w:sz w:val="16"/>
          <w:szCs w:val="16"/>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exchange for or in lieu of a mutilated, destroyed, lost or stolen Note shall be deemed to evidence the same debt as the mutilated, destroyed, lost or stolen Note.</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Amount</w:t>
      </w:r>
      <w:r>
        <w:rPr>
          <w:rFonts w:ascii="Arial" w:cs="Arial" w:eastAsia="Arial" w:hAnsi="Arial"/>
          <w:sz w:val="18"/>
          <w:szCs w:val="18"/>
          <w:color w:val="auto"/>
        </w:rPr>
        <w:t>” means an amount equal to (A) all voluntary prepayments of Consolidated Funded First Lien Indebtedness, (B) all repurchases and/or cancellations of Consolidated Funded First Lien Indebtedness in an amount equal to the amount of the Indebtedness retired in connection with such repurchase (in the case of any revolving credit facility, solely to the extent accompanied by a corresponding, permanent reduction in the applicable revolving credit commitment) and (C) all voluntary prepayments, repurchases and/or cancellations of any other Consolidated Funded First Lien Indebtedness, in each case (x) including any payments made at a discount to par or via an open-market purchase (with credit given for the actual amount of any cash payment) and (y) to the extent not funded with the proceeds of long-term Indebtedness (it being agreed and understood, for the avoidance of doubt, that Indebtedness incurred pursuant to any revolving credit facility shall not constitute long-term Indebtedness for such purpose).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63" w:lineRule="auto"/>
        <w:tabs>
          <w:tab w:leader="none" w:pos="6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events described below that occur subsequent to the commencement of a period for which the financial effect of such events is being calculated, and giving effect to the events for which such calculation is being made, such calculation will give pro forma effect to such events as if such events occurred on the first day of the reference period:</w:t>
      </w:r>
    </w:p>
    <w:p>
      <w:pPr>
        <w:spacing w:after="0" w:line="75" w:lineRule="exact"/>
        <w:rPr>
          <w:rFonts w:ascii="Arial" w:cs="Arial" w:eastAsia="Arial" w:hAnsi="Arial"/>
          <w:sz w:val="18"/>
          <w:szCs w:val="18"/>
          <w:color w:val="auto"/>
        </w:rPr>
      </w:pPr>
    </w:p>
    <w:p>
      <w:pPr>
        <w:ind w:left="440" w:right="180" w:firstLine="419"/>
        <w:spacing w:after="0" w:line="311" w:lineRule="auto"/>
        <w:tabs>
          <w:tab w:leader="none" w:pos="1078"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incurrence, assumption, guarantee, redemption, defeasance, retirement or extinguishment of any Indebtedness (other than Indebtedness incurred under any revolving credit facility unless such Indebtedness has been permanently repaid and has not been replaced), the incurrence of any Reserved Indebtedness Amount and/or the issuance, repurchase or redemption of Disqualified Stock or Preferred Stock;</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74" w:right="519" w:bottom="1440" w:gutter="0" w:footer="0" w:header="0"/>
        </w:sectPr>
      </w:pPr>
    </w:p>
    <w:bookmarkStart w:id="64" w:name="page65"/>
    <w:bookmarkEnd w:id="64"/>
    <w:p>
      <w:pPr>
        <w:ind w:left="440" w:right="40" w:firstLine="419"/>
        <w:spacing w:after="0" w:line="257" w:lineRule="auto"/>
        <w:tabs>
          <w:tab w:leader="none" w:pos="1128" w:val="left"/>
        </w:tabs>
        <w:numPr>
          <w:ilvl w:val="1"/>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making of any Investments, acquisitions, dispositions, Asset Disposition, mergers, amalgamations, consolidations, operational changes, business expansions and disposed or discontinued operations;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at the Issuer’s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spacing w:after="0" w:line="79" w:lineRule="exact"/>
        <w:rPr>
          <w:rFonts w:ascii="Arial" w:cs="Arial" w:eastAsia="Arial" w:hAnsi="Arial"/>
          <w:sz w:val="18"/>
          <w:szCs w:val="18"/>
          <w:color w:val="auto"/>
        </w:rPr>
      </w:pPr>
    </w:p>
    <w:p>
      <w:pPr>
        <w:ind w:left="440" w:right="260" w:firstLine="419"/>
        <w:spacing w:after="0" w:line="259" w:lineRule="auto"/>
        <w:tabs>
          <w:tab w:leader="none" w:pos="11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operational changes or restructurings of the business of the Issuer or any of its Subsidiaries that the Issuer or such Subsidiary, as applicable, has determined to make and/or made during or subsequent to such reference period which are expected to have a continuing impact and are factually supportable, which would include cost savings resulting from head count reduction, closure of facilities and other operational changes and other cost savings in connection therewith; and</w:t>
      </w:r>
    </w:p>
    <w:p>
      <w:pPr>
        <w:spacing w:after="0" w:line="78" w:lineRule="exact"/>
        <w:rPr>
          <w:rFonts w:ascii="Arial" w:cs="Arial" w:eastAsia="Arial" w:hAnsi="Arial"/>
          <w:sz w:val="18"/>
          <w:szCs w:val="18"/>
          <w:color w:val="auto"/>
        </w:rPr>
      </w:pPr>
    </w:p>
    <w:p>
      <w:pPr>
        <w:ind w:left="440" w:right="580" w:firstLine="419"/>
        <w:spacing w:after="0" w:line="277" w:lineRule="auto"/>
        <w:tabs>
          <w:tab w:leader="none" w:pos="11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designation of any Restricted Subsidiary as an Unrestricted Subsidiary or the designation of any Unrestricted Subsidiary as a Restricted Subsidiary and</w:t>
      </w:r>
    </w:p>
    <w:p>
      <w:pPr>
        <w:spacing w:after="0" w:line="170" w:lineRule="exact"/>
        <w:rPr>
          <w:rFonts w:ascii="Arial" w:cs="Arial" w:eastAsia="Arial" w:hAnsi="Arial"/>
          <w:sz w:val="18"/>
          <w:szCs w:val="18"/>
          <w:color w:val="auto"/>
        </w:rPr>
      </w:pPr>
    </w:p>
    <w:p>
      <w:pPr>
        <w:ind w:firstLine="436"/>
        <w:spacing w:after="0" w:line="287"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this definition, whenever pro forma effect is to be given to a transaction (including the Transactions), the pro forma calculations shall be made in good faith by an Officer of the Issuer (and may include, for the avoidance of doubt, cost savings, operating expenses reductions and synergies resulting from such transactions which is being given pro forma effect). If any Indebtedness bears a floating rate of interest and is being given pro forma effect, the interest on such Indebtedness shall be calculated as if the rate in effect on the date on which the relevant calculation is being made had been the applicable rate for the entire reference period (taking into account any Hedging Obligations applicable to such Indebtedness). Interest on a Capitalized Lease Obligation shall be deemed to accrue at an interest rate reasonably determined by an Officer of the Issuer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to the extent the outstanding Indebtedness thereunder is reasonably expected to increase as a result of any transactions as set forth in clause (a)(i)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Issuer may designate.</w:t>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65" w:name="page66"/>
    <w:bookmarkEnd w:id="65"/>
    <w:p>
      <w:pPr>
        <w:ind w:right="3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Purchase Money Obligations</w:t>
      </w:r>
      <w:r>
        <w:rPr>
          <w:rFonts w:ascii="Arial" w:cs="Arial" w:eastAsia="Arial" w:hAnsi="Arial"/>
          <w:sz w:val="18"/>
          <w:szCs w:val="18"/>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any “qualified institutional buyer” as such term is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Securitization Financing</w:t>
      </w:r>
      <w:r>
        <w:rPr>
          <w:rFonts w:ascii="Arial" w:cs="Arial" w:eastAsia="Arial" w:hAnsi="Arial"/>
          <w:sz w:val="18"/>
          <w:szCs w:val="18"/>
          <w:color w:val="auto"/>
        </w:rPr>
        <w:t>” means any Securitization Facility that meets the following conditions:</w:t>
      </w:r>
    </w:p>
    <w:p>
      <w:pPr>
        <w:spacing w:after="0" w:line="225" w:lineRule="exact"/>
        <w:rPr>
          <w:sz w:val="20"/>
          <w:szCs w:val="20"/>
          <w:color w:val="auto"/>
        </w:rPr>
      </w:pPr>
    </w:p>
    <w:p>
      <w:pPr>
        <w:ind w:right="140" w:firstLine="436"/>
        <w:spacing w:after="0" w:line="308" w:lineRule="auto"/>
        <w:tabs>
          <w:tab w:leader="none" w:pos="6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Board of Directors shall have determined in good faith that such Securitization Facility (including financing terms, covenants, termination events and other provisions) is in the aggregate economically fair and reasonable to the Issuer and its Restricted Subsidiaries,</w:t>
      </w:r>
    </w:p>
    <w:p>
      <w:pPr>
        <w:spacing w:after="0" w:line="146" w:lineRule="exact"/>
        <w:rPr>
          <w:rFonts w:ascii="Arial" w:cs="Arial" w:eastAsia="Arial" w:hAnsi="Arial"/>
          <w:sz w:val="17"/>
          <w:szCs w:val="17"/>
          <w:color w:val="auto"/>
        </w:rPr>
      </w:pPr>
    </w:p>
    <w:p>
      <w:pPr>
        <w:ind w:right="380" w:firstLine="436"/>
        <w:spacing w:after="0" w:line="277"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sales of Securitization Assets and related assets by the Issuer or any Restricted Subsidiary to the Securitization Subsidiary or any other Person are made for fair consideration (as determined in good faith by the Issuer), and</w:t>
      </w:r>
    </w:p>
    <w:p>
      <w:pPr>
        <w:spacing w:after="0" w:line="170" w:lineRule="exact"/>
        <w:rPr>
          <w:rFonts w:ascii="Arial" w:cs="Arial" w:eastAsia="Arial" w:hAnsi="Arial"/>
          <w:sz w:val="18"/>
          <w:szCs w:val="18"/>
          <w:color w:val="auto"/>
        </w:rPr>
      </w:pPr>
    </w:p>
    <w:p>
      <w:pPr>
        <w:ind w:right="20" w:firstLine="436"/>
        <w:spacing w:after="0" w:line="277" w:lineRule="auto"/>
        <w:tabs>
          <w:tab w:leader="none" w:pos="7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fair and reasonable terms (as determined in good faith by the Issuer) and may include Standard Securitization Undertakings.</w:t>
      </w:r>
    </w:p>
    <w:p>
      <w:pPr>
        <w:spacing w:after="0" w:line="170"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Assets</w:t>
      </w:r>
      <w:r>
        <w:rPr>
          <w:rFonts w:ascii="Arial" w:cs="Arial" w:eastAsia="Arial" w:hAnsi="Arial"/>
          <w:sz w:val="17"/>
          <w:szCs w:val="17"/>
          <w:color w:val="auto"/>
        </w:rPr>
        <w:t>” means (a) any accounts receivable owed to the Issuer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Facility</w:t>
      </w:r>
      <w:r>
        <w:rPr>
          <w:rFonts w:ascii="Arial" w:cs="Arial" w:eastAsia="Arial" w:hAnsi="Arial"/>
          <w:sz w:val="17"/>
          <w:szCs w:val="17"/>
          <w:color w:val="auto"/>
        </w:rPr>
        <w:t>” means (x) the receivables factoring arrangement pursuant to the Master Factoring Agreement to be entered into by and between BD and/or certain of its Subsidiaries, on one hand, and the Issuer and/or certain of its Subsidiaries, on the other hand in connection with the Transactions, (as such agreement may be amended, replaced, supplemented or modified from time to time either (i) in a manner not materially adverse to the interests of the Holders or (ii) on arm’s-length terms (as determined in good faith by the Issuer)) and (y) any arrangement between the Issuer or a Subsidiary and a commercial bank, an asset based lender or other financial institution or an Affiliate thereof pursuant to which (a) the Issuer or such Subsidiary, as applicable, sells (directly or indirectly) to such commercial bank, asset based lender or other financial institution (or such Affiliate) Receivables Assets and (b) the obligations of the Issuer or such Restricted Subsidiary, as applicable, thereunder are non-recourse (except for Securitization Repurchase Obligations) to the Issuer and such Subsidiary and (c) the financing terms, covenants, termination events and other provisions thereof shall be on market terms (as determined in good faith by the Issuer) and may include Standard Securitization Undertakings, and shall include any guaranty in respect of such arrangements.</w:t>
      </w:r>
    </w:p>
    <w:p>
      <w:pPr>
        <w:spacing w:after="0" w:line="18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w:t>
      </w:r>
      <w:r>
        <w:rPr>
          <w:rFonts w:ascii="Arial" w:cs="Arial" w:eastAsia="Arial" w:hAnsi="Arial"/>
          <w:sz w:val="17"/>
          <w:szCs w:val="17"/>
          <w:color w:val="auto"/>
        </w:rPr>
        <w:t>” or “</w:t>
      </w:r>
      <w:r>
        <w:rPr>
          <w:rFonts w:ascii="Arial" w:cs="Arial" w:eastAsia="Arial" w:hAnsi="Arial"/>
          <w:sz w:val="17"/>
          <w:szCs w:val="17"/>
          <w:u w:val="single" w:color="auto"/>
          <w:color w:val="auto"/>
        </w:rPr>
        <w:t>refinance</w:t>
      </w:r>
      <w:r>
        <w:rPr>
          <w:rFonts w:ascii="Arial" w:cs="Arial" w:eastAsia="Arial" w:hAnsi="Arial"/>
          <w:sz w:val="17"/>
          <w:szCs w:val="17"/>
          <w:color w:val="auto"/>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Arial" w:cs="Arial" w:eastAsia="Arial" w:hAnsi="Arial"/>
          <w:sz w:val="17"/>
          <w:szCs w:val="17"/>
          <w:u w:val="single" w:color="auto"/>
          <w:color w:val="auto"/>
        </w:rPr>
        <w:t>Refinanced</w:t>
      </w:r>
      <w:r>
        <w:rPr>
          <w:rFonts w:ascii="Arial" w:cs="Arial" w:eastAsia="Arial" w:hAnsi="Arial"/>
          <w:sz w:val="17"/>
          <w:szCs w:val="17"/>
          <w:color w:val="auto"/>
        </w:rPr>
        <w:t>,” “</w:t>
      </w:r>
      <w:r>
        <w:rPr>
          <w:rFonts w:ascii="Arial" w:cs="Arial" w:eastAsia="Arial" w:hAnsi="Arial"/>
          <w:sz w:val="17"/>
          <w:szCs w:val="17"/>
          <w:u w:val="single" w:color="auto"/>
          <w:color w:val="auto"/>
        </w:rPr>
        <w:t>refinanced</w:t>
      </w:r>
      <w:r>
        <w:rPr>
          <w:rFonts w:ascii="Arial" w:cs="Arial" w:eastAsia="Arial" w:hAnsi="Arial"/>
          <w:sz w:val="17"/>
          <w:szCs w:val="17"/>
          <w:color w:val="auto"/>
        </w:rPr>
        <w:t>,” “</w:t>
      </w:r>
      <w:r>
        <w:rPr>
          <w:rFonts w:ascii="Arial" w:cs="Arial" w:eastAsia="Arial" w:hAnsi="Arial"/>
          <w:sz w:val="17"/>
          <w:szCs w:val="17"/>
          <w:u w:val="single" w:color="auto"/>
          <w:color w:val="auto"/>
        </w:rPr>
        <w:t>refinances</w:t>
      </w:r>
      <w:r>
        <w:rPr>
          <w:rFonts w:ascii="Arial" w:cs="Arial" w:eastAsia="Arial" w:hAnsi="Arial"/>
          <w:sz w:val="17"/>
          <w:szCs w:val="17"/>
          <w:color w:val="auto"/>
        </w:rPr>
        <w:t>,” “</w:t>
      </w:r>
      <w:r>
        <w:rPr>
          <w:rFonts w:ascii="Arial" w:cs="Arial" w:eastAsia="Arial" w:hAnsi="Arial"/>
          <w:sz w:val="17"/>
          <w:szCs w:val="17"/>
          <w:u w:val="single" w:color="auto"/>
          <w:color w:val="auto"/>
        </w:rPr>
        <w:t>Refinancing</w:t>
      </w:r>
      <w:r>
        <w:rPr>
          <w:rFonts w:ascii="Arial" w:cs="Arial" w:eastAsia="Arial" w:hAnsi="Arial"/>
          <w:sz w:val="17"/>
          <w:szCs w:val="17"/>
          <w:color w:val="auto"/>
        </w:rPr>
        <w:t>” and “</w:t>
      </w:r>
      <w:r>
        <w:rPr>
          <w:rFonts w:ascii="Arial" w:cs="Arial" w:eastAsia="Arial" w:hAnsi="Arial"/>
          <w:sz w:val="17"/>
          <w:szCs w:val="17"/>
          <w:u w:val="single" w:color="auto"/>
          <w:color w:val="auto"/>
        </w:rPr>
        <w:t>refinancing</w:t>
      </w:r>
      <w:r>
        <w:rPr>
          <w:rFonts w:ascii="Arial" w:cs="Arial" w:eastAsia="Arial" w:hAnsi="Arial"/>
          <w:sz w:val="17"/>
          <w:szCs w:val="17"/>
          <w:color w:val="auto"/>
        </w:rPr>
        <w:t>” shall have correlative meanings.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6" w:name="page67"/>
    <w:bookmarkEnd w:id="66"/>
    <w:p>
      <w:pPr>
        <w:ind w:right="8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Spin-Off Date or incurred (or established) in compliance with this Indenture (including Indebtedness of the Issuer that refinances Indebtedness of any Restricted Subsidiary and Indebtedness of any Restricted Subsidiary that refinances Indebtedness of the Issuer or a Restricted Subsidiary), including Indebtedness that refinances Refinancing Indebtedness, and Indebtedness incurred pursuant to a commitment that refinances any Indebtedness or unutilized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2" w:lineRule="exact"/>
        <w:rPr>
          <w:sz w:val="20"/>
          <w:szCs w:val="20"/>
          <w:color w:val="auto"/>
        </w:rPr>
      </w:pPr>
    </w:p>
    <w:p>
      <w:pPr>
        <w:ind w:firstLine="436"/>
        <w:spacing w:after="0" w:line="254"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such Refinancing Indebtedness (x) has a Weighted Average Life to Maturity at the time such Refinancing Indebtedness is incurred which is not less than the remaining Weighted Average Life to Maturity of the Indebtedness being refunded, refinanced, replaced, exchanged, renewed, repaid or extended or (y) requires no or nominal payments in cash (other than interest payments) prior to the date that is 91 days after the maturity date of the Notes; and (b) to the extent such Refinancing Indebtedness refinances Subordinated Indebtedness, Disqualified Stock or Preferred Stock, such Refinancing Indebtedness is Subordinated Indebtedness, Disqualified Stock or Preferred Stock, respectively, and, in the case of Subordinated Indebtedness, is subordinated to the Notes on terms at least as favorable to the Holders as those contained in the documentation governing the Indebtedness being refinanced;</w:t>
      </w:r>
    </w:p>
    <w:p>
      <w:pPr>
        <w:spacing w:after="0" w:line="194" w:lineRule="exact"/>
        <w:rPr>
          <w:rFonts w:ascii="Arial" w:cs="Arial" w:eastAsia="Arial" w:hAnsi="Arial"/>
          <w:sz w:val="18"/>
          <w:szCs w:val="18"/>
          <w:color w:val="auto"/>
        </w:rPr>
      </w:pPr>
    </w:p>
    <w:p>
      <w:pPr>
        <w:ind w:left="700" w:hanging="26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Refinancing Indebtedness shall not include:</w:t>
      </w:r>
    </w:p>
    <w:p>
      <w:pPr>
        <w:spacing w:after="0" w:line="225" w:lineRule="exact"/>
        <w:rPr>
          <w:sz w:val="20"/>
          <w:szCs w:val="20"/>
          <w:color w:val="auto"/>
        </w:rPr>
      </w:pPr>
    </w:p>
    <w:p>
      <w:pPr>
        <w:ind w:left="660" w:hanging="22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of a Subsidiary of the Issuer that is not a Guarantor that refinances Indebtedness of the Issuer or a Guarantor; or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of the Issuer or a Restricted Subsidiary that refinances Indebtedness of an Unrestricted Subsidiary; and</w:t>
      </w:r>
    </w:p>
    <w:p>
      <w:pPr>
        <w:spacing w:after="0" w:line="225" w:lineRule="exact"/>
        <w:rPr>
          <w:sz w:val="20"/>
          <w:szCs w:val="20"/>
          <w:color w:val="auto"/>
        </w:rPr>
      </w:pPr>
    </w:p>
    <w:p>
      <w:pPr>
        <w:ind w:firstLine="436"/>
        <w:spacing w:after="0" w:line="272" w:lineRule="auto"/>
        <w:tabs>
          <w:tab w:leader="none" w:pos="6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hereof immediately prior to such refinancing, plus (z) accrued and unpaid interest, dividends, premiums (including tender premiums), defeasance costs, underwriting discounts, fees, costs and expenses (including original issue discount, upfront fees or similar fees) in connection with such refinancing;</w:t>
      </w:r>
    </w:p>
    <w:p>
      <w:pPr>
        <w:spacing w:after="0" w:line="17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clause (1) above will not apply to any extension, replacement, refunding, refinancing, renewal or defeasance of any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Secured Indebtedness. Refinancing Indebtedness in respect of any Credit Facility or any other Indebtedness may be incurred from time to time after the termination, discharge or repayment of any such Credit Facility or other Indebtedness.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40" w:top="274" w:right="499" w:bottom="1440" w:gutter="0" w:footer="0" w:header="0"/>
        </w:sectPr>
      </w:pPr>
    </w:p>
    <w:bookmarkStart w:id="67" w:name="page68"/>
    <w:bookmarkEnd w:id="67"/>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or the Notes Collateral Agent, any officer within the corporate trust department of the Trustee or the Notes Collateral Agent, including any vice president, assistant vice president, assistant secretary, assistant treasurer, trust officer or any other officer of the Trustee or Notes Collateral Agent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Group</w:t>
      </w:r>
      <w:r>
        <w:rPr>
          <w:rFonts w:ascii="Arial" w:cs="Arial" w:eastAsia="Arial" w:hAnsi="Arial"/>
          <w:sz w:val="18"/>
          <w:szCs w:val="18"/>
          <w:color w:val="auto"/>
        </w:rPr>
        <w:t>” means the collective reference to from and after the Spin-Off Date, the Issuer and its Restricted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any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w:t>
      </w:r>
      <w:r>
        <w:rPr>
          <w:rFonts w:ascii="Arial" w:cs="Arial" w:eastAsia="Arial" w:hAnsi="Arial"/>
          <w:sz w:val="18"/>
          <w:szCs w:val="18"/>
          <w:color w:val="auto"/>
        </w:rPr>
        <w:t>” means Initial Notes and Additional Notes bearing the Restricted Notes Legend.</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a Person other than an Unrestricted Subsidiary of such Person. Unless otherwise indicated hereunder, all references to Restricted Subsidiaries hereunder shall mean Restricted Subsidiaries of the Issuer.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or any of its successors or assigns that is a Nationally Recognized Statistical Rating Organization.</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arrangement providing for the leasing by the Issuer or any of its Restricted Subsidiaries of any real or tangible personal property, which property has been or is to be sold or transferred by the Issuer or such Restricted Subsidiary to a third Person in contemplation of such leasing.</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Screened Affiliate</w:t>
      </w:r>
      <w:r>
        <w:rPr>
          <w:rFonts w:ascii="Arial" w:cs="Arial" w:eastAsia="Arial" w:hAnsi="Arial"/>
          <w:sz w:val="17"/>
          <w:szCs w:val="17"/>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 or any Governmental Authority succeeding to any of its principal functions.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Indebtedness</w:t>
      </w:r>
      <w:r>
        <w:rPr>
          <w:rFonts w:ascii="Arial" w:cs="Arial" w:eastAsia="Arial" w:hAnsi="Arial"/>
          <w:sz w:val="16"/>
          <w:szCs w:val="16"/>
          <w:color w:val="auto"/>
        </w:rPr>
        <w:t>” means any Indebtedness secured by a Lien other than Indebtedness with respect to Cash Management Obligations.</w:t>
      </w:r>
    </w:p>
    <w:p>
      <w:pPr>
        <w:spacing w:after="0" w:line="248" w:lineRule="exact"/>
        <w:rPr>
          <w:sz w:val="20"/>
          <w:szCs w:val="20"/>
          <w:color w:val="auto"/>
        </w:rPr>
      </w:pPr>
    </w:p>
    <w:p>
      <w:pPr>
        <w:jc w:val="center"/>
        <w:ind w:left="600" w:right="2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 as amended. -59-</w:t>
      </w:r>
    </w:p>
    <w:p>
      <w:pPr>
        <w:sectPr>
          <w:pgSz w:w="11900" w:h="16838" w:orient="portrait"/>
          <w:cols w:equalWidth="0" w:num="1">
            <w:col w:w="10980"/>
          </w:cols>
          <w:pgMar w:left="440" w:top="274" w:right="479" w:bottom="1440" w:gutter="0" w:footer="0" w:header="0"/>
        </w:sectPr>
      </w:pPr>
    </w:p>
    <w:bookmarkStart w:id="68" w:name="page69"/>
    <w:bookmarkEnd w:id="68"/>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Securitization Asset</w:t>
      </w:r>
      <w:r>
        <w:rPr>
          <w:rFonts w:ascii="Arial" w:cs="Arial" w:eastAsia="Arial" w:hAnsi="Arial"/>
          <w:sz w:val="17"/>
          <w:szCs w:val="17"/>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76"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Facility</w:t>
      </w:r>
      <w:r>
        <w:rPr>
          <w:rFonts w:ascii="Arial" w:cs="Arial" w:eastAsia="Arial" w:hAnsi="Arial"/>
          <w:sz w:val="16"/>
          <w:szCs w:val="16"/>
          <w:color w:val="auto"/>
        </w:rPr>
        <w:t>” means any of one or more securitization, financing, factoring or sales transactions, as amended, supplemented, modified, extended, renewed, restated or refunded from time to time, pursuant to which the Issuer or any of its Restricted Subsidiaries sells, transfers, pledges or otherwise conveys any Securitization Assets (whether now existing or arising in the future) to a Securitization Subsidiary or any other Person.</w:t>
      </w:r>
    </w:p>
    <w:p>
      <w:pPr>
        <w:spacing w:after="0" w:line="14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Fees</w:t>
      </w:r>
      <w:r>
        <w:rPr>
          <w:rFonts w:ascii="Arial" w:cs="Arial" w:eastAsia="Arial" w:hAnsi="Arial"/>
          <w:sz w:val="16"/>
          <w:szCs w:val="16"/>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Repurchase Obligation</w:t>
      </w:r>
      <w:r>
        <w:rPr>
          <w:rFonts w:ascii="Arial" w:cs="Arial" w:eastAsia="Arial" w:hAnsi="Arial"/>
          <w:sz w:val="18"/>
          <w:szCs w:val="18"/>
          <w:color w:val="auto"/>
        </w:rPr>
        <w:t>”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8"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Subsidiary</w:t>
      </w:r>
      <w:r>
        <w:rPr>
          <w:rFonts w:ascii="Arial" w:cs="Arial" w:eastAsia="Arial" w:hAnsi="Arial"/>
          <w:sz w:val="16"/>
          <w:szCs w:val="16"/>
          <w:color w:val="auto"/>
        </w:rPr>
        <w:t>” means any Subsidiary of the Issuer in each case formed for the purpose of and that solely engages in one or more Qualified Securitization Financings or Receivables Facilities and other activities reasonably related thereto or another Person formed for this purpose.</w:t>
      </w:r>
    </w:p>
    <w:p>
      <w:pPr>
        <w:spacing w:after="0" w:line="12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notes first lien security agreement, dated as of the Spin-Off Date, by and among the Issuer, the Subsidiary Guarantors and the Notes Collateral Agent (together with each other security agreement and Security Agreement Supplement (as defined therein) executed and delivered pursuant thereto).</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69" w:name="page70"/>
    <w:bookmarkEnd w:id="69"/>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0"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Receivable</w:t>
      </w:r>
      <w:r>
        <w:rPr>
          <w:rFonts w:ascii="Arial" w:cs="Arial" w:eastAsia="Arial" w:hAnsi="Arial"/>
          <w:sz w:val="16"/>
          <w:szCs w:val="16"/>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24"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 Derivative Instrument</w:t>
      </w:r>
      <w:r>
        <w:rPr>
          <w:rFonts w:ascii="Arial" w:cs="Arial" w:eastAsia="Arial" w:hAnsi="Arial"/>
          <w:sz w:val="16"/>
          <w:szCs w:val="16"/>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49"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 any businesses, services or activities engaged in by the Issuer or any of its Subsidiaries or any Associates on the Spin-Off Date (after giving effect to the Transactions), (b) any businesses, services and activities engaged in by the Issuer or any of its Subsidiaries or any Associates that are related, complementary, incidental, ancillary or similar to any of the foregoing or are extensions or developments of any thereof,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guarantees and indemnities entered into by the Issuer or any of its Subsidiaries which the Issuer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88"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84" w:lineRule="exact"/>
        <w:rPr>
          <w:sz w:val="20"/>
          <w:szCs w:val="20"/>
          <w:color w:val="auto"/>
        </w:rPr>
      </w:pPr>
    </w:p>
    <w:p>
      <w:pPr>
        <w:ind w:right="7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Indebtedness</w:t>
      </w:r>
      <w:r>
        <w:rPr>
          <w:rFonts w:ascii="Arial" w:cs="Arial" w:eastAsia="Arial" w:hAnsi="Arial"/>
          <w:sz w:val="17"/>
          <w:szCs w:val="17"/>
          <w:color w:val="auto"/>
        </w:rPr>
        <w:t>” means any Indebtedness (other than intercompany Indebtedness), whether outstanding on the Issue Date or thereafter incurred, which is expressly subordinated in right of payment to the Notes pursuant to a written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right="200" w:firstLine="436"/>
        <w:spacing w:after="0" w:line="259"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117" w:lineRule="exact"/>
        <w:rPr>
          <w:rFonts w:ascii="Arial" w:cs="Arial" w:eastAsia="Arial" w:hAnsi="Arial"/>
          <w:sz w:val="18"/>
          <w:szCs w:val="18"/>
          <w:color w:val="auto"/>
        </w:rPr>
      </w:pPr>
    </w:p>
    <w:p>
      <w:pPr>
        <w:jc w:val="both"/>
        <w:ind w:left="440" w:right="20" w:firstLine="419"/>
        <w:spacing w:after="0" w:line="286" w:lineRule="auto"/>
        <w:tabs>
          <w:tab w:leader="none" w:pos="1108" w:val="left"/>
        </w:tabs>
        <w:numPr>
          <w:ilvl w:val="1"/>
          <w:numId w:val="84"/>
        </w:numPr>
        <w:rPr>
          <w:rFonts w:ascii="Arial" w:cs="Arial" w:eastAsia="Arial" w:hAnsi="Arial"/>
          <w:sz w:val="17"/>
          <w:szCs w:val="17"/>
          <w:color w:val="auto"/>
        </w:rPr>
      </w:pPr>
      <w:r>
        <w:rPr>
          <w:rFonts w:ascii="Arial" w:cs="Arial" w:eastAsia="Arial" w:hAnsi="Arial"/>
          <w:sz w:val="17"/>
          <w:szCs w:val="17"/>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0" w:name="page71"/>
    <w:bookmarkEnd w:id="70"/>
    <w:p>
      <w:pPr>
        <w:ind w:left="1120" w:hanging="261"/>
        <w:spacing w:after="0"/>
        <w:tabs>
          <w:tab w:leader="none" w:pos="1120"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Person or any Subsidiary of such Person is a controlling general partner or otherwise controls such entity; or</w:t>
      </w:r>
    </w:p>
    <w:p>
      <w:pPr>
        <w:spacing w:after="0" w:line="225"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election of the Issuer, any partnership, joint venture, limited liability company or similar entity of which such Person or any Subsidiary of such Person is a controlling general partner or otherwise controls such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indicated hereunder, all references to Subsidiaries hereunder shall mean Subsidiaries of the Issuer.</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9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and future taxes, levies, imposts, deductions, charges, duties, assessments, fees and withholdings (including backup withholdings) and any other charges in the nature of a tax (including interest, penalties and other liabilities with respect thereto) that are imposed by any governmental or other taxing authority.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the greater of (x) $125.0 million and (y) 25.0% of LTM EBITDA.</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the total consolidated assets of the Issuer and its Restricted Subsidiaries on a consolidated basis, as shown on the most recent consolidated balance sheet of the Issuer and its Restricted Subsidiaries, determined on a pro forma basis in a manner consistent with the definition of “Pro Forma Basis” and “Fixed Charge Coverage Ratio.”</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that certain the Separation and Distribution Agreement by and between BD and the Issuer, expected to be dated as of the Spin-Off Date, and any other agreements entered into by the Issuer in connection with the Transactions.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w:t>
      </w:r>
    </w:p>
    <w:p>
      <w:pPr>
        <w:spacing w:after="0" w:line="117" w:lineRule="exact"/>
        <w:rPr>
          <w:sz w:val="20"/>
          <w:szCs w:val="20"/>
          <w:color w:val="auto"/>
        </w:rPr>
      </w:pPr>
    </w:p>
    <w:p>
      <w:pPr>
        <w:ind w:left="440" w:right="320" w:firstLine="419"/>
        <w:spacing w:after="0" w:line="279" w:lineRule="auto"/>
        <w:tabs>
          <w:tab w:leader="none" w:pos="10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internal reorganization transactions undertaken by BD, the Issuer and their respective subsidiaries as a result of which the Issuer will hold, directly or through its subsidiaries, the business, operations and activities of the diabetes care unit of BD as conducted as of immediately prior to the Spin-Off Date, which includes the manufacturing and sale of syringes, pen needles and other products related to the injection or infusion of insulin and other drugs used in the treatment of diabetes (the “</w:t>
      </w:r>
      <w:r>
        <w:rPr>
          <w:rFonts w:ascii="Arial" w:cs="Arial" w:eastAsia="Arial" w:hAnsi="Arial"/>
          <w:sz w:val="17"/>
          <w:szCs w:val="17"/>
          <w:u w:val="single" w:color="auto"/>
          <w:color w:val="auto"/>
        </w:rPr>
        <w:t>Spinco Business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1" w:name="page72"/>
    <w:bookmarkEnd w:id="71"/>
    <w:p>
      <w:pPr>
        <w:ind w:left="440" w:right="320" w:firstLine="419"/>
        <w:spacing w:after="0" w:line="259"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(a) (1) obtaining the initial facilities under the Credit Agreement consisting of the initial revolving credit facility and initial term facility or facilities and (2) issuing the Notes (including any Additional Notes issued prior to the Spin-Off Date) and (b) (1) using the proceeds of the initial fundings thereunder to fund a special payment to BD (the “</w:t>
      </w:r>
      <w:r>
        <w:rPr>
          <w:rFonts w:ascii="Arial" w:cs="Arial" w:eastAsia="Arial" w:hAnsi="Arial"/>
          <w:sz w:val="18"/>
          <w:szCs w:val="18"/>
          <w:u w:val="single" w:color="auto"/>
          <w:color w:val="auto"/>
        </w:rPr>
        <w:t>Special Payment</w:t>
      </w:r>
      <w:r>
        <w:rPr>
          <w:rFonts w:ascii="Arial" w:cs="Arial" w:eastAsia="Arial" w:hAnsi="Arial"/>
          <w:sz w:val="18"/>
          <w:szCs w:val="18"/>
          <w:color w:val="auto"/>
        </w:rPr>
        <w:t>”) and (2) at the Issuer’s option, issuing Additional Notes to BD;</w:t>
      </w:r>
    </w:p>
    <w:p>
      <w:pPr>
        <w:spacing w:after="0" w:line="78" w:lineRule="exact"/>
        <w:rPr>
          <w:rFonts w:ascii="Arial" w:cs="Arial" w:eastAsia="Arial" w:hAnsi="Arial"/>
          <w:sz w:val="18"/>
          <w:szCs w:val="18"/>
          <w:color w:val="auto"/>
        </w:rPr>
      </w:pPr>
    </w:p>
    <w:p>
      <w:pPr>
        <w:ind w:left="440" w:right="40" w:firstLine="419"/>
        <w:spacing w:after="0" w:line="342" w:lineRule="auto"/>
        <w:tabs>
          <w:tab w:leader="none" w:pos="117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distribution on a pro rata basis to equityholders of BD of all the shares of equity interests of the Issuer (with cash in lieu of fractional shares) (the consummation of the foregoing, the “</w:t>
      </w:r>
      <w:r>
        <w:rPr>
          <w:rFonts w:ascii="Arial" w:cs="Arial" w:eastAsia="Arial" w:hAnsi="Arial"/>
          <w:sz w:val="16"/>
          <w:szCs w:val="16"/>
          <w:u w:val="single" w:color="auto"/>
          <w:color w:val="auto"/>
        </w:rPr>
        <w:t>Spin-Off</w:t>
      </w:r>
      <w:r>
        <w:rPr>
          <w:rFonts w:ascii="Arial" w:cs="Arial" w:eastAsia="Arial" w:hAnsi="Arial"/>
          <w:sz w:val="16"/>
          <w:szCs w:val="16"/>
          <w:color w:val="auto"/>
        </w:rPr>
        <w:t>,” and the date of such consummation of the Spin-Off, the “</w:t>
      </w:r>
      <w:r>
        <w:rPr>
          <w:rFonts w:ascii="Arial" w:cs="Arial" w:eastAsia="Arial" w:hAnsi="Arial"/>
          <w:sz w:val="16"/>
          <w:szCs w:val="16"/>
          <w:u w:val="single" w:color="auto"/>
          <w:color w:val="auto"/>
        </w:rPr>
        <w:t>Spin-Off Date</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160" w:hanging="301"/>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execution and performance of the agreements (along with schedules and exhibits thereto) relating to the foregoing;</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transactions ancillary to the foregoing, including any distributions or other transfers of cash and/or other property or liabilities by BD or its Subsidiaries to the Issuer or its Subsidiaries, and vice versa;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fees, costs and expenses related to the foregoing (the “</w:t>
      </w:r>
      <w:r>
        <w:rPr>
          <w:rFonts w:ascii="Arial" w:cs="Arial" w:eastAsia="Arial" w:hAnsi="Arial"/>
          <w:sz w:val="18"/>
          <w:szCs w:val="18"/>
          <w:u w:val="single" w:color="auto"/>
          <w:color w:val="auto"/>
        </w:rPr>
        <w:t>Transaction Costs</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For the avoidance of doubt, and notwithstanding anything to the contrary provided in this Indenture, the consummation of the Transactions shall not be prohibited by Sections 3.02, 3.03, 3.04, 3.05, 3.06, 3.07, 3.08, 3.10 or 3.20 or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U.S. Bank Trust Company, National Association, as trustee under this Indenture, together with its successors and assigns.</w:t>
      </w:r>
    </w:p>
    <w:p>
      <w:pPr>
        <w:spacing w:after="0" w:line="23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 and Cash Equivalents</w:t>
      </w:r>
      <w:r>
        <w:rPr>
          <w:rFonts w:ascii="Arial" w:cs="Arial" w:eastAsia="Arial" w:hAnsi="Arial"/>
          <w:sz w:val="17"/>
          <w:szCs w:val="17"/>
          <w:color w:val="auto"/>
        </w:rPr>
        <w:t xml:space="preserve">” means cash or Cash Equivalents included on the consolidated balance sheet of the Issuer and its Restricted Subsidiaries as of the end of the most recent fiscal period for which consolidated financial statements are available (which may, at the Issuer’s election, be internal financial statements) that (1) would not appear as “restricted” on the consolidated balance sheet of the Issuer and its Restricted Subsidiaries or (2) are restricted in favor of the Obligations with respect to the Notes and Note Guarantees (which may also secure other Indebtedness secured by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Lien basis with the Obligations with respect to the Notes and Note Guarantees).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w:t>
      </w:r>
    </w:p>
    <w:p>
      <w:pPr>
        <w:spacing w:after="0" w:line="225" w:lineRule="exact"/>
        <w:rPr>
          <w:sz w:val="20"/>
          <w:szCs w:val="20"/>
          <w:color w:val="auto"/>
        </w:rPr>
      </w:pPr>
    </w:p>
    <w:p>
      <w:pPr>
        <w:ind w:right="80" w:firstLine="436"/>
        <w:spacing w:after="0" w:line="277"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Subsidiary of the Issuer that at the time of determination is an Unrestricted Subsidiary (as designated by the Issuer in the manner provided below);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Subsidiary of an Unrestricted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2" w:name="page73"/>
    <w:bookmarkEnd w:id="7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may designate any Subsidiary of the Issuer, (including any newly acquired or newly formed Subsidiary or a Person becoming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Subsidiary through merger, consolidation or other business combination transaction, or Investment therein), to be an Unrestricted Subsidiary only if:</w:t>
      </w:r>
    </w:p>
    <w:p>
      <w:pPr>
        <w:spacing w:after="0" w:line="234" w:lineRule="exact"/>
        <w:rPr>
          <w:sz w:val="20"/>
          <w:szCs w:val="20"/>
          <w:color w:val="auto"/>
        </w:rPr>
      </w:pPr>
    </w:p>
    <w:p>
      <w:pPr>
        <w:ind w:firstLine="436"/>
        <w:spacing w:after="0" w:line="308" w:lineRule="auto"/>
        <w:tabs>
          <w:tab w:leader="none" w:pos="6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at the time of such designation, such Subsidiary or any of its Subsidiaries does not own any Capital Stock of the Issuer or any other Subsidiary of the Issuer which is not a Subsidiary of the Subsidiary to be so designated or otherwise an Unrestricted Subsidiary; and</w:t>
      </w:r>
    </w:p>
    <w:p>
      <w:pPr>
        <w:spacing w:after="0" w:line="146" w:lineRule="exact"/>
        <w:rPr>
          <w:rFonts w:ascii="Arial" w:cs="Arial" w:eastAsia="Arial" w:hAnsi="Arial"/>
          <w:sz w:val="17"/>
          <w:szCs w:val="17"/>
          <w:color w:val="auto"/>
        </w:rPr>
      </w:pPr>
    </w:p>
    <w:p>
      <w:pPr>
        <w:ind w:left="700" w:hanging="26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such designation and the Investment, if any, of the Issuer in such Subsidiary complies with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3.20</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Notwithstanding anything else herein to the contrary, the Issuer shall not, and shall not permit any of its Restricted Subsidiaries to, sell, convey, transfer or otherwise dispose of (including pursuant to an Investment) any Material Intellectual Property that is owned by, or exclusively licensed to, the Issuer or any Restricted Subsidiary to any Unrestricted Subsidiary.</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Obligations</w:t>
      </w:r>
      <w:r>
        <w:rPr>
          <w:rFonts w:ascii="Arial" w:cs="Arial" w:eastAsia="Arial" w:hAnsi="Arial"/>
          <w:sz w:val="17"/>
          <w:szCs w:val="17"/>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means any Subsidiary of the Issuer that is organized under the laws of the United States, any state thereof or the District of Columbia.</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 Person means all classes of Capital Stock of such Person then outstanding and normally entitled to vote in the election of directors.</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quotient (in number of years) obtained by dividing:</w:t>
      </w:r>
    </w:p>
    <w:p>
      <w:pPr>
        <w:spacing w:after="0" w:line="170" w:lineRule="exact"/>
        <w:rPr>
          <w:sz w:val="20"/>
          <w:szCs w:val="20"/>
          <w:color w:val="auto"/>
        </w:rPr>
      </w:pPr>
    </w:p>
    <w:p>
      <w:pPr>
        <w:ind w:right="100" w:firstLine="436"/>
        <w:spacing w:after="0" w:line="263"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Stock or Preferred Stock, by (ii) the amount of such payment, by</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sum of all such payments;</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determining the Weighted Average Life to Maturity of any Indebtedness, the effects of any prepayments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made on such Indebtedness prior to the date of such determination will be disregarded.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40" w:top="274" w:right="49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Wholly Owned Subsidiary that is a Restricted Subsidiary.</w:t>
      </w:r>
    </w:p>
    <w:p>
      <w:pPr>
        <w:spacing w:after="0" w:line="22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Unless otherwise indicated hereunder, all references to Wholly Owned Subsidiaries hereunder shall mean Wholly Owned Subsidiaries of the Issuer.</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Yen</w:t>
      </w:r>
      <w:r>
        <w:rPr>
          <w:rFonts w:ascii="Arial" w:cs="Arial" w:eastAsia="Arial" w:hAnsi="Arial"/>
          <w:sz w:val="18"/>
          <w:szCs w:val="18"/>
          <w:color w:val="auto"/>
        </w:rPr>
        <w:t>” means freely transferable lawful money of Japan (expressed in Yen).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color w:val="auto"/>
                <w:w w:val="85"/>
              </w:rPr>
              <w:t>Term</w:t>
            </w:r>
          </w:p>
        </w:tc>
        <w:tc>
          <w:tcPr>
            <w:tcW w:w="3680" w:type="dxa"/>
            <w:vAlign w:val="bottom"/>
            <w:gridSpan w:val="18"/>
            <w:vMerge w:val="restart"/>
          </w:tcPr>
          <w:p>
            <w:pPr>
              <w:spacing w:after="0"/>
              <w:rPr>
                <w:sz w:val="14"/>
                <w:szCs w:val="14"/>
                <w:color w:val="auto"/>
              </w:rPr>
            </w:pPr>
          </w:p>
        </w:tc>
        <w:tc>
          <w:tcPr>
            <w:tcW w:w="57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680" w:type="dxa"/>
            <w:vAlign w:val="bottom"/>
            <w:gridSpan w:val="18"/>
            <w:vMerge w:val="continue"/>
          </w:tcPr>
          <w:p>
            <w:pPr>
              <w:spacing w:after="0"/>
              <w:rPr>
                <w:sz w:val="15"/>
                <w:szCs w:val="15"/>
                <w:color w:val="auto"/>
              </w:rPr>
            </w:pPr>
          </w:p>
        </w:tc>
        <w:tc>
          <w:tcPr>
            <w:tcW w:w="5700" w:type="dxa"/>
            <w:vAlign w:val="bottom"/>
          </w:tcPr>
          <w:p>
            <w:pPr>
              <w:spacing w:after="0"/>
              <w:rPr>
                <w:sz w:val="15"/>
                <w:szCs w:val="15"/>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76"/>
        </w:trPr>
        <w:tc>
          <w:tcPr>
            <w:tcW w:w="3980" w:type="dxa"/>
            <w:vAlign w:val="bottom"/>
            <w:tcBorders>
              <w:top w:val="single" w:sz="8" w:color="CCEEFF"/>
            </w:tcBorders>
            <w:gridSpan w:val="20"/>
            <w:shd w:val="clear" w:color="auto" w:fill="CCEEFF"/>
          </w:tcPr>
          <w:p>
            <w:pPr>
              <w:spacing w:after="0" w:line="176" w:lineRule="exact"/>
              <w:rPr>
                <w:sz w:val="20"/>
                <w:szCs w:val="20"/>
                <w:color w:val="auto"/>
              </w:rPr>
            </w:pPr>
            <w:r>
              <w:rPr>
                <w:rFonts w:ascii="Arial" w:cs="Arial" w:eastAsia="Arial" w:hAnsi="Arial"/>
                <w:sz w:val="18"/>
                <w:szCs w:val="18"/>
                <w:color w:val="auto"/>
              </w:rPr>
              <w:t>“Acceptable Commitment”</w:t>
            </w:r>
          </w:p>
        </w:tc>
        <w:tc>
          <w:tcPr>
            <w:tcW w:w="57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20"/>
                <w:szCs w:val="20"/>
                <w:b w:val="1"/>
                <w:bCs w:val="1"/>
                <w:color w:val="auto"/>
                <w:w w:val="92"/>
              </w:rPr>
              <w:t>3.05(a)(3)(ii)</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“Accounting Change”</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7"/>
              </w:rPr>
              <w:t>“GAAP”</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“Accredited Investor Note”</w:t>
            </w:r>
          </w:p>
        </w:tc>
        <w:tc>
          <w:tcPr>
            <w:tcW w:w="57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57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3980" w:type="dxa"/>
            <w:vAlign w:val="bottom"/>
            <w:gridSpan w:val="20"/>
          </w:tcPr>
          <w:p>
            <w:pPr>
              <w:spacing w:after="0"/>
              <w:rPr>
                <w:sz w:val="20"/>
                <w:szCs w:val="20"/>
                <w:color w:val="auto"/>
              </w:rPr>
            </w:pPr>
            <w:r>
              <w:rPr>
                <w:rFonts w:ascii="Arial" w:cs="Arial" w:eastAsia="Arial" w:hAnsi="Arial"/>
                <w:sz w:val="18"/>
                <w:szCs w:val="18"/>
                <w:color w:val="auto"/>
              </w:rPr>
              <w:t>“Acquired Entity or Business”</w:t>
            </w:r>
          </w:p>
        </w:tc>
        <w:tc>
          <w:tcPr>
            <w:tcW w:w="5700" w:type="dxa"/>
            <w:vAlign w:val="bottom"/>
          </w:tcPr>
          <w:p>
            <w:pPr>
              <w:spacing w:after="0"/>
              <w:rPr>
                <w:sz w:val="18"/>
                <w:szCs w:val="18"/>
                <w:color w:val="auto"/>
              </w:rPr>
            </w:pPr>
          </w:p>
        </w:tc>
        <w:tc>
          <w:tcPr>
            <w:tcW w:w="134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“Action”</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9"/>
              </w:rPr>
              <w:t>12.02(q)</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“Additional Restricted Notes”</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“Advance Offer”</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3.05(a)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“Advance Portion”</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3.05(a)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“Affiliate Transaction”</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3.08(a)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“Agent Members”</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2.01(e)(2)</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“Applicable Proceeds”</w:t>
            </w:r>
          </w:p>
        </w:tc>
        <w:tc>
          <w:tcPr>
            <w:tcW w:w="57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3.05(a)(3)</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57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88"/>
              </w:rPr>
              <w:t>“Cash</w:t>
            </w:r>
          </w:p>
        </w:tc>
        <w:tc>
          <w:tcPr>
            <w:tcW w:w="0" w:type="dxa"/>
            <w:vAlign w:val="bottom"/>
          </w:tcPr>
          <w:p>
            <w:pPr>
              <w:spacing w:after="0"/>
              <w:rPr>
                <w:sz w:val="1"/>
                <w:szCs w:val="1"/>
                <w:color w:val="auto"/>
              </w:rPr>
            </w:pPr>
          </w:p>
        </w:tc>
      </w:tr>
      <w:tr>
        <w:trPr>
          <w:trHeight w:val="212"/>
        </w:trPr>
        <w:tc>
          <w:tcPr>
            <w:tcW w:w="3980" w:type="dxa"/>
            <w:vAlign w:val="bottom"/>
            <w:gridSpan w:val="20"/>
          </w:tcPr>
          <w:p>
            <w:pPr>
              <w:spacing w:after="0"/>
              <w:rPr>
                <w:sz w:val="20"/>
                <w:szCs w:val="20"/>
                <w:color w:val="auto"/>
              </w:rPr>
            </w:pPr>
            <w:r>
              <w:rPr>
                <w:rFonts w:ascii="Arial" w:cs="Arial" w:eastAsia="Arial" w:hAnsi="Arial"/>
                <w:sz w:val="18"/>
                <w:szCs w:val="18"/>
                <w:color w:val="auto"/>
              </w:rPr>
              <w:t>“Approved Foreign Bank”</w:t>
            </w:r>
          </w:p>
        </w:tc>
        <w:tc>
          <w:tcPr>
            <w:tcW w:w="5700" w:type="dxa"/>
            <w:vAlign w:val="bottom"/>
          </w:tcPr>
          <w:p>
            <w:pPr>
              <w:spacing w:after="0"/>
              <w:rPr>
                <w:sz w:val="18"/>
                <w:szCs w:val="18"/>
                <w:color w:val="auto"/>
              </w:rPr>
            </w:pPr>
          </w:p>
        </w:tc>
        <w:tc>
          <w:tcPr>
            <w:tcW w:w="134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Equivalents”</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“Asset Disposition Offer”</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3.05(a)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“Authenticating Agent”</w:t>
            </w:r>
          </w:p>
        </w:tc>
        <w:tc>
          <w:tcPr>
            <w:tcW w:w="7040" w:type="dxa"/>
            <w:vAlign w:val="bottom"/>
            <w:gridSpan w:val="2"/>
          </w:tcPr>
          <w:p>
            <w:pPr>
              <w:jc w:val="center"/>
              <w:ind w:left="5606"/>
              <w:spacing w:after="0" w:line="189" w:lineRule="exact"/>
              <w:rPr>
                <w:sz w:val="20"/>
                <w:szCs w:val="20"/>
                <w:color w:val="auto"/>
              </w:rPr>
            </w:pPr>
            <w:r>
              <w:rPr>
                <w:rFonts w:ascii="Arial" w:cs="Arial" w:eastAsia="Arial" w:hAnsi="Arial"/>
                <w:sz w:val="20"/>
                <w:szCs w:val="20"/>
                <w:b w:val="1"/>
                <w:bCs w:val="1"/>
                <w:color w:val="auto"/>
                <w:w w:val="87"/>
              </w:rPr>
              <w:t>2.02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“Available Amount Builder Basket”</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3.03(a)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“BD Guarantee Release Condition”</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10.01(a)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“BD Guarantee Release Date”</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10.01(a)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“Change of Control Offer”</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3.09(a)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“Change of Control Payment”</w:t>
            </w:r>
          </w:p>
        </w:tc>
        <w:tc>
          <w:tcPr>
            <w:tcW w:w="57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3.09(a)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80" w:type="dxa"/>
            <w:vAlign w:val="bottom"/>
            <w:gridSpan w:val="20"/>
          </w:tcPr>
          <w:p>
            <w:pPr>
              <w:spacing w:after="0" w:line="189" w:lineRule="exact"/>
              <w:rPr>
                <w:sz w:val="20"/>
                <w:szCs w:val="20"/>
                <w:color w:val="auto"/>
              </w:rPr>
            </w:pPr>
            <w:r>
              <w:rPr>
                <w:rFonts w:ascii="Arial" w:cs="Arial" w:eastAsia="Arial" w:hAnsi="Arial"/>
                <w:sz w:val="18"/>
                <w:szCs w:val="18"/>
                <w:color w:val="auto"/>
              </w:rPr>
              <w:t>“Change of Control Payment Date”</w:t>
            </w:r>
          </w:p>
        </w:tc>
        <w:tc>
          <w:tcPr>
            <w:tcW w:w="57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3.09(a)(3)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auto"/>
              </w:rPr>
              <w:t>“Clearstream”</w:t>
            </w:r>
          </w:p>
        </w:tc>
        <w:tc>
          <w:tcPr>
            <w:tcW w:w="57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365"/>
        </w:trPr>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5700" w:type="dxa"/>
            <w:vAlign w:val="bottom"/>
            <w:tcBorders>
              <w:top w:val="single" w:sz="8" w:color="CCEEFF"/>
            </w:tcBorders>
          </w:tcPr>
          <w:p>
            <w:pPr>
              <w:jc w:val="right"/>
              <w:ind w:right="3926"/>
              <w:spacing w:after="0"/>
              <w:rPr>
                <w:sz w:val="20"/>
                <w:szCs w:val="20"/>
                <w:color w:val="auto"/>
              </w:rPr>
            </w:pPr>
            <w:r>
              <w:rPr>
                <w:rFonts w:ascii="Arial" w:cs="Arial" w:eastAsia="Arial" w:hAnsi="Arial"/>
                <w:sz w:val="18"/>
                <w:szCs w:val="18"/>
                <w:color w:val="auto"/>
              </w:rPr>
              <w:t>-65-</w:t>
            </w:r>
          </w:p>
        </w:tc>
        <w:tc>
          <w:tcPr>
            <w:tcW w:w="13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460" w:type="dxa"/>
            <w:vAlign w:val="bottom"/>
            <w:gridSpan w:val="28"/>
            <w:vMerge w:val="restart"/>
          </w:tcPr>
          <w:p>
            <w:pPr>
              <w:spacing w:after="0"/>
              <w:rPr>
                <w:sz w:val="20"/>
                <w:szCs w:val="20"/>
                <w:color w:val="auto"/>
              </w:rPr>
            </w:pPr>
            <w:r>
              <w:rPr>
                <w:rFonts w:ascii="Arial" w:cs="Arial" w:eastAsia="Arial" w:hAnsi="Arial"/>
                <w:sz w:val="14"/>
                <w:szCs w:val="14"/>
                <w:color w:val="auto"/>
              </w:rPr>
              <w:t>Term</w:t>
            </w:r>
          </w:p>
        </w:tc>
        <w:tc>
          <w:tcPr>
            <w:tcW w:w="49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65"/>
        </w:trPr>
        <w:tc>
          <w:tcPr>
            <w:tcW w:w="4460" w:type="dxa"/>
            <w:vAlign w:val="bottom"/>
            <w:gridSpan w:val="28"/>
            <w:vMerge w:val="continue"/>
          </w:tcPr>
          <w:p>
            <w:pPr>
              <w:spacing w:after="0"/>
              <w:rPr>
                <w:sz w:val="14"/>
                <w:szCs w:val="14"/>
                <w:color w:val="auto"/>
              </w:rPr>
            </w:pPr>
          </w:p>
        </w:tc>
        <w:tc>
          <w:tcPr>
            <w:tcW w:w="4900" w:type="dxa"/>
            <w:vAlign w:val="bottom"/>
          </w:tcPr>
          <w:p>
            <w:pPr>
              <w:spacing w:after="0"/>
              <w:rPr>
                <w:sz w:val="14"/>
                <w:szCs w:val="14"/>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207"/>
        </w:trPr>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94"/>
              </w:rPr>
              <w:t>“Credit</w:t>
            </w:r>
          </w:p>
        </w:tc>
        <w:tc>
          <w:tcPr>
            <w:tcW w:w="0" w:type="dxa"/>
            <w:vAlign w:val="bottom"/>
          </w:tcPr>
          <w:p>
            <w:pPr>
              <w:spacing w:after="0"/>
              <w:rPr>
                <w:sz w:val="1"/>
                <w:szCs w:val="1"/>
                <w:color w:val="auto"/>
              </w:rPr>
            </w:pPr>
          </w:p>
        </w:tc>
      </w:tr>
      <w:tr>
        <w:trPr>
          <w:trHeight w:val="232"/>
        </w:trPr>
        <w:tc>
          <w:tcPr>
            <w:tcW w:w="446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“Credit Agreement Effective Date”</w:t>
            </w:r>
          </w:p>
        </w:tc>
        <w:tc>
          <w:tcPr>
            <w:tcW w:w="490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w w:val="90"/>
              </w:rPr>
              <w:t>Agreement”</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4460" w:type="dxa"/>
            <w:vAlign w:val="bottom"/>
            <w:gridSpan w:val="28"/>
          </w:tcPr>
          <w:p>
            <w:pPr>
              <w:spacing w:after="0"/>
              <w:rPr>
                <w:sz w:val="20"/>
                <w:szCs w:val="20"/>
                <w:color w:val="auto"/>
              </w:rPr>
            </w:pPr>
            <w:r>
              <w:rPr>
                <w:rFonts w:ascii="Arial" w:cs="Arial" w:eastAsia="Arial" w:hAnsi="Arial"/>
                <w:sz w:val="18"/>
                <w:szCs w:val="18"/>
                <w:color w:val="auto"/>
              </w:rPr>
              <w:t>“Converted Restricted Subsidiary”</w:t>
            </w:r>
          </w:p>
        </w:tc>
        <w:tc>
          <w:tcPr>
            <w:tcW w:w="4900" w:type="dxa"/>
            <w:vAlign w:val="bottom"/>
          </w:tcPr>
          <w:p>
            <w:pPr>
              <w:spacing w:after="0"/>
              <w:rPr>
                <w:sz w:val="18"/>
                <w:szCs w:val="18"/>
                <w:color w:val="auto"/>
              </w:rPr>
            </w:pPr>
          </w:p>
        </w:tc>
        <w:tc>
          <w:tcPr>
            <w:tcW w:w="16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446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“Converted Unrestricted Subsidiary”</w:t>
            </w:r>
          </w:p>
        </w:tc>
        <w:tc>
          <w:tcPr>
            <w:tcW w:w="49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“Covenant Defeasance”</w:t>
            </w:r>
          </w:p>
        </w:tc>
        <w:tc>
          <w:tcPr>
            <w:tcW w:w="6560" w:type="dxa"/>
            <w:vAlign w:val="bottom"/>
            <w:gridSpan w:val="2"/>
          </w:tcPr>
          <w:p>
            <w:pPr>
              <w:jc w:val="center"/>
              <w:ind w:left="4782"/>
              <w:spacing w:after="0" w:line="189" w:lineRule="exact"/>
              <w:rPr>
                <w:sz w:val="20"/>
                <w:szCs w:val="20"/>
                <w:color w:val="auto"/>
              </w:rPr>
            </w:pPr>
            <w:r>
              <w:rPr>
                <w:rFonts w:ascii="Arial" w:cs="Arial" w:eastAsia="Arial" w:hAnsi="Arial"/>
                <w:sz w:val="20"/>
                <w:szCs w:val="20"/>
                <w:b w:val="1"/>
                <w:bCs w:val="1"/>
                <w:color w:val="auto"/>
                <w:w w:val="92"/>
              </w:rPr>
              <w:t>8.03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“Covenant Suspension Event”</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3.21(a)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“Declined Excess Proceeds”</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3.05(a)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“Defaulted Interest”</w:t>
            </w:r>
          </w:p>
        </w:tc>
        <w:tc>
          <w:tcPr>
            <w:tcW w:w="6560" w:type="dxa"/>
            <w:vAlign w:val="bottom"/>
            <w:gridSpan w:val="2"/>
            <w:shd w:val="clear" w:color="auto" w:fill="CCEEFF"/>
          </w:tcPr>
          <w:p>
            <w:pPr>
              <w:jc w:val="center"/>
              <w:ind w:left="4782"/>
              <w:spacing w:after="0" w:line="189" w:lineRule="exact"/>
              <w:rPr>
                <w:sz w:val="20"/>
                <w:szCs w:val="20"/>
                <w:color w:val="auto"/>
              </w:rPr>
            </w:pPr>
            <w:r>
              <w:rPr>
                <w:rFonts w:ascii="Arial" w:cs="Arial" w:eastAsia="Arial" w:hAnsi="Arial"/>
                <w:sz w:val="20"/>
                <w:szCs w:val="20"/>
                <w:b w:val="1"/>
                <w:bCs w:val="1"/>
                <w:color w:val="auto"/>
                <w:w w:val="92"/>
              </w:rPr>
              <w:t>2.15</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4460" w:type="dxa"/>
            <w:vAlign w:val="bottom"/>
            <w:gridSpan w:val="28"/>
          </w:tcPr>
          <w:p>
            <w:pPr>
              <w:spacing w:after="0"/>
              <w:rPr>
                <w:sz w:val="20"/>
                <w:szCs w:val="20"/>
                <w:color w:val="auto"/>
              </w:rPr>
            </w:pPr>
            <w:r>
              <w:rPr>
                <w:rFonts w:ascii="Arial" w:cs="Arial" w:eastAsia="Arial" w:hAnsi="Arial"/>
                <w:sz w:val="18"/>
                <w:szCs w:val="18"/>
                <w:color w:val="auto"/>
              </w:rPr>
              <w:t>“Determination Date”</w:t>
            </w:r>
          </w:p>
        </w:tc>
        <w:tc>
          <w:tcPr>
            <w:tcW w:w="4900" w:type="dxa"/>
            <w:vAlign w:val="bottom"/>
          </w:tcPr>
          <w:p>
            <w:pPr>
              <w:spacing w:after="0"/>
              <w:rPr>
                <w:sz w:val="18"/>
                <w:szCs w:val="18"/>
                <w:color w:val="auto"/>
              </w:rPr>
            </w:pPr>
          </w:p>
        </w:tc>
        <w:tc>
          <w:tcPr>
            <w:tcW w:w="16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“Directing Holder”</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6.01(a)</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“Election Date”</w:t>
            </w:r>
          </w:p>
        </w:tc>
        <w:tc>
          <w:tcPr>
            <w:tcW w:w="6560" w:type="dxa"/>
            <w:vAlign w:val="bottom"/>
            <w:gridSpan w:val="2"/>
          </w:tcPr>
          <w:p>
            <w:pPr>
              <w:jc w:val="center"/>
              <w:ind w:left="4782"/>
              <w:spacing w:after="0" w:line="189" w:lineRule="exact"/>
              <w:rPr>
                <w:sz w:val="20"/>
                <w:szCs w:val="20"/>
                <w:color w:val="auto"/>
              </w:rPr>
            </w:pPr>
            <w:r>
              <w:rPr>
                <w:rFonts w:ascii="Arial" w:cs="Arial" w:eastAsia="Arial" w:hAnsi="Arial"/>
                <w:sz w:val="20"/>
                <w:szCs w:val="20"/>
                <w:b w:val="1"/>
                <w:bCs w:val="1"/>
                <w:color w:val="auto"/>
                <w:w w:val="92"/>
              </w:rPr>
              <w:t>3.03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446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“equity incentives”</w:t>
            </w:r>
          </w:p>
        </w:tc>
        <w:tc>
          <w:tcPr>
            <w:tcW w:w="49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w w:val="91"/>
              </w:rPr>
              <w:t>Net Income”</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“Euroclear”</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“Event of Default”</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6.01(a)</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28"/>
          </w:tcPr>
          <w:p>
            <w:pPr>
              <w:spacing w:after="0"/>
              <w:rPr>
                <w:sz w:val="20"/>
                <w:szCs w:val="20"/>
                <w:color w:val="auto"/>
              </w:rPr>
            </w:pPr>
            <w:r>
              <w:rPr>
                <w:rFonts w:ascii="Arial" w:cs="Arial" w:eastAsia="Arial" w:hAnsi="Arial"/>
                <w:sz w:val="18"/>
                <w:szCs w:val="18"/>
                <w:color w:val="auto"/>
              </w:rPr>
              <w:t>“Excess Proceeds”</w:t>
            </w:r>
          </w:p>
        </w:tc>
        <w:tc>
          <w:tcPr>
            <w:tcW w:w="49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1"/>
              </w:rPr>
              <w:t>3.05(a)</w:t>
            </w:r>
          </w:p>
        </w:tc>
        <w:tc>
          <w:tcPr>
            <w:tcW w:w="0" w:type="dxa"/>
            <w:vAlign w:val="bottom"/>
          </w:tcPr>
          <w:p>
            <w:pPr>
              <w:spacing w:after="0"/>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90"/>
              </w:rPr>
              <w:t>“Fixed Charge</w:t>
            </w:r>
          </w:p>
        </w:tc>
        <w:tc>
          <w:tcPr>
            <w:tcW w:w="0" w:type="dxa"/>
            <w:vAlign w:val="bottom"/>
          </w:tcPr>
          <w:p>
            <w:pPr>
              <w:spacing w:after="0"/>
              <w:rPr>
                <w:sz w:val="1"/>
                <w:szCs w:val="1"/>
                <w:color w:val="auto"/>
              </w:rPr>
            </w:pPr>
          </w:p>
        </w:tc>
      </w:tr>
      <w:tr>
        <w:trPr>
          <w:trHeight w:val="212"/>
        </w:trPr>
        <w:tc>
          <w:tcPr>
            <w:tcW w:w="446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“Fixed Charge Coverage Ratio Calculation Date”</w:t>
            </w:r>
          </w:p>
        </w:tc>
        <w:tc>
          <w:tcPr>
            <w:tcW w:w="49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w w:val="89"/>
              </w:rPr>
              <w:t>Coverage Ratio”</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“Foreign Disposition”</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2"/>
              </w:rPr>
              <w:t>3.05(c)(i)</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“Global Notes”</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“Guaranteed Obligations”</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10.01(c)</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“Initial Agreement”</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3.04(b)(17)</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“Initial Default”</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6.01(b)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“Initial Lien”</w:t>
            </w:r>
          </w:p>
        </w:tc>
        <w:tc>
          <w:tcPr>
            <w:tcW w:w="6560" w:type="dxa"/>
            <w:vAlign w:val="bottom"/>
            <w:gridSpan w:val="2"/>
            <w:shd w:val="clear" w:color="auto" w:fill="CCEEFF"/>
          </w:tcPr>
          <w:p>
            <w:pPr>
              <w:jc w:val="center"/>
              <w:ind w:left="4782"/>
              <w:spacing w:after="0" w:line="189" w:lineRule="exact"/>
              <w:rPr>
                <w:sz w:val="20"/>
                <w:szCs w:val="20"/>
                <w:color w:val="auto"/>
              </w:rPr>
            </w:pPr>
            <w:r>
              <w:rPr>
                <w:rFonts w:ascii="Arial" w:cs="Arial" w:eastAsia="Arial" w:hAnsi="Arial"/>
                <w:sz w:val="20"/>
                <w:szCs w:val="20"/>
                <w:b w:val="1"/>
                <w:bCs w:val="1"/>
                <w:color w:val="auto"/>
                <w:w w:val="92"/>
              </w:rPr>
              <w:t>3.06</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“Institutional Accredited Investor Global Notes”</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“Institutional Accredited Investor Notes”</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“Issuer Order”</w:t>
            </w:r>
          </w:p>
        </w:tc>
        <w:tc>
          <w:tcPr>
            <w:tcW w:w="6560" w:type="dxa"/>
            <w:vAlign w:val="bottom"/>
            <w:gridSpan w:val="2"/>
          </w:tcPr>
          <w:p>
            <w:pPr>
              <w:jc w:val="center"/>
              <w:ind w:left="4782"/>
              <w:spacing w:after="0" w:line="189" w:lineRule="exact"/>
              <w:rPr>
                <w:sz w:val="20"/>
                <w:szCs w:val="20"/>
                <w:color w:val="auto"/>
              </w:rPr>
            </w:pPr>
            <w:r>
              <w:rPr>
                <w:rFonts w:ascii="Arial" w:cs="Arial" w:eastAsia="Arial" w:hAnsi="Arial"/>
                <w:sz w:val="20"/>
                <w:szCs w:val="20"/>
                <w:b w:val="1"/>
                <w:bCs w:val="1"/>
                <w:color w:val="auto"/>
                <w:w w:val="92"/>
              </w:rPr>
              <w:t>2.02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“Junior Lien Intercreditor Agreement”</w:t>
            </w:r>
          </w:p>
        </w:tc>
        <w:tc>
          <w:tcPr>
            <w:tcW w:w="6560" w:type="dxa"/>
            <w:vAlign w:val="bottom"/>
            <w:gridSpan w:val="2"/>
            <w:shd w:val="clear" w:color="auto" w:fill="CCEEFF"/>
          </w:tcPr>
          <w:p>
            <w:pPr>
              <w:jc w:val="center"/>
              <w:ind w:left="4782"/>
              <w:spacing w:after="0" w:line="189" w:lineRule="exact"/>
              <w:rPr>
                <w:sz w:val="20"/>
                <w:szCs w:val="20"/>
                <w:color w:val="auto"/>
              </w:rPr>
            </w:pPr>
            <w:r>
              <w:rPr>
                <w:rFonts w:ascii="Arial" w:cs="Arial" w:eastAsia="Arial" w:hAnsi="Arial"/>
                <w:sz w:val="20"/>
                <w:szCs w:val="20"/>
                <w:b w:val="1"/>
                <w:bCs w:val="1"/>
                <w:color w:val="auto"/>
                <w:w w:val="87"/>
              </w:rPr>
              <w:t>12.07</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“LCT Election”</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8"/>
              </w:rPr>
              <w:t>1.04(e)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auto"/>
              </w:rPr>
              <w:t>“LCT Public Offer”</w:t>
            </w:r>
          </w:p>
        </w:tc>
        <w:tc>
          <w:tcPr>
            <w:tcW w:w="49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8"/>
              </w:rPr>
              <w:t>1.04(e)</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28"/>
          </w:tcPr>
          <w:p>
            <w:pPr>
              <w:spacing w:after="0" w:line="189" w:lineRule="exact"/>
              <w:rPr>
                <w:sz w:val="20"/>
                <w:szCs w:val="20"/>
                <w:color w:val="auto"/>
              </w:rPr>
            </w:pPr>
            <w:r>
              <w:rPr>
                <w:rFonts w:ascii="Arial" w:cs="Arial" w:eastAsia="Arial" w:hAnsi="Arial"/>
                <w:sz w:val="18"/>
                <w:szCs w:val="18"/>
                <w:color w:val="auto"/>
              </w:rPr>
              <w:t>“LCT Test Date”</w:t>
            </w:r>
          </w:p>
        </w:tc>
        <w:tc>
          <w:tcPr>
            <w:tcW w:w="49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8"/>
              </w:rPr>
              <w:t>1.04(e)</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00" w:type="dxa"/>
            <w:vAlign w:val="bottom"/>
          </w:tcPr>
          <w:p>
            <w:pPr>
              <w:jc w:val="right"/>
              <w:ind w:right="3602"/>
              <w:spacing w:after="0"/>
              <w:rPr>
                <w:sz w:val="20"/>
                <w:szCs w:val="20"/>
                <w:color w:val="auto"/>
              </w:rPr>
            </w:pPr>
            <w:r>
              <w:rPr>
                <w:rFonts w:ascii="Arial" w:cs="Arial" w:eastAsia="Arial" w:hAnsi="Arial"/>
                <w:sz w:val="18"/>
                <w:szCs w:val="18"/>
                <w:color w:val="auto"/>
              </w:rPr>
              <w:t>-66-</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3" w:right="4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color w:val="auto"/>
                <w:w w:val="85"/>
              </w:rPr>
              <w:t>Term</w:t>
            </w:r>
          </w:p>
        </w:tc>
        <w:tc>
          <w:tcPr>
            <w:tcW w:w="3760" w:type="dxa"/>
            <w:vAlign w:val="bottom"/>
            <w:gridSpan w:val="24"/>
            <w:vMerge w:val="restart"/>
          </w:tcPr>
          <w:p>
            <w:pPr>
              <w:spacing w:after="0"/>
              <w:rPr>
                <w:sz w:val="14"/>
                <w:szCs w:val="14"/>
                <w:color w:val="auto"/>
              </w:rPr>
            </w:pPr>
          </w:p>
        </w:tc>
        <w:tc>
          <w:tcPr>
            <w:tcW w:w="53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760" w:type="dxa"/>
            <w:vAlign w:val="bottom"/>
            <w:gridSpan w:val="24"/>
            <w:vMerge w:val="continue"/>
          </w:tcPr>
          <w:p>
            <w:pPr>
              <w:spacing w:after="0"/>
              <w:rPr>
                <w:sz w:val="15"/>
                <w:szCs w:val="15"/>
                <w:color w:val="auto"/>
              </w:rPr>
            </w:pPr>
          </w:p>
        </w:tc>
        <w:tc>
          <w:tcPr>
            <w:tcW w:w="5300" w:type="dxa"/>
            <w:vAlign w:val="bottom"/>
          </w:tcPr>
          <w:p>
            <w:pPr>
              <w:spacing w:after="0"/>
              <w:rPr>
                <w:sz w:val="15"/>
                <w:szCs w:val="15"/>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Section</w:t>
            </w:r>
          </w:p>
        </w:tc>
        <w:tc>
          <w:tcPr>
            <w:tcW w:w="0" w:type="dxa"/>
            <w:vAlign w:val="bottom"/>
          </w:tcPr>
          <w:p>
            <w:pPr>
              <w:spacing w:after="0"/>
              <w:rPr>
                <w:sz w:val="1"/>
                <w:szCs w:val="1"/>
                <w:color w:val="auto"/>
              </w:rPr>
            </w:pPr>
          </w:p>
        </w:tc>
      </w:tr>
      <w:tr>
        <w:trPr>
          <w:trHeight w:val="176"/>
        </w:trPr>
        <w:tc>
          <w:tcPr>
            <w:tcW w:w="4060" w:type="dxa"/>
            <w:vAlign w:val="bottom"/>
            <w:tcBorders>
              <w:top w:val="single" w:sz="8" w:color="CCEEFF"/>
            </w:tcBorders>
            <w:gridSpan w:val="26"/>
            <w:shd w:val="clear" w:color="auto" w:fill="CCEEFF"/>
          </w:tcPr>
          <w:p>
            <w:pPr>
              <w:spacing w:after="0" w:line="176" w:lineRule="exact"/>
              <w:rPr>
                <w:sz w:val="20"/>
                <w:szCs w:val="20"/>
                <w:color w:val="auto"/>
              </w:rPr>
            </w:pPr>
            <w:r>
              <w:rPr>
                <w:rFonts w:ascii="Arial" w:cs="Arial" w:eastAsia="Arial" w:hAnsi="Arial"/>
                <w:sz w:val="18"/>
                <w:szCs w:val="18"/>
                <w:color w:val="auto"/>
              </w:rPr>
              <w:t>“Legal Defeasance”</w:t>
            </w:r>
          </w:p>
        </w:tc>
        <w:tc>
          <w:tcPr>
            <w:tcW w:w="53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20"/>
                <w:szCs w:val="20"/>
                <w:b w:val="1"/>
                <w:bCs w:val="1"/>
                <w:color w:val="auto"/>
                <w:w w:val="92"/>
              </w:rPr>
              <w:t>8.02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“Legal Holiday”</w:t>
            </w:r>
          </w:p>
        </w:tc>
        <w:tc>
          <w:tcPr>
            <w:tcW w:w="6960" w:type="dxa"/>
            <w:vAlign w:val="bottom"/>
            <w:gridSpan w:val="2"/>
          </w:tcPr>
          <w:p>
            <w:pPr>
              <w:jc w:val="center"/>
              <w:ind w:left="5182"/>
              <w:spacing w:after="0" w:line="189" w:lineRule="exact"/>
              <w:rPr>
                <w:sz w:val="20"/>
                <w:szCs w:val="20"/>
                <w:color w:val="auto"/>
              </w:rPr>
            </w:pPr>
            <w:r>
              <w:rPr>
                <w:rFonts w:ascii="Arial" w:cs="Arial" w:eastAsia="Arial" w:hAnsi="Arial"/>
                <w:sz w:val="20"/>
                <w:szCs w:val="20"/>
                <w:b w:val="1"/>
                <w:bCs w:val="1"/>
                <w:color w:val="auto"/>
                <w:w w:val="87"/>
              </w:rPr>
              <w:t>13.06</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87"/>
              </w:rPr>
              <w:t>“Consolidated</w:t>
            </w:r>
          </w:p>
        </w:tc>
        <w:tc>
          <w:tcPr>
            <w:tcW w:w="0" w:type="dxa"/>
            <w:vAlign w:val="bottom"/>
          </w:tcPr>
          <w:p>
            <w:pPr>
              <w:spacing w:after="0"/>
              <w:rPr>
                <w:sz w:val="1"/>
                <w:szCs w:val="1"/>
                <w:color w:val="auto"/>
              </w:rPr>
            </w:pPr>
          </w:p>
        </w:tc>
      </w:tr>
      <w:tr>
        <w:trPr>
          <w:trHeight w:val="212"/>
        </w:trPr>
        <w:tc>
          <w:tcPr>
            <w:tcW w:w="406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“New Contracts”</w:t>
            </w:r>
          </w:p>
        </w:tc>
        <w:tc>
          <w:tcPr>
            <w:tcW w:w="5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“Noteholder Direction”</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6.01(a)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“Notes Register”</w:t>
            </w:r>
          </w:p>
        </w:tc>
        <w:tc>
          <w:tcPr>
            <w:tcW w:w="6960" w:type="dxa"/>
            <w:vAlign w:val="bottom"/>
            <w:gridSpan w:val="2"/>
            <w:shd w:val="clear" w:color="auto" w:fill="CCEEFF"/>
          </w:tcPr>
          <w:p>
            <w:pPr>
              <w:jc w:val="center"/>
              <w:ind w:left="5182"/>
              <w:spacing w:after="0" w:line="189" w:lineRule="exact"/>
              <w:rPr>
                <w:sz w:val="20"/>
                <w:szCs w:val="20"/>
                <w:color w:val="auto"/>
              </w:rPr>
            </w:pPr>
            <w:r>
              <w:rPr>
                <w:rFonts w:ascii="Arial" w:cs="Arial" w:eastAsia="Arial" w:hAnsi="Arial"/>
                <w:sz w:val="20"/>
                <w:szCs w:val="20"/>
                <w:b w:val="1"/>
                <w:bCs w:val="1"/>
                <w:color w:val="auto"/>
                <w:w w:val="92"/>
              </w:rPr>
              <w:t>2.03</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“Notice”</w:t>
            </w:r>
          </w:p>
        </w:tc>
        <w:tc>
          <w:tcPr>
            <w:tcW w:w="6960" w:type="dxa"/>
            <w:vAlign w:val="bottom"/>
            <w:gridSpan w:val="2"/>
          </w:tcPr>
          <w:p>
            <w:pPr>
              <w:jc w:val="center"/>
              <w:ind w:left="5182"/>
              <w:spacing w:after="0" w:line="189" w:lineRule="exact"/>
              <w:rPr>
                <w:sz w:val="20"/>
                <w:szCs w:val="20"/>
                <w:color w:val="auto"/>
              </w:rPr>
            </w:pPr>
            <w:r>
              <w:rPr>
                <w:rFonts w:ascii="Arial" w:cs="Arial" w:eastAsia="Arial" w:hAnsi="Arial"/>
                <w:sz w:val="20"/>
                <w:szCs w:val="20"/>
                <w:b w:val="1"/>
                <w:bCs w:val="1"/>
                <w:color w:val="auto"/>
                <w:w w:val="87"/>
              </w:rPr>
              <w:t>13.14</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“Outside Date”</w:t>
            </w:r>
          </w:p>
        </w:tc>
        <w:tc>
          <w:tcPr>
            <w:tcW w:w="5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5.09(a)</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92"/>
              </w:rPr>
              <w:t>“Derivative</w:t>
            </w:r>
          </w:p>
        </w:tc>
        <w:tc>
          <w:tcPr>
            <w:tcW w:w="0" w:type="dxa"/>
            <w:vAlign w:val="bottom"/>
          </w:tcPr>
          <w:p>
            <w:pPr>
              <w:spacing w:after="0"/>
              <w:rPr>
                <w:sz w:val="1"/>
                <w:szCs w:val="1"/>
                <w:color w:val="auto"/>
              </w:rPr>
            </w:pPr>
          </w:p>
        </w:tc>
      </w:tr>
      <w:tr>
        <w:trPr>
          <w:trHeight w:val="212"/>
        </w:trPr>
        <w:tc>
          <w:tcPr>
            <w:tcW w:w="4060" w:type="dxa"/>
            <w:vAlign w:val="bottom"/>
            <w:gridSpan w:val="26"/>
          </w:tcPr>
          <w:p>
            <w:pPr>
              <w:spacing w:after="0"/>
              <w:rPr>
                <w:sz w:val="20"/>
                <w:szCs w:val="20"/>
                <w:color w:val="auto"/>
              </w:rPr>
            </w:pPr>
            <w:r>
              <w:rPr>
                <w:rFonts w:ascii="Arial" w:cs="Arial" w:eastAsia="Arial" w:hAnsi="Arial"/>
                <w:sz w:val="18"/>
                <w:szCs w:val="18"/>
                <w:color w:val="auto"/>
              </w:rPr>
              <w:t>“Performance References”</w:t>
            </w:r>
          </w:p>
        </w:tc>
        <w:tc>
          <w:tcPr>
            <w:tcW w:w="5300" w:type="dxa"/>
            <w:vAlign w:val="bottom"/>
          </w:tcPr>
          <w:p>
            <w:pPr>
              <w:spacing w:after="0"/>
              <w:rPr>
                <w:sz w:val="18"/>
                <w:szCs w:val="18"/>
                <w:color w:val="auto"/>
              </w:rPr>
            </w:pPr>
          </w:p>
        </w:tc>
        <w:tc>
          <w:tcPr>
            <w:tcW w:w="16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91"/>
              </w:rPr>
              <w:t>Instrument”</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“Permitted Payments”</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3.03(b)</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“Position Representation”</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6.01(a)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89"/>
              </w:rPr>
              <w:t>“Contingent</w:t>
            </w:r>
          </w:p>
        </w:tc>
        <w:tc>
          <w:tcPr>
            <w:tcW w:w="0" w:type="dxa"/>
            <w:vAlign w:val="bottom"/>
          </w:tcPr>
          <w:p>
            <w:pPr>
              <w:spacing w:after="0"/>
              <w:rPr>
                <w:sz w:val="1"/>
                <w:szCs w:val="1"/>
                <w:color w:val="auto"/>
              </w:rPr>
            </w:pPr>
          </w:p>
        </w:tc>
      </w:tr>
      <w:tr>
        <w:trPr>
          <w:trHeight w:val="232"/>
        </w:trPr>
        <w:tc>
          <w:tcPr>
            <w:tcW w:w="406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“primary obligations”</w:t>
            </w:r>
          </w:p>
        </w:tc>
        <w:tc>
          <w:tcPr>
            <w:tcW w:w="530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w w:val="89"/>
              </w:rPr>
              <w:t>Obligations”</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89"/>
              </w:rPr>
              <w:t>“Contingent</w:t>
            </w:r>
          </w:p>
        </w:tc>
        <w:tc>
          <w:tcPr>
            <w:tcW w:w="0" w:type="dxa"/>
            <w:vAlign w:val="bottom"/>
          </w:tcPr>
          <w:p>
            <w:pPr>
              <w:spacing w:after="0"/>
              <w:rPr>
                <w:sz w:val="1"/>
                <w:szCs w:val="1"/>
                <w:color w:val="auto"/>
              </w:rPr>
            </w:pPr>
          </w:p>
        </w:tc>
      </w:tr>
      <w:tr>
        <w:trPr>
          <w:trHeight w:val="212"/>
        </w:trPr>
        <w:tc>
          <w:tcPr>
            <w:tcW w:w="4060" w:type="dxa"/>
            <w:vAlign w:val="bottom"/>
            <w:gridSpan w:val="26"/>
          </w:tcPr>
          <w:p>
            <w:pPr>
              <w:spacing w:after="0"/>
              <w:rPr>
                <w:sz w:val="20"/>
                <w:szCs w:val="20"/>
                <w:color w:val="auto"/>
              </w:rPr>
            </w:pPr>
            <w:r>
              <w:rPr>
                <w:rFonts w:ascii="Arial" w:cs="Arial" w:eastAsia="Arial" w:hAnsi="Arial"/>
                <w:sz w:val="18"/>
                <w:szCs w:val="18"/>
                <w:color w:val="auto"/>
              </w:rPr>
              <w:t>“primary obligor”</w:t>
            </w:r>
          </w:p>
        </w:tc>
        <w:tc>
          <w:tcPr>
            <w:tcW w:w="5300" w:type="dxa"/>
            <w:vAlign w:val="bottom"/>
          </w:tcPr>
          <w:p>
            <w:pPr>
              <w:spacing w:after="0"/>
              <w:rPr>
                <w:sz w:val="18"/>
                <w:szCs w:val="18"/>
                <w:color w:val="auto"/>
              </w:rPr>
            </w:pPr>
          </w:p>
        </w:tc>
        <w:tc>
          <w:tcPr>
            <w:tcW w:w="16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Obligations”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“Proceeds Application Period”</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3.05(a)(3)</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“protected purchaser”</w:t>
            </w:r>
          </w:p>
        </w:tc>
        <w:tc>
          <w:tcPr>
            <w:tcW w:w="6960" w:type="dxa"/>
            <w:vAlign w:val="bottom"/>
            <w:gridSpan w:val="2"/>
          </w:tcPr>
          <w:p>
            <w:pPr>
              <w:jc w:val="center"/>
              <w:ind w:left="5182"/>
              <w:spacing w:after="0" w:line="189" w:lineRule="exact"/>
              <w:rPr>
                <w:sz w:val="20"/>
                <w:szCs w:val="20"/>
                <w:color w:val="auto"/>
              </w:rPr>
            </w:pPr>
            <w:r>
              <w:rPr>
                <w:rFonts w:ascii="Arial" w:cs="Arial" w:eastAsia="Arial" w:hAnsi="Arial"/>
                <w:sz w:val="20"/>
                <w:szCs w:val="20"/>
                <w:b w:val="1"/>
                <w:bCs w:val="1"/>
                <w:color w:val="auto"/>
                <w:w w:val="82"/>
              </w:rPr>
              <w:t>2.11</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“Purchase Agreement”</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“Redemption Date”</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5.07(b)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90"/>
              </w:rPr>
              <w:t>“Fixed Charge</w:t>
            </w:r>
          </w:p>
        </w:tc>
        <w:tc>
          <w:tcPr>
            <w:tcW w:w="0" w:type="dxa"/>
            <w:vAlign w:val="bottom"/>
          </w:tcPr>
          <w:p>
            <w:pPr>
              <w:spacing w:after="0"/>
              <w:rPr>
                <w:sz w:val="1"/>
                <w:szCs w:val="1"/>
                <w:color w:val="auto"/>
              </w:rPr>
            </w:pPr>
          </w:p>
        </w:tc>
      </w:tr>
      <w:tr>
        <w:trPr>
          <w:trHeight w:val="212"/>
        </w:trPr>
        <w:tc>
          <w:tcPr>
            <w:tcW w:w="406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“reference period”</w:t>
            </w:r>
          </w:p>
        </w:tc>
        <w:tc>
          <w:tcPr>
            <w:tcW w:w="5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w w:val="89"/>
              </w:rPr>
              <w:t>Coverage Ratio”</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“Refunding Capital Stock”</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2"/>
              </w:rPr>
              <w:t>3.03(b)(2)</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“Registrar”</w:t>
            </w:r>
          </w:p>
        </w:tc>
        <w:tc>
          <w:tcPr>
            <w:tcW w:w="6960" w:type="dxa"/>
            <w:vAlign w:val="bottom"/>
            <w:gridSpan w:val="2"/>
            <w:shd w:val="clear" w:color="auto" w:fill="CCEEFF"/>
          </w:tcPr>
          <w:p>
            <w:pPr>
              <w:jc w:val="center"/>
              <w:ind w:left="5182"/>
              <w:spacing w:after="0" w:line="189" w:lineRule="exact"/>
              <w:rPr>
                <w:sz w:val="20"/>
                <w:szCs w:val="20"/>
                <w:color w:val="auto"/>
              </w:rPr>
            </w:pPr>
            <w:r>
              <w:rPr>
                <w:rFonts w:ascii="Arial" w:cs="Arial" w:eastAsia="Arial" w:hAnsi="Arial"/>
                <w:sz w:val="20"/>
                <w:szCs w:val="20"/>
                <w:b w:val="1"/>
                <w:bCs w:val="1"/>
                <w:color w:val="auto"/>
                <w:w w:val="92"/>
              </w:rPr>
              <w:t>2.03</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“Regulation S Global Note”</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“Regulation S Notes”</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“Related Person”</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9"/>
              </w:rPr>
              <w:t>12.02(b)</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“Resale Restriction Termination Date”</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2.06(b)</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“Reserved Indebtedness Amount”</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3.02(c)(9)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“Restricted Notes Legend”</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2"/>
              </w:rPr>
              <w:t>2.01(d)(1)</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“Restricted Payment”</w:t>
            </w:r>
          </w:p>
        </w:tc>
        <w:tc>
          <w:tcPr>
            <w:tcW w:w="530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3.03(a)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“Restricted Period”</w:t>
            </w:r>
          </w:p>
        </w:tc>
        <w:tc>
          <w:tcPr>
            <w:tcW w:w="53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6"/>
          </w:tcPr>
          <w:p>
            <w:pPr>
              <w:spacing w:after="0" w:line="189" w:lineRule="exact"/>
              <w:rPr>
                <w:sz w:val="20"/>
                <w:szCs w:val="20"/>
                <w:color w:val="auto"/>
              </w:rPr>
            </w:pPr>
            <w:r>
              <w:rPr>
                <w:rFonts w:ascii="Arial" w:cs="Arial" w:eastAsia="Arial" w:hAnsi="Arial"/>
                <w:sz w:val="18"/>
                <w:szCs w:val="18"/>
                <w:color w:val="auto"/>
              </w:rPr>
              <w:t>“Reversion Date”</w:t>
            </w:r>
          </w:p>
        </w:tc>
        <w:tc>
          <w:tcPr>
            <w:tcW w:w="6960" w:type="dxa"/>
            <w:vAlign w:val="bottom"/>
            <w:gridSpan w:val="2"/>
          </w:tcPr>
          <w:p>
            <w:pPr>
              <w:jc w:val="center"/>
              <w:ind w:left="5182"/>
              <w:spacing w:after="0" w:line="189" w:lineRule="exact"/>
              <w:rPr>
                <w:sz w:val="20"/>
                <w:szCs w:val="20"/>
                <w:color w:val="auto"/>
              </w:rPr>
            </w:pPr>
            <w:r>
              <w:rPr>
                <w:rFonts w:ascii="Arial" w:cs="Arial" w:eastAsia="Arial" w:hAnsi="Arial"/>
                <w:sz w:val="20"/>
                <w:szCs w:val="20"/>
                <w:b w:val="1"/>
                <w:bCs w:val="1"/>
                <w:color w:val="auto"/>
                <w:w w:val="92"/>
              </w:rPr>
              <w:t>3.21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auto"/>
              </w:rPr>
              <w:t>“Rule 144A Global Note”</w:t>
            </w:r>
          </w:p>
        </w:tc>
        <w:tc>
          <w:tcPr>
            <w:tcW w:w="5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3"/>
              </w:rPr>
              <w:t>2.01(b)</w:t>
            </w:r>
          </w:p>
        </w:tc>
        <w:tc>
          <w:tcPr>
            <w:tcW w:w="0" w:type="dxa"/>
            <w:vAlign w:val="bottom"/>
          </w:tcPr>
          <w:p>
            <w:pPr>
              <w:spacing w:after="0"/>
              <w:rPr>
                <w:sz w:val="1"/>
                <w:szCs w:val="1"/>
                <w:color w:val="auto"/>
              </w:rPr>
            </w:pPr>
          </w:p>
        </w:tc>
      </w:tr>
      <w:tr>
        <w:trPr>
          <w:trHeight w:val="365"/>
        </w:trPr>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jc w:val="right"/>
              <w:ind w:right="3602"/>
              <w:spacing w:after="0"/>
              <w:rPr>
                <w:sz w:val="20"/>
                <w:szCs w:val="20"/>
                <w:color w:val="auto"/>
              </w:rPr>
            </w:pPr>
            <w:r>
              <w:rPr>
                <w:rFonts w:ascii="Arial" w:cs="Arial" w:eastAsia="Arial" w:hAnsi="Arial"/>
                <w:sz w:val="18"/>
                <w:szCs w:val="18"/>
                <w:color w:val="auto"/>
              </w:rPr>
              <w:t>-67-</w:t>
            </w:r>
          </w:p>
        </w:tc>
        <w:tc>
          <w:tcPr>
            <w:tcW w:w="1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3" w:right="43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00" w:type="dxa"/>
            <w:vAlign w:val="bottom"/>
            <w:gridSpan w:val="3"/>
            <w:vMerge w:val="restart"/>
          </w:tcPr>
          <w:p>
            <w:pPr>
              <w:spacing w:after="0"/>
              <w:rPr>
                <w:sz w:val="20"/>
                <w:szCs w:val="20"/>
                <w:color w:val="auto"/>
              </w:rPr>
            </w:pPr>
            <w:r>
              <w:rPr>
                <w:rFonts w:ascii="Arial" w:cs="Arial" w:eastAsia="Arial" w:hAnsi="Arial"/>
                <w:sz w:val="14"/>
                <w:szCs w:val="14"/>
                <w:color w:val="auto"/>
                <w:w w:val="85"/>
              </w:rPr>
              <w:t>Term</w:t>
            </w:r>
          </w:p>
        </w:tc>
        <w:tc>
          <w:tcPr>
            <w:tcW w:w="9260" w:type="dxa"/>
            <w:vAlign w:val="bottom"/>
            <w:gridSpan w:val="22"/>
            <w:vMerge w:val="restart"/>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Defined in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3"/>
            <w:vMerge w:val="continue"/>
          </w:tcPr>
          <w:p>
            <w:pPr>
              <w:spacing w:after="0"/>
              <w:rPr>
                <w:sz w:val="15"/>
                <w:szCs w:val="15"/>
                <w:color w:val="auto"/>
              </w:rPr>
            </w:pPr>
          </w:p>
        </w:tc>
        <w:tc>
          <w:tcPr>
            <w:tcW w:w="9260" w:type="dxa"/>
            <w:vAlign w:val="bottom"/>
            <w:gridSpan w:val="22"/>
            <w:vMerge w:val="continue"/>
          </w:tcPr>
          <w:p>
            <w:pPr>
              <w:spacing w:after="0"/>
              <w:rPr>
                <w:sz w:val="15"/>
                <w:szCs w:val="15"/>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176"/>
        </w:trPr>
        <w:tc>
          <w:tcPr>
            <w:tcW w:w="9560" w:type="dxa"/>
            <w:vAlign w:val="bottom"/>
            <w:tcBorders>
              <w:top w:val="single" w:sz="8" w:color="CCEEFF"/>
            </w:tcBorders>
            <w:gridSpan w:val="25"/>
            <w:shd w:val="clear" w:color="auto" w:fill="CCEEFF"/>
          </w:tcPr>
          <w:p>
            <w:pPr>
              <w:spacing w:after="0" w:line="176" w:lineRule="exact"/>
              <w:rPr>
                <w:sz w:val="20"/>
                <w:szCs w:val="20"/>
                <w:color w:val="auto"/>
              </w:rPr>
            </w:pPr>
            <w:r>
              <w:rPr>
                <w:rFonts w:ascii="Arial" w:cs="Arial" w:eastAsia="Arial" w:hAnsi="Arial"/>
                <w:sz w:val="18"/>
                <w:szCs w:val="18"/>
                <w:color w:val="auto"/>
              </w:rPr>
              <w:t>“Rule 144A Notes”</w:t>
            </w: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20"/>
                <w:szCs w:val="20"/>
                <w:b w:val="1"/>
                <w:bCs w:val="1"/>
                <w:color w:val="auto"/>
                <w:w w:val="89"/>
              </w:rPr>
              <w:t>2.01(b)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560" w:type="dxa"/>
            <w:vAlign w:val="bottom"/>
            <w:gridSpan w:val="25"/>
          </w:tcPr>
          <w:p>
            <w:pPr>
              <w:spacing w:after="0" w:line="202" w:lineRule="exact"/>
              <w:rPr>
                <w:sz w:val="20"/>
                <w:szCs w:val="20"/>
                <w:color w:val="auto"/>
              </w:rPr>
            </w:pPr>
            <w:r>
              <w:rPr>
                <w:rFonts w:ascii="Arial" w:cs="Arial" w:eastAsia="Arial" w:hAnsi="Arial"/>
                <w:sz w:val="18"/>
                <w:szCs w:val="18"/>
                <w:color w:val="auto"/>
              </w:rPr>
              <w:t>“Special Interest Payment Date”</w:t>
            </w:r>
          </w:p>
        </w:tc>
        <w:tc>
          <w:tcPr>
            <w:tcW w:w="14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1"/>
              </w:rPr>
              <w:t>2.15(a)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vMerge w:val="restart"/>
          </w:tcPr>
          <w:p>
            <w:pPr>
              <w:jc w:val="center"/>
              <w:spacing w:after="0" w:line="216" w:lineRule="exact"/>
              <w:rPr>
                <w:sz w:val="20"/>
                <w:szCs w:val="20"/>
                <w:color w:val="auto"/>
              </w:rPr>
            </w:pPr>
            <w:r>
              <w:rPr>
                <w:rFonts w:ascii="Arial" w:cs="Arial" w:eastAsia="Arial" w:hAnsi="Arial"/>
                <w:sz w:val="20"/>
                <w:szCs w:val="20"/>
                <w:b w:val="1"/>
                <w:bCs w:val="1"/>
                <w:color w:val="auto"/>
                <w:w w:val="91"/>
              </w:rPr>
              <w:t>5.09(a)</w:t>
            </w:r>
          </w:p>
        </w:tc>
        <w:tc>
          <w:tcPr>
            <w:tcW w:w="0" w:type="dxa"/>
            <w:vAlign w:val="bottom"/>
          </w:tcPr>
          <w:p>
            <w:pPr>
              <w:spacing w:after="0" w:line="20" w:lineRule="exact"/>
              <w:rPr>
                <w:sz w:val="1"/>
                <w:szCs w:val="1"/>
                <w:color w:val="auto"/>
              </w:rPr>
            </w:pPr>
          </w:p>
        </w:tc>
      </w:tr>
      <w:tr>
        <w:trPr>
          <w:trHeight w:val="196"/>
        </w:trPr>
        <w:tc>
          <w:tcPr>
            <w:tcW w:w="9560" w:type="dxa"/>
            <w:vAlign w:val="bottom"/>
            <w:gridSpan w:val="25"/>
          </w:tcPr>
          <w:p>
            <w:pPr>
              <w:spacing w:after="0" w:line="196" w:lineRule="exact"/>
              <w:rPr>
                <w:sz w:val="20"/>
                <w:szCs w:val="20"/>
                <w:color w:val="auto"/>
              </w:rPr>
            </w:pPr>
            <w:r>
              <w:rPr>
                <w:rFonts w:ascii="Arial" w:cs="Arial" w:eastAsia="Arial" w:hAnsi="Arial"/>
                <w:sz w:val="18"/>
                <w:szCs w:val="18"/>
                <w:color w:val="auto"/>
              </w:rPr>
              <w:t>“Special Mandatory Redemption”</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“Special Mandatory Redemption Date”</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9"/>
              </w:rPr>
              <w:t>5.09(b)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“Special Mandatory Redemption Price”</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5.09(a)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“Special Payment”</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9"/>
              </w:rPr>
              <w:t>“Transactions”</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“Special Record Date”</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2.15(a)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“Special Termination Date”</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5.09(a)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“Spinco Business”</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9"/>
              </w:rPr>
              <w:t>“Transactions”</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“Spin-Off”</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9"/>
              </w:rPr>
              <w:t>“Transactions”</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“Spin-Off Date”</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1"/>
              </w:rPr>
              <w:t>5.09(a)</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7" w:lineRule="exact"/>
              <w:rPr>
                <w:sz w:val="20"/>
                <w:szCs w:val="20"/>
                <w:color w:val="auto"/>
              </w:rPr>
            </w:pPr>
            <w:r>
              <w:rPr>
                <w:rFonts w:ascii="Arial" w:cs="Arial" w:eastAsia="Arial" w:hAnsi="Arial"/>
                <w:sz w:val="20"/>
                <w:szCs w:val="20"/>
                <w:b w:val="1"/>
                <w:bCs w:val="1"/>
                <w:color w:val="auto"/>
                <w:w w:val="89"/>
              </w:rPr>
              <w:t>“Consolidated</w:t>
            </w:r>
          </w:p>
        </w:tc>
        <w:tc>
          <w:tcPr>
            <w:tcW w:w="0" w:type="dxa"/>
            <w:vAlign w:val="bottom"/>
          </w:tcPr>
          <w:p>
            <w:pPr>
              <w:spacing w:after="0"/>
              <w:rPr>
                <w:sz w:val="1"/>
                <w:szCs w:val="1"/>
                <w:color w:val="auto"/>
              </w:rPr>
            </w:pPr>
          </w:p>
        </w:tc>
      </w:tr>
      <w:tr>
        <w:trPr>
          <w:trHeight w:val="212"/>
        </w:trPr>
        <w:tc>
          <w:tcPr>
            <w:tcW w:w="956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“Sold Entity or Business”</w:t>
            </w:r>
          </w:p>
        </w:tc>
        <w:tc>
          <w:tcPr>
            <w:tcW w:w="1460" w:type="dxa"/>
            <w:vAlign w:val="bottom"/>
            <w:shd w:val="clear" w:color="auto" w:fill="CCEEFF"/>
          </w:tcPr>
          <w:p>
            <w:pPr>
              <w:jc w:val="center"/>
              <w:spacing w:after="0" w:line="212" w:lineRule="exact"/>
              <w:rPr>
                <w:sz w:val="20"/>
                <w:szCs w:val="20"/>
                <w:color w:val="auto"/>
              </w:rPr>
            </w:pPr>
            <w:r>
              <w:rPr>
                <w:rFonts w:ascii="Arial" w:cs="Arial" w:eastAsia="Arial" w:hAnsi="Arial"/>
                <w:sz w:val="20"/>
                <w:szCs w:val="20"/>
                <w:b w:val="1"/>
                <w:bCs w:val="1"/>
                <w:color w:val="auto"/>
              </w:rPr>
              <w:t>EBITDA”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“Subsidiary Guarantees”</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2"/>
              </w:rPr>
              <w:t>10.01(b)</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“Subsidiary Guarantor”</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2"/>
              </w:rPr>
              <w:t>10.01(b)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“Successor Company”</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3"/>
              </w:rPr>
              <w:t>4.01(a)(1)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“Supplemental Indenture”</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2"/>
              </w:rPr>
              <w:t>10.01(b)</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“Suspended Covenants”</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87"/>
              </w:rPr>
              <w:t>3.21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“Suspension Period”</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7"/>
              </w:rPr>
              <w:t>3.21</w:t>
            </w:r>
          </w:p>
        </w:tc>
        <w:tc>
          <w:tcPr>
            <w:tcW w:w="0" w:type="dxa"/>
            <w:vAlign w:val="bottom"/>
          </w:tcPr>
          <w:p>
            <w:pPr>
              <w:spacing w:after="0"/>
              <w:rPr>
                <w:sz w:val="1"/>
                <w:szCs w:val="1"/>
                <w:color w:val="auto"/>
              </w:rPr>
            </w:pPr>
          </w:p>
        </w:tc>
      </w:tr>
      <w:tr>
        <w:trPr>
          <w:trHeight w:val="207"/>
        </w:trPr>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78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jc w:val="center"/>
              <w:spacing w:after="0" w:line="207" w:lineRule="exact"/>
              <w:rPr>
                <w:sz w:val="20"/>
                <w:szCs w:val="20"/>
                <w:color w:val="auto"/>
              </w:rPr>
            </w:pPr>
            <w:r>
              <w:rPr>
                <w:rFonts w:ascii="Arial" w:cs="Arial" w:eastAsia="Arial" w:hAnsi="Arial"/>
                <w:sz w:val="20"/>
                <w:szCs w:val="20"/>
                <w:b w:val="1"/>
                <w:bCs w:val="1"/>
                <w:color w:val="auto"/>
                <w:w w:val="91"/>
              </w:rPr>
              <w:t>“Applicable</w:t>
            </w:r>
          </w:p>
        </w:tc>
        <w:tc>
          <w:tcPr>
            <w:tcW w:w="0" w:type="dxa"/>
            <w:vAlign w:val="bottom"/>
          </w:tcPr>
          <w:p>
            <w:pPr>
              <w:spacing w:after="0"/>
              <w:rPr>
                <w:sz w:val="1"/>
                <w:szCs w:val="1"/>
                <w:color w:val="auto"/>
              </w:rPr>
            </w:pPr>
          </w:p>
        </w:tc>
      </w:tr>
      <w:tr>
        <w:trPr>
          <w:trHeight w:val="212"/>
        </w:trPr>
        <w:tc>
          <w:tcPr>
            <w:tcW w:w="9560" w:type="dxa"/>
            <w:vAlign w:val="bottom"/>
            <w:gridSpan w:val="25"/>
          </w:tcPr>
          <w:p>
            <w:pPr>
              <w:spacing w:after="0"/>
              <w:rPr>
                <w:sz w:val="20"/>
                <w:szCs w:val="20"/>
                <w:color w:val="auto"/>
              </w:rPr>
            </w:pPr>
            <w:r>
              <w:rPr>
                <w:rFonts w:ascii="Arial" w:cs="Arial" w:eastAsia="Arial" w:hAnsi="Arial"/>
                <w:sz w:val="18"/>
                <w:szCs w:val="18"/>
                <w:color w:val="auto"/>
              </w:rPr>
              <w:t>“Total Leverage Excess Proceeds”</w:t>
            </w:r>
          </w:p>
        </w:tc>
        <w:tc>
          <w:tcPr>
            <w:tcW w:w="14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6"/>
              </w:rPr>
              <w:t>Percentage”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“Transaction Costs”</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89"/>
              </w:rPr>
              <w:t>“Transactions”</w:t>
            </w: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tcPr>
          <w:p>
            <w:pPr>
              <w:spacing w:after="0" w:line="189" w:lineRule="exact"/>
              <w:rPr>
                <w:sz w:val="20"/>
                <w:szCs w:val="20"/>
                <w:color w:val="auto"/>
              </w:rPr>
            </w:pPr>
            <w:r>
              <w:rPr>
                <w:rFonts w:ascii="Arial" w:cs="Arial" w:eastAsia="Arial" w:hAnsi="Arial"/>
                <w:sz w:val="18"/>
                <w:szCs w:val="18"/>
                <w:color w:val="auto"/>
              </w:rPr>
              <w:t>“Treasury Capital Stock”</w:t>
            </w:r>
          </w:p>
        </w:tc>
        <w:tc>
          <w:tcPr>
            <w:tcW w:w="1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2"/>
              </w:rPr>
              <w:t>3.03(b)(2)</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auto"/>
              </w:rPr>
              <w:t>“Verification Covenant”</w:t>
            </w:r>
          </w:p>
        </w:tc>
        <w:tc>
          <w:tcPr>
            <w:tcW w:w="1460" w:type="dxa"/>
            <w:vAlign w:val="bottom"/>
            <w:shd w:val="clear" w:color="auto" w:fill="CCEEFF"/>
          </w:tcPr>
          <w:p>
            <w:pPr>
              <w:jc w:val="center"/>
              <w:spacing w:after="0" w:line="189" w:lineRule="exact"/>
              <w:rPr>
                <w:sz w:val="20"/>
                <w:szCs w:val="20"/>
                <w:color w:val="auto"/>
              </w:rPr>
            </w:pPr>
            <w:r>
              <w:rPr>
                <w:rFonts w:ascii="Arial" w:cs="Arial" w:eastAsia="Arial" w:hAnsi="Arial"/>
                <w:sz w:val="20"/>
                <w:szCs w:val="20"/>
                <w:b w:val="1"/>
                <w:bCs w:val="1"/>
                <w:color w:val="auto"/>
                <w:w w:val="91"/>
              </w:rPr>
              <w:t>6.01(a)</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1.03 [Reserved].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Unless the context otherwise requires: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 or GAAP (as applicable);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53" w:right="439" w:bottom="1440" w:gutter="0" w:footer="0" w:header="0"/>
        </w:sectPr>
      </w:pPr>
    </w:p>
    <w:bookmarkStart w:id="77" w:name="page78"/>
    <w:bookmarkEnd w:id="77"/>
    <w:p>
      <w:pPr>
        <w:ind w:left="1120" w:hanging="261"/>
        <w:spacing w:after="0"/>
        <w:tabs>
          <w:tab w:leader="none" w:pos="1120"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“include” and “includes” are by way of example and shall be deemed to be followed by the phrase “without limitation”;</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amounts expressed in this Indenture or in any of the Notes in terms of money refer to the lawful currency of the United States of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America;</w:t>
      </w:r>
    </w:p>
    <w:p>
      <w:pPr>
        <w:spacing w:after="0" w:line="102" w:lineRule="exact"/>
        <w:rPr>
          <w:rFonts w:ascii="Arial" w:cs="Arial" w:eastAsia="Arial" w:hAnsi="Arial"/>
          <w:sz w:val="17"/>
          <w:szCs w:val="17"/>
          <w:color w:val="auto"/>
        </w:rPr>
      </w:pPr>
    </w:p>
    <w:p>
      <w:pPr>
        <w:ind w:left="440" w:right="540" w:firstLine="419"/>
        <w:spacing w:after="0" w:line="277" w:lineRule="auto"/>
        <w:tabs>
          <w:tab w:leader="none" w:pos="12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440" w:right="80" w:firstLine="419"/>
        <w:spacing w:after="0" w:line="342" w:lineRule="auto"/>
        <w:tabs>
          <w:tab w:leader="none" w:pos="1201"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as otherwise stated, (a) references herein to Articles, Sections and Exhibit mean the Articles and Sections of and Exhibits to this Indenture and (b) each reference herein to a particular Article or Section includes the Sections, subsections and paragraphs subsidiary thereto;</w:t>
      </w:r>
    </w:p>
    <w:p>
      <w:pPr>
        <w:spacing w:after="0" w:line="15" w:lineRule="exact"/>
        <w:rPr>
          <w:rFonts w:ascii="Arial" w:cs="Arial" w:eastAsia="Arial" w:hAnsi="Arial"/>
          <w:sz w:val="16"/>
          <w:szCs w:val="16"/>
          <w:color w:val="auto"/>
        </w:rPr>
      </w:pPr>
    </w:p>
    <w:p>
      <w:pPr>
        <w:ind w:left="440" w:right="80" w:firstLine="419"/>
        <w:spacing w:after="0" w:line="263" w:lineRule="auto"/>
        <w:tabs>
          <w:tab w:leader="none" w:pos="12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and</w:t>
      </w:r>
    </w:p>
    <w:p>
      <w:pPr>
        <w:spacing w:after="0" w:line="75" w:lineRule="exact"/>
        <w:rPr>
          <w:rFonts w:ascii="Arial" w:cs="Arial" w:eastAsia="Arial" w:hAnsi="Arial"/>
          <w:sz w:val="18"/>
          <w:szCs w:val="18"/>
          <w:color w:val="auto"/>
        </w:rPr>
      </w:pPr>
    </w:p>
    <w:p>
      <w:pPr>
        <w:ind w:left="440" w:firstLine="419"/>
        <w:spacing w:after="0" w:line="289" w:lineRule="auto"/>
        <w:tabs>
          <w:tab w:leader="none" w:pos="12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anything herein to the contrary, neither the Trustee nor the Notes Collateral Agent is under any obligation to agree</w:t>
      </w:r>
      <w:r>
        <w:rPr>
          <w:rFonts w:ascii="Arial" w:cs="Arial" w:eastAsia="Arial" w:hAnsi="Arial"/>
          <w:sz w:val="16"/>
          <w:szCs w:val="16"/>
          <w:i w:val="1"/>
          <w:iCs w:val="1"/>
          <w:color w:val="auto"/>
        </w:rPr>
        <w:t xml:space="preserve"> </w:t>
      </w:r>
      <w:r>
        <w:rPr>
          <w:rFonts w:ascii="Arial" w:cs="Arial" w:eastAsia="Arial" w:hAnsi="Arial"/>
          <w:sz w:val="16"/>
          <w:szCs w:val="16"/>
          <w:color w:val="auto"/>
        </w:rPr>
        <w:t>to accept electronic signatures in any form or in any format except for facsimile and PDF unless expressly agreed to by the Trustee or the Notes Collateral Agent pursuant to reasonable procedures approved by the Trustee or the Notes Collateral Agent.</w:t>
      </w:r>
    </w:p>
    <w:p>
      <w:pPr>
        <w:spacing w:after="0" w:line="58" w:lineRule="exact"/>
        <w:rPr>
          <w:rFonts w:ascii="Arial" w:cs="Arial" w:eastAsia="Arial" w:hAnsi="Arial"/>
          <w:sz w:val="16"/>
          <w:szCs w:val="16"/>
          <w:color w:val="auto"/>
        </w:rPr>
      </w:pPr>
    </w:p>
    <w:p>
      <w:pPr>
        <w:ind w:firstLine="987"/>
        <w:spacing w:after="0" w:line="296" w:lineRule="auto"/>
        <w:tabs>
          <w:tab w:leader="none" w:pos="1246"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8" w:name="page79"/>
    <w:bookmarkEnd w:id="78"/>
    <w:p>
      <w:pPr>
        <w:ind w:right="40" w:firstLine="987"/>
        <w:spacing w:after="0" w:line="275" w:lineRule="auto"/>
        <w:tabs>
          <w:tab w:leader="none" w:pos="1236"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(1) immediately prior to or in connection therewith or (2) used to finance working capital needs of the Issuer and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principal amount of Indebtedness that may be excluded pursuant to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shall not exceed $50,000,000.</w:t>
      </w:r>
    </w:p>
    <w:p>
      <w:pPr>
        <w:spacing w:after="0" w:line="68" w:lineRule="exact"/>
        <w:rPr>
          <w:rFonts w:ascii="Arial" w:cs="Arial" w:eastAsia="Arial" w:hAnsi="Arial"/>
          <w:sz w:val="17"/>
          <w:szCs w:val="17"/>
          <w:color w:val="auto"/>
        </w:rPr>
      </w:pPr>
    </w:p>
    <w:p>
      <w:pPr>
        <w:ind w:right="20" w:firstLine="987"/>
        <w:spacing w:after="0" w:line="301" w:lineRule="auto"/>
        <w:tabs>
          <w:tab w:leader="none" w:pos="12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calculation or measure that is determined with reference to the Issuer’s financial statements (including Consolidated EBITDA, Consolidated Interest Expense, Consolidated Net Income, Fixed Charges, Fixed Charge Coverage Ratio, Consolidated First Lien Net Leverage Ratio, Consolidated Secured Net Leverage Ratio and Consolidated Total Net Leverage Ratio) may be determined with reference to the financial statements of a Parent Entity instead, so long as such Parent Entity does not hold any material assets other than, directly or indirectly, the Capital Stock of the Issuer.</w:t>
      </w:r>
    </w:p>
    <w:p>
      <w:pPr>
        <w:spacing w:after="0" w:line="49" w:lineRule="exact"/>
        <w:rPr>
          <w:rFonts w:ascii="Arial" w:cs="Arial" w:eastAsia="Arial" w:hAnsi="Arial"/>
          <w:sz w:val="16"/>
          <w:szCs w:val="16"/>
          <w:color w:val="auto"/>
        </w:rPr>
      </w:pPr>
    </w:p>
    <w:p>
      <w:pPr>
        <w:ind w:firstLine="987"/>
        <w:spacing w:after="0" w:line="284" w:lineRule="auto"/>
        <w:tabs>
          <w:tab w:leader="none" w:pos="12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herein to the contrary, when calculating the availability under any basket or ratio under this Indenture or compliance with any provision of this Indenture which requires the calculation of a basket or ratio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Issuer (the Issuer’s election to exercise such option,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Arial" w:cs="Arial" w:eastAsia="Arial" w:hAnsi="Arial"/>
          <w:sz w:val="16"/>
          <w:szCs w:val="16"/>
          <w:u w:val="single" w:color="auto"/>
          <w:color w:val="auto"/>
        </w:rPr>
        <w:t>LCT Test Date</w:t>
      </w:r>
      <w:r>
        <w:rPr>
          <w:rFonts w:ascii="Arial" w:cs="Arial" w:eastAsia="Arial" w:hAnsi="Arial"/>
          <w:sz w:val="16"/>
          <w:szCs w:val="16"/>
          <w:color w:val="auto"/>
        </w:rPr>
        <w:t>”) either (a) the definitive agreement (or other relevant definitive documentation) for such Limited Condition Transaction is entered into (or, if applicable, the date of delivery of an irrevocable declaration of a Restricted Payment or similar event or the date of any notice, which may be conditional, of such repayment, repurchase or refinancing of Indebtedness is given to the holders of such Indebtedness), or (b) solely in connection with an acquisition to which the United Kingdom City Code on Takeovers and Mergers applies, the date on which a “Rule 2.7 announcement” of a firm intention to make an offer (or equivalent announcement in another jurisdiction) (an “</w:t>
      </w:r>
      <w:r>
        <w:rPr>
          <w:rFonts w:ascii="Arial" w:cs="Arial" w:eastAsia="Arial" w:hAnsi="Arial"/>
          <w:sz w:val="16"/>
          <w:szCs w:val="16"/>
          <w:u w:val="single" w:color="auto"/>
          <w:color w:val="auto"/>
        </w:rPr>
        <w:t>LCT Public Offer</w:t>
      </w:r>
      <w:r>
        <w:rPr>
          <w:rFonts w:ascii="Arial" w:cs="Arial" w:eastAsia="Arial" w:hAnsi="Arial"/>
          <w:sz w:val="16"/>
          <w:szCs w:val="16"/>
          <w:color w:val="auto"/>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as if they had occurred at the beginning of the most recent test period ended prior to the LCT Test Date,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if financial statements for one or more subsequent fiscal quarters shall have become available, the Issuer may elect, in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to redetermine all such ratios, tests or baskets on the basis of such financial statements, in which case, such date of redetermination shall thereafter be the applicable LCT Test Date for purposes of such ratios, tests or baskets, (b) except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79" w:name="page80"/>
    <w:bookmarkEnd w:id="79"/>
    <w:p>
      <w:pPr>
        <w:ind w:right="2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Fixed Charge Coverage Ratio will be calculated using an assumed interest rate as reasonably determined by the Issuer.</w:t>
      </w:r>
    </w:p>
    <w:p>
      <w:pPr>
        <w:spacing w:after="0" w:line="176"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Issuer or the Person subject to such Limited Condition Transaction, such baskets, tests or ratios will not be deemed to have been exceeded or failed to have been complied with as a result of such fluctuations; (2) any change to the applicable exchange rate utilized in calculating compliance with any Dollar based provision of this Indenture, at any time from and after the LCT Test Date to the date of consummation of such Investment, acquisition or repayment, repurchase or refinancing of Indebtedness, will not be taken into account for purposes of determining (x) whether any Indebtedness or Lien that is being incurred in connection with such Investment, acquisition or repayment, repurchase or refinancing of Indebtedness is permitted, or (y) compliance by the Issuer or any of its Restricted Subsidiaries with any other provision of this Indenture; (3)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 and (4)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 Dating and Terms</w:t>
      </w:r>
      <w:r>
        <w:rPr>
          <w:rFonts w:ascii="Arial" w:cs="Arial" w:eastAsia="Arial" w:hAnsi="Arial"/>
          <w:sz w:val="18"/>
          <w:szCs w:val="18"/>
          <w:color w:val="auto"/>
        </w:rPr>
        <w:t>.</w:t>
      </w:r>
    </w:p>
    <w:p>
      <w:pPr>
        <w:spacing w:after="0" w:line="225" w:lineRule="exact"/>
        <w:rPr>
          <w:sz w:val="20"/>
          <w:szCs w:val="20"/>
          <w:color w:val="auto"/>
        </w:rPr>
      </w:pPr>
    </w:p>
    <w:p>
      <w:pPr>
        <w:ind w:right="220" w:firstLine="1428"/>
        <w:spacing w:after="0" w:line="255"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Notes that may be authenticated and delivered under this Indenture is unlimited. The Initial Notes issued on the date hereof will be in an aggregate principal amount of $500,000,000. In addition, the Issuer may issue, from time to time in accordance with the provisions of this Indenture, Additional Notes (as provided herein). Furthermore, Notes may be authenticated and delivered upon registration of transfer, exchange or in lieu of, other Notes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in connection with an Asset Disposition Offer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or in connection with a Change of Control Offer pursuant to </w:t>
      </w:r>
      <w:r>
        <w:rPr>
          <w:rFonts w:ascii="Arial" w:cs="Arial" w:eastAsia="Arial" w:hAnsi="Arial"/>
          <w:sz w:val="18"/>
          <w:szCs w:val="18"/>
          <w:u w:val="single" w:color="auto"/>
          <w:color w:val="auto"/>
        </w:rPr>
        <w:t>Section 3.09</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0" w:name="page81"/>
    <w:bookmarkEnd w:id="80"/>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herein, the Issuer may not issue any Additional Notes, unless such issuance is in compliance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respect to any Additional Notes, the Issuer shall set forth in one or more indentures supplemental hereto, the following information:</w:t>
      </w:r>
    </w:p>
    <w:p>
      <w:pPr>
        <w:spacing w:after="0" w:line="129" w:lineRule="exact"/>
        <w:rPr>
          <w:sz w:val="20"/>
          <w:szCs w:val="20"/>
          <w:color w:val="auto"/>
        </w:rPr>
      </w:pPr>
    </w:p>
    <w:p>
      <w:pPr>
        <w:ind w:left="1160" w:hanging="301"/>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issue price and the issue date of such Additional Notes, including the date from which interest shall accrue; and</w:t>
      </w:r>
    </w:p>
    <w:p>
      <w:pPr>
        <w:spacing w:after="0" w:line="117" w:lineRule="exact"/>
        <w:rPr>
          <w:rFonts w:ascii="Arial" w:cs="Arial" w:eastAsia="Arial" w:hAnsi="Arial"/>
          <w:sz w:val="18"/>
          <w:szCs w:val="18"/>
          <w:color w:val="auto"/>
        </w:rPr>
      </w:pPr>
    </w:p>
    <w:p>
      <w:pPr>
        <w:ind w:left="1140" w:hanging="281"/>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such Additional Notes shall be Restricted Notes.</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18"/>
          <w:szCs w:val="18"/>
          <w:u w:val="single" w:color="auto"/>
          <w:color w:val="auto"/>
        </w:rPr>
        <w:t>Section 13.02</w:t>
      </w:r>
      <w:r>
        <w:rPr>
          <w:rFonts w:ascii="Arial" w:cs="Arial" w:eastAsia="Arial" w:hAnsi="Arial"/>
          <w:sz w:val="18"/>
          <w:szCs w:val="18"/>
          <w:color w:val="auto"/>
        </w:rPr>
        <w:t>, an Opinion of Counsel as to the due authorization, execution, delivery, validity and enforceability of such Additional Notes.</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The Initial Notes and the Additional Notes shall be considered collectively as a single class for all purposes of this Indenture, including with respect to redemptions and offers to purchase,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will not be issued with the same CUSIP, ISIN or other identifying number as the Initial Notes if such Additional Notes are not fungible with the Initial Notes for U.S. federal income tax purposes or if the Issuer otherwise determines that any such Additional Notes should be differentiated from any other Notes.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87" w:lineRule="exact"/>
        <w:rPr>
          <w:sz w:val="20"/>
          <w:szCs w:val="20"/>
          <w:color w:val="auto"/>
        </w:rPr>
      </w:pPr>
    </w:p>
    <w:p>
      <w:pPr>
        <w:ind w:firstLine="987"/>
        <w:spacing w:after="0" w:line="290" w:lineRule="auto"/>
        <w:tabs>
          <w:tab w:leader="none" w:pos="12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Initial Notes are being offered and sold by the Issuer pursuant to a Purchase Agreement, dated January 27, 2022, between the Issuer and Morgan Stanley &amp; Co, LLC, as representative for the several Initial Purchasers, as supplemented by the Joinder Agreement, to be dated as of the Spin-Off Date, by and among the Issuer and the Subsidiary Guarantors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The Initial Notes and any Additional Notes (if issued as Restricted Notes) (the “</w:t>
      </w:r>
      <w:r>
        <w:rPr>
          <w:rFonts w:ascii="Arial" w:cs="Arial" w:eastAsia="Arial" w:hAnsi="Arial"/>
          <w:sz w:val="16"/>
          <w:szCs w:val="16"/>
          <w:u w:val="single" w:color="auto"/>
          <w:color w:val="auto"/>
        </w:rPr>
        <w:t>Additional Restricted Notes</w:t>
      </w:r>
      <w:r>
        <w:rPr>
          <w:rFonts w:ascii="Arial" w:cs="Arial" w:eastAsia="Arial" w:hAnsi="Arial"/>
          <w:sz w:val="16"/>
          <w:szCs w:val="16"/>
          <w:color w:val="auto"/>
        </w:rPr>
        <w:t>”) will be resold initially only to (A) Persons reasonably believed to be QIBs in reliance on Rule 144A and (B) Non-U.S. Persons in reliance on Regulation S. Such Initial Notes and Additional Restricted Notes may thereafter be transferred to, among others, Persons reasonably believed to be QIBs, purchasers in reliance on Regulation S, and AIs and IAIs in accordance with Rule 501 under the Securities Act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Initial Notes and Additional Restricted Notes offered and sold to Persons reasonably believed to be QIBs in the United States of America in reliance on Rule 144A (the “</w:t>
      </w:r>
      <w:r>
        <w:rPr>
          <w:rFonts w:ascii="Arial" w:cs="Arial" w:eastAsia="Arial" w:hAnsi="Arial"/>
          <w:sz w:val="18"/>
          <w:szCs w:val="18"/>
          <w:u w:val="single" w:color="auto"/>
          <w:color w:val="auto"/>
        </w:rPr>
        <w:t>Rule 144A Notes</w:t>
      </w:r>
      <w:r>
        <w:rPr>
          <w:rFonts w:ascii="Arial" w:cs="Arial" w:eastAsia="Arial" w:hAnsi="Arial"/>
          <w:sz w:val="18"/>
          <w:szCs w:val="18"/>
          <w:color w:val="auto"/>
        </w:rPr>
        <w:t xml:space="preserve">”) shall be issued in the form of a permanent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which is hereby incorporated by reference and made a part of this Indenture, including appropriate legends as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Rule 144A Global</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w:t>
      </w:r>
      <w:r>
        <w:rPr>
          <w:rFonts w:ascii="Arial" w:cs="Arial" w:eastAsia="Arial" w:hAnsi="Arial"/>
          <w:sz w:val="18"/>
          <w:szCs w:val="18"/>
          <w:color w:val="auto"/>
        </w:rPr>
        <w:t>”), deposited with the Trustee, as custodian for DTC, duly executed by the Issuer and authenticated by the Trustee as hereinafter provided. The Rule 144A Global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1" w:name="page82"/>
    <w:bookmarkEnd w:id="81"/>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custodian for DTC or its nominee, as hereinafter provided.</w:t>
      </w:r>
    </w:p>
    <w:p>
      <w:pPr>
        <w:spacing w:after="0" w:line="184"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Initial Notes and any Additional Restricted Notes offered and sold to non-U.S. Persons outside the United States of America (the “</w:t>
      </w:r>
      <w:r>
        <w:rPr>
          <w:rFonts w:ascii="Arial" w:cs="Arial" w:eastAsia="Arial" w:hAnsi="Arial"/>
          <w:sz w:val="17"/>
          <w:szCs w:val="17"/>
          <w:u w:val="single" w:color="auto"/>
          <w:color w:val="auto"/>
        </w:rPr>
        <w:t>Regulation S</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in reliance on Regulation S shall be issued in the form of a permanent global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including appropriate legends as set forth in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Regulation S Global Note</w:t>
      </w:r>
      <w:r>
        <w:rPr>
          <w:rFonts w:ascii="Arial" w:cs="Arial" w:eastAsia="Arial" w:hAnsi="Arial"/>
          <w:sz w:val="17"/>
          <w:szCs w:val="17"/>
          <w:color w:val="auto"/>
        </w:rPr>
        <w:t xml:space="preserve">”). Each Regulation S Global Note will be deposited upon issuance with, or on behalf of, the Trustee as custodian for DTC in the manner described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 Prior to the 40th day after the later of the commencement of the offering of the Initial Notes and the Issue Date (such period through and including such 40th day,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17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Investors may hold their interests in the Regulation S Global Note through Euroclear Bank S.A./N.V. (“</w:t>
      </w:r>
      <w:r>
        <w:rPr>
          <w:rFonts w:ascii="Arial" w:cs="Arial" w:eastAsia="Arial" w:hAnsi="Arial"/>
          <w:sz w:val="18"/>
          <w:szCs w:val="18"/>
          <w:u w:val="single" w:color="auto"/>
          <w:color w:val="auto"/>
        </w:rPr>
        <w:t>Euroclear</w:t>
      </w:r>
      <w:r>
        <w:rPr>
          <w:rFonts w:ascii="Arial" w:cs="Arial" w:eastAsia="Arial" w:hAnsi="Arial"/>
          <w:sz w:val="18"/>
          <w:szCs w:val="18"/>
          <w:color w:val="auto"/>
        </w:rPr>
        <w:t xml:space="preserve">”) or Clearstream Banking, </w:t>
      </w:r>
      <w:r>
        <w:rPr>
          <w:rFonts w:ascii="Arial" w:cs="Arial" w:eastAsia="Arial" w:hAnsi="Arial"/>
          <w:sz w:val="18"/>
          <w:szCs w:val="18"/>
          <w:i w:val="1"/>
          <w:iCs w:val="1"/>
          <w:color w:val="auto"/>
        </w:rPr>
        <w:t xml:space="preserve">société anonyme </w:t>
      </w: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if they are participants in those systems or indirectly through organizations that are participants in those systems. If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 in the depositaries’ names on the books of DTC.</w:t>
      </w:r>
    </w:p>
    <w:p>
      <w:pPr>
        <w:spacing w:after="0" w:line="192"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custodian for DTC or its nominee, as hereinafter provided.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Initial Notes and Additional Restricted Notes resold to IAIs (the “</w:t>
      </w:r>
      <w:r>
        <w:rPr>
          <w:rFonts w:ascii="Arial" w:cs="Arial" w:eastAsia="Arial" w:hAnsi="Arial"/>
          <w:sz w:val="16"/>
          <w:szCs w:val="16"/>
          <w:u w:val="single" w:color="auto"/>
          <w:color w:val="auto"/>
        </w:rPr>
        <w:t>Institutional Accredited Investor Notes</w:t>
      </w:r>
      <w:r>
        <w:rPr>
          <w:rFonts w:ascii="Arial" w:cs="Arial" w:eastAsia="Arial" w:hAnsi="Arial"/>
          <w:sz w:val="16"/>
          <w:szCs w:val="16"/>
          <w:color w:val="auto"/>
        </w:rPr>
        <w:t>”) in the United States of America will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issued in the form of a permanent global Note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including appropriate legends as set forth in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Institutional Accredited Investor Global Note</w:t>
      </w:r>
      <w:r>
        <w:rPr>
          <w:rFonts w:ascii="Arial" w:cs="Arial" w:eastAsia="Arial" w:hAnsi="Arial"/>
          <w:sz w:val="16"/>
          <w:szCs w:val="16"/>
          <w:color w:val="auto"/>
        </w:rPr>
        <w:t>”) deposited with the Trustee, as custodian for DTC, duly executed by the Issuer and authenticated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as hereinafter provided. The Institutional Accredited Investor Global Note may be represented by more than one certificate, if so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DTC’s rules regarding the maximum principal amount to be represented by a single certificate. The aggregate principal amount of the Institutional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Accredited Investor Global Note may from time to time be increased or decreased by adjustments made on the records of the Trustee, as custodian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DTC or its nominee, as hereinafter provided.</w:t>
      </w:r>
    </w:p>
    <w:p>
      <w:pPr>
        <w:spacing w:after="0" w:line="211"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 xml:space="preserve">Initial Notes and Additional Restricted Notes resold to AIs in the United States of America will be issued in the form of a Definitive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including the legend as set forth in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Accredited Investor Note</w:t>
      </w:r>
      <w:r>
        <w:rPr>
          <w:rFonts w:ascii="Arial" w:cs="Arial" w:eastAsia="Arial" w:hAnsi="Arial"/>
          <w:sz w:val="17"/>
          <w:szCs w:val="17"/>
          <w:color w:val="auto"/>
        </w:rPr>
        <w:t>”).</w:t>
      </w:r>
    </w:p>
    <w:p>
      <w:pPr>
        <w:spacing w:after="0" w:line="146"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Rule 144A Global Note, the Regulation S Global Note and the Institutional Accredited Investor Global Note are sometimes collectively herein referred to as the “</w:t>
      </w:r>
      <w:r>
        <w:rPr>
          <w:rFonts w:ascii="Arial" w:cs="Arial" w:eastAsia="Arial" w:hAnsi="Arial"/>
          <w:sz w:val="18"/>
          <w:szCs w:val="18"/>
          <w:u w:val="single" w:color="auto"/>
          <w:color w:val="auto"/>
        </w:rPr>
        <w:t>Global Notes</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82" w:name="page83"/>
    <w:bookmarkEnd w:id="82"/>
    <w:p>
      <w:pPr>
        <w:ind w:left="4" w:right="2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principal of, and premium, if any, and interest on the Notes shall be payable at the office or agency of the Paying Agent designated by the Issuer maintained for such purpose (which shall initially be the office of the Trustee maintained for such purpose), or at such other office or agency of the Issuer as may be maintained for such purpose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Paying Agent, payment of interest, if any, may be paid by (i) check mailed to addresses of the Persons entitled thereto as such addresses shall appear on the Notes Register or</w:t>
      </w:r>
    </w:p>
    <w:p>
      <w:pPr>
        <w:spacing w:after="0" w:line="1" w:lineRule="exact"/>
        <w:rPr>
          <w:sz w:val="20"/>
          <w:szCs w:val="20"/>
          <w:color w:val="auto"/>
        </w:rPr>
      </w:pPr>
    </w:p>
    <w:p>
      <w:pPr>
        <w:ind w:left="4" w:hanging="4"/>
        <w:spacing w:after="0" w:line="288" w:lineRule="auto"/>
        <w:tabs>
          <w:tab w:leader="none" w:pos="269"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or Paying Agent, as applicable, may accept in its discretion).</w:t>
      </w:r>
    </w:p>
    <w:p>
      <w:pPr>
        <w:spacing w:after="0" w:line="168"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 xml:space="preserve">The Notes may have notations, legends or endorsements required by law, stock exchange rule or usage, in addition to those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The Issuer shall approve any notation, endorsement or legend on the Notes. Each Note shall be dated the date of its authentication. The terms of the Notes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part of the terms of this Indenture and, to the extent applicable, the Issuer, the Guarantors and the Trustee, by their execution and delivery of this Indenture, expressly agree to be bound by such terms.</w:t>
      </w:r>
    </w:p>
    <w:p>
      <w:pPr>
        <w:spacing w:after="0" w:line="63" w:lineRule="exact"/>
        <w:rPr>
          <w:sz w:val="20"/>
          <w:szCs w:val="20"/>
          <w:color w:val="auto"/>
        </w:rPr>
      </w:pPr>
    </w:p>
    <w:p>
      <w:pPr>
        <w:ind w:left="4" w:right="560" w:firstLine="987"/>
        <w:spacing w:after="0" w:line="277" w:lineRule="auto"/>
        <w:tabs>
          <w:tab w:leader="none" w:pos="1240"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Denominations</w:t>
      </w:r>
      <w:r>
        <w:rPr>
          <w:rFonts w:ascii="Arial" w:cs="Arial" w:eastAsia="Arial" w:hAnsi="Arial"/>
          <w:sz w:val="18"/>
          <w:szCs w:val="18"/>
          <w:color w:val="auto"/>
        </w:rPr>
        <w:t>. The Notes shall be issuable only in fully registered form in minimum denominations of $2,000 and any integral multiple of $1,000 in excess thereof.</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Restrictive and Global Note Legends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Unless and until (i) an Initial Note or an Additional Note issued as a Restricted Note is sold under an effective registration statement or</w:t>
      </w:r>
    </w:p>
    <w:p>
      <w:pPr>
        <w:spacing w:after="0" w:line="46" w:lineRule="exact"/>
        <w:rPr>
          <w:rFonts w:ascii="Arial" w:cs="Arial" w:eastAsia="Arial" w:hAnsi="Arial"/>
          <w:sz w:val="16"/>
          <w:szCs w:val="16"/>
          <w:color w:val="auto"/>
        </w:rPr>
      </w:pPr>
    </w:p>
    <w:p>
      <w:pPr>
        <w:ind w:left="444" w:right="80" w:hanging="4"/>
        <w:spacing w:after="0" w:line="302" w:lineRule="auto"/>
        <w:tabs>
          <w:tab w:leader="none" w:pos="70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Issuer receives an Opinion of Counsel satisfactory to it to the effect that neither such legend nor the related restrictions on transfer are required in order to maintain compliance with the provisions of the Securities Act, the Rule 144A Global Note, the Regulation S Global Note, the Institutional Accredited Investor Global Note and the Accredited Investor Note shall each bear the following legend on the face thereof:</w:t>
      </w:r>
    </w:p>
    <w:p>
      <w:pPr>
        <w:spacing w:after="0" w:line="47" w:lineRule="exact"/>
        <w:rPr>
          <w:sz w:val="20"/>
          <w:szCs w:val="20"/>
          <w:color w:val="auto"/>
        </w:rPr>
      </w:pPr>
    </w:p>
    <w:p>
      <w:pPr>
        <w:ind w:left="444" w:right="60"/>
        <w:spacing w:after="0" w:line="253" w:lineRule="auto"/>
        <w:rPr>
          <w:sz w:val="20"/>
          <w:szCs w:val="20"/>
          <w:color w:val="auto"/>
        </w:rPr>
      </w:pPr>
      <w:r>
        <w:rPr>
          <w:rFonts w:ascii="Arial" w:cs="Arial" w:eastAsia="Arial" w:hAnsi="Arial"/>
          <w:sz w:val="18"/>
          <w:szCs w:val="18"/>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w:t>
      </w:r>
      <w:r>
        <w:rPr>
          <w:rFonts w:ascii="Arial" w:cs="Arial" w:eastAsia="Arial" w:hAnsi="Arial"/>
          <w:sz w:val="18"/>
          <w:szCs w:val="18"/>
          <w:b w:val="1"/>
          <w:bCs w:val="1"/>
          <w:color w:val="auto"/>
        </w:rPr>
        <w:t>IN THE CASE OF RULE 144A NOTES:</w:t>
      </w:r>
      <w:r>
        <w:rPr>
          <w:rFonts w:ascii="Arial" w:cs="Arial" w:eastAsia="Arial" w:hAnsi="Arial"/>
          <w:sz w:val="18"/>
          <w:szCs w:val="18"/>
          <w:color w:val="auto"/>
        </w:rPr>
        <w:t xml:space="preserve"> ONE YEAR OR SUCH SHORTER TIME UNDER APPLICABLE LAW] [</w:t>
      </w:r>
      <w:r>
        <w:rPr>
          <w:rFonts w:ascii="Arial" w:cs="Arial" w:eastAsia="Arial" w:hAnsi="Arial"/>
          <w:sz w:val="18"/>
          <w:szCs w:val="18"/>
          <w:b w:val="1"/>
          <w:bCs w:val="1"/>
          <w:color w:val="auto"/>
        </w:rPr>
        <w:t>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CASE OF REGULATION S NOTES: </w:t>
      </w:r>
      <w:r>
        <w:rPr>
          <w:rFonts w:ascii="Arial" w:cs="Arial" w:eastAsia="Arial" w:hAnsi="Arial"/>
          <w:sz w:val="18"/>
          <w:szCs w:val="18"/>
          <w:color w:val="auto"/>
        </w:rPr>
        <w:t>40 DAYS] AFTER THE LATER OF THE ORIGINAL ISSUE DATE HEREOF AND THE LAST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ISSUER OR ANY AFFILIATE OF THE ISSUER WAS THE OWNER OF THIS NOTE (OR ANY PREDECESSOR OF SUCH NOTE) RESELL OR OTHERWISE TRANSFER THIS NOTE EXCEPT (A) TO THE ISSUER OR ANY SUBSIDIARY THEREOF, (B) INSIDE THE UNITED STATES TO A QUALIFIED</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3" w:name="page84"/>
    <w:bookmarkEnd w:id="8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Each Global Note, whether or not an Initial Note, shall bear the following legend on the face thereof:</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u w:val="single" w:color="auto"/>
          <w:color w:val="auto"/>
        </w:rPr>
        <w:t>DTC</w:t>
      </w:r>
      <w:r>
        <w:rPr>
          <w:rFonts w:ascii="Arial" w:cs="Arial" w:eastAsia="Arial" w:hAnsi="Arial"/>
          <w:sz w:val="17"/>
          <w:szCs w:val="17"/>
          <w:color w:val="auto"/>
        </w:rPr>
        <w:t>”), NEW YORK, NEW YORK, TO THE ISSUER OR THE AGENT OF THE ISSUER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6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TERMS OF THIS NOTE ARE SUBJECT TO THE TERMS OF THE FIRST LIEN PARI PASSU INTERCREDITOR AGREEMENT AMONG U.S. BANK TRUST COMPANY, NATIONAL ASSOCIATION, AS NOTES COLLATERAL AGENT, MORGAN STANLEY SENIOR FUNDING, INC., AS AN AUTHORIZED REPRESENTATIVE, AND THE OTHER PARTIES FROM TIME TO TIME PARTY THERETO, ENTERED INTO ON THE SPIN-OFF DATE, AS IT MAY BE AMENDED, RESTATED, SUPPLEMENTED OR OTHERWISE MODIFIED FROM TIME TO TIME IN ACCORDANCE WITH THE INDENTURE.</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case of the Regulation S Global Note: 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60"/>
          </w:cols>
          <w:pgMar w:left="880" w:top="274" w:right="459" w:bottom="1440" w:gutter="0" w:footer="0" w:header="0"/>
        </w:sectPr>
      </w:pPr>
    </w:p>
    <w:bookmarkStart w:id="84" w:name="page85"/>
    <w:bookmarkEnd w:id="84"/>
    <w:p>
      <w:pPr>
        <w:ind w:left="420" w:right="2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applicable: 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w:t>
      </w:r>
    </w:p>
    <w:p>
      <w:pPr>
        <w:ind w:left="420" w:right="320"/>
        <w:spacing w:after="0" w:line="255" w:lineRule="auto"/>
        <w:rPr>
          <w:sz w:val="20"/>
          <w:szCs w:val="20"/>
          <w:color w:val="auto"/>
        </w:rPr>
      </w:pPr>
      <w:r>
        <w:rPr>
          <w:rFonts w:ascii="Arial" w:cs="Arial" w:eastAsia="Arial" w:hAnsi="Arial"/>
          <w:sz w:val="18"/>
          <w:szCs w:val="18"/>
          <w:color w:val="auto"/>
        </w:rPr>
        <w:t>HOLDERS MAY OBTAIN INFORMATION REGARDING THE AMOUNT OF OID, THE ISSUE PRICE, THE ISSUE DATE AND THE YIELD TO MATURITY RELATING TO THE NOTES BY CONTACTING THE ISSUER AT 1 BECTON DRIVE, FRANKLIN LAKES, NJ 07417.</w:t>
      </w:r>
    </w:p>
    <w:p>
      <w:pPr>
        <w:spacing w:after="0" w:line="82" w:lineRule="exact"/>
        <w:rPr>
          <w:sz w:val="20"/>
          <w:szCs w:val="20"/>
          <w:color w:val="auto"/>
        </w:rPr>
      </w:pPr>
    </w:p>
    <w:p>
      <w:pPr>
        <w:ind w:left="-20" w:right="360" w:firstLine="1428"/>
        <w:spacing w:after="0" w:line="277" w:lineRule="auto"/>
        <w:tabs>
          <w:tab w:leader="none" w:pos="1657"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xml:space="preserve">. (i) This </w:t>
      </w:r>
      <w:r>
        <w:rPr>
          <w:rFonts w:ascii="Arial" w:cs="Arial" w:eastAsia="Arial" w:hAnsi="Arial"/>
          <w:sz w:val="18"/>
          <w:szCs w:val="18"/>
          <w:u w:val="single" w:color="auto"/>
          <w:color w:val="auto"/>
        </w:rPr>
        <w:t>Section 2.01(e)</w:t>
      </w:r>
      <w:r>
        <w:rPr>
          <w:rFonts w:ascii="Arial" w:cs="Arial" w:eastAsia="Arial" w:hAnsi="Arial"/>
          <w:sz w:val="18"/>
          <w:szCs w:val="18"/>
          <w:color w:val="auto"/>
        </w:rPr>
        <w:t xml:space="preserve"> shall apply only to Global Notes deposited with the Trustee, as custodian for DTC, and for which the applicable procedures of DTC shall govern.</w:t>
      </w:r>
    </w:p>
    <w:p>
      <w:pPr>
        <w:spacing w:after="0" w:line="62" w:lineRule="exact"/>
        <w:rPr>
          <w:rFonts w:ascii="Arial" w:cs="Arial" w:eastAsia="Arial" w:hAnsi="Arial"/>
          <w:sz w:val="18"/>
          <w:szCs w:val="18"/>
          <w:color w:val="auto"/>
        </w:rPr>
      </w:pPr>
    </w:p>
    <w:p>
      <w:pPr>
        <w:ind w:left="420" w:firstLine="419"/>
        <w:spacing w:after="0" w:line="286" w:lineRule="auto"/>
        <w:tabs>
          <w:tab w:leader="none" w:pos="109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Each Global Note initially shall (x) be registered in the name of DTC or the nominee of DTC, (y) be delivered to the Notes Custodian for DTC and (z) bear legends as set forth in </w:t>
      </w:r>
      <w:r>
        <w:rPr>
          <w:rFonts w:ascii="Arial" w:cs="Arial" w:eastAsia="Arial" w:hAnsi="Arial"/>
          <w:sz w:val="16"/>
          <w:szCs w:val="16"/>
          <w:u w:val="single" w:color="auto"/>
          <w:color w:val="auto"/>
        </w:rPr>
        <w:t>Section 2.01(d)(2)</w:t>
      </w:r>
      <w:r>
        <w:rPr>
          <w:rFonts w:ascii="Arial" w:cs="Arial" w:eastAsia="Arial" w:hAnsi="Arial"/>
          <w:sz w:val="16"/>
          <w:szCs w:val="16"/>
          <w:color w:val="auto"/>
        </w:rPr>
        <w:t xml:space="preserve">. Transfers of a Global Note (but not a beneficial interest therein) will be limited to transfers thereof in whole, but not in part, to DTC, its successors or its respective nominees, except as set forth in </w:t>
      </w:r>
      <w:r>
        <w:rPr>
          <w:rFonts w:ascii="Arial" w:cs="Arial" w:eastAsia="Arial" w:hAnsi="Arial"/>
          <w:sz w:val="16"/>
          <w:szCs w:val="16"/>
          <w:u w:val="single" w:color="auto"/>
          <w:color w:val="auto"/>
        </w:rPr>
        <w:t>Section 2.01(e)(4)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2.01(f)</w:t>
      </w:r>
      <w:r>
        <w:rPr>
          <w:rFonts w:ascii="Arial" w:cs="Arial" w:eastAsia="Arial" w:hAnsi="Arial"/>
          <w:sz w:val="16"/>
          <w:szCs w:val="16"/>
          <w:color w:val="auto"/>
        </w:rPr>
        <w:t>. If a beneficial interest in a Global Note is transferred or exchanged for a beneficial interest in another Global Note, the Notes Custodian will</w:t>
      </w:r>
    </w:p>
    <w:p>
      <w:pPr>
        <w:spacing w:after="0" w:line="1" w:lineRule="exact"/>
        <w:rPr>
          <w:rFonts w:ascii="Arial" w:cs="Arial" w:eastAsia="Arial" w:hAnsi="Arial"/>
          <w:sz w:val="16"/>
          <w:szCs w:val="16"/>
          <w:color w:val="auto"/>
        </w:rPr>
      </w:pPr>
    </w:p>
    <w:p>
      <w:pPr>
        <w:ind w:left="420" w:right="60" w:hanging="4"/>
        <w:spacing w:after="0" w:line="252" w:lineRule="auto"/>
        <w:tabs>
          <w:tab w:leader="none" w:pos="6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85" w:lineRule="exact"/>
        <w:rPr>
          <w:rFonts w:ascii="Arial" w:cs="Arial" w:eastAsia="Arial" w:hAnsi="Arial"/>
          <w:sz w:val="18"/>
          <w:szCs w:val="18"/>
          <w:color w:val="auto"/>
        </w:rPr>
      </w:pPr>
    </w:p>
    <w:p>
      <w:pPr>
        <w:ind w:left="420" w:right="80" w:firstLine="419"/>
        <w:spacing w:after="0" w:line="273" w:lineRule="auto"/>
        <w:tabs>
          <w:tab w:leader="none" w:pos="109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Members of, or participants in, DTC (“</w:t>
      </w:r>
      <w:r>
        <w:rPr>
          <w:rFonts w:ascii="Arial" w:cs="Arial" w:eastAsia="Arial" w:hAnsi="Arial"/>
          <w:sz w:val="17"/>
          <w:szCs w:val="17"/>
          <w:u w:val="single" w:color="auto"/>
          <w:color w:val="auto"/>
        </w:rPr>
        <w:t>Agent Members</w:t>
      </w:r>
      <w:r>
        <w:rPr>
          <w:rFonts w:ascii="Arial" w:cs="Arial" w:eastAsia="Arial" w:hAnsi="Arial"/>
          <w:sz w:val="17"/>
          <w:szCs w:val="17"/>
          <w:color w:val="auto"/>
        </w:rPr>
        <w:t>”) shall have no rights under this Indenture with respect to any Global Note held on their behalf by DTC or by the Notes Custodian as the custodian of DTC or under such Global Note, and DTC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69" w:lineRule="exact"/>
        <w:rPr>
          <w:rFonts w:ascii="Arial" w:cs="Arial" w:eastAsia="Arial" w:hAnsi="Arial"/>
          <w:sz w:val="17"/>
          <w:szCs w:val="17"/>
          <w:color w:val="auto"/>
        </w:rPr>
      </w:pPr>
    </w:p>
    <w:p>
      <w:pPr>
        <w:ind w:left="420" w:right="240" w:firstLine="419"/>
        <w:spacing w:after="0" w:line="301" w:lineRule="auto"/>
        <w:tabs>
          <w:tab w:leader="none" w:pos="109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In connection with any transfer of a portion of the beneficial interest in a Global Note pursuant to </w:t>
      </w:r>
      <w:r>
        <w:rPr>
          <w:rFonts w:ascii="Arial" w:cs="Arial" w:eastAsia="Arial" w:hAnsi="Arial"/>
          <w:sz w:val="16"/>
          <w:szCs w:val="16"/>
          <w:u w:val="single" w:color="auto"/>
          <w:color w:val="auto"/>
        </w:rPr>
        <w:t>Section 2.01(f)</w:t>
      </w:r>
      <w:r>
        <w:rPr>
          <w:rFonts w:ascii="Arial" w:cs="Arial" w:eastAsia="Arial" w:hAnsi="Arial"/>
          <w:sz w:val="16"/>
          <w:szCs w:val="16"/>
          <w:color w:val="auto"/>
        </w:rPr>
        <w:t xml:space="preserve">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49" w:lineRule="exact"/>
        <w:rPr>
          <w:rFonts w:ascii="Arial" w:cs="Arial" w:eastAsia="Arial" w:hAnsi="Arial"/>
          <w:sz w:val="16"/>
          <w:szCs w:val="16"/>
          <w:color w:val="auto"/>
        </w:rPr>
      </w:pPr>
    </w:p>
    <w:p>
      <w:pPr>
        <w:ind w:left="420" w:right="260" w:firstLine="419"/>
        <w:spacing w:after="0" w:line="259" w:lineRule="auto"/>
        <w:tabs>
          <w:tab w:leader="none" w:pos="10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In connection with the transfer of an entire Global Note to beneficial owners pursuant to </w:t>
      </w:r>
      <w:r>
        <w:rPr>
          <w:rFonts w:ascii="Arial" w:cs="Arial" w:eastAsia="Arial" w:hAnsi="Arial"/>
          <w:sz w:val="18"/>
          <w:szCs w:val="18"/>
          <w:u w:val="single" w:color="auto"/>
          <w:color w:val="auto"/>
        </w:rPr>
        <w:t>Section 2.01(f)</w:t>
      </w:r>
      <w:r>
        <w:rPr>
          <w:rFonts w:ascii="Arial" w:cs="Arial" w:eastAsia="Arial" w:hAnsi="Arial"/>
          <w:sz w:val="18"/>
          <w:szCs w:val="18"/>
          <w:color w:val="auto"/>
        </w:rPr>
        <w:t>,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60" w:top="274" w:right="459" w:bottom="1440" w:gutter="0" w:footer="0" w:header="0"/>
        </w:sectPr>
      </w:pPr>
    </w:p>
    <w:bookmarkStart w:id="85" w:name="page86"/>
    <w:bookmarkEnd w:id="85"/>
    <w:p>
      <w:pPr>
        <w:ind w:left="444" w:right="240" w:firstLine="419"/>
        <w:spacing w:after="0" w:line="342" w:lineRule="auto"/>
        <w:tabs>
          <w:tab w:leader="none" w:pos="1122"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15" w:lineRule="exact"/>
        <w:rPr>
          <w:rFonts w:ascii="Arial" w:cs="Arial" w:eastAsia="Arial" w:hAnsi="Arial"/>
          <w:sz w:val="16"/>
          <w:szCs w:val="16"/>
          <w:color w:val="auto"/>
        </w:rPr>
      </w:pPr>
    </w:p>
    <w:p>
      <w:pPr>
        <w:ind w:left="444" w:right="40" w:firstLine="419"/>
        <w:spacing w:after="0" w:line="311" w:lineRule="auto"/>
        <w:tabs>
          <w:tab w:leader="none" w:pos="112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Holder of a Global Note shall, by acceptance of such Global Note, agree that transfers of beneficial 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40" w:lineRule="exact"/>
        <w:rPr>
          <w:rFonts w:ascii="Arial" w:cs="Arial" w:eastAsia="Arial" w:hAnsi="Arial"/>
          <w:sz w:val="16"/>
          <w:szCs w:val="16"/>
          <w:color w:val="auto"/>
        </w:rPr>
      </w:pPr>
    </w:p>
    <w:p>
      <w:pPr>
        <w:ind w:left="4" w:right="160" w:firstLine="1428"/>
        <w:spacing w:after="0" w:line="284" w:lineRule="auto"/>
        <w:tabs>
          <w:tab w:leader="none" w:pos="1661" w:val="left"/>
        </w:tabs>
        <w:numPr>
          <w:ilvl w:val="2"/>
          <w:numId w:val="106"/>
        </w:numPr>
        <w:rPr>
          <w:rFonts w:ascii="Arial" w:cs="Arial" w:eastAsia="Arial" w:hAnsi="Arial"/>
          <w:sz w:val="16"/>
          <w:szCs w:val="16"/>
          <w:color w:val="auto"/>
        </w:rPr>
      </w:pPr>
      <w:r>
        <w:rPr>
          <w:rFonts w:ascii="Arial" w:cs="Arial" w:eastAsia="Arial" w:hAnsi="Arial"/>
          <w:sz w:val="16"/>
          <w:szCs w:val="16"/>
          <w:u w:val="single" w:color="auto"/>
          <w:color w:val="auto"/>
        </w:rPr>
        <w:t>Definitive Notes</w:t>
      </w:r>
      <w:r>
        <w:rPr>
          <w:rFonts w:ascii="Arial" w:cs="Arial" w:eastAsia="Arial" w:hAnsi="Arial"/>
          <w:sz w:val="16"/>
          <w:szCs w:val="16"/>
          <w:color w:val="auto"/>
        </w:rPr>
        <w:t>. Except as provided below, owners of beneficial interests in Global Notes will not be entitled to receive Definitive Notes.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the Issuer in its sole discretion executes and deliver to the Trustee and Registrar an Officer’s Certificate stating that such Global Note shall be so exchangeable or (C) an Event of Default has occurred and is continuing and the Registrar has received a written request from DTC. In the event of the occurrence of any of the events specified in the second preceding sentence or in clause (A),</w:t>
      </w:r>
    </w:p>
    <w:p>
      <w:pPr>
        <w:spacing w:after="0" w:line="2" w:lineRule="exact"/>
        <w:rPr>
          <w:rFonts w:ascii="Arial" w:cs="Arial" w:eastAsia="Arial" w:hAnsi="Arial"/>
          <w:sz w:val="16"/>
          <w:szCs w:val="16"/>
          <w:color w:val="auto"/>
        </w:rPr>
      </w:pPr>
    </w:p>
    <w:p>
      <w:pPr>
        <w:ind w:left="4" w:right="80" w:hanging="4"/>
        <w:spacing w:after="0" w:line="281" w:lineRule="auto"/>
        <w:tabs>
          <w:tab w:leader="none" w:pos="28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or (C) of the preceding sentence, the Issuer shall promptly make available to the Registrar a reasonable supply of Definitive Notes. In addition, any Note transferred to an affiliate (as defined in Rule 405 under the Securities Act) of the Issuer or evidencing a Note that has been acquired by an affiliate in a transaction or series of transactions not involving any public offering must, until one year after the last date on which either the Issuer or any affiliate of the Issuer was an owner of the Note, be in the form of a Definitive Note and bear the legend regarding transfer restrictions in </w:t>
      </w:r>
      <w:r>
        <w:rPr>
          <w:rFonts w:ascii="Arial" w:cs="Arial" w:eastAsia="Arial" w:hAnsi="Arial"/>
          <w:sz w:val="16"/>
          <w:szCs w:val="16"/>
          <w:u w:val="single" w:color="auto"/>
          <w:color w:val="auto"/>
        </w:rPr>
        <w:t>Section 2.01(d)</w:t>
      </w:r>
    </w:p>
    <w:p>
      <w:pPr>
        <w:spacing w:after="0" w:line="2"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If required to do so pursuant to any applicable law or regulation, beneficial owners may also obtain Definitive Notes in exchange for their beneficial interests in a Global Note upon written request in accordance with DTC’s and the Registrar’s procedures.</w:t>
      </w:r>
    </w:p>
    <w:p>
      <w:pPr>
        <w:spacing w:after="0" w:line="77" w:lineRule="exact"/>
        <w:rPr>
          <w:rFonts w:ascii="Arial" w:cs="Arial" w:eastAsia="Arial" w:hAnsi="Arial"/>
          <w:sz w:val="16"/>
          <w:szCs w:val="16"/>
          <w:color w:val="auto"/>
        </w:rPr>
      </w:pPr>
    </w:p>
    <w:p>
      <w:pPr>
        <w:jc w:val="center"/>
        <w:ind w:left="444" w:firstLine="419"/>
        <w:spacing w:after="0" w:line="342" w:lineRule="auto"/>
        <w:tabs>
          <w:tab w:leader="none" w:pos="112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Any Definitive Note delivered in exchange for an interest in a Global Note pursuant to </w:t>
      </w:r>
      <w:r>
        <w:rPr>
          <w:rFonts w:ascii="Arial" w:cs="Arial" w:eastAsia="Arial" w:hAnsi="Arial"/>
          <w:sz w:val="16"/>
          <w:szCs w:val="16"/>
          <w:u w:val="single" w:color="auto"/>
          <w:color w:val="auto"/>
        </w:rPr>
        <w:t>Section 2.01(e)</w:t>
      </w:r>
      <w:r>
        <w:rPr>
          <w:rFonts w:ascii="Arial" w:cs="Arial" w:eastAsia="Arial" w:hAnsi="Arial"/>
          <w:sz w:val="16"/>
          <w:szCs w:val="16"/>
          <w:color w:val="auto"/>
        </w:rPr>
        <w:t xml:space="preserve"> shall, except as otherwise provided by </w:t>
      </w:r>
      <w:r>
        <w:rPr>
          <w:rFonts w:ascii="Arial" w:cs="Arial" w:eastAsia="Arial" w:hAnsi="Arial"/>
          <w:sz w:val="16"/>
          <w:szCs w:val="16"/>
          <w:u w:val="single" w:color="auto"/>
          <w:color w:val="auto"/>
        </w:rPr>
        <w:t>Section 2.06(d)</w:t>
      </w:r>
      <w:r>
        <w:rPr>
          <w:rFonts w:ascii="Arial" w:cs="Arial" w:eastAsia="Arial" w:hAnsi="Arial"/>
          <w:sz w:val="16"/>
          <w:szCs w:val="16"/>
          <w:color w:val="auto"/>
        </w:rPr>
        <w:t xml:space="preserve">, bear the applicable legend regarding transfer restrictions applicable to the Global Note set forth in </w:t>
      </w:r>
      <w:r>
        <w:rPr>
          <w:rFonts w:ascii="Arial" w:cs="Arial" w:eastAsia="Arial" w:hAnsi="Arial"/>
          <w:sz w:val="16"/>
          <w:szCs w:val="16"/>
          <w:u w:val="single" w:color="auto"/>
          <w:color w:val="auto"/>
        </w:rPr>
        <w:t>Section 2.01(d)(1)</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4" w:right="100" w:firstLine="419"/>
        <w:spacing w:after="0" w:line="257" w:lineRule="auto"/>
        <w:tabs>
          <w:tab w:leader="none" w:pos="11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79" w:lineRule="exact"/>
        <w:rPr>
          <w:rFonts w:ascii="Arial" w:cs="Arial" w:eastAsia="Arial" w:hAnsi="Arial"/>
          <w:sz w:val="18"/>
          <w:szCs w:val="18"/>
          <w:color w:val="auto"/>
        </w:rPr>
      </w:pPr>
    </w:p>
    <w:p>
      <w:pPr>
        <w:jc w:val="both"/>
        <w:ind w:left="444" w:right="620" w:firstLine="419"/>
        <w:spacing w:after="0" w:line="263" w:lineRule="auto"/>
        <w:tabs>
          <w:tab w:leader="none" w:pos="11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86" w:name="page87"/>
    <w:bookmarkEnd w:id="86"/>
    <w:p>
      <w:pPr>
        <w:ind w:left="44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68" w:lineRule="exact"/>
        <w:rPr>
          <w:sz w:val="20"/>
          <w:szCs w:val="20"/>
          <w:color w:val="auto"/>
        </w:rPr>
      </w:pPr>
    </w:p>
    <w:p>
      <w:pPr>
        <w:ind w:left="440" w:right="100" w:firstLine="419"/>
        <w:spacing w:after="0" w:line="277" w:lineRule="auto"/>
        <w:tabs>
          <w:tab w:leader="none" w:pos="11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in no event shall a Definitive Note be delivered upon exchange or transfer of a beneficial interest in the Regulation S Global Note prior to the end of the Restricted Period.</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 One Officer of the Issuer shall sign the Notes for the Issuer by manual, facsimile, PDF or other electronic signature. If the Officer whose signature is on a Note no longer holds that office at the time the Trustee authenticates the Note, the Note shall be valid nevertheless.</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 Note shall not be valid until an authorized officer of the Trustee manually authenticates the Note. The signature of the Trustee on a Note shall be conclusive evidence that such Note has been duly and validly authenticated and issued under this Indenture. A Note shall be dated the date of its authentication.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Trustee shall authenticate and make available for delivery: (1) Initial Notes for original issue on the Issue Date in an aggregate principal amount of $500,000,000 and (2) subject to the terms of this Indenture, Additional Notes for original issue in an unlimited principal amount, in each case upon a written order of the Issuer signed by one Officer (the “</w:t>
      </w:r>
      <w:r>
        <w:rPr>
          <w:rFonts w:ascii="Arial" w:cs="Arial" w:eastAsia="Arial" w:hAnsi="Arial"/>
          <w:sz w:val="18"/>
          <w:szCs w:val="18"/>
          <w:u w:val="single" w:color="auto"/>
          <w:color w:val="auto"/>
        </w:rPr>
        <w:t>Issuer Order</w:t>
      </w:r>
      <w:r>
        <w:rPr>
          <w:rFonts w:ascii="Arial" w:cs="Arial" w:eastAsia="Arial" w:hAnsi="Arial"/>
          <w:sz w:val="18"/>
          <w:szCs w:val="18"/>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Trustee may appoint an agent (the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reasonably acceptable to the Issuer to authenticate the Notes. Any such appointment shall be evidenced by an instrument signed by a Responsible Officer of the Trustee, a copy of which shall be furnished to the Issuer. Unless limited by the terms of such appointment, any such Authenticating Agent may authenticate Notes whenever the Trustee may do so. Each reference in this Indenture to authentication by the Trustee includes authentication by the Authenticating Agent. An Authenticating Agent has the same rights as any Registrar, Paying Agent or agent for service of notices and demands.</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In case any of the Issuer or any Guarantor,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as applicable, shall be consolidated or merged with or into any other Person or shall convey, transfer, lease or otherwise dispose of all or substantially all of its assets to any Successor Company, and such Successor Company resulting from such consolidation, or surviving such merger, or into which the Issuer or any Guarantor shall have been merged, or the Person which shall have received such conveyance, transfer, lease or other disposition, as applicable, shall have executed an indenture supplemental hereto with the Trustee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 any of the Notes authenticated or delivered prior to such consolidation, merger, conveyance, transfer, lease or other disposition may (but shall not be required), from time to time, at the request of the Successor Company, be exchanged for other Notes executed in the name of the Successor Company with such changes in phraseology and form as may be appropriate to reflect such Successor Company, but otherwise in substance of like tenor as the Notes surrendered for such exchange and of like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7" w:name="page88"/>
    <w:bookmarkEnd w:id="87"/>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principal amount; and the Trustee, upon receipt of an Issuer Order of the Successor Company, shall authenticate and make available for delivery Notes as specified in such order for the purpose of such exchange. If Notes shall at any time be authenticated and delivered in any new name of a Successor Company pursuant to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in exchange or substitution for or upon registration of transfer of any Notes, such Successor Company, at the option of the Holders but without expense to them, shall provide for the exchange of all Notes at the time outstanding for Notes authenticated and delivered in such new name.</w:t>
      </w:r>
    </w:p>
    <w:p>
      <w:pPr>
        <w:spacing w:after="0" w:line="18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Registrar, Paying Agent and Notes Collateral Agent</w:t>
      </w:r>
      <w:r>
        <w:rPr>
          <w:rFonts w:ascii="Arial" w:cs="Arial" w:eastAsia="Arial" w:hAnsi="Arial"/>
          <w:sz w:val="16"/>
          <w:szCs w:val="16"/>
          <w:color w:val="auto"/>
        </w:rPr>
        <w:t>. The Issuer shall maintain an office or agency where Notes may be presented for registration of transfer or for exchange (the “</w:t>
      </w:r>
      <w:r>
        <w:rPr>
          <w:rFonts w:ascii="Arial" w:cs="Arial" w:eastAsia="Arial" w:hAnsi="Arial"/>
          <w:sz w:val="16"/>
          <w:szCs w:val="16"/>
          <w:u w:val="single" w:color="auto"/>
          <w:color w:val="auto"/>
        </w:rPr>
        <w:t>Registrar</w:t>
      </w:r>
      <w:r>
        <w:rPr>
          <w:rFonts w:ascii="Arial" w:cs="Arial" w:eastAsia="Arial" w:hAnsi="Arial"/>
          <w:sz w:val="16"/>
          <w:szCs w:val="16"/>
          <w:color w:val="auto"/>
        </w:rPr>
        <w:t>”) and an office or agency where Notes may be presented for payment. The Registrar shall keep a register of the Notes and of their transfer and exchange (the “</w:t>
      </w:r>
      <w:r>
        <w:rPr>
          <w:rFonts w:ascii="Arial" w:cs="Arial" w:eastAsia="Arial" w:hAnsi="Arial"/>
          <w:sz w:val="16"/>
          <w:szCs w:val="16"/>
          <w:u w:val="single" w:color="auto"/>
          <w:color w:val="auto"/>
        </w:rPr>
        <w:t>Notes Register</w:t>
      </w:r>
      <w:r>
        <w:rPr>
          <w:rFonts w:ascii="Arial" w:cs="Arial" w:eastAsia="Arial" w:hAnsi="Arial"/>
          <w:sz w:val="16"/>
          <w:szCs w:val="16"/>
          <w:color w:val="auto"/>
        </w:rPr>
        <w:t>”). The Issuer may have one or more co-registrars and one or more additional paying agents. The term “Paying Agent” includes any additional paying agent and the term “Registrar” includes any co-registrar.</w:t>
      </w:r>
    </w:p>
    <w:p>
      <w:pPr>
        <w:spacing w:after="0" w:line="15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comply with such notification requirement shall not constitute a Default or an Event of Default. If the Issuer fails to maintain a Registrar or Paying Agent, the Trustee shall act as such and shall be entitled to appropriate compensation therefor pursuant to </w:t>
      </w:r>
      <w:r>
        <w:rPr>
          <w:rFonts w:ascii="Arial" w:cs="Arial" w:eastAsia="Arial" w:hAnsi="Arial"/>
          <w:sz w:val="17"/>
          <w:szCs w:val="17"/>
          <w:u w:val="single" w:color="auto"/>
          <w:color w:val="auto"/>
        </w:rPr>
        <w:t>Section 7.07</w:t>
      </w:r>
      <w:r>
        <w:rPr>
          <w:rFonts w:ascii="Arial" w:cs="Arial" w:eastAsia="Arial" w:hAnsi="Arial"/>
          <w:sz w:val="17"/>
          <w:szCs w:val="17"/>
          <w:color w:val="auto"/>
        </w:rPr>
        <w:t>. The Issuer or any Guarantor may act as Paying Agent, Registrar or transfer agent.</w:t>
      </w:r>
    </w:p>
    <w:p>
      <w:pPr>
        <w:spacing w:after="0" w:line="176"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The Issuer initially appoints DTC to act as Depositary with respect to the Global Notes. The Issuer initially appoints the Trustee as Registrar, Paying Agent, Notes Custodian and Notes Collateral Agent for the Notes. The Issuer may change any Registrar, Paying Agent or Notes Collateral Agent without prior notice to the Holders, but upon written notice to such Registrar, Paying Agent or Notes Collateral Agent and to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removal shall become effective until (i) acceptance of any appointment by a successor as evidenced by an appropriate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by the Issuer and such successor Registrar, Paying Agent or Notes Collateral Agent, as the case may be, and delivered to the Trustee and the passage of any waiting or notice periods required by DTC procedures or (ii) written notification to the Trustee that the Trustee shall serve as Registrar, Paying Agent or Notes Collateral Agent until the appointment of a successor in accordance with clause (i) above. The Registrar, Paying Agent or Notes Collateral Agent may resign at any time upon written notice to the Issuer and the Trustee.</w:t>
      </w:r>
    </w:p>
    <w:p>
      <w:pPr>
        <w:spacing w:after="0" w:line="178" w:lineRule="exact"/>
        <w:rPr>
          <w:sz w:val="20"/>
          <w:szCs w:val="20"/>
          <w:color w:val="auto"/>
        </w:rPr>
      </w:pPr>
    </w:p>
    <w:p>
      <w:pPr>
        <w:ind w:right="80" w:firstLine="991"/>
        <w:spacing w:after="0" w:line="268"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Paying Agent to Hold Money in Trust</w:t>
      </w:r>
      <w:r>
        <w:rPr>
          <w:rFonts w:ascii="Arial" w:cs="Arial" w:eastAsia="Arial" w:hAnsi="Arial"/>
          <w:sz w:val="17"/>
          <w:szCs w:val="17"/>
          <w:color w:val="auto"/>
        </w:rPr>
        <w:t xml:space="preserve">. By no later than 11:00 a.m. (New York City time) on the date on which any principal of, premium, if any, or interest on any Note is due and payable, the Issuer shall deposit with the Paying Agent a sum sufficient in immediately available funds to pay such principal, premium or interest when due. The Issuer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Upon complying with this </w:t>
      </w:r>
      <w:r>
        <w:rPr>
          <w:rFonts w:ascii="Arial" w:cs="Arial" w:eastAsia="Arial" w:hAnsi="Arial"/>
          <w:sz w:val="17"/>
          <w:szCs w:val="17"/>
          <w:u w:val="single" w:color="auto"/>
          <w:color w:val="auto"/>
        </w:rPr>
        <w:t>Section 2.04</w:t>
      </w:r>
      <w:r>
        <w:rPr>
          <w:rFonts w:ascii="Arial" w:cs="Arial" w:eastAsia="Arial" w:hAnsi="Arial"/>
          <w:sz w:val="17"/>
          <w:szCs w:val="17"/>
          <w:color w:val="auto"/>
        </w:rPr>
        <w:t>, the Paying Agent (if other than the Issuer or a Subsidiary of the Issuer) shall have no further liability for the money delivered to the Trustee. Upon any bankruptcy, reorganization or similar proceeding with respect to the Issuer, the Trustee shall serve as Paying Agent for the Notes.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88" w:name="page89"/>
    <w:bookmarkEnd w:id="88"/>
    <w:p>
      <w:pPr>
        <w:ind w:right="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(5) Business Days before each interest payment date and at such other times as the Trustee may request in writing, a list in such form and as of such date as the Trustee may reasonably require of the names and addresses of Holders.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left="220" w:firstLine="1400"/>
        <w:spacing w:after="0" w:line="290" w:lineRule="auto"/>
        <w:tabs>
          <w:tab w:leader="none" w:pos="186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A Holder may transfer a Note (or a beneficial interest therein) to another Person or exchange a Note (or a beneficial interest therein) for another Note or Notes of any authorized denomination by presenting to the Registrar a written request therefor stating the name of the proposed transferee or requesting such an exchange, accompanied by any certification, opinion or other document required by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The Registrar will promptly register any transfer or exchange that meets the requirements of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2.01(f)</w:t>
      </w:r>
      <w:r>
        <w:rPr>
          <w:rFonts w:ascii="Arial" w:cs="Arial" w:eastAsia="Arial" w:hAnsi="Arial"/>
          <w:sz w:val="16"/>
          <w:szCs w:val="16"/>
          <w:color w:val="auto"/>
        </w:rPr>
        <w:t>, as applicable, and, in the case of a Global Note (or a beneficial interest therein), the applicable rules and procedures of DTC, Euroclear and Clearstream. The Registrar shall refuse to register any requested transfer or exchange that does not comply with this paragraph.</w:t>
      </w:r>
    </w:p>
    <w:p>
      <w:pPr>
        <w:spacing w:after="0" w:line="57" w:lineRule="exact"/>
        <w:rPr>
          <w:rFonts w:ascii="Arial" w:cs="Arial" w:eastAsia="Arial" w:hAnsi="Arial"/>
          <w:sz w:val="16"/>
          <w:szCs w:val="16"/>
          <w:color w:val="auto"/>
        </w:rPr>
      </w:pPr>
    </w:p>
    <w:p>
      <w:pPr>
        <w:ind w:left="220" w:right="160" w:firstLine="1400"/>
        <w:spacing w:after="0" w:line="259" w:lineRule="auto"/>
        <w:tabs>
          <w:tab w:leader="none" w:pos="187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Transfers of Rule 144A Notes and Institutional Accredited Investor Notes</w:t>
      </w:r>
      <w:r>
        <w:rPr>
          <w:rFonts w:ascii="Arial" w:cs="Arial" w:eastAsia="Arial" w:hAnsi="Arial"/>
          <w:sz w:val="18"/>
          <w:szCs w:val="18"/>
          <w:color w:val="auto"/>
        </w:rPr>
        <w:t>. The following provisions shall apply with respect to any proposed registration of transfer of a Rule 144A Note or an Institutional Accredited Investor Note prior to the date that is one year after the later of the date of its original issue and the last date on which the Issuer or any Affiliate of the Issuer was the owner of such Notes (or any predecessor thereto) (the “</w:t>
      </w:r>
      <w:r>
        <w:rPr>
          <w:rFonts w:ascii="Arial" w:cs="Arial" w:eastAsia="Arial" w:hAnsi="Arial"/>
          <w:sz w:val="18"/>
          <w:szCs w:val="18"/>
          <w:u w:val="single" w:color="auto"/>
          <w:color w:val="auto"/>
        </w:rPr>
        <w:t>Resale Restriction Termination Date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40" w:firstLine="408"/>
        <w:spacing w:after="0" w:line="289" w:lineRule="auto"/>
        <w:tabs>
          <w:tab w:leader="none" w:pos="163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w:t>
      </w:r>
    </w:p>
    <w:p>
      <w:pPr>
        <w:spacing w:after="0" w:line="58" w:lineRule="exact"/>
        <w:rPr>
          <w:rFonts w:ascii="Arial" w:cs="Arial" w:eastAsia="Arial" w:hAnsi="Arial"/>
          <w:sz w:val="16"/>
          <w:szCs w:val="16"/>
          <w:color w:val="auto"/>
        </w:rPr>
      </w:pPr>
    </w:p>
    <w:p>
      <w:pPr>
        <w:ind w:left="980" w:right="60" w:firstLine="408"/>
        <w:spacing w:after="0" w:line="259" w:lineRule="auto"/>
        <w:tabs>
          <w:tab w:leader="none" w:pos="16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 registration of transfer of a Rule 144A Note or an Institutional Accredited Investor Global Note or a beneficial interest therein to an IAI or an AI shall be made upon receipt by the Registrar or its agent of a certificate substantially in the form set forth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respectively, from the proposed transferee and the delivery of an Opinion of Counsel, certification and/or other information satisfactory to the Issuer;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89" w:name="page90"/>
    <w:bookmarkEnd w:id="89"/>
    <w:p>
      <w:pPr>
        <w:ind w:left="440" w:right="40" w:firstLine="419"/>
        <w:spacing w:after="0" w:line="286" w:lineRule="auto"/>
        <w:tabs>
          <w:tab w:leader="none" w:pos="1118" w:val="left"/>
        </w:tabs>
        <w:numPr>
          <w:ilvl w:val="0"/>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registration of transfer of a Rule 144A Note or an Institutional Accredited Investor Note or a beneficial interest therein to a Non-U.S. Person shall be made upon receipt by the Registrar or its agent of a certificate substantially in the form set forth in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from the proposed transferor and the delivery of an Opinion of Counsel, certification and/or other information satisfactory to the Issuer.</w:t>
      </w:r>
    </w:p>
    <w:p>
      <w:pPr>
        <w:spacing w:after="0" w:line="57" w:lineRule="exact"/>
        <w:rPr>
          <w:rFonts w:ascii="Arial" w:cs="Arial" w:eastAsia="Arial" w:hAnsi="Arial"/>
          <w:sz w:val="17"/>
          <w:szCs w:val="17"/>
          <w:color w:val="auto"/>
        </w:rPr>
      </w:pPr>
    </w:p>
    <w:p>
      <w:pPr>
        <w:ind w:left="220" w:right="80" w:firstLine="1400"/>
        <w:spacing w:after="0" w:line="277" w:lineRule="auto"/>
        <w:tabs>
          <w:tab w:leader="none" w:pos="1868"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Transfers of Regulation S Notes</w:t>
      </w:r>
      <w:r>
        <w:rPr>
          <w:rFonts w:ascii="Arial" w:cs="Arial" w:eastAsia="Arial" w:hAnsi="Arial"/>
          <w:sz w:val="18"/>
          <w:szCs w:val="18"/>
          <w:color w:val="auto"/>
        </w:rPr>
        <w:t>. The following provisions shall apply with respect to any proposed transfer of a Regulation S Note prior to the expiration of the Restricted Period:</w:t>
      </w:r>
    </w:p>
    <w:p>
      <w:pPr>
        <w:spacing w:after="0" w:line="62" w:lineRule="exact"/>
        <w:rPr>
          <w:sz w:val="20"/>
          <w:szCs w:val="20"/>
          <w:color w:val="auto"/>
        </w:rPr>
      </w:pPr>
    </w:p>
    <w:p>
      <w:pPr>
        <w:ind w:left="440" w:firstLine="419"/>
        <w:spacing w:after="0" w:line="273" w:lineRule="auto"/>
        <w:tabs>
          <w:tab w:leader="none" w:pos="111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69" w:lineRule="exact"/>
        <w:rPr>
          <w:rFonts w:ascii="Arial" w:cs="Arial" w:eastAsia="Arial" w:hAnsi="Arial"/>
          <w:sz w:val="17"/>
          <w:szCs w:val="17"/>
          <w:color w:val="auto"/>
        </w:rPr>
      </w:pPr>
    </w:p>
    <w:p>
      <w:pPr>
        <w:ind w:left="440" w:right="60" w:firstLine="419"/>
        <w:spacing w:after="0" w:line="263"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transfer of a Regulation S Note or a beneficial interest therein to an IAI or an AI shall be made upon receipt by the Registrar or its agent of a certificate substantially in the form set forth in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respectively, from the proposed transferee and the delivery of an Opinion of Counsel, certification and/or other information satisfactory to the Issuer; and</w:t>
      </w:r>
    </w:p>
    <w:p>
      <w:pPr>
        <w:spacing w:after="0" w:line="75"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transfer of a Regulation S Note or a beneficial interest therein to a Non-U.S. Person shall be made upon receipt by the Registrar or its agent of a certificate substantially in the form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hereof from the proposed transferor and receipt by the Registrar or its agent of an Opinion of Counsel, certification and/or other information satisfactory to the Issuer.</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any additional certification.</w:t>
      </w:r>
    </w:p>
    <w:p>
      <w:pPr>
        <w:spacing w:after="0" w:line="62" w:lineRule="exact"/>
        <w:rPr>
          <w:sz w:val="20"/>
          <w:szCs w:val="20"/>
          <w:color w:val="auto"/>
        </w:rPr>
      </w:pPr>
    </w:p>
    <w:p>
      <w:pPr>
        <w:ind w:left="220" w:right="60" w:firstLine="1400"/>
        <w:spacing w:after="0" w:line="293" w:lineRule="auto"/>
        <w:tabs>
          <w:tab w:leader="none" w:pos="1878"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Restricted Notes Legend</w:t>
      </w:r>
      <w:r>
        <w:rPr>
          <w:rFonts w:ascii="Arial" w:cs="Arial" w:eastAsia="Arial" w:hAnsi="Arial"/>
          <w:sz w:val="16"/>
          <w:szCs w:val="16"/>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(2) [reserved] or (3) there is delivered to the Registrar an Opinion of Counsel reasonably satisfactory to the Issuer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56" w:lineRule="exact"/>
        <w:rPr>
          <w:rFonts w:ascii="Arial" w:cs="Arial" w:eastAsia="Arial" w:hAnsi="Arial"/>
          <w:sz w:val="16"/>
          <w:szCs w:val="16"/>
          <w:color w:val="auto"/>
        </w:rPr>
      </w:pPr>
    </w:p>
    <w:p>
      <w:pPr>
        <w:ind w:left="1860" w:hanging="240"/>
        <w:spacing w:after="0"/>
        <w:tabs>
          <w:tab w:leader="none" w:pos="1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 w:right="140" w:firstLine="1400"/>
        <w:spacing w:after="0" w:line="259" w:lineRule="auto"/>
        <w:tabs>
          <w:tab w:leader="none" w:pos="184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Retention of Written Communications</w:t>
      </w:r>
      <w:r>
        <w:rPr>
          <w:rFonts w:ascii="Arial" w:cs="Arial" w:eastAsia="Arial" w:hAnsi="Arial"/>
          <w:sz w:val="18"/>
          <w:szCs w:val="18"/>
          <w:color w:val="auto"/>
        </w:rPr>
        <w:t xml:space="preserve">. The Registrar shall retain copies of all letters, notices and other written communications received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Issuer shall have the right to inspect and make copies of all such letters, notices or other written communications, at the Issuer’s expense, at any reasonable time upon the giving of reasonable prior written notice to the Registrar.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0" w:name="page91"/>
    <w:bookmarkEnd w:id="90"/>
    <w:p>
      <w:pPr>
        <w:jc w:val="both"/>
        <w:ind w:left="224" w:right="140" w:firstLine="1400"/>
        <w:spacing w:after="0" w:line="263" w:lineRule="auto"/>
        <w:tabs>
          <w:tab w:leader="none" w:pos="188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with Respect to Transfers and Exchanges of Notes</w:t>
      </w:r>
      <w:r>
        <w:rPr>
          <w:rFonts w:ascii="Arial" w:cs="Arial" w:eastAsia="Arial" w:hAnsi="Arial"/>
          <w:sz w:val="18"/>
          <w:szCs w:val="18"/>
          <w:color w:val="auto"/>
        </w:rPr>
        <w:t xml:space="preserve">. To permit registrations of transfers and exchanges, the Issuer shall, subject to the other terms and conditions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execute and the Trustee shall authenticate Definitive Notes and Global Notes at the Issuer’s and the Registrar’s written request.</w:t>
      </w:r>
    </w:p>
    <w:p>
      <w:pPr>
        <w:spacing w:after="0" w:line="184"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color w:val="auto"/>
        </w:rPr>
        <w:t xml:space="preserve">No service charge shall be made to a Holder for any registration of transfer or exchange, but the Issuer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Arial" w:cs="Arial" w:eastAsia="Arial" w:hAnsi="Arial"/>
          <w:sz w:val="17"/>
          <w:szCs w:val="17"/>
          <w:u w:val="single" w:color="auto"/>
          <w:color w:val="auto"/>
        </w:rPr>
        <w:t>Sections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9.05</w:t>
      </w:r>
      <w:r>
        <w:rPr>
          <w:rFonts w:ascii="Arial" w:cs="Arial" w:eastAsia="Arial" w:hAnsi="Arial"/>
          <w:sz w:val="17"/>
          <w:szCs w:val="17"/>
          <w:color w:val="auto"/>
        </w:rPr>
        <w: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Issuer (and the Registrar) shall not be required to register the transfer of or exchange of any Note (A) for a period beginning (1) fifteen</w:t>
      </w:r>
    </w:p>
    <w:p>
      <w:pPr>
        <w:spacing w:after="0" w:line="35" w:lineRule="exact"/>
        <w:rPr>
          <w:sz w:val="20"/>
          <w:szCs w:val="20"/>
          <w:color w:val="auto"/>
        </w:rPr>
      </w:pPr>
    </w:p>
    <w:p>
      <w:pPr>
        <w:ind w:left="4" w:hanging="4"/>
        <w:spacing w:after="0" w:line="255" w:lineRule="auto"/>
        <w:tabs>
          <w:tab w:leader="none" w:pos="3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calendar days before the mailing (or electronic delivery) of a notice of an offer to repurchase or redeem Notes and ending at the close of business on the day of such mailing (or electronic delivery) or (2) fifteen (15) calendar days before an interest payment date and ending on such interest payment date or (B) called for redemption, except the unredeemed portion of any Note being redeemed in part.</w:t>
      </w:r>
    </w:p>
    <w:p>
      <w:pPr>
        <w:spacing w:after="0" w:line="190"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Prior to the due presentation for registration of transfer of any Note, the Issuer, the Trustee, the Paying Agent, the Notes Collateral Agent or the Registrar may deem and treat the person in whose name a Note is registered as the owner of such Note for the purpose of receiving payment of principal of, premium, if any, and (subject to paragraph 2 of the forms of Notes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interest on such Note and for all other purposes whatsoever, including without limitation the transfer or exchange of such Note, whether or not such Note is overdue, and none of the Issuer, the Trustee, the Paying Agent, the Notes Collateral Agent or the Registrar shall be affected by notice to the contrary.</w:t>
      </w:r>
    </w:p>
    <w:p>
      <w:pPr>
        <w:spacing w:after="0" w:line="176"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 xml:space="preserve">Any Definitive Note delivered in exchange for an interest in a Global Note pursuant to </w:t>
      </w:r>
      <w:r>
        <w:rPr>
          <w:rFonts w:ascii="Arial" w:cs="Arial" w:eastAsia="Arial" w:hAnsi="Arial"/>
          <w:sz w:val="16"/>
          <w:szCs w:val="16"/>
          <w:u w:val="single" w:color="auto"/>
          <w:color w:val="auto"/>
        </w:rPr>
        <w:t>Section 2.01(f)</w:t>
      </w:r>
      <w:r>
        <w:rPr>
          <w:rFonts w:ascii="Arial" w:cs="Arial" w:eastAsia="Arial" w:hAnsi="Arial"/>
          <w:sz w:val="16"/>
          <w:szCs w:val="16"/>
          <w:color w:val="auto"/>
        </w:rPr>
        <w:t xml:space="preserve"> shall, except as otherwise provided by </w:t>
      </w:r>
      <w:r>
        <w:rPr>
          <w:rFonts w:ascii="Arial" w:cs="Arial" w:eastAsia="Arial" w:hAnsi="Arial"/>
          <w:sz w:val="16"/>
          <w:szCs w:val="16"/>
          <w:u w:val="single" w:color="auto"/>
          <w:color w:val="auto"/>
        </w:rPr>
        <w:t>Section 2.06(d)</w:t>
      </w:r>
      <w:r>
        <w:rPr>
          <w:rFonts w:ascii="Arial" w:cs="Arial" w:eastAsia="Arial" w:hAnsi="Arial"/>
          <w:sz w:val="16"/>
          <w:szCs w:val="16"/>
          <w:color w:val="auto"/>
        </w:rPr>
        <w:t xml:space="preserve">, bear the applicable legend regarding transfer restrictions applicable to the Definitive Note set forth in </w:t>
      </w:r>
      <w:r>
        <w:rPr>
          <w:rFonts w:ascii="Arial" w:cs="Arial" w:eastAsia="Arial" w:hAnsi="Arial"/>
          <w:sz w:val="16"/>
          <w:szCs w:val="16"/>
          <w:u w:val="single" w:color="auto"/>
          <w:color w:val="auto"/>
        </w:rPr>
        <w:t>Section 2.01(d)(1)</w:t>
      </w:r>
      <w:r>
        <w:rPr>
          <w:rFonts w:ascii="Arial" w:cs="Arial" w:eastAsia="Arial" w:hAnsi="Arial"/>
          <w:sz w:val="16"/>
          <w:szCs w:val="16"/>
          <w:color w:val="auto"/>
        </w:rPr>
        <w:t>.</w:t>
      </w:r>
    </w:p>
    <w:p>
      <w:pPr>
        <w:spacing w:after="0" w:line="124"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62" w:lineRule="exact"/>
        <w:rPr>
          <w:sz w:val="20"/>
          <w:szCs w:val="20"/>
          <w:color w:val="auto"/>
        </w:rPr>
      </w:pPr>
    </w:p>
    <w:p>
      <w:pPr>
        <w:ind w:left="224" w:right="20" w:firstLine="1400"/>
        <w:spacing w:after="0" w:line="270" w:lineRule="auto"/>
        <w:tabs>
          <w:tab w:leader="none" w:pos="188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 Obligation of the Trustee</w:t>
      </w:r>
      <w:r>
        <w:rPr>
          <w:rFonts w:ascii="Arial" w:cs="Arial" w:eastAsia="Arial" w:hAnsi="Arial"/>
          <w:sz w:val="17"/>
          <w:szCs w:val="17"/>
          <w:color w:val="auto"/>
        </w:rPr>
        <w:t>. The Trustee shall have no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91" w:name="page92"/>
    <w:bookmarkEnd w:id="91"/>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DTC.</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2.07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Form of Certificate to be Delivered in Connection with Transfers to IAIs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Thornall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Edison, NJ 08837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DiGiacomo</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Embecta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This certificate is delivered to request a transfer of $[__] principal amount of the 5.000% Senior Secured Notes due 2030 (the “</w:t>
      </w:r>
      <w:r>
        <w:rPr>
          <w:rFonts w:ascii="Arial" w:cs="Arial" w:eastAsia="Arial" w:hAnsi="Arial"/>
          <w:sz w:val="18"/>
          <w:szCs w:val="18"/>
          <w:u w:val="single" w:color="auto"/>
          <w:color w:val="auto"/>
        </w:rPr>
        <w:t>Notes</w:t>
      </w:r>
      <w:r>
        <w:rPr>
          <w:rFonts w:ascii="Arial" w:cs="Arial" w:eastAsia="Arial" w:hAnsi="Arial"/>
          <w:sz w:val="18"/>
          <w:szCs w:val="18"/>
          <w:color w:val="auto"/>
        </w:rPr>
        <w:t>”) of Embecta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-10160</wp:posOffset>
            </wp:positionV>
            <wp:extent cx="27133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335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-10160</wp:posOffset>
            </wp:positionV>
            <wp:extent cx="25704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-10160</wp:posOffset>
            </wp:positionV>
            <wp:extent cx="1913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138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represents and warrants to you that:</w:t>
      </w:r>
    </w:p>
    <w:p>
      <w:pPr>
        <w:spacing w:after="0" w:line="131" w:lineRule="exact"/>
        <w:rPr>
          <w:sz w:val="20"/>
          <w:szCs w:val="20"/>
          <w:color w:val="auto"/>
        </w:rPr>
      </w:pPr>
    </w:p>
    <w:p>
      <w:pPr>
        <w:ind w:left="960" w:hanging="532"/>
        <w:spacing w:after="0" w:line="293" w:lineRule="auto"/>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We are an institutional “accredited investor” (as defined in Rule 501(a)(1), (2), (3) or (7)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purchasing for our own account or for the account of such an institutional “accredited investor” of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4" w:right="439" w:bottom="1440" w:gutter="0" w:footer="0" w:header="0"/>
        </w:sectPr>
      </w:pPr>
    </w:p>
    <w:bookmarkStart w:id="92" w:name="page93"/>
    <w:bookmarkEnd w:id="92"/>
    <w:p>
      <w:pPr>
        <w:ind w:left="960" w:hanging="532"/>
        <w:spacing w:after="0" w:line="284"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Issuer or any affiliate of the Issuer was the owner of such Notes (or any predecessor thereto) (the “</w:t>
      </w:r>
      <w:r>
        <w:rPr>
          <w:rFonts w:ascii="Arial" w:cs="Arial" w:eastAsia="Arial" w:hAnsi="Arial"/>
          <w:sz w:val="16"/>
          <w:szCs w:val="16"/>
          <w:u w:val="single" w:color="auto"/>
          <w:color w:val="auto"/>
        </w:rPr>
        <w:t>Resale 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Date</w:t>
      </w:r>
      <w:r>
        <w:rPr>
          <w:rFonts w:ascii="Arial" w:cs="Arial" w:eastAsia="Arial" w:hAnsi="Arial"/>
          <w:sz w:val="16"/>
          <w:szCs w:val="16"/>
          <w:color w:val="auto"/>
        </w:rPr>
        <w:t>”) only (a) to the Issuer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“accredited investor” within the meaning of Rule 501(a) (1), (2), (3), (4) or (7) under the Securities Act that is purchasing for its own account or for the account of such an institutional “accredited investor,” in each case in a minimum principal amount of Notes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which shall provide, among other things, that the transferee is an “accredited investor” (within the meaning of Rule 501(a)(1), (2), (3), (4) or (7) under the Securities Act) and that it is acquiring such Notes for investment purposes and not for distribution in violation of the Securities Act. Each purchaser acknowledges that the Issuer and the Trustee reserve the right prior to any offer, sale or other transfer prior to the Resale Termination Date of the Notes pursuant to clauses (d), (e) or (f) above to require the delivery of an opinion of counsel, certifications and/or other information satisfactory to the Issuer.</w:t>
      </w:r>
    </w:p>
    <w:p>
      <w:pPr>
        <w:spacing w:after="0" w:line="83" w:lineRule="exact"/>
        <w:rPr>
          <w:rFonts w:ascii="Arial" w:cs="Arial" w:eastAsia="Arial" w:hAnsi="Arial"/>
          <w:sz w:val="16"/>
          <w:szCs w:val="16"/>
          <w:color w:val="auto"/>
        </w:rPr>
      </w:pPr>
    </w:p>
    <w:p>
      <w:pPr>
        <w:ind w:left="960" w:hanging="532"/>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[are][are not] an Affiliate of the Issuer.</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14605</wp:posOffset>
            </wp:positionV>
            <wp:extent cx="18942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Form of Certificate to be Delivered in Connection with Transfers Pursuant to Regulation 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Thornall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Edison, NJ 08837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DiGiacomo</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Embecta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5.000% Senior Secured Notes due 2030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our proposed sale of $[________] aggregate principal amount of the Notes, we confirm that such sale has been effected</w:t>
      </w:r>
    </w:p>
    <w:p>
      <w:pPr>
        <w:spacing w:after="0" w:line="3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pursuant to and in accordance with Regulation S (“</w:t>
      </w:r>
      <w:r>
        <w:rPr>
          <w:rFonts w:ascii="Arial" w:cs="Arial" w:eastAsia="Arial" w:hAnsi="Arial"/>
          <w:sz w:val="18"/>
          <w:szCs w:val="18"/>
          <w:u w:val="single" w:color="auto"/>
          <w:color w:val="auto"/>
        </w:rPr>
        <w:t>Regulation S</w:t>
      </w:r>
      <w:r>
        <w:rPr>
          <w:rFonts w:ascii="Arial" w:cs="Arial" w:eastAsia="Arial" w:hAnsi="Arial"/>
          <w:sz w:val="18"/>
          <w:szCs w:val="18"/>
          <w:color w:val="auto"/>
        </w:rPr>
        <w:t>”)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we represent that:</w:t>
      </w:r>
    </w:p>
    <w:p>
      <w:pPr>
        <w:spacing w:after="0" w:line="77" w:lineRule="exact"/>
        <w:rPr>
          <w:sz w:val="20"/>
          <w:szCs w:val="20"/>
          <w:color w:val="auto"/>
        </w:rPr>
      </w:pPr>
    </w:p>
    <w:p>
      <w:pPr>
        <w:ind w:left="1100" w:hanging="241"/>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offer of the Notes was not made to a person in the United States;</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1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903(a)(2) or Rule 904(a)(2) of Regulation S, as applicable;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also hereby certify that we [are][are not] an Affiliate of the Issuer and, to our knowledge, the transferee of the Notes [is][is not] an Affiliate of the Issuer.</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Trustee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and not otherwise defined herein have the meanings set forth in Regulation 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Form of Certificate to be Delivered in Connection with Transfers to AIs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Thornall 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Edison, NJ 08837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DiGiacomo</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Embecta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This certificate is delivered to request a transfer of $[__] principal amount of the 5.000% Senior Secured Notes due 2030 (the “</w:t>
      </w:r>
      <w:r>
        <w:rPr>
          <w:rFonts w:ascii="Arial" w:cs="Arial" w:eastAsia="Arial" w:hAnsi="Arial"/>
          <w:sz w:val="18"/>
          <w:szCs w:val="18"/>
          <w:u w:val="single" w:color="auto"/>
          <w:color w:val="auto"/>
        </w:rPr>
        <w:t>Notes</w:t>
      </w:r>
      <w:r>
        <w:rPr>
          <w:rFonts w:ascii="Arial" w:cs="Arial" w:eastAsia="Arial" w:hAnsi="Arial"/>
          <w:sz w:val="18"/>
          <w:szCs w:val="18"/>
          <w:color w:val="auto"/>
        </w:rPr>
        <w:t>”) of Embecta Corp.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-10160</wp:posOffset>
            </wp:positionV>
            <wp:extent cx="2341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-10160</wp:posOffset>
            </wp:positionV>
            <wp:extent cx="21996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-10160</wp:posOffset>
            </wp:positionV>
            <wp:extent cx="15709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represents and warrants to you that:</w:t>
      </w:r>
    </w:p>
    <w:p>
      <w:pPr>
        <w:spacing w:after="0" w:line="131" w:lineRule="exact"/>
        <w:rPr>
          <w:sz w:val="20"/>
          <w:szCs w:val="20"/>
          <w:color w:val="auto"/>
        </w:rPr>
      </w:pPr>
    </w:p>
    <w:p>
      <w:pPr>
        <w:jc w:val="both"/>
        <w:ind w:left="960" w:hanging="532"/>
        <w:spacing w:after="0" w:line="257" w:lineRule="auto"/>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am an “accredited investor” (as defined in Rule 501(a)(4)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I am acquiring the Notes not with a view to, or for offer or sale in connection with, any distribution in violation of the Securities Act. I have such knowledge and experience in financial and business matters as to be capable of evaluating the merits and risk of my investment in the Notes and I invest in or purchase securities similar to the Notes in the normal course of my business. I am able to bear the economic risk of my investment.</w:t>
      </w:r>
    </w:p>
    <w:p>
      <w:pPr>
        <w:spacing w:after="0" w:line="93" w:lineRule="exact"/>
        <w:rPr>
          <w:rFonts w:ascii="Arial" w:cs="Arial" w:eastAsia="Arial" w:hAnsi="Arial"/>
          <w:sz w:val="18"/>
          <w:szCs w:val="18"/>
          <w:color w:val="auto"/>
        </w:rPr>
      </w:pPr>
    </w:p>
    <w:p>
      <w:pPr>
        <w:ind w:left="960" w:hanging="532"/>
        <w:spacing w:after="0" w:line="268" w:lineRule="auto"/>
        <w:tabs>
          <w:tab w:leader="none" w:pos="9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 understand that the Notes have not been registered under the Securities Act and, unless so registered, may not be sold except as permitted in the following sentence. I agree on my own behalf to offer, sell or otherwise transfer such Notes prior to the date that is one year after the later of the date of original issue and the last date on which the Issuer or any affiliate of the Issuer was the owner of such Notes (or any predecessor thereto) (the “</w:t>
      </w:r>
      <w:r>
        <w:rPr>
          <w:rFonts w:ascii="Arial" w:cs="Arial" w:eastAsia="Arial" w:hAnsi="Arial"/>
          <w:sz w:val="17"/>
          <w:szCs w:val="17"/>
          <w:u w:val="single" w:color="auto"/>
          <w:color w:val="auto"/>
        </w:rPr>
        <w:t>Resale Restriction Termination Date</w:t>
      </w:r>
      <w:r>
        <w:rPr>
          <w:rFonts w:ascii="Arial" w:cs="Arial" w:eastAsia="Arial" w:hAnsi="Arial"/>
          <w:sz w:val="17"/>
          <w:szCs w:val="17"/>
          <w:color w:val="auto"/>
        </w:rPr>
        <w:t>”) only (a) to the Issuer or any Subsidiary thereof, (b) pursuant to an effective registration statement under the Securities Act, (c) in a transaction complying with the requirements of Rule 144A under the Securities Act, to a person I reasonably believe is a “qualified institutional buyer” under Rule 144A of the Securities Act (a “</w:t>
      </w:r>
      <w:r>
        <w:rPr>
          <w:rFonts w:ascii="Arial" w:cs="Arial" w:eastAsia="Arial" w:hAnsi="Arial"/>
          <w:sz w:val="17"/>
          <w:szCs w:val="17"/>
          <w:u w:val="single" w:color="auto"/>
          <w:color w:val="auto"/>
        </w:rPr>
        <w:t>QIB</w:t>
      </w:r>
      <w:r>
        <w:rPr>
          <w:rFonts w:ascii="Arial" w:cs="Arial" w:eastAsia="Arial" w:hAnsi="Arial"/>
          <w:sz w:val="17"/>
          <w:szCs w:val="17"/>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(4) or (7) under the Securities Act that is purchasing for its own account or for the account of such an “accredited investor,” in each case in a minimum principal amount of Notes of $200,000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my property be at all times within my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5" w:name="page96"/>
    <w:bookmarkEnd w:id="95"/>
    <w:p>
      <w:pPr>
        <w:ind w:left="9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deliver a letter from the transferee substantially in the form of this letter to the Issuer and the Trustee, which shall provide, among other things, that the transferee is an “accredited investor” (within the meaning of Rule 501(a)(1), (2), (3), (4) or (7) under the Securities Act) and that it is acquiring such Notes for investment purposes and not for distribution in violation of the Securities Act. Each purchaser acknowledges that the Issuer and the Trustee reserve the right prior to any offer, sale or other transfer prior to the Resale Termination Date of the Notes pursuant to clauses (d), (e) or (f) above to require the delivery of an opinion of counsel, certifications and/or other information satisfactory to the Issuer.</w:t>
      </w:r>
    </w:p>
    <w:p>
      <w:pPr>
        <w:spacing w:after="0" w:line="98" w:lineRule="exact"/>
        <w:rPr>
          <w:sz w:val="20"/>
          <w:szCs w:val="20"/>
          <w:color w:val="auto"/>
        </w:rPr>
      </w:pPr>
    </w:p>
    <w:p>
      <w:pPr>
        <w:ind w:left="964" w:right="40" w:hanging="532"/>
        <w:spacing w:after="0" w:line="311" w:lineRule="auto"/>
        <w:tabs>
          <w:tab w:leader="none" w:pos="96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understand and acknowledge that upon the issuance thereof, and until such time as the same is no longer required under applicable requirements of the Securities Act or state securities laws, the Notes that I acquire will be certificated Notes that will bear, and all certificates issued in exchange therefor or in substitution thereof will bear, a restrictive legend set forth in Section 2.01(d) of the Indenture.</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[am][am not] an Affiliate of the Issuer.</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-10160</wp:posOffset>
            </wp:positionV>
            <wp:extent cx="1742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-19050</wp:posOffset>
            </wp:positionV>
            <wp:extent cx="2341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Mutilated, Destroyed, Lost or Stolen Notes</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If a mutilated Note is surrendered to the Registrar or if the Holder of a Note claims that the Note has been lost, destroyed or wrongfully taken, the Issuer shall issue and the Trustee shall authenticate a replacement Note if the requirements of Section 8-405 of the UCC are met, such that the Holder</w:t>
      </w:r>
    </w:p>
    <w:p>
      <w:pPr>
        <w:ind w:left="4" w:right="20" w:hanging="4"/>
        <w:spacing w:after="0" w:line="285"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satisfies the Issuer and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in writing prior to the Note being acquired by a protected purchaser as defined in Section 8-303 of the UCC (a “</w:t>
      </w:r>
      <w:r>
        <w:rPr>
          <w:rFonts w:ascii="Arial" w:cs="Arial" w:eastAsia="Arial" w:hAnsi="Arial"/>
          <w:sz w:val="16"/>
          <w:szCs w:val="16"/>
          <w:u w:val="single" w:color="auto"/>
          <w:color w:val="auto"/>
        </w:rPr>
        <w:t>protected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purchaser</w:t>
      </w:r>
      <w:r>
        <w:rPr>
          <w:rFonts w:ascii="Arial" w:cs="Arial" w:eastAsia="Arial" w:hAnsi="Arial"/>
          <w:sz w:val="16"/>
          <w:szCs w:val="16"/>
          <w:color w:val="auto"/>
        </w:rPr>
        <w:t xml:space="preserve">”), (c) satisfies any other reasonable requirements of the Trustee and (d) provides an indemnity bond, as more fully described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after the delivery of such replacement Note, a protected purchaser of the Note for which such replacement Note was issued presents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or registration such replaced Note, the Trustee and/or the Issuer shall be entitled to recover such replacement Note from the Person to whom it was issued and delivered or any Person taking therefrom, except a protected purchaser, and shall be entitled to recover upon the security or indemnity provided therefor to the extent of any loss, damage, cost or expense incurred by the Issuer or the Trustee in connection therewith. Such Holder shall furnish an indemnity bond sufficient in the judgment of the (i) Trustee to protect the Trustee and (ii) the Issuer to protect the Issuer, the Trustee, the Paying Agent and the Registrar, from any loss which any of them may suffer if a Note is replaced, and, in the absence of notice to the Issuer, any Guarantor or the Trustee that such Note has been acquired by a protected purchaser, the Issuer shall execute, and upon receipt of an Issuer Order, the Trustee shall authenticate and make available for delivery, in exchange for any such mutilated Note or in lieu of any such destroyed, lost or stolen Note, a new Note of like tenor and principal amount, bearing a number not contemporaneously outstanding.</w:t>
      </w:r>
    </w:p>
    <w:p>
      <w:pPr>
        <w:spacing w:after="0" w:line="169"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4"/>
          </w:cols>
          <w:pgMar w:left="436" w:top="274" w:right="479" w:bottom="1440" w:gutter="0" w:footer="0" w:header="0"/>
        </w:sectPr>
      </w:pPr>
    </w:p>
    <w:bookmarkStart w:id="96" w:name="page97"/>
    <w:bookmarkEnd w:id="96"/>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issuance of any new Note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the Issuer may require that such Holder pay a sum sufficient to cover any tax or other governmental charge that may be imposed in relation thereto and any other expenses (including the fees and expenses of counsel and of the Trustee) in connection therewith.</w:t>
      </w:r>
    </w:p>
    <w:p>
      <w:pPr>
        <w:spacing w:after="0" w:line="184"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Subject to the proviso in the initial paragraph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every new Note issued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17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Outstanding Notes</w:t>
      </w:r>
      <w:r>
        <w:rPr>
          <w:rFonts w:ascii="Arial" w:cs="Arial" w:eastAsia="Arial" w:hAnsi="Arial"/>
          <w:sz w:val="16"/>
          <w:szCs w:val="16"/>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those described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not outstanding. A Note does not cease to be outstanding in the event the Issuer or an Affiliate of the Issuer holds the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for purposes of determining which are outstanding for consent or voting purposes hereunder, the provisions of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actually knows to be held by the Issuer or an Affiliate of the Issuer shall not be considered outstanding.</w:t>
      </w:r>
    </w:p>
    <w:p>
      <w:pPr>
        <w:spacing w:after="0" w:line="16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(other than a mutilated Note surrendered for replacement), it ceases to be outstanding unless the Trustee and the Issuer receive proof satisfactory to them that the replaced Note is held by a protected purchaser. A mutilated Note ceases to be outstanding upon surrender of such Note and replacement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84"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If the Paying Agent segregates and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57"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Temporary Notes</w:t>
      </w:r>
      <w:r>
        <w:rPr>
          <w:rFonts w:ascii="Arial" w:cs="Arial" w:eastAsia="Arial" w:hAnsi="Arial"/>
          <w:sz w:val="16"/>
          <w:szCs w:val="16"/>
          <w:color w:val="auto"/>
        </w:rPr>
        <w:t>. In the event that Definitive Notes are to be issued under the terms of this Indenture, until such Definitive Notes are ready for delivery, the Issuer may prepare and the Trustee shall, upon receipt of an Issuer Order, authenticate temporary Notes. Temporary Notes shall be substantially in the form, and shall carry all rights, of Definitive Notes but may have variations that the Issuer considers appropriate for temporary Notes. Without unreasonable delay, the Issuer shall prepare and the Trustee shall, upon receipt of an Issuer Order, authenticate Definitive Notes. After the preparation of Definitive Notes, the temporary Notes shall be exchangeable for Definitive Notes upon surrender of the temporary Notes at any office or agency maintained by the Issuer for that purpose and such exchange shall be without charge to the Holder. Upon surrender for cancellation of any one or more temporary Notes, the Issuer shall execute, and the Trustee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97" w:name="page98"/>
    <w:bookmarkEnd w:id="97"/>
    <w:p>
      <w:pPr>
        <w:ind w:right="2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Arial" w:cs="Arial" w:eastAsia="Arial" w:hAnsi="Arial"/>
          <w:sz w:val="17"/>
          <w:szCs w:val="17"/>
          <w:u w:val="single" w:color="auto"/>
          <w:color w:val="auto"/>
        </w:rPr>
        <w:t>Cancellation</w:t>
      </w:r>
      <w:r>
        <w:rPr>
          <w:rFonts w:ascii="Arial" w:cs="Arial" w:eastAsia="Arial" w:hAnsi="Arial"/>
          <w:sz w:val="17"/>
          <w:szCs w:val="17"/>
          <w:color w:val="auto"/>
        </w:rPr>
        <w:t xml:space="preserve">. The Issuer at any time may deliver Notes to the Trustee for cancellation. The Registrar and the Paying Agent shall forward to the Trustee any Notes surrendered to them for registration of transfer, exchange or payment. The Trustee and no one else shall cancel all Notes surrendered for registration of transfer, exchange, payment or cancellation and dispose of such Notes in accordance with its internal policies and customary procedures (subject to the record retention requirements of the Exchange Act and the Trustee). If the Issuer or any Guarantor acquires any of the Notes, such acquisition shall not operate as a redemption or satisfaction of the Indebtedness represented by such Notes unless and until the same are surrendered to the Trustee for cancellation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The Issuer may not issue new Notes to replace Notes it has paid or delivered to the Trustee for cancellation for any reason other than in connection with a transfer or exchange.</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192"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Payment of Interest; Defaulted Interest</w:t>
      </w:r>
      <w:r>
        <w:rPr>
          <w:rFonts w:ascii="Arial" w:cs="Arial" w:eastAsia="Arial" w:hAnsi="Arial"/>
          <w:sz w:val="16"/>
          <w:szCs w:val="16"/>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18"/>
          <w:szCs w:val="18"/>
          <w:u w:val="single" w:color="auto"/>
          <w:color w:val="auto"/>
        </w:rPr>
        <w:t>Defaulted Interest</w:t>
      </w:r>
      <w:r>
        <w:rPr>
          <w:rFonts w:ascii="Arial" w:cs="Arial" w:eastAsia="Arial" w:hAnsi="Arial"/>
          <w:sz w:val="18"/>
          <w:szCs w:val="18"/>
          <w:color w:val="auto"/>
        </w:rPr>
        <w:t>”) shall be paid by the Issuer, at its election, as provided in clause (a) or (b) below:</w:t>
      </w:r>
    </w:p>
    <w:p>
      <w:pPr>
        <w:spacing w:after="0" w:line="79" w:lineRule="exact"/>
        <w:rPr>
          <w:sz w:val="20"/>
          <w:szCs w:val="20"/>
          <w:color w:val="auto"/>
        </w:rPr>
      </w:pPr>
    </w:p>
    <w:p>
      <w:pPr>
        <w:ind w:left="220" w:firstLine="1400"/>
        <w:spacing w:after="0" w:line="269" w:lineRule="auto"/>
        <w:tabs>
          <w:tab w:leader="none" w:pos="186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Issuer may elect to make payment of any Defaulted Interest to the Persons in whose names the Notes (or their respective Predecessor Notes) are 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Arial" w:cs="Arial" w:eastAsia="Arial" w:hAnsi="Arial"/>
          <w:sz w:val="17"/>
          <w:szCs w:val="17"/>
          <w:u w:val="single" w:color="auto"/>
          <w:color w:val="auto"/>
        </w:rPr>
        <w:t>Special Interest Payment Date</w:t>
      </w:r>
      <w:r>
        <w:rPr>
          <w:rFonts w:ascii="Arial" w:cs="Arial" w:eastAsia="Arial" w:hAnsi="Arial"/>
          <w:sz w:val="17"/>
          <w:szCs w:val="17"/>
          <w:color w:val="auto"/>
        </w:rPr>
        <w:t xml:space="preserve">”),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17"/>
          <w:szCs w:val="17"/>
          <w:u w:val="single" w:color="auto"/>
          <w:color w:val="auto"/>
        </w:rPr>
        <w:t>Section 2.15(a)</w:t>
      </w:r>
      <w:r>
        <w:rPr>
          <w:rFonts w:ascii="Arial" w:cs="Arial" w:eastAsia="Arial" w:hAnsi="Arial"/>
          <w:sz w:val="17"/>
          <w:szCs w:val="17"/>
          <w:color w:val="auto"/>
        </w:rPr>
        <w:t>. Thereupon the Issuer shall fix a record date (the “</w:t>
      </w:r>
      <w:r>
        <w:rPr>
          <w:rFonts w:ascii="Arial" w:cs="Arial" w:eastAsia="Arial" w:hAnsi="Arial"/>
          <w:sz w:val="17"/>
          <w:szCs w:val="17"/>
          <w:u w:val="single" w:color="auto"/>
          <w:color w:val="auto"/>
        </w:rPr>
        <w:t>Special Record Date</w:t>
      </w:r>
      <w:r>
        <w:rPr>
          <w:rFonts w:ascii="Arial" w:cs="Arial" w:eastAsia="Arial" w:hAnsi="Arial"/>
          <w:sz w:val="17"/>
          <w:szCs w:val="17"/>
          <w:color w:val="auto"/>
        </w:rPr>
        <w:t>”) for the payment of such Defaulted Interest, which date shall be not more than twenty (20) calendar days and not less than fifteen (15) calendar days prior to the Special Interest Payment Date and not less than ten (10) calendar days after the receipt by the Trustee of the notice of the proposed payment. The Issuer shall promptly notify the Trustee in writing of such Special Record Date, and in the name and at the expense of the Issuer, the Trustee shall cause notice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8" w:name="page99"/>
    <w:bookmarkEnd w:id="98"/>
    <w:p>
      <w:pPr>
        <w:ind w:left="220"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proposed payment of such Defaulted Interest and the Special Record Date and Special Interest Payment Date therefor to be given in the manner provided for in </w:t>
      </w: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not less than ten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6"/>
          <w:szCs w:val="16"/>
          <w:u w:val="single" w:color="auto"/>
          <w:color w:val="auto"/>
        </w:rPr>
        <w:t>Section 2.15(b)</w:t>
      </w:r>
      <w:r>
        <w:rPr>
          <w:rFonts w:ascii="Arial" w:cs="Arial" w:eastAsia="Arial" w:hAnsi="Arial"/>
          <w:sz w:val="16"/>
          <w:szCs w:val="16"/>
          <w:color w:val="auto"/>
        </w:rPr>
        <w:t>.</w:t>
      </w:r>
    </w:p>
    <w:p>
      <w:pPr>
        <w:spacing w:after="0" w:line="53" w:lineRule="exact"/>
        <w:rPr>
          <w:sz w:val="20"/>
          <w:szCs w:val="20"/>
          <w:color w:val="auto"/>
        </w:rPr>
      </w:pPr>
    </w:p>
    <w:p>
      <w:pPr>
        <w:ind w:left="220" w:right="80" w:firstLine="1400"/>
        <w:spacing w:after="0" w:line="259" w:lineRule="auto"/>
        <w:tabs>
          <w:tab w:leader="none" w:pos="18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Issuer may make payment of any Defaulted Interest in any other lawful manner not inconsistent with the requirements of any securities exchange on which the Notes may be listed, and upon such notice as may be required by such exchange, if, after written notice given by the Issuer to the Trustee of the proposed payment pursuant to this </w:t>
      </w:r>
      <w:r>
        <w:rPr>
          <w:rFonts w:ascii="Arial" w:cs="Arial" w:eastAsia="Arial" w:hAnsi="Arial"/>
          <w:sz w:val="18"/>
          <w:szCs w:val="18"/>
          <w:u w:val="single" w:color="auto"/>
          <w:color w:val="auto"/>
        </w:rPr>
        <w:t>Section 2.15(b)</w:t>
      </w:r>
      <w:r>
        <w:rPr>
          <w:rFonts w:ascii="Arial" w:cs="Arial" w:eastAsia="Arial" w:hAnsi="Arial"/>
          <w:sz w:val="18"/>
          <w:szCs w:val="18"/>
          <w:color w:val="auto"/>
        </w:rPr>
        <w:t>, such manner of payment shall be deemed practicable by the Trustee.</w:t>
      </w:r>
    </w:p>
    <w:p>
      <w:pPr>
        <w:spacing w:after="0" w:line="18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Subject to the foregoing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The Issuer in issuing the Notes may use “CUSIP” and “ISIN” numbers and, if so, the Trustee shall use “CUSIP” and “ISIN” numbers in notices of redemption or purchase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Issuer shall promptly notify the Trustee in writing of any change in the CUSIP and ISIN numbers.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 of Notes</w:t>
      </w:r>
      <w:r>
        <w:rPr>
          <w:rFonts w:ascii="Arial" w:cs="Arial" w:eastAsia="Arial" w:hAnsi="Arial"/>
          <w:sz w:val="18"/>
          <w:szCs w:val="18"/>
          <w:color w:val="auto"/>
        </w:rPr>
        <w:t>. The Issuer shall promptly pay the principal of, premium, if any, and interest on the Notes on the dates and in the manner provided in the Notes and in this Indenture. Principal, premium, if any, and interest shall be considered paid on the date due if by 11:00 a.m. New York City time on such date the Trustee or the Paying Agent holds in accordance with this Indenture money sufficient to pay all principal, premium, if any, and interest then due and the Trustee or the Paying Agent, as the case may be, is not prohibited from paying such money to the Holders on that date pursuant to the terms of this Indenture.</w:t>
      </w:r>
    </w:p>
    <w:p>
      <w:pPr>
        <w:spacing w:after="0" w:line="18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Issuer shall pay interest on overdue principal at the rate specified therefor in the Notes, and it shall pay interest on overdue installments of interest at the same rate to the extent lawful.</w:t>
      </w:r>
    </w:p>
    <w:p>
      <w:pPr>
        <w:spacing w:after="0" w:line="170"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color w:val="auto"/>
        </w:rPr>
        <w:t>Notwithstanding anything to the contrary contained in this Indenture, the Issuer may, to the extent it is required to do so by law, deduct or withhold income or other similar taxes imposed by the United States of America from principal or interest payments 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99" w:name="page100"/>
    <w:bookmarkEnd w:id="9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w:t>
      </w:r>
    </w:p>
    <w:p>
      <w:pPr>
        <w:spacing w:after="0" w:line="117" w:lineRule="exact"/>
        <w:rPr>
          <w:sz w:val="20"/>
          <w:szCs w:val="20"/>
          <w:color w:val="auto"/>
        </w:rPr>
      </w:pPr>
    </w:p>
    <w:p>
      <w:pPr>
        <w:ind w:right="40" w:firstLine="1428"/>
        <w:spacing w:after="0" w:line="270" w:lineRule="auto"/>
        <w:tabs>
          <w:tab w:leader="none" w:pos="1677"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From and after the Spin-Off Date, the Issuer shall not, and shall not permit any of its Restricted Subsidiaries to,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Issuer and any Restricted Subsidiary may incur Indebtedness (including Acquired Indebtedness), if on the date of such incurrence and after giving pro forma effect thereto (including pro forma application of the proceeds thereof), either (i) the Fixed Charge Coverage Ratio of the Issuer and its Restricted Subsidiaries is greater than 2.00 to 1.00 or (ii) the Consolidated Total Net Leverage Ratio would have been no greater than 5.25 to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Restricted Subsidiaries that are not Guarantors may not incur Indebtedness (including Acquired Indebtedness) under this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in excess of, when aggregated with the principal amount of all other Indebtedness (including Acquired Indebtedness) incurred by a Restricted Subsidiary that is not a Guarantor under this </w:t>
      </w:r>
      <w:r>
        <w:rPr>
          <w:rFonts w:ascii="Arial" w:cs="Arial" w:eastAsia="Arial" w:hAnsi="Arial"/>
          <w:sz w:val="17"/>
          <w:szCs w:val="17"/>
          <w:u w:val="single" w:color="auto"/>
          <w:color w:val="auto"/>
        </w:rPr>
        <w:t>Section 3.02(a)</w:t>
      </w:r>
      <w:r>
        <w:rPr>
          <w:rFonts w:ascii="Arial" w:cs="Arial" w:eastAsia="Arial" w:hAnsi="Arial"/>
          <w:sz w:val="17"/>
          <w:szCs w:val="17"/>
          <w:color w:val="auto"/>
        </w:rPr>
        <w:t>, after giving pro forma effect to the incurrence of such additional amount of Indebtedness and the application of the proceeds therefrom, the greater of (x) $150.0 million and (y) 30.0% of LTM EBITDA.</w:t>
      </w:r>
    </w:p>
    <w:p>
      <w:pPr>
        <w:spacing w:after="0" w:line="72" w:lineRule="exact"/>
        <w:rPr>
          <w:rFonts w:ascii="Arial" w:cs="Arial" w:eastAsia="Arial" w:hAnsi="Arial"/>
          <w:sz w:val="17"/>
          <w:szCs w:val="17"/>
          <w:color w:val="auto"/>
        </w:rPr>
      </w:pPr>
    </w:p>
    <w:p>
      <w:pPr>
        <w:ind w:left="1680" w:hanging="252"/>
        <w:spacing w:after="0"/>
        <w:tabs>
          <w:tab w:leader="none" w:pos="1680"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will not prohibit the incurrence of the following Indebtedness:</w:t>
      </w:r>
    </w:p>
    <w:p>
      <w:pPr>
        <w:spacing w:after="0" w:line="117" w:lineRule="exact"/>
        <w:rPr>
          <w:rFonts w:ascii="Arial" w:cs="Arial" w:eastAsia="Arial" w:hAnsi="Arial"/>
          <w:sz w:val="18"/>
          <w:szCs w:val="18"/>
          <w:color w:val="auto"/>
        </w:rPr>
      </w:pPr>
    </w:p>
    <w:p>
      <w:pPr>
        <w:ind w:left="980" w:right="20" w:firstLine="408"/>
        <w:spacing w:after="0" w:line="283" w:lineRule="auto"/>
        <w:tabs>
          <w:tab w:leader="none" w:pos="163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Indebtedness incurred under any Credit Facility (including letters of credit or bankers’ acceptances issued or created under any Credit Facility), and Guarantees in respect of such Indebtedness, up to an aggregate principal amount at the time of incurrence not exceeding the sum of (a) $2,150.0 million, (b) the greater of $500.0 million and 100.0% of LTM EBITDA, (c) the Prepayment Amount and (d) any additional amount if after giving pro forma effect to the incurrence of such additional amount and the application of the proceeds therefrom, (X) in the case of Indebtedness that is secured by a Lien on the Collateral on an equivalent priority (but, in each case, without regard to control of remedies) with the Liens on the Collateral securing the Obligations in respect of the Notes, the Consolidated First Lien Net Leverage Ratio would be no greater than (i) 3.10 to 1.00 outstanding at any one time or (ii) to the extent such Indebtedness is incurred or issued to finance an acquisition or Investment, the Consolidated First Lien Net Leverage Ratio immediately prior to the incurrence of such Indebtedness and (Y) in the case of any other Indebtedness, the Consolidated Secured Net Leverage Ratio would be no greater than (i) 3.10 to 1.00 outstanding at any one time or (ii) to the extent such Indebtedness is incurred or issued to finance an acquisition or Investment, the Consolidated Secured Net Leverage Ratio immediately prior to the incurrence of such Indebtedness (with all Indebtedness incurred under this </w:t>
      </w:r>
      <w:r>
        <w:rPr>
          <w:rFonts w:ascii="Arial" w:cs="Arial" w:eastAsia="Arial" w:hAnsi="Arial"/>
          <w:sz w:val="16"/>
          <w:szCs w:val="16"/>
          <w:u w:val="single" w:color="auto"/>
          <w:color w:val="auto"/>
        </w:rPr>
        <w:t>clause (1)(d)(Y)</w:t>
      </w:r>
      <w:r>
        <w:rPr>
          <w:rFonts w:ascii="Arial" w:cs="Arial" w:eastAsia="Arial" w:hAnsi="Arial"/>
          <w:sz w:val="16"/>
          <w:szCs w:val="16"/>
          <w:color w:val="auto"/>
        </w:rPr>
        <w:t xml:space="preserve"> being deemed Consolidated Total Indebtedness secured by a Lien incurred under clause</w:t>
      </w:r>
    </w:p>
    <w:p>
      <w:pPr>
        <w:spacing w:after="0" w:line="2" w:lineRule="exact"/>
        <w:rPr>
          <w:rFonts w:ascii="Arial" w:cs="Arial" w:eastAsia="Arial" w:hAnsi="Arial"/>
          <w:sz w:val="16"/>
          <w:szCs w:val="16"/>
          <w:color w:val="auto"/>
        </w:rPr>
      </w:pPr>
    </w:p>
    <w:p>
      <w:pPr>
        <w:ind w:left="980" w:right="80" w:firstLine="7"/>
        <w:spacing w:after="0" w:line="255" w:lineRule="auto"/>
        <w:tabs>
          <w:tab w:leader="none" w:pos="12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of the definition of “Consolidated Secured Net Leverage Ratio” for all purposes of making the determination under this </w:t>
      </w:r>
      <w:r>
        <w:rPr>
          <w:rFonts w:ascii="Arial" w:cs="Arial" w:eastAsia="Arial" w:hAnsi="Arial"/>
          <w:sz w:val="18"/>
          <w:szCs w:val="18"/>
          <w:u w:val="single" w:color="auto"/>
          <w:color w:val="auto"/>
        </w:rPr>
        <w:t>clause (Y)(ii)</w:t>
      </w:r>
      <w:r>
        <w:rPr>
          <w:rFonts w:ascii="Arial" w:cs="Arial" w:eastAsia="Arial" w:hAnsi="Arial"/>
          <w:sz w:val="18"/>
          <w:szCs w:val="18"/>
          <w:color w:val="auto"/>
        </w:rPr>
        <w:t>), and, in each case, any Refinancing Indebtedness in respect thereof (or successive refinancings thereof that each constitute Refinancing Indebtedness);</w:t>
      </w:r>
    </w:p>
    <w:p>
      <w:pPr>
        <w:spacing w:after="0" w:line="81" w:lineRule="exact"/>
        <w:rPr>
          <w:rFonts w:ascii="Arial" w:cs="Arial" w:eastAsia="Arial" w:hAnsi="Arial"/>
          <w:sz w:val="18"/>
          <w:szCs w:val="18"/>
          <w:color w:val="auto"/>
        </w:rPr>
      </w:pPr>
    </w:p>
    <w:p>
      <w:pPr>
        <w:ind w:left="980" w:right="680" w:firstLine="408"/>
        <w:spacing w:after="0" w:line="342" w:lineRule="auto"/>
        <w:tabs>
          <w:tab w:leader="none" w:pos="163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Guarantees by the Issuer or any Restricted Subsidiary of Indebtedness or other obligations of the Issuer or any Restricted Subsidiary so long as the incurrence of such Indebtedness or other obligations is not prohibited by the terms of this Indenture;</w:t>
      </w:r>
    </w:p>
    <w:p>
      <w:pPr>
        <w:spacing w:after="0" w:line="15" w:lineRule="exact"/>
        <w:rPr>
          <w:rFonts w:ascii="Arial" w:cs="Arial" w:eastAsia="Arial" w:hAnsi="Arial"/>
          <w:sz w:val="16"/>
          <w:szCs w:val="16"/>
          <w:color w:val="auto"/>
        </w:rPr>
      </w:pPr>
    </w:p>
    <w:p>
      <w:pPr>
        <w:ind w:left="980" w:right="140" w:firstLine="408"/>
        <w:spacing w:after="0" w:line="277" w:lineRule="auto"/>
        <w:tabs>
          <w:tab w:leader="none" w:pos="163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Indebtedness of the Issuer to any Restricted Subsidiary or Indebtedness of a Restricted Subsidiary to the Issuer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420" w:firstLine="391"/>
        <w:spacing w:after="0" w:line="277" w:lineRule="auto"/>
        <w:tabs>
          <w:tab w:leader="none" w:pos="2018"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any subsequent issuance or transfer of Capital Stock or any other event which results in any such Indebtedness being held by a Person other than the Issuer or a Restricted Subsidiary, and</w:t>
      </w:r>
    </w:p>
    <w:p>
      <w:pPr>
        <w:spacing w:after="0" w:line="62" w:lineRule="exact"/>
        <w:rPr>
          <w:rFonts w:ascii="Arial" w:cs="Arial" w:eastAsia="Arial" w:hAnsi="Arial"/>
          <w:sz w:val="18"/>
          <w:szCs w:val="18"/>
          <w:color w:val="auto"/>
        </w:rPr>
      </w:pPr>
    </w:p>
    <w:p>
      <w:pPr>
        <w:ind w:left="2080" w:hanging="269"/>
        <w:spacing w:after="0"/>
        <w:tabs>
          <w:tab w:leader="none" w:pos="208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any sale or other transfer of any such Indebtedness to a Person other than the Issuer or a Restricted Subsidiary,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in each case, to constitute an incurrence of such Indebtedness by the Issuer or such Restricted Subsidiary, as applicable;</w:t>
      </w:r>
    </w:p>
    <w:p>
      <w:pPr>
        <w:spacing w:after="0" w:line="140" w:lineRule="exact"/>
        <w:rPr>
          <w:sz w:val="20"/>
          <w:szCs w:val="20"/>
          <w:color w:val="auto"/>
        </w:rPr>
      </w:pPr>
    </w:p>
    <w:p>
      <w:pPr>
        <w:ind w:right="40" w:firstLine="408"/>
        <w:spacing w:after="0" w:line="257" w:lineRule="auto"/>
        <w:tabs>
          <w:tab w:leader="none" w:pos="65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Indebtedness represented by (a) the Notes outstanding on the Spin-Off Date, including any Guarantee thereof, (b) any Indebtedness (other than Indebtedness incurred pursuant to clauses (1) and (4)(a) of this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outstanding on the Spin-Off Date and any Guarantees thereof, (c) Refinancing Indebtedness (including with respect to the Notes and any Guarantee thereof) incurred in respect of any Indebtedness described in this clause (4) or clause (2) or (5) of this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or incurred pursuant to </w:t>
      </w:r>
      <w:r>
        <w:rPr>
          <w:rFonts w:ascii="Arial" w:cs="Arial" w:eastAsia="Arial" w:hAnsi="Arial"/>
          <w:sz w:val="18"/>
          <w:szCs w:val="18"/>
          <w:u w:val="single" w:color="auto"/>
          <w:color w:val="auto"/>
        </w:rPr>
        <w:t>Section 3.02(a)</w:t>
      </w:r>
      <w:r>
        <w:rPr>
          <w:rFonts w:ascii="Arial" w:cs="Arial" w:eastAsia="Arial" w:hAnsi="Arial"/>
          <w:sz w:val="18"/>
          <w:szCs w:val="18"/>
          <w:color w:val="auto"/>
        </w:rPr>
        <w:t>, and (d) Management Advances;</w:t>
      </w:r>
    </w:p>
    <w:p>
      <w:pPr>
        <w:spacing w:after="0" w:line="79" w:lineRule="exact"/>
        <w:rPr>
          <w:rFonts w:ascii="Arial" w:cs="Arial" w:eastAsia="Arial" w:hAnsi="Arial"/>
          <w:sz w:val="18"/>
          <w:szCs w:val="18"/>
          <w:color w:val="auto"/>
        </w:rPr>
      </w:pPr>
    </w:p>
    <w:p>
      <w:pPr>
        <w:ind w:left="660" w:hanging="252"/>
        <w:spacing w:after="0"/>
        <w:tabs>
          <w:tab w:leader="none" w:pos="6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Indebtedness of (x) the Issuer or any Restricted Subsidiary incurred or issued to finance an acquisition or Investment or</w:t>
      </w:r>
    </w:p>
    <w:p>
      <w:pPr>
        <w:spacing w:after="0" w:line="34" w:lineRule="exact"/>
        <w:rPr>
          <w:rFonts w:ascii="Arial" w:cs="Arial" w:eastAsia="Arial" w:hAnsi="Arial"/>
          <w:sz w:val="17"/>
          <w:szCs w:val="17"/>
          <w:color w:val="auto"/>
        </w:rPr>
      </w:pPr>
    </w:p>
    <w:p>
      <w:pPr>
        <w:ind w:right="40" w:firstLine="7"/>
        <w:spacing w:after="0" w:line="253"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Persons that are acquired by the Issuer or any Restricted Subsidiary or merged into, amalgamated or consolidated with the Issuer or a Restricted Subsidiary in accordance with the terms of this Indenture (including designating an Unrestricted Subsidiary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in an aggregate amount not to exceed (i) the greater of (x) $125.0 million and (y) 25.0% of LTM EBITDA at the time of incurrence, plus (ii) unlimited additional Indebtedness if after giving pro forma effect to such acquisition, merger, amalgamation or consolidation, either:</w:t>
      </w:r>
    </w:p>
    <w:p>
      <w:pPr>
        <w:spacing w:after="0" w:line="96" w:lineRule="exact"/>
        <w:rPr>
          <w:rFonts w:ascii="Arial" w:cs="Arial" w:eastAsia="Arial" w:hAnsi="Arial"/>
          <w:sz w:val="18"/>
          <w:szCs w:val="18"/>
          <w:color w:val="auto"/>
        </w:rPr>
      </w:pPr>
    </w:p>
    <w:p>
      <w:pPr>
        <w:ind w:left="980" w:hanging="533"/>
        <w:spacing w:after="0"/>
        <w:tabs>
          <w:tab w:leader="none" w:pos="9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 xml:space="preserve">the Issuer would be permitted to incur at least $1.00 of additional Indebtedness pursuant to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right="120" w:hanging="533"/>
        <w:spacing w:after="0" w:line="263" w:lineRule="auto"/>
        <w:tabs>
          <w:tab w:leader="none" w:pos="9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either the Fixed Charge Coverage Ratio of the Issuer and its Restricted Subsidiaries would not be lower or the Consolidated Total Net Leverage Ratio of the Issuer and its Restricted Subsidiaries would not be higher, in each case, than it was immediately prior to such acquisition, merger, amalgamation or consolidation; or</w:t>
      </w:r>
    </w:p>
    <w:p>
      <w:pPr>
        <w:spacing w:after="0" w:line="89" w:lineRule="exact"/>
        <w:rPr>
          <w:rFonts w:ascii="Arial" w:cs="Arial" w:eastAsia="Arial" w:hAnsi="Arial"/>
          <w:sz w:val="18"/>
          <w:szCs w:val="18"/>
          <w:color w:val="auto"/>
        </w:rPr>
      </w:pPr>
    </w:p>
    <w:p>
      <w:pPr>
        <w:ind w:left="980" w:hanging="533"/>
        <w:spacing w:after="0" w:line="257" w:lineRule="auto"/>
        <w:tabs>
          <w:tab w:leader="none" w:pos="9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the Issuer or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(c), the only obligors with respect to such Indebtedness shall be those Persons who were obligors of such Indebtedness prior to such acquisition, merger, amalgamation or consolidation;</w:t>
      </w:r>
    </w:p>
    <w:p>
      <w:pPr>
        <w:spacing w:after="0" w:line="79" w:lineRule="exact"/>
        <w:rPr>
          <w:rFonts w:ascii="Arial" w:cs="Arial" w:eastAsia="Arial" w:hAnsi="Arial"/>
          <w:sz w:val="18"/>
          <w:szCs w:val="18"/>
          <w:color w:val="auto"/>
        </w:rPr>
      </w:pPr>
    </w:p>
    <w:p>
      <w:pPr>
        <w:ind w:left="660" w:hanging="252"/>
        <w:spacing w:after="0"/>
        <w:tabs>
          <w:tab w:leader="none" w:pos="6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which are entered into for speculative purposes);</w:t>
      </w:r>
    </w:p>
    <w:p>
      <w:pPr>
        <w:spacing w:after="0" w:line="117" w:lineRule="exact"/>
        <w:rPr>
          <w:rFonts w:ascii="Arial" w:cs="Arial" w:eastAsia="Arial" w:hAnsi="Arial"/>
          <w:sz w:val="18"/>
          <w:szCs w:val="18"/>
          <w:color w:val="auto"/>
        </w:rPr>
      </w:pPr>
    </w:p>
    <w:p>
      <w:pPr>
        <w:ind w:right="20" w:firstLine="408"/>
        <w:spacing w:after="0" w:line="279" w:lineRule="auto"/>
        <w:tabs>
          <w:tab w:leader="none" w:pos="65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Indebtedness (i) represented by Capitalized Lease Obligations or Purchase Money Obligations in an aggregate outstanding principal amount which, when taken together with the principal amount of all other Indebtedness incurred pursuant to this clause (7)(i) and then outstanding, does not exceed the greater of (a) $150.0 million and (b) 30.0% of LTM EBITDA at the time of incurrence, and any Refinancing Indebtedness in respect thereof and (ii) arising out of Sale and Leaseback Transactions;</w:t>
      </w:r>
    </w:p>
    <w:p>
      <w:pPr>
        <w:spacing w:after="0" w:line="63" w:lineRule="exact"/>
        <w:rPr>
          <w:rFonts w:ascii="Arial" w:cs="Arial" w:eastAsia="Arial" w:hAnsi="Arial"/>
          <w:sz w:val="17"/>
          <w:szCs w:val="17"/>
          <w:color w:val="auto"/>
        </w:rPr>
      </w:pPr>
    </w:p>
    <w:p>
      <w:pPr>
        <w:ind w:right="180" w:firstLine="408"/>
        <w:spacing w:after="0" w:line="286" w:lineRule="auto"/>
        <w:tabs>
          <w:tab w:leader="none" w:pos="65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Indebtedness in respect of (a)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w:t>
      </w:r>
    </w:p>
    <w:p>
      <w:pPr>
        <w:spacing w:after="0" w:line="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020"/>
          </w:cols>
          <w:pgMar w:left="1420" w:top="274" w:right="45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bonds, instruments or obligations, completion guarantees and warranties or relating to liabilities, obligations or guarantees incurred in the ordinary course of business or consistent with past practice; (b) the honoring by a bank or other financial institution of a check, draft or similar instrument drawn against insufficient funds in the ordinary course of business or consistent with past practice; (c) customer deposits and advance payments (including progress premiums) received from customers for goods or services purchased in the ordinary course of business or consistent with past practice; (d)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(e) Cash Management Obligations; and (f) Settlement Indebtedness;</w:t>
      </w:r>
    </w:p>
    <w:p>
      <w:pPr>
        <w:spacing w:after="0" w:line="70" w:lineRule="exact"/>
        <w:rPr>
          <w:sz w:val="20"/>
          <w:szCs w:val="20"/>
          <w:color w:val="auto"/>
        </w:rPr>
      </w:pPr>
    </w:p>
    <w:p>
      <w:pPr>
        <w:ind w:firstLine="408"/>
        <w:spacing w:after="0" w:line="257" w:lineRule="auto"/>
        <w:tabs>
          <w:tab w:leader="none" w:pos="65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w:t>
      </w:r>
    </w:p>
    <w:p>
      <w:pPr>
        <w:spacing w:after="0" w:line="79" w:lineRule="exact"/>
        <w:rPr>
          <w:rFonts w:ascii="Arial" w:cs="Arial" w:eastAsia="Arial" w:hAnsi="Arial"/>
          <w:sz w:val="18"/>
          <w:szCs w:val="18"/>
          <w:color w:val="auto"/>
        </w:rPr>
      </w:pPr>
    </w:p>
    <w:p>
      <w:pPr>
        <w:ind w:left="760" w:hanging="352"/>
        <w:spacing w:after="0"/>
        <w:tabs>
          <w:tab w:leader="none" w:pos="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08"/>
        <w:spacing w:after="0" w:line="263" w:lineRule="auto"/>
        <w:tabs>
          <w:tab w:leader="none" w:pos="73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Indebtedness of Non-Guarantors in an aggregate principal amount not to exceed (together with the outstanding aggregate principal amount of Indebtedness incurred pursuant to </w:t>
      </w:r>
      <w:r>
        <w:rPr>
          <w:rFonts w:ascii="Arial" w:cs="Arial" w:eastAsia="Arial" w:hAnsi="Arial"/>
          <w:sz w:val="18"/>
          <w:szCs w:val="18"/>
          <w:u w:val="single" w:color="auto"/>
          <w:color w:val="auto"/>
        </w:rPr>
        <w:t>clause (23)</w:t>
      </w:r>
      <w:r>
        <w:rPr>
          <w:rFonts w:ascii="Arial" w:cs="Arial" w:eastAsia="Arial" w:hAnsi="Arial"/>
          <w:sz w:val="18"/>
          <w:szCs w:val="18"/>
          <w:color w:val="auto"/>
        </w:rPr>
        <w:t xml:space="preserve"> below) the greater of (i) $225.0 million and (ii) 45.0% of LTM EBITDA at the time of incurrence, and any Refinancing Indebtedness in respect thereof;</w:t>
      </w:r>
    </w:p>
    <w:p>
      <w:pPr>
        <w:spacing w:after="0" w:line="75" w:lineRule="exact"/>
        <w:rPr>
          <w:rFonts w:ascii="Arial" w:cs="Arial" w:eastAsia="Arial" w:hAnsi="Arial"/>
          <w:sz w:val="18"/>
          <w:szCs w:val="18"/>
          <w:color w:val="auto"/>
        </w:rPr>
      </w:pPr>
    </w:p>
    <w:p>
      <w:pPr>
        <w:ind w:right="60" w:firstLine="408"/>
        <w:spacing w:after="0" w:line="293" w:lineRule="auto"/>
        <w:tabs>
          <w:tab w:leader="none" w:pos="74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(a) Indebtedness issued by the Issuer or any of its Subsidiaries to any future, present or former employee, director, officer, manager, contractor, consultant or advisor (or their respective Controlled Investment Affiliates or Immediate Family Members) of the Issuer or any of its Subsidiaries or any Parent Entity, in each case to finance the purchase or redemption of Capital Stock of the Issuer or any direct or indirect parent thereof that is not prohibited by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56" w:lineRule="exact"/>
        <w:rPr>
          <w:rFonts w:ascii="Arial" w:cs="Arial" w:eastAsia="Arial" w:hAnsi="Arial"/>
          <w:sz w:val="16"/>
          <w:szCs w:val="16"/>
          <w:color w:val="auto"/>
        </w:rPr>
      </w:pPr>
    </w:p>
    <w:p>
      <w:pPr>
        <w:ind w:left="760" w:hanging="352"/>
        <w:spacing w:after="0"/>
        <w:tabs>
          <w:tab w:leader="none" w:pos="7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Indebtedness of the Issuer or any of its Restricted Subsidiaries consisting of (i) the financing of insurance premiums or</w:t>
      </w:r>
    </w:p>
    <w:p>
      <w:pPr>
        <w:spacing w:after="0" w:line="34" w:lineRule="exact"/>
        <w:rPr>
          <w:rFonts w:ascii="Arial" w:cs="Arial" w:eastAsia="Arial" w:hAnsi="Arial"/>
          <w:sz w:val="17"/>
          <w:szCs w:val="17"/>
          <w:color w:val="auto"/>
        </w:rPr>
      </w:pPr>
    </w:p>
    <w:p>
      <w:pPr>
        <w:ind w:right="200" w:firstLine="7"/>
        <w:spacing w:after="0" w:line="260"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incurred in the ordinary course of business or consistent with past practice;</w:t>
      </w:r>
    </w:p>
    <w:p>
      <w:pPr>
        <w:spacing w:after="0" w:line="77" w:lineRule="exact"/>
        <w:rPr>
          <w:rFonts w:ascii="Arial" w:cs="Arial" w:eastAsia="Arial" w:hAnsi="Arial"/>
          <w:sz w:val="18"/>
          <w:szCs w:val="18"/>
          <w:color w:val="auto"/>
        </w:rPr>
      </w:pPr>
    </w:p>
    <w:p>
      <w:pPr>
        <w:ind w:right="20" w:firstLine="408"/>
        <w:spacing w:after="0" w:line="263" w:lineRule="auto"/>
        <w:tabs>
          <w:tab w:leader="none" w:pos="74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Indebtedness in an aggregate outstanding principal amount which, when taken together with the principal amount of all other Indebtedness incurred pursuant to this clause and then outstanding, will not exceed the greater of (i) $250.0 million and (ii) 50.0% of LTM EBITDA and any Refinancing Indebtedness in respect thereof;</w:t>
      </w:r>
    </w:p>
    <w:p>
      <w:pPr>
        <w:spacing w:after="0" w:line="75" w:lineRule="exact"/>
        <w:rPr>
          <w:rFonts w:ascii="Arial" w:cs="Arial" w:eastAsia="Arial" w:hAnsi="Arial"/>
          <w:sz w:val="18"/>
          <w:szCs w:val="18"/>
          <w:color w:val="auto"/>
        </w:rPr>
      </w:pPr>
    </w:p>
    <w:p>
      <w:pPr>
        <w:ind w:left="760" w:hanging="352"/>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Indebtedness in respect of any Qualified Securitization Financing or any Receivables Facility;</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000"/>
          </w:cols>
          <w:pgMar w:left="1420" w:top="274" w:right="479" w:bottom="1440" w:gutter="0" w:footer="0" w:header="0"/>
        </w:sectPr>
      </w:pPr>
    </w:p>
    <w:bookmarkStart w:id="102" w:name="page103"/>
    <w:bookmarkEnd w:id="102"/>
    <w:p>
      <w:pPr>
        <w:ind w:left="900" w:right="220" w:firstLine="408"/>
        <w:spacing w:after="0" w:line="286" w:lineRule="auto"/>
        <w:tabs>
          <w:tab w:leader="none" w:pos="1646" w:val="left"/>
        </w:tabs>
        <w:numPr>
          <w:ilvl w:val="2"/>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obligation, or guaranty of any obligation, of the Issuer or any Restricted Subsidiary to reimburse or indemnify a Person extending credit to customers of the Issuer or a Restricted Subsidiary incurred in the ordinary course of business or consistent with past practice for all or any portion of the amounts payable by such customers to the Person extending such credit;</w:t>
      </w:r>
    </w:p>
    <w:p>
      <w:pPr>
        <w:spacing w:after="0" w:line="57" w:lineRule="exact"/>
        <w:rPr>
          <w:rFonts w:ascii="Arial" w:cs="Arial" w:eastAsia="Arial" w:hAnsi="Arial"/>
          <w:sz w:val="17"/>
          <w:szCs w:val="17"/>
          <w:color w:val="auto"/>
        </w:rPr>
      </w:pPr>
    </w:p>
    <w:p>
      <w:pPr>
        <w:ind w:left="900" w:right="160" w:firstLine="408"/>
        <w:spacing w:after="0" w:line="257" w:lineRule="auto"/>
        <w:tabs>
          <w:tab w:leader="none" w:pos="1646" w:val="left"/>
        </w:tabs>
        <w:numPr>
          <w:ilvl w:val="2"/>
          <w:numId w:val="132"/>
        </w:numPr>
        <w:rPr>
          <w:rFonts w:ascii="Arial" w:cs="Arial" w:eastAsia="Arial" w:hAnsi="Arial"/>
          <w:sz w:val="18"/>
          <w:szCs w:val="18"/>
          <w:color w:val="auto"/>
        </w:rPr>
      </w:pPr>
      <w:r>
        <w:rPr>
          <w:rFonts w:ascii="Arial" w:cs="Arial" w:eastAsia="Arial" w:hAnsi="Arial"/>
          <w:sz w:val="18"/>
          <w:szCs w:val="18"/>
          <w:color w:val="auto"/>
        </w:rPr>
        <w:t xml:space="preserve">Indebtedness to a customer to finance the acquisition of any equipment necessary to perform services for such customer;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terms of such Indebtedness are consistent with those entered into with respect to similar Indebtedness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Date, including, if so consistent, that (i) the repayment of such Indebtedness is conditional upon such customer ordering a specific amount or volume, as applicable, of goods or services and (ii) such Indebtedness does not bear interest or provide for scheduled amortization or maturity;</w:t>
      </w:r>
    </w:p>
    <w:p>
      <w:pPr>
        <w:spacing w:after="0" w:line="79" w:lineRule="exact"/>
        <w:rPr>
          <w:rFonts w:ascii="Arial" w:cs="Arial" w:eastAsia="Arial" w:hAnsi="Arial"/>
          <w:sz w:val="18"/>
          <w:szCs w:val="18"/>
          <w:color w:val="auto"/>
        </w:rPr>
      </w:pPr>
    </w:p>
    <w:p>
      <w:pPr>
        <w:ind w:left="900" w:right="60" w:firstLine="408"/>
        <w:spacing w:after="0" w:line="279" w:lineRule="auto"/>
        <w:tabs>
          <w:tab w:leader="none" w:pos="1646"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Indebtedness incurred by the Issuer or any of its Restricted Subsidiaries to the extent that the net proceeds thereof are promptly deposited with the Trustee, another trustee or agent to satisfy or discharge the Notes or any other Indebtedness incurred pursuant to this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or exercise the applicable borrower’s or issuer’s legal defeasance or covenant defeasance, in each case, in accordance with this Indenture or the relevant documents governing such Indebtedness;</w:t>
      </w:r>
    </w:p>
    <w:p>
      <w:pPr>
        <w:spacing w:after="0" w:line="63" w:lineRule="exact"/>
        <w:rPr>
          <w:rFonts w:ascii="Arial" w:cs="Arial" w:eastAsia="Arial" w:hAnsi="Arial"/>
          <w:sz w:val="17"/>
          <w:szCs w:val="17"/>
          <w:color w:val="auto"/>
        </w:rPr>
      </w:pPr>
    </w:p>
    <w:p>
      <w:pPr>
        <w:ind w:left="900" w:right="460" w:firstLine="408"/>
        <w:spacing w:after="0" w:line="277" w:lineRule="auto"/>
        <w:tabs>
          <w:tab w:leader="none" w:pos="1646" w:val="left"/>
        </w:tabs>
        <w:numPr>
          <w:ilvl w:val="2"/>
          <w:numId w:val="132"/>
        </w:numPr>
        <w:rPr>
          <w:rFonts w:ascii="Arial" w:cs="Arial" w:eastAsia="Arial" w:hAnsi="Arial"/>
          <w:sz w:val="18"/>
          <w:szCs w:val="18"/>
          <w:color w:val="auto"/>
        </w:rPr>
      </w:pPr>
      <w:r>
        <w:rPr>
          <w:rFonts w:ascii="Arial" w:cs="Arial" w:eastAsia="Arial" w:hAnsi="Arial"/>
          <w:sz w:val="18"/>
          <w:szCs w:val="18"/>
          <w:color w:val="auto"/>
        </w:rPr>
        <w:t>Indebtedness of the Issuer or any of its Restricted Subsidiaries arising pursuant to any Permitted Intercompany Activities, Permitted Tax Restructuring and related transactions;</w:t>
      </w:r>
    </w:p>
    <w:p>
      <w:pPr>
        <w:spacing w:after="0" w:line="62" w:lineRule="exact"/>
        <w:rPr>
          <w:rFonts w:ascii="Arial" w:cs="Arial" w:eastAsia="Arial" w:hAnsi="Arial"/>
          <w:sz w:val="18"/>
          <w:szCs w:val="18"/>
          <w:color w:val="auto"/>
        </w:rPr>
      </w:pPr>
    </w:p>
    <w:p>
      <w:pPr>
        <w:ind w:left="1660" w:hanging="352"/>
        <w:spacing w:after="0"/>
        <w:tabs>
          <w:tab w:leader="none" w:pos="16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660" w:hanging="352"/>
        <w:spacing w:after="0"/>
        <w:tabs>
          <w:tab w:leader="none" w:pos="16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00" w:right="180" w:firstLine="408"/>
        <w:spacing w:after="0" w:line="277" w:lineRule="auto"/>
        <w:tabs>
          <w:tab w:leader="none" w:pos="1646" w:val="left"/>
        </w:tabs>
        <w:numPr>
          <w:ilvl w:val="2"/>
          <w:numId w:val="132"/>
        </w:numPr>
        <w:rPr>
          <w:rFonts w:ascii="Arial" w:cs="Arial" w:eastAsia="Arial" w:hAnsi="Arial"/>
          <w:sz w:val="18"/>
          <w:szCs w:val="18"/>
          <w:color w:val="auto"/>
        </w:rPr>
      </w:pPr>
      <w:r>
        <w:rPr>
          <w:rFonts w:ascii="Arial" w:cs="Arial" w:eastAsia="Arial" w:hAnsi="Arial"/>
          <w:sz w:val="18"/>
          <w:szCs w:val="18"/>
          <w:color w:val="auto"/>
        </w:rPr>
        <w:t>obligations in respect of Disqualified Stock in an amount not to exceed the greater of (i) $50.0 million and (ii) 10.0% of LTM EBITDA outstanding at the time of incurrence;</w:t>
      </w:r>
    </w:p>
    <w:p>
      <w:pPr>
        <w:spacing w:after="0" w:line="62" w:lineRule="exact"/>
        <w:rPr>
          <w:rFonts w:ascii="Arial" w:cs="Arial" w:eastAsia="Arial" w:hAnsi="Arial"/>
          <w:sz w:val="18"/>
          <w:szCs w:val="18"/>
          <w:color w:val="auto"/>
        </w:rPr>
      </w:pPr>
    </w:p>
    <w:p>
      <w:pPr>
        <w:ind w:left="900" w:right="440" w:firstLine="408"/>
        <w:spacing w:after="0" w:line="291" w:lineRule="auto"/>
        <w:tabs>
          <w:tab w:leader="none" w:pos="1646" w:val="left"/>
        </w:tabs>
        <w:numPr>
          <w:ilvl w:val="2"/>
          <w:numId w:val="132"/>
        </w:numPr>
        <w:rPr>
          <w:rFonts w:ascii="Arial" w:cs="Arial" w:eastAsia="Arial" w:hAnsi="Arial"/>
          <w:sz w:val="16"/>
          <w:szCs w:val="16"/>
          <w:color w:val="auto"/>
        </w:rPr>
      </w:pPr>
      <w:r>
        <w:rPr>
          <w:rFonts w:ascii="Arial" w:cs="Arial" w:eastAsia="Arial" w:hAnsi="Arial"/>
          <w:sz w:val="16"/>
          <w:szCs w:val="16"/>
          <w:color w:val="auto"/>
        </w:rPr>
        <w:t>Indebtedness incurred for the benefit of joint ventures in an aggregate principal amount not to exceed (together with the outstanding aggregate principal amount of Indebtedness incurred pursuant to clause (11) above) the greater of (i) $225.0 million and</w:t>
      </w:r>
    </w:p>
    <w:p>
      <w:pPr>
        <w:ind w:left="1180" w:hanging="273"/>
        <w:spacing w:after="0"/>
        <w:tabs>
          <w:tab w:leader="none" w:pos="11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45.0% of LTM EBITDA outstanding at the time of incurrence and any Refinancing Indebtedness in respect thereof;</w:t>
      </w:r>
    </w:p>
    <w:p>
      <w:pPr>
        <w:spacing w:after="0" w:line="102" w:lineRule="exact"/>
        <w:rPr>
          <w:rFonts w:ascii="Arial" w:cs="Arial" w:eastAsia="Arial" w:hAnsi="Arial"/>
          <w:sz w:val="18"/>
          <w:szCs w:val="18"/>
          <w:color w:val="auto"/>
        </w:rPr>
      </w:pPr>
    </w:p>
    <w:p>
      <w:pPr>
        <w:ind w:left="1660" w:hanging="352"/>
        <w:spacing w:after="0"/>
        <w:tabs>
          <w:tab w:leader="none" w:pos="16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900" w:right="20" w:firstLine="408"/>
        <w:spacing w:after="0" w:line="277" w:lineRule="auto"/>
        <w:tabs>
          <w:tab w:leader="none" w:pos="1646"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to the extent constituting Indebtedness, Guarantees in the ordinary course of business of the obligations of suppliers, customers, franchisees and licensees of the Issuer and its Subsidiaries.</w:t>
      </w:r>
    </w:p>
    <w:p>
      <w:pPr>
        <w:spacing w:after="0" w:line="170" w:lineRule="exact"/>
        <w:rPr>
          <w:rFonts w:ascii="Arial" w:cs="Arial" w:eastAsia="Arial" w:hAnsi="Arial"/>
          <w:sz w:val="18"/>
          <w:szCs w:val="18"/>
          <w:color w:val="auto"/>
        </w:rPr>
      </w:pPr>
    </w:p>
    <w:p>
      <w:pPr>
        <w:ind w:left="-80" w:firstLine="436"/>
        <w:spacing w:after="0" w:line="277" w:lineRule="auto"/>
        <w:tabs>
          <w:tab w:leader="none" w:pos="6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and the outstanding principal amount of any particular Indebtedness incurred pursuant to and in compliance with,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200" w:firstLine="408"/>
        <w:spacing w:after="0" w:line="259" w:lineRule="auto"/>
        <w:tabs>
          <w:tab w:leader="none" w:pos="1556" w:val="left"/>
        </w:tabs>
        <w:numPr>
          <w:ilvl w:val="2"/>
          <w:numId w:val="134"/>
        </w:numPr>
        <w:rPr>
          <w:rFonts w:ascii="Arial" w:cs="Arial" w:eastAsia="Arial" w:hAnsi="Arial"/>
          <w:sz w:val="18"/>
          <w:szCs w:val="18"/>
          <w:color w:val="auto"/>
        </w:rPr>
      </w:pPr>
      <w:r>
        <w:rPr>
          <w:rFonts w:ascii="Arial" w:cs="Arial" w:eastAsia="Arial" w:hAnsi="Arial"/>
          <w:sz w:val="18"/>
          <w:szCs w:val="18"/>
          <w:color w:val="auto"/>
        </w:rPr>
        <w:t xml:space="preserve">in the event that all or any portion of any item of Indebtedness meets the criteria of more than one of the types of Indebtedness described in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the Issuer, in its sole discretion, shall classify, and may from time to time reclassify pursuant to clause (2) below, such item of Indebtedness (or any portion thereof) and only be required to include the amount and type of such Indebtedness in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or one of the clauses of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60"/>
          </w:cols>
          <w:pgMar w:left="520" w:top="274" w:right="519" w:bottom="1440" w:gutter="0" w:footer="0" w:header="0"/>
        </w:sectPr>
      </w:pPr>
    </w:p>
    <w:bookmarkStart w:id="103" w:name="page104"/>
    <w:bookmarkEnd w:id="103"/>
    <w:p>
      <w:pPr>
        <w:ind w:left="-20" w:firstLine="408"/>
        <w:spacing w:after="0" w:line="293" w:lineRule="auto"/>
        <w:tabs>
          <w:tab w:leader="none" w:pos="636"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additionally, all or any portion of any item of Indebtedness may later be reclassified as having been incurred pursuant to any type of Indebtedness described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 long as such Indebtedness is permitted to be incurred pursuant to such provision and any related Liens are permitted to be incurred at the time of reclassification;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Indebtedness incurred pursuant to one of the clauses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shall automatically cease to be deemed incurred or outstanding for purposes of such clause and shall automatically be deemed incurred for the purposes of the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from and after the first date on which the Issuer or its Restricted Subsidiaries could have incurred such Indebtedness under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without reliance on such clause;</w:t>
      </w:r>
    </w:p>
    <w:p>
      <w:pPr>
        <w:spacing w:after="0" w:line="56" w:lineRule="exact"/>
        <w:rPr>
          <w:rFonts w:ascii="Arial" w:cs="Arial" w:eastAsia="Arial" w:hAnsi="Arial"/>
          <w:sz w:val="16"/>
          <w:szCs w:val="16"/>
          <w:color w:val="auto"/>
        </w:rPr>
      </w:pPr>
    </w:p>
    <w:p>
      <w:pPr>
        <w:ind w:left="-20" w:right="420" w:firstLine="408"/>
        <w:spacing w:after="0" w:line="308" w:lineRule="auto"/>
        <w:tabs>
          <w:tab w:leader="none" w:pos="63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all Indebtedness under the Credit Agreement that is incurred on the Credit Agreement Effective Date and outstanding on the Spin-Off Date shall be deemed incurred on the Credit Agreement Effective Date under </w:t>
      </w:r>
      <w:r>
        <w:rPr>
          <w:rFonts w:ascii="Arial" w:cs="Arial" w:eastAsia="Arial" w:hAnsi="Arial"/>
          <w:sz w:val="17"/>
          <w:szCs w:val="17"/>
          <w:u w:val="single" w:color="auto"/>
          <w:color w:val="auto"/>
        </w:rPr>
        <w:t>Section 3.02(b)(1)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0" w:right="240" w:firstLine="408"/>
        <w:spacing w:after="0" w:line="259" w:lineRule="auto"/>
        <w:tabs>
          <w:tab w:leader="none" w:pos="6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78" w:lineRule="exact"/>
        <w:rPr>
          <w:rFonts w:ascii="Arial" w:cs="Arial" w:eastAsia="Arial" w:hAnsi="Arial"/>
          <w:sz w:val="18"/>
          <w:szCs w:val="18"/>
          <w:color w:val="auto"/>
        </w:rPr>
      </w:pPr>
    </w:p>
    <w:p>
      <w:pPr>
        <w:ind w:left="-20" w:right="80" w:firstLine="408"/>
        <w:spacing w:after="0" w:line="342" w:lineRule="auto"/>
        <w:tabs>
          <w:tab w:leader="none" w:pos="63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5" w:lineRule="exact"/>
        <w:rPr>
          <w:rFonts w:ascii="Arial" w:cs="Arial" w:eastAsia="Arial" w:hAnsi="Arial"/>
          <w:sz w:val="16"/>
          <w:szCs w:val="16"/>
          <w:color w:val="auto"/>
        </w:rPr>
      </w:pPr>
    </w:p>
    <w:p>
      <w:pPr>
        <w:ind w:left="-20" w:right="120" w:firstLine="408"/>
        <w:spacing w:after="0" w:line="311" w:lineRule="auto"/>
        <w:tabs>
          <w:tab w:leader="none" w:pos="63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obligations in respect of letters of credit, bankers’ acceptances or other similar instruments are incurred pursuant to any Credit Facility and are being treated as incurred pursuant to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or any clause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the letters of credit, bankers’ acceptances or other similar instruments relate to other Indebtedness, then such other Indebtedness shall not be included;</w:t>
      </w:r>
    </w:p>
    <w:p>
      <w:pPr>
        <w:spacing w:after="0" w:line="40" w:lineRule="exact"/>
        <w:rPr>
          <w:rFonts w:ascii="Arial" w:cs="Arial" w:eastAsia="Arial" w:hAnsi="Arial"/>
          <w:sz w:val="16"/>
          <w:szCs w:val="16"/>
          <w:color w:val="auto"/>
        </w:rPr>
      </w:pPr>
    </w:p>
    <w:p>
      <w:pPr>
        <w:ind w:left="-20" w:right="460" w:firstLine="408"/>
        <w:spacing w:after="0" w:line="263" w:lineRule="auto"/>
        <w:tabs>
          <w:tab w:leader="none" w:pos="6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principal amount of any Disqualified Stock of the Issuer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75" w:lineRule="exact"/>
        <w:rPr>
          <w:rFonts w:ascii="Arial" w:cs="Arial" w:eastAsia="Arial" w:hAnsi="Arial"/>
          <w:sz w:val="18"/>
          <w:szCs w:val="18"/>
          <w:color w:val="auto"/>
        </w:rPr>
      </w:pPr>
    </w:p>
    <w:p>
      <w:pPr>
        <w:jc w:val="both"/>
        <w:ind w:left="-20" w:right="740" w:firstLine="408"/>
        <w:spacing w:after="0" w:line="263" w:lineRule="auto"/>
        <w:tabs>
          <w:tab w:leader="none" w:pos="6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Indebtedness permitted by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need not be permitted solely by reference to one provision permitting such Indebtedness but may be permitted in part by one such provision and in part by one or more other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permitting such Indebtedness;</w:t>
      </w:r>
    </w:p>
    <w:p>
      <w:pPr>
        <w:spacing w:after="0" w:line="75" w:lineRule="exact"/>
        <w:rPr>
          <w:rFonts w:ascii="Arial" w:cs="Arial" w:eastAsia="Arial" w:hAnsi="Arial"/>
          <w:sz w:val="18"/>
          <w:szCs w:val="18"/>
          <w:color w:val="auto"/>
        </w:rPr>
      </w:pPr>
    </w:p>
    <w:p>
      <w:pPr>
        <w:ind w:left="-20" w:right="80" w:firstLine="408"/>
        <w:spacing w:after="0" w:line="255" w:lineRule="auto"/>
        <w:tabs>
          <w:tab w:leader="none" w:pos="6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for all purposes under this Indenture, including for purposes of calculating the Fixed Charge Coverage Ratio, the Consolidated First Lien Net Leverage Ratio, the Consolidated Secured Net Leverage Ratio or the Consolidated Total Net Leverage Ratio, as applicable, in connection with the incurrence, issuance or assumption of any Indebtedness pursuant to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or the incurrence or creation of any Lien pursuant to the definition of “Permitted Liens,” the Issuer may elect, at its option, to treat all or any portion of the committed amount of any Indebtedness (and the issuance and creation of letters of credit and bankers’ acceptances thereunder) which is to be incurred (or any</w:t>
      </w:r>
    </w:p>
    <w:p>
      <w:pPr>
        <w:spacing w:after="0" w:line="1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000"/>
          </w:cols>
          <w:pgMar w:left="1440" w:top="274" w:right="459" w:bottom="1440" w:gutter="0" w:footer="0" w:header="0"/>
        </w:sectPr>
      </w:pPr>
    </w:p>
    <w:bookmarkStart w:id="104" w:name="page105"/>
    <w:bookmarkEnd w:id="104"/>
    <w:p>
      <w:pPr>
        <w:ind w:left="9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in respect thereof) or secured by such Lien, as the case may be (any such committed amount elected until revoked as described below, the “</w:t>
      </w:r>
      <w:r>
        <w:rPr>
          <w:rFonts w:ascii="Arial" w:cs="Arial" w:eastAsia="Arial" w:hAnsi="Arial"/>
          <w:sz w:val="16"/>
          <w:szCs w:val="16"/>
          <w:u w:val="single" w:color="auto"/>
          <w:color w:val="auto"/>
        </w:rPr>
        <w:t>Reserved Indebtedness Amount</w:t>
      </w:r>
      <w:r>
        <w:rPr>
          <w:rFonts w:ascii="Arial" w:cs="Arial" w:eastAsia="Arial" w:hAnsi="Arial"/>
          <w:sz w:val="16"/>
          <w:szCs w:val="16"/>
          <w:color w:val="auto"/>
        </w:rPr>
        <w:t xml:space="preserve">”), as being incurred as of such election date, and, if such Fixed Charge Coverage Ratio, the Consolidated First Lien Net Leverage Ratio, the Consolidated Secured Net Leverage Ratio, the Consolidated Total Net Leverage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Indenture, whether or not the Fixed Charge Coverage Ratio, the Consolidated First Lien Net Leverage Ratio, the Consolidated Secured Net Leverage Ratio, the Consolidated Total Net Leverage Ratio or other provision of this Indenture,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subsequent calculations of the Fixed Charge Coverage Ratio, the Consolidated First Lien Net Leverage Ratio, the Consolidated Secured Net Leverage Ratio, the Consolidated Total Net Leverage Ratio or other provision of this Indenture, as applicable, the Reserved Indebtedness Amount shall be deemed to be outstanding, whether or not such amount is actually outstanding, for so long as such commitments are outstanding or until the Issuer revokes an election of a Reserved Indebtedness Amount;</w:t>
      </w:r>
    </w:p>
    <w:p>
      <w:pPr>
        <w:spacing w:after="0" w:line="66" w:lineRule="exact"/>
        <w:rPr>
          <w:sz w:val="20"/>
          <w:szCs w:val="20"/>
          <w:color w:val="auto"/>
        </w:rPr>
      </w:pPr>
    </w:p>
    <w:p>
      <w:pPr>
        <w:ind w:left="980" w:right="60" w:firstLine="408"/>
        <w:spacing w:after="0" w:line="291" w:lineRule="auto"/>
        <w:tabs>
          <w:tab w:leader="none" w:pos="172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to the contrary, in the case of any Indebtedness incurred to refinance Indebtedness initially incurred in reliance on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58" w:lineRule="exact"/>
        <w:rPr>
          <w:rFonts w:ascii="Arial" w:cs="Arial" w:eastAsia="Arial" w:hAnsi="Arial"/>
          <w:sz w:val="16"/>
          <w:szCs w:val="16"/>
          <w:color w:val="auto"/>
        </w:rPr>
      </w:pPr>
    </w:p>
    <w:p>
      <w:pPr>
        <w:ind w:left="980" w:right="380" w:firstLine="408"/>
        <w:spacing w:after="0" w:line="277" w:lineRule="auto"/>
        <w:tabs>
          <w:tab w:leader="none" w:pos="171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of Indebtedness issued at a price that is less than the principal amount thereof will be equal to the amount of the liability in respect thereof determined in accordance with GAAP.</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 Issuer shall be in default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05" w:name="page106"/>
    <w:bookmarkEnd w:id="10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Indebtedness was incurred, in the case of term debt, or first committed, in the case of revolving credit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9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 maximum amount of Indebtedness that the Issuer or a Restricted Subsidiary may incur pursuant to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Unsecured Indebtedness will not be treated under this Indenture as subordinated or junior to Secured Indebtedness merely because it is unsecured. Senior Indebtedness will not be treated under this Indenture as subordinated or junior to any other senior Indebtedness merely because it has a junior priority with respect to the same collateral or is secured by different collateral or because it is guaranteed by different obligors.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 From and after the Spin-Off Date, the Issuer shall not, and shall not permit any of its Restricted Subsidiaries, directly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indirectly, to:</w:t>
      </w:r>
    </w:p>
    <w:p>
      <w:pPr>
        <w:spacing w:after="0" w:line="103" w:lineRule="exact"/>
        <w:rPr>
          <w:sz w:val="20"/>
          <w:szCs w:val="20"/>
          <w:color w:val="auto"/>
        </w:rPr>
      </w:pPr>
    </w:p>
    <w:p>
      <w:pPr>
        <w:ind w:left="440" w:right="260" w:firstLine="419"/>
        <w:spacing w:after="0" w:line="342" w:lineRule="auto"/>
        <w:tabs>
          <w:tab w:leader="none" w:pos="11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declare or pay any dividend or make any distribution on or in respect of the Issuer’s or any Restricted Subsidiary’s Capital Stock (including any such payment in connection with any merger or consolidation involving the Issuer or any of the Restricted Subsidiaries) except:</w:t>
      </w:r>
    </w:p>
    <w:p>
      <w:pPr>
        <w:spacing w:after="0" w:line="15" w:lineRule="exact"/>
        <w:rPr>
          <w:rFonts w:ascii="Arial" w:cs="Arial" w:eastAsia="Arial" w:hAnsi="Arial"/>
          <w:sz w:val="16"/>
          <w:szCs w:val="16"/>
          <w:color w:val="auto"/>
        </w:rPr>
      </w:pPr>
    </w:p>
    <w:p>
      <w:pPr>
        <w:ind w:left="980" w:right="80" w:firstLine="408"/>
        <w:spacing w:after="0" w:line="277" w:lineRule="auto"/>
        <w:tabs>
          <w:tab w:leader="none" w:pos="159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dividends, payments or distributions payable in Capital Stock of the Issuer (other than Disqualified Stock) or in options, warrants or other rights to purchase such Capital Stock of the Issuer;</w:t>
      </w:r>
    </w:p>
    <w:p>
      <w:pPr>
        <w:spacing w:after="0" w:line="62"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dividends, payments or distributions payable to the Issuer or a Restricted Subsidiary (and, in the case of any such Restricted Subsidiary making such dividend or distribution, to holders of its Capital Stock other than the Issuer or a Restricted Subsidiary on no more than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and</w:t>
      </w:r>
    </w:p>
    <w:p>
      <w:pPr>
        <w:spacing w:after="0" w:line="75" w:lineRule="exact"/>
        <w:rPr>
          <w:rFonts w:ascii="Arial" w:cs="Arial" w:eastAsia="Arial" w:hAnsi="Arial"/>
          <w:sz w:val="18"/>
          <w:szCs w:val="18"/>
          <w:color w:val="auto"/>
        </w:rPr>
      </w:pPr>
    </w:p>
    <w:p>
      <w:pPr>
        <w:ind w:left="980" w:firstLine="408"/>
        <w:spacing w:after="0" w:line="277" w:lineRule="auto"/>
        <w:tabs>
          <w:tab w:leader="none" w:pos="169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dividends or distributions payable to any Parent Entity to fund interest payments in respect of Indebtedness of such Parent Entity which is guaranteed by the Issuer or any Restricted Subsidiary;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106" w:name="page107"/>
    <w:bookmarkEnd w:id="106"/>
    <w:p>
      <w:pPr>
        <w:ind w:right="120" w:firstLine="419"/>
        <w:spacing w:after="0" w:line="277" w:lineRule="auto"/>
        <w:tabs>
          <w:tab w:leader="none" w:pos="6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repurchase, redeem, retire or otherwise acquire or retire for value any Capital Stock of the Issuer or any Parent Entity held by Persons other than the Issuer or a Restricted Subsidiary;</w:t>
      </w:r>
    </w:p>
    <w:p>
      <w:pPr>
        <w:spacing w:after="0" w:line="62" w:lineRule="exact"/>
        <w:rPr>
          <w:rFonts w:ascii="Arial" w:cs="Arial" w:eastAsia="Arial" w:hAnsi="Arial"/>
          <w:sz w:val="18"/>
          <w:szCs w:val="18"/>
          <w:color w:val="auto"/>
        </w:rPr>
      </w:pPr>
    </w:p>
    <w:p>
      <w:pPr>
        <w:ind w:firstLine="419"/>
        <w:spacing w:after="0" w:line="257" w:lineRule="auto"/>
        <w:tabs>
          <w:tab w:leader="none" w:pos="67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purchase, repurchase, redeem, defease or otherwise acquire or retire for value, prior to scheduled maturity, scheduled repayment or scheduled sinking fund payment, any Subordinated Indebtedness (other than (i)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(ii) any Indebtedness incurred pursuant to </w:t>
      </w:r>
      <w:r>
        <w:rPr>
          <w:rFonts w:ascii="Arial" w:cs="Arial" w:eastAsia="Arial" w:hAnsi="Arial"/>
          <w:sz w:val="18"/>
          <w:szCs w:val="18"/>
          <w:u w:val="single" w:color="auto"/>
          <w:color w:val="auto"/>
        </w:rPr>
        <w:t>Section 3.02(b)(3)</w:t>
      </w:r>
      <w:r>
        <w:rPr>
          <w:rFonts w:ascii="Arial" w:cs="Arial" w:eastAsia="Arial" w:hAnsi="Arial"/>
          <w:sz w:val="18"/>
          <w:szCs w:val="18"/>
          <w:color w:val="auto"/>
        </w:rPr>
        <w:t>); or</w:t>
      </w:r>
    </w:p>
    <w:p>
      <w:pPr>
        <w:spacing w:after="0" w:line="79" w:lineRule="exact"/>
        <w:rPr>
          <w:rFonts w:ascii="Arial" w:cs="Arial" w:eastAsia="Arial" w:hAnsi="Arial"/>
          <w:sz w:val="18"/>
          <w:szCs w:val="18"/>
          <w:color w:val="auto"/>
        </w:rPr>
      </w:pPr>
    </w:p>
    <w:p>
      <w:pPr>
        <w:ind w:left="680" w:hanging="261"/>
        <w:spacing w:after="0"/>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such dividend, distribution, payment, purchase, redemption, repurchase, defeasance, other acquisition, retirement or Restricted Investment referred to in clauses (1) through (4) above are referred to herein as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if at the time the Issuer or such Restricted Subsidiary makes such Restricted Payment:</w:t>
      </w:r>
    </w:p>
    <w:p>
      <w:pPr>
        <w:spacing w:after="0" w:line="76" w:lineRule="exact"/>
        <w:rPr>
          <w:sz w:val="20"/>
          <w:szCs w:val="20"/>
          <w:color w:val="auto"/>
        </w:rPr>
      </w:pPr>
    </w:p>
    <w:p>
      <w:pPr>
        <w:ind w:left="540" w:right="20" w:firstLine="408"/>
        <w:spacing w:after="0" w:line="257" w:lineRule="auto"/>
        <w:tabs>
          <w:tab w:leader="none" w:pos="115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other than in the case of (i) a Restricted Payment under </w:t>
      </w:r>
      <w:r>
        <w:rPr>
          <w:rFonts w:ascii="Arial" w:cs="Arial" w:eastAsia="Arial" w:hAnsi="Arial"/>
          <w:sz w:val="18"/>
          <w:szCs w:val="18"/>
          <w:u w:val="single" w:color="auto"/>
          <w:color w:val="auto"/>
        </w:rPr>
        <w:t>Section 3.03(a)(3)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3.03(a)(4)</w:t>
      </w:r>
      <w:r>
        <w:rPr>
          <w:rFonts w:ascii="Arial" w:cs="Arial" w:eastAsia="Arial" w:hAnsi="Arial"/>
          <w:sz w:val="18"/>
          <w:szCs w:val="18"/>
          <w:color w:val="auto"/>
        </w:rPr>
        <w:t xml:space="preserve">, or (ii) amounts attributable to clauses (A) through (E) of the Available Amount Builder Basket set forth below, an Event of Default shall have occurred and be continuing (or would immediately thereafter result therefrom) and, in the case of a Restricted Payment under clauses </w:t>
      </w:r>
      <w:r>
        <w:rPr>
          <w:rFonts w:ascii="Arial" w:cs="Arial" w:eastAsia="Arial" w:hAnsi="Arial"/>
          <w:sz w:val="18"/>
          <w:szCs w:val="18"/>
          <w:u w:val="single" w:color="auto"/>
          <w:color w:val="auto"/>
        </w:rPr>
        <w:t>Section 3.03(a)(3)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3.03(a)(4)</w:t>
      </w:r>
      <w:r>
        <w:rPr>
          <w:rFonts w:ascii="Arial" w:cs="Arial" w:eastAsia="Arial" w:hAnsi="Arial"/>
          <w:sz w:val="18"/>
          <w:szCs w:val="18"/>
          <w:color w:val="auto"/>
        </w:rPr>
        <w:t xml:space="preserve">, an Event of Default described in clauses (1), (2), (7) or (8)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shall have occurred and be continuing (or would immediately thereafter result therefrom); and</w:t>
      </w:r>
    </w:p>
    <w:p>
      <w:pPr>
        <w:spacing w:after="0" w:line="79" w:lineRule="exact"/>
        <w:rPr>
          <w:rFonts w:ascii="Arial" w:cs="Arial" w:eastAsia="Arial" w:hAnsi="Arial"/>
          <w:sz w:val="18"/>
          <w:szCs w:val="18"/>
          <w:color w:val="auto"/>
        </w:rPr>
      </w:pPr>
    </w:p>
    <w:p>
      <w:pPr>
        <w:jc w:val="both"/>
        <w:ind w:left="540" w:right="140" w:firstLine="408"/>
        <w:spacing w:after="0" w:line="291" w:lineRule="auto"/>
        <w:tabs>
          <w:tab w:leader="none" w:pos="120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aggregate amount of such Restricted Payment and all other Restricted Payments made subsequent to the Spin-Off Date (and not returned or rescinded) (including Permitted Payments made pursuant to </w:t>
      </w:r>
      <w:r>
        <w:rPr>
          <w:rFonts w:ascii="Arial" w:cs="Arial" w:eastAsia="Arial" w:hAnsi="Arial"/>
          <w:sz w:val="16"/>
          <w:szCs w:val="16"/>
          <w:u w:val="single" w:color="auto"/>
          <w:color w:val="auto"/>
        </w:rPr>
        <w:t>Section 3.03(b)(1)</w:t>
      </w:r>
      <w:r>
        <w:rPr>
          <w:rFonts w:ascii="Arial" w:cs="Arial" w:eastAsia="Arial" w:hAnsi="Arial"/>
          <w:sz w:val="16"/>
          <w:szCs w:val="16"/>
          <w:color w:val="auto"/>
        </w:rPr>
        <w:t xml:space="preserve"> (without duplication) and </w:t>
      </w:r>
      <w:r>
        <w:rPr>
          <w:rFonts w:ascii="Arial" w:cs="Arial" w:eastAsia="Arial" w:hAnsi="Arial"/>
          <w:sz w:val="16"/>
          <w:szCs w:val="16"/>
          <w:u w:val="single" w:color="auto"/>
          <w:color w:val="auto"/>
        </w:rPr>
        <w:t>Section 3.03(b)</w:t>
      </w:r>
    </w:p>
    <w:p>
      <w:pPr>
        <w:ind w:left="540"/>
        <w:spacing w:after="0"/>
        <w:rPr>
          <w:rFonts w:ascii="Arial" w:cs="Arial" w:eastAsia="Arial" w:hAnsi="Arial"/>
          <w:sz w:val="16"/>
          <w:szCs w:val="16"/>
          <w:color w:val="auto"/>
        </w:rPr>
      </w:pPr>
      <w:r>
        <w:rPr>
          <w:rFonts w:ascii="Arial" w:cs="Arial" w:eastAsia="Arial" w:hAnsi="Arial"/>
          <w:sz w:val="18"/>
          <w:szCs w:val="18"/>
          <w:u w:val="single" w:color="auto"/>
          <w:color w:val="auto"/>
        </w:rPr>
        <w:t>(7)</w:t>
      </w:r>
      <w:r>
        <w:rPr>
          <w:rFonts w:ascii="Arial" w:cs="Arial" w:eastAsia="Arial" w:hAnsi="Arial"/>
          <w:sz w:val="18"/>
          <w:szCs w:val="18"/>
          <w:color w:val="auto"/>
        </w:rPr>
        <w:t xml:space="preserve">, but excluding all other Restricted Payments permitted by </w:t>
      </w:r>
      <w:r>
        <w:rPr>
          <w:rFonts w:ascii="Arial" w:cs="Arial" w:eastAsia="Arial" w:hAnsi="Arial"/>
          <w:sz w:val="18"/>
          <w:szCs w:val="18"/>
          <w:u w:val="single" w:color="auto"/>
          <w:color w:val="auto"/>
        </w:rPr>
        <w:t>Section 3.03(b)</w:t>
      </w:r>
      <w:r>
        <w:rPr>
          <w:rFonts w:ascii="Arial" w:cs="Arial" w:eastAsia="Arial" w:hAnsi="Arial"/>
          <w:sz w:val="18"/>
          <w:szCs w:val="18"/>
          <w:color w:val="auto"/>
        </w:rPr>
        <w:t>) would exceed the sum of (without duplication):</w:t>
      </w:r>
    </w:p>
    <w:p>
      <w:pPr>
        <w:spacing w:after="0" w:line="102" w:lineRule="exact"/>
        <w:rPr>
          <w:rFonts w:ascii="Arial" w:cs="Arial" w:eastAsia="Arial" w:hAnsi="Arial"/>
          <w:sz w:val="16"/>
          <w:szCs w:val="16"/>
          <w:color w:val="auto"/>
        </w:rPr>
      </w:pPr>
    </w:p>
    <w:p>
      <w:pPr>
        <w:ind w:left="980" w:firstLine="391"/>
        <w:spacing w:after="0" w:line="259" w:lineRule="auto"/>
        <w:tabs>
          <w:tab w:leader="none" w:pos="165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50% of Consolidated Net Income for the period (treated as one accounting period) from the first day of the fiscal quarter in which the Spin-Off Date occurs to the end of the most recent fiscal quarter ending prior to the date of such Restricted Payment for which consolidated financial statements are available (which may, at the Issuer’s election, be internal financial statements) (or, in the case such Consolidated Net Income is a deficit, minus 100% of such deficit);</w:t>
      </w:r>
    </w:p>
    <w:p>
      <w:pPr>
        <w:spacing w:after="0" w:line="78" w:lineRule="exact"/>
        <w:rPr>
          <w:rFonts w:ascii="Arial" w:cs="Arial" w:eastAsia="Arial" w:hAnsi="Arial"/>
          <w:sz w:val="18"/>
          <w:szCs w:val="18"/>
          <w:color w:val="auto"/>
        </w:rPr>
      </w:pPr>
    </w:p>
    <w:p>
      <w:pPr>
        <w:ind w:left="980" w:right="40" w:firstLine="391"/>
        <w:spacing w:after="0" w:line="293" w:lineRule="auto"/>
        <w:tabs>
          <w:tab w:leader="none" w:pos="164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100% of the aggregate amount of cash, and the fair market value of property or assets or marketable securities, received by the Issuer from the issue or sale of its Capital Stock or as the result of a merger or consolidation with another Person subsequent to the Spin-Off Date or otherwise contributed to the equity (in each case other than through the issuance of Disqualified Stock or Designated Preferred Stock) of the Issuer or a Restricted Subsidiary (including the aggregate principal amount of any Indebtedness of the Issuer or a Restricted Subsidiary contributed to the Issuer or a Restricted Subsidiary for cancellation) or that becomes part of the capital of the Issuer or a Restricted Subsidiary through consolidation or merger subsequent to the Spin-Off Date (other than (x)</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40"/>
          </w:cols>
          <w:pgMar w:left="880" w:top="274" w:right="479" w:bottom="1440" w:gutter="0" w:footer="0" w:header="0"/>
        </w:sectPr>
      </w:pPr>
    </w:p>
    <w:bookmarkStart w:id="107" w:name="page108"/>
    <w:bookmarkEnd w:id="107"/>
    <w:p>
      <w:pPr>
        <w:ind w:left="42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net cash proceeds or property or assets or marketable securities received from an issuance or sale of such Capital Stock to a Restricted Subsidiary or an employee stock ownership plan or trust established by the Issuer or any of its Subsidiaries for the benefit of their employees to the extent funded by the Issuer or any Restricted Subsidiary, (y) cash or property or assets or marketable securities to the extent that any Restricted Payment has been made from such proceeds in reliance on </w:t>
      </w:r>
      <w:r>
        <w:rPr>
          <w:rFonts w:ascii="Arial" w:cs="Arial" w:eastAsia="Arial" w:hAnsi="Arial"/>
          <w:sz w:val="16"/>
          <w:szCs w:val="16"/>
          <w:u w:val="single" w:color="auto"/>
          <w:color w:val="auto"/>
        </w:rPr>
        <w:t>Section 3.03(b)(6)</w:t>
      </w:r>
      <w:r>
        <w:rPr>
          <w:rFonts w:ascii="Arial" w:cs="Arial" w:eastAsia="Arial" w:hAnsi="Arial"/>
          <w:sz w:val="16"/>
          <w:szCs w:val="16"/>
          <w:color w:val="auto"/>
        </w:rPr>
        <w:t xml:space="preserve"> and</w:t>
      </w:r>
    </w:p>
    <w:p>
      <w:pPr>
        <w:spacing w:after="0" w:line="1" w:lineRule="exact"/>
        <w:rPr>
          <w:sz w:val="20"/>
          <w:szCs w:val="20"/>
          <w:color w:val="auto"/>
        </w:rPr>
      </w:pPr>
    </w:p>
    <w:p>
      <w:pPr>
        <w:ind w:left="680" w:hanging="252"/>
        <w:spacing w:after="0"/>
        <w:tabs>
          <w:tab w:leader="none" w:pos="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Excluded Contributions);</w:t>
      </w:r>
    </w:p>
    <w:p>
      <w:pPr>
        <w:spacing w:after="0" w:line="102" w:lineRule="exact"/>
        <w:rPr>
          <w:rFonts w:ascii="Arial" w:cs="Arial" w:eastAsia="Arial" w:hAnsi="Arial"/>
          <w:sz w:val="18"/>
          <w:szCs w:val="18"/>
          <w:color w:val="auto"/>
        </w:rPr>
      </w:pPr>
    </w:p>
    <w:p>
      <w:pPr>
        <w:ind w:left="420" w:firstLine="391"/>
        <w:spacing w:after="0" w:line="254" w:lineRule="auto"/>
        <w:tabs>
          <w:tab w:leader="none" w:pos="10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100% of the aggregate amount of cash, and the fair market value of property or assets or marketable securities, received by the Issuer or any Restricted Subsidiary from the issuance or sale (other than to the Issuer or a Restricted Subsidiary or an employee stock ownership plan or trust established by the Issuer or any of its Subsidiaries for the benefit of their employees to the extent funded by the Issuer or any Restricted Subsidiary) by the Issuer or any Restricted Subsidiary subsequent to the Spin-Off Date of any Indebtedness, Disqualified Stock or Designated Preferred Stock that has been converted into or exchanged for Capital Stock of the Issuer (other than Disqualified Stock or Designated Preferred Stock) plus, without duplication, the amount of any cash, and the fair market value of property or assets or marketable securities, received by the Issuer or any Restricted Subsidiary upon such conversion or exchange;</w:t>
      </w:r>
    </w:p>
    <w:p>
      <w:pPr>
        <w:spacing w:after="0" w:line="83" w:lineRule="exact"/>
        <w:rPr>
          <w:rFonts w:ascii="Arial" w:cs="Arial" w:eastAsia="Arial" w:hAnsi="Arial"/>
          <w:sz w:val="18"/>
          <w:szCs w:val="18"/>
          <w:color w:val="auto"/>
        </w:rPr>
      </w:pPr>
    </w:p>
    <w:p>
      <w:pPr>
        <w:ind w:left="420" w:right="60" w:firstLine="391"/>
        <w:spacing w:after="0" w:line="269" w:lineRule="auto"/>
        <w:tabs>
          <w:tab w:leader="none" w:pos="109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as determined in good faith by the Issuer, of marketable securities or other property received by means of: (i) the sale or other disposition (other than to the Issuer or a Restricted Subsidiary) of, or other returns on Investment from, Restricted Investments made by the Issuer or its Restricted Subsidiaries and repurchases and redemptions of, or cash distributions or cash interest received in respect of, such Investments from the Issuer or its Restricted Subsidiaries and repayments of loans or advances, and releases of guarantees, which constitute Restricted Investments by the Issuer or its Restricted Subsidiaries, in each case after the Spin-Off Date; or (ii) the sale or other disposition (other than to the Issuer or a Restricted Subsidiary) of the Capital Stock of an Unrestricted Subsidiary or a dividend, payment or distribution from an Unrestricted Subsidiary (other than to the extent of the amount of the Investment that constituted a Permitted Investment or was made under </w:t>
      </w:r>
      <w:r>
        <w:rPr>
          <w:rFonts w:ascii="Arial" w:cs="Arial" w:eastAsia="Arial" w:hAnsi="Arial"/>
          <w:sz w:val="17"/>
          <w:szCs w:val="17"/>
          <w:u w:val="single" w:color="auto"/>
          <w:color w:val="auto"/>
        </w:rPr>
        <w:t>Section 3.03(b)(17)</w:t>
      </w:r>
      <w:r>
        <w:rPr>
          <w:rFonts w:ascii="Arial" w:cs="Arial" w:eastAsia="Arial" w:hAnsi="Arial"/>
          <w:sz w:val="17"/>
          <w:szCs w:val="17"/>
          <w:color w:val="auto"/>
        </w:rPr>
        <w:t xml:space="preserve"> and will increase the amount available under the applicable clause of the definition of “Permitted Investments” or </w:t>
      </w:r>
      <w:r>
        <w:rPr>
          <w:rFonts w:ascii="Arial" w:cs="Arial" w:eastAsia="Arial" w:hAnsi="Arial"/>
          <w:sz w:val="17"/>
          <w:szCs w:val="17"/>
          <w:u w:val="single" w:color="auto"/>
          <w:color w:val="auto"/>
        </w:rPr>
        <w:t>Section 3.03(b)(17)</w:t>
      </w:r>
      <w:r>
        <w:rPr>
          <w:rFonts w:ascii="Arial" w:cs="Arial" w:eastAsia="Arial" w:hAnsi="Arial"/>
          <w:sz w:val="17"/>
          <w:szCs w:val="17"/>
          <w:color w:val="auto"/>
        </w:rPr>
        <w:t>, as the case may be) or a dividend from a Person that is not a Restricted Subsidiary after the Spin-Off Date;</w:t>
      </w:r>
    </w:p>
    <w:p>
      <w:pPr>
        <w:spacing w:after="0" w:line="73" w:lineRule="exact"/>
        <w:rPr>
          <w:rFonts w:ascii="Arial" w:cs="Arial" w:eastAsia="Arial" w:hAnsi="Arial"/>
          <w:sz w:val="17"/>
          <w:szCs w:val="17"/>
          <w:color w:val="auto"/>
        </w:rPr>
      </w:pPr>
    </w:p>
    <w:p>
      <w:pPr>
        <w:ind w:left="420" w:right="60" w:firstLine="391"/>
        <w:spacing w:after="0" w:line="269" w:lineRule="auto"/>
        <w:tabs>
          <w:tab w:leader="none" w:pos="107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in the case of the redesignation of an Unrestricted Subsidiary as a Restricted Subsidiary or the merger, amalgamation or consolidation of an Unrestricted Subsidiary into the Issuer or a Restricted Subsidiary or the transfer of all or substantially all of the assets of an Unrestricted Subsidiary to the Issuer or a Restricted Subsidiary after the Spin-Off Date, the fair market value of the Investment in such Unrestricted Subsidiary (or the assets transferred), as determined in good faith by the Issuer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Arial" w:cs="Arial" w:eastAsia="Arial" w:hAnsi="Arial"/>
          <w:sz w:val="17"/>
          <w:szCs w:val="17"/>
          <w:u w:val="single" w:color="auto"/>
          <w:color w:val="auto"/>
        </w:rPr>
        <w:t>Section 3.03(b)(17)</w:t>
      </w:r>
      <w:r>
        <w:rPr>
          <w:rFonts w:ascii="Arial" w:cs="Arial" w:eastAsia="Arial" w:hAnsi="Arial"/>
          <w:sz w:val="17"/>
          <w:szCs w:val="17"/>
          <w:color w:val="auto"/>
        </w:rPr>
        <w:t xml:space="preserve"> and will increase the amount available under the applicable clause of the definition of “Permitted Investments” or </w:t>
      </w:r>
      <w:r>
        <w:rPr>
          <w:rFonts w:ascii="Arial" w:cs="Arial" w:eastAsia="Arial" w:hAnsi="Arial"/>
          <w:sz w:val="17"/>
          <w:szCs w:val="17"/>
          <w:u w:val="single" w:color="auto"/>
          <w:color w:val="auto"/>
        </w:rPr>
        <w:t>Section 3.03(b)(17)</w:t>
      </w:r>
      <w:r>
        <w:rPr>
          <w:rFonts w:ascii="Arial" w:cs="Arial" w:eastAsia="Arial" w:hAnsi="Arial"/>
          <w:sz w:val="17"/>
          <w:szCs w:val="17"/>
          <w:color w:val="auto"/>
        </w:rPr>
        <w:t>, as the case may be; and</w:t>
      </w:r>
    </w:p>
    <w:p>
      <w:pPr>
        <w:spacing w:after="0" w:line="1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000"/>
          </w:cols>
          <w:pgMar w:left="1440" w:top="274" w:right="459" w:bottom="1440" w:gutter="0" w:footer="0" w:header="0"/>
        </w:sectPr>
      </w:pPr>
    </w:p>
    <w:bookmarkStart w:id="108" w:name="page109"/>
    <w:bookmarkEnd w:id="108"/>
    <w:p>
      <w:pPr>
        <w:ind w:left="1420" w:right="560" w:firstLine="391"/>
        <w:spacing w:after="0" w:line="277" w:lineRule="auto"/>
        <w:tabs>
          <w:tab w:leader="none" w:pos="20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greater of $175.0 million and 35.0% of LTM EBITDA (the foregoing clause (ii), the “</w:t>
      </w:r>
      <w:r>
        <w:rPr>
          <w:rFonts w:ascii="Arial" w:cs="Arial" w:eastAsia="Arial" w:hAnsi="Arial"/>
          <w:sz w:val="18"/>
          <w:szCs w:val="18"/>
          <w:u w:val="single" w:color="auto"/>
          <w:color w:val="auto"/>
        </w:rPr>
        <w:t>Available Amount Builder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Basket</w:t>
      </w:r>
      <w:r>
        <w:rPr>
          <w:rFonts w:ascii="Arial" w:cs="Arial" w:eastAsia="Arial" w:hAnsi="Arial"/>
          <w:sz w:val="18"/>
          <w:szCs w:val="18"/>
          <w:color w:val="auto"/>
        </w:rPr>
        <w: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For the avoidance of doubt, the acquisition by and/or transfer to the Issuer and/or any of its Subsidiaries of the Spinco Business and the related transactions in connection with the Spin-Off shall be deemed not to increase the Available Amount Builder Basket.</w:t>
      </w:r>
    </w:p>
    <w:p>
      <w:pPr>
        <w:spacing w:after="0" w:line="62" w:lineRule="exact"/>
        <w:rPr>
          <w:sz w:val="20"/>
          <w:szCs w:val="20"/>
          <w:color w:val="auto"/>
        </w:rPr>
      </w:pPr>
    </w:p>
    <w:p>
      <w:pPr>
        <w:ind w:left="1680" w:hanging="252"/>
        <w:spacing w:after="0"/>
        <w:tabs>
          <w:tab w:leader="none" w:pos="1680" w:val="left"/>
        </w:tabs>
        <w:numPr>
          <w:ilvl w:val="2"/>
          <w:numId w:val="142"/>
        </w:numPr>
        <w:rPr>
          <w:rFonts w:ascii="Arial" w:cs="Arial" w:eastAsia="Arial" w:hAnsi="Arial"/>
          <w:sz w:val="18"/>
          <w:szCs w:val="18"/>
          <w:color w:val="auto"/>
        </w:rPr>
      </w:pP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will not prohibit any of the following (collectively, “</w:t>
      </w:r>
      <w:r>
        <w:rPr>
          <w:rFonts w:ascii="Arial" w:cs="Arial" w:eastAsia="Arial" w:hAnsi="Arial"/>
          <w:sz w:val="18"/>
          <w:szCs w:val="18"/>
          <w:u w:val="single" w:color="auto"/>
          <w:color w:val="auto"/>
        </w:rPr>
        <w:t>Permitted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1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payment of any dividend or distribution within 60 days after the date of declaration thereof, if at the date of declaration such payment would have complied with the provisions of this Indenture or the redemption, repurchase or retirement of Indebtedness if, at the date of any redemption notice, such payment would have complied with the provisions of this Indenture as if it were and is deemed at such time to be a Restricted Payment at the time of such notice;</w:t>
      </w:r>
    </w:p>
    <w:p>
      <w:pPr>
        <w:spacing w:after="0" w:line="78" w:lineRule="exact"/>
        <w:rPr>
          <w:rFonts w:ascii="Arial" w:cs="Arial" w:eastAsia="Arial" w:hAnsi="Arial"/>
          <w:sz w:val="18"/>
          <w:szCs w:val="18"/>
          <w:color w:val="auto"/>
        </w:rPr>
      </w:pPr>
    </w:p>
    <w:p>
      <w:pPr>
        <w:ind w:left="440" w:right="60" w:firstLine="419"/>
        <w:spacing w:after="0" w:line="284" w:lineRule="auto"/>
        <w:tabs>
          <w:tab w:leader="none" w:pos="111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 any prepayment, purchase, repurchase, redemption, defeasance, discharge, retirement or other acquisition of Capital Stock, including any accrued and unpaid dividends thereon (“</w:t>
      </w:r>
      <w:r>
        <w:rPr>
          <w:rFonts w:ascii="Arial" w:cs="Arial" w:eastAsia="Arial" w:hAnsi="Arial"/>
          <w:sz w:val="16"/>
          <w:szCs w:val="16"/>
          <w:u w:val="single" w:color="auto"/>
          <w:color w:val="auto"/>
        </w:rPr>
        <w:t>Treasury Capital Stock</w:t>
      </w:r>
      <w:r>
        <w:rPr>
          <w:rFonts w:ascii="Arial" w:cs="Arial" w:eastAsia="Arial" w:hAnsi="Arial"/>
          <w:sz w:val="16"/>
          <w:szCs w:val="16"/>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Issuer or any Parent Entity to the extent contributed to the Issuer (in each case, other than Disqualified Stock or Designated Preferred Stock) (“</w:t>
      </w:r>
      <w:r>
        <w:rPr>
          <w:rFonts w:ascii="Arial" w:cs="Arial" w:eastAsia="Arial" w:hAnsi="Arial"/>
          <w:sz w:val="16"/>
          <w:szCs w:val="16"/>
          <w:u w:val="single" w:color="auto"/>
          <w:color w:val="auto"/>
        </w:rPr>
        <w:t>Refunding Capital Stock</w:t>
      </w:r>
      <w:r>
        <w:rPr>
          <w:rFonts w:ascii="Arial" w:cs="Arial" w:eastAsia="Arial" w:hAnsi="Arial"/>
          <w:sz w:val="16"/>
          <w:szCs w:val="16"/>
          <w:color w:val="auto"/>
        </w:rPr>
        <w:t>”), (b) the declaration and payment of dividends on Treasury Capital Stock out of the proceeds of the substantially concurrent sale or issuance (other than to a Subsidiary of the Issuer or to an employee stock ownership plan or any trust established by the Issuer or any of its Subsidiaries) of Refunding Capital Stock and</w:t>
      </w:r>
    </w:p>
    <w:p>
      <w:pPr>
        <w:spacing w:after="0" w:line="2" w:lineRule="exact"/>
        <w:rPr>
          <w:rFonts w:ascii="Arial" w:cs="Arial" w:eastAsia="Arial" w:hAnsi="Arial"/>
          <w:sz w:val="16"/>
          <w:szCs w:val="16"/>
          <w:color w:val="auto"/>
        </w:rPr>
      </w:pPr>
    </w:p>
    <w:p>
      <w:pPr>
        <w:ind w:left="440" w:right="140" w:hanging="4"/>
        <w:spacing w:after="0" w:line="253"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if immediately prior to the retirement of Treasury Capital Stock, the declaration and payment of dividends thereon was permitted under </w:t>
      </w:r>
      <w:r>
        <w:rPr>
          <w:rFonts w:ascii="Arial" w:cs="Arial" w:eastAsia="Arial" w:hAnsi="Arial"/>
          <w:sz w:val="18"/>
          <w:szCs w:val="18"/>
          <w:u w:val="single" w:color="auto"/>
          <w:color w:val="auto"/>
        </w:rPr>
        <w:t>Section 3.03(b)(13)</w:t>
      </w:r>
      <w:r>
        <w:rPr>
          <w:rFonts w:ascii="Arial" w:cs="Arial" w:eastAsia="Arial" w:hAnsi="Arial"/>
          <w:sz w:val="18"/>
          <w:szCs w:val="18"/>
          <w:color w:val="auto"/>
        </w:rPr>
        <w:t>,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w:t>
      </w:r>
    </w:p>
    <w:p>
      <w:pPr>
        <w:spacing w:after="0" w:line="82" w:lineRule="exact"/>
        <w:rPr>
          <w:rFonts w:ascii="Arial" w:cs="Arial" w:eastAsia="Arial" w:hAnsi="Arial"/>
          <w:sz w:val="18"/>
          <w:szCs w:val="18"/>
          <w:color w:val="auto"/>
        </w:rPr>
      </w:pPr>
    </w:p>
    <w:p>
      <w:pPr>
        <w:ind w:left="440" w:right="320" w:firstLine="419"/>
        <w:spacing w:after="0" w:line="263" w:lineRule="auto"/>
        <w:tabs>
          <w:tab w:leader="none" w:pos="111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any prepayment, purchase, repurchase, exchange, redemption, defeasance, discharge, retirement or other acquisition of Subordinated Indebtedness made by exchange for, or out of the proceeds of the substantially concurrent sale of, Refinancing Indebtedness permitted to be incurred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firstLine="419"/>
        <w:spacing w:after="0" w:line="311" w:lineRule="auto"/>
        <w:tabs>
          <w:tab w:leader="none" w:pos="111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any prepayment, purchase, repurchase, exchange, redemption, defeasance, discharge, retirement or other acquisition of Preferred Stock of, the Issuer or a Restricted Subsidiary made by exchange for, or out of the proceeds of the substantially concurrent sale of, Preferred Stock of the Issuer or a Restricted Subsidiary, as applicable, that, in each case, is permitted to be incurred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09" w:name="page110"/>
    <w:bookmarkEnd w:id="109"/>
    <w:p>
      <w:pPr>
        <w:ind w:right="300" w:firstLine="419"/>
        <w:spacing w:after="0" w:line="308" w:lineRule="auto"/>
        <w:tabs>
          <w:tab w:leader="none" w:pos="678" w:val="left"/>
        </w:tabs>
        <w:numPr>
          <w:ilvl w:val="0"/>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prepayment, purchase, repurchase, exchange, redemption, defeasance, discharge, retirement or other acquisition of Subordinated Indebtedness of the Issuer or a Restricted Subsidiary or Disqualified Stock or Preferred Stock of a Restricted Subsidiary:</w:t>
      </w:r>
    </w:p>
    <w:p>
      <w:pPr>
        <w:spacing w:after="0" w:line="38" w:lineRule="exact"/>
        <w:rPr>
          <w:rFonts w:ascii="Arial" w:cs="Arial" w:eastAsia="Arial" w:hAnsi="Arial"/>
          <w:sz w:val="17"/>
          <w:szCs w:val="17"/>
          <w:color w:val="auto"/>
        </w:rPr>
      </w:pPr>
    </w:p>
    <w:p>
      <w:pPr>
        <w:ind w:left="540" w:firstLine="408"/>
        <w:spacing w:after="0" w:line="259" w:lineRule="auto"/>
        <w:tabs>
          <w:tab w:leader="none" w:pos="115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from net cash proceeds to the extent permitted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but only if the Issuer shall have first complied with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purchased all Notes tendered pursuant to any offer to repurchase all the Notes required thereby, prior to prepaying, purchasing, repurchasing, redeeming, defeasing, discharging, retiring or otherwise acquiring such Subordinated Indebtedness, Disqualified Stock or Preferred Stock;</w:t>
      </w:r>
    </w:p>
    <w:p>
      <w:pPr>
        <w:spacing w:after="0" w:line="78" w:lineRule="exact"/>
        <w:rPr>
          <w:rFonts w:ascii="Arial" w:cs="Arial" w:eastAsia="Arial" w:hAnsi="Arial"/>
          <w:sz w:val="18"/>
          <w:szCs w:val="18"/>
          <w:color w:val="auto"/>
        </w:rPr>
      </w:pPr>
    </w:p>
    <w:p>
      <w:pPr>
        <w:ind w:left="540" w:right="360" w:firstLine="408"/>
        <w:spacing w:after="0" w:line="273" w:lineRule="auto"/>
        <w:tabs>
          <w:tab w:leader="none" w:pos="120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to the extent required by the agreement governing such Subordinated Indebtedness, Disqualified Stock or Preferred Stock, following the occurrence of (i) a Change of Control (or other similar event described therein as a “change of control”) or (ii) an Asset Disposition (or other similar event described therein as an “asset disposition” or “asset sale”), but only if the Issuer shall have first complied with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3.09</w:t>
      </w:r>
      <w:r>
        <w:rPr>
          <w:rFonts w:ascii="Arial" w:cs="Arial" w:eastAsia="Arial" w:hAnsi="Arial"/>
          <w:sz w:val="17"/>
          <w:szCs w:val="17"/>
          <w:color w:val="auto"/>
        </w:rPr>
        <w:t>, as applicable,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69" w:lineRule="exact"/>
        <w:rPr>
          <w:rFonts w:ascii="Arial" w:cs="Arial" w:eastAsia="Arial" w:hAnsi="Arial"/>
          <w:sz w:val="17"/>
          <w:szCs w:val="17"/>
          <w:color w:val="auto"/>
        </w:rPr>
      </w:pPr>
    </w:p>
    <w:p>
      <w:pPr>
        <w:ind w:left="1260" w:hanging="312"/>
        <w:spacing w:after="0"/>
        <w:tabs>
          <w:tab w:leader="none" w:pos="12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consisting of Acquired Indebtedness (other than Indebtedness incurred in connection with or contemplation of such acquisition);</w:t>
      </w:r>
    </w:p>
    <w:p>
      <w:pPr>
        <w:spacing w:after="0" w:line="140" w:lineRule="exact"/>
        <w:rPr>
          <w:rFonts w:ascii="Arial" w:cs="Arial" w:eastAsia="Arial" w:hAnsi="Arial"/>
          <w:sz w:val="16"/>
          <w:szCs w:val="16"/>
          <w:color w:val="auto"/>
        </w:rPr>
      </w:pPr>
    </w:p>
    <w:p>
      <w:pPr>
        <w:ind w:firstLine="419"/>
        <w:spacing w:after="0" w:line="268" w:lineRule="auto"/>
        <w:tabs>
          <w:tab w:leader="none" w:pos="67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 Restricted Payment to pay for the prepayment, purchase, repurchase, redemption, defeasance, discharge, retirement or other acquisition of Capital Stock of the Issuer or any Parent Entity held by any future, present or former employee, director, officer, manager, contractor, consultant or advisor (or their respective Controlled Investment Affiliates or Immediate Family Members) of the Issuer or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Issuer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the Issuer or any of its Subsidiaries or any Parent Entity in connection with any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aggregate Restricted Payments made under this clause do not exceed the greater of (i) $25.0 million and (ii) 5.0% of LTM EBITDA in any calendar year (with unused amounts in any calendar year being carried over to the immediately succeeding calendar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amount in any calendar year may be increased by an amount not to exceed:</w:t>
      </w:r>
    </w:p>
    <w:p>
      <w:pPr>
        <w:spacing w:after="0" w:line="78" w:lineRule="exact"/>
        <w:rPr>
          <w:rFonts w:ascii="Arial" w:cs="Arial" w:eastAsia="Arial" w:hAnsi="Arial"/>
          <w:sz w:val="17"/>
          <w:szCs w:val="17"/>
          <w:color w:val="auto"/>
        </w:rPr>
      </w:pPr>
    </w:p>
    <w:p>
      <w:pPr>
        <w:ind w:left="540" w:right="100" w:firstLine="408"/>
        <w:spacing w:after="0" w:line="255" w:lineRule="auto"/>
        <w:tabs>
          <w:tab w:leader="none" w:pos="115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the cash proceeds from the sale of Capital Stock (other than Disqualified Stock) of the Issuer and, to the extent contributed to the capital of the Issuer, the cash proceeds from the sale of Capital Stock of any Parent Entity, in each case, to any future, present or former employee, director, officer, manager, contractor, consultant or advisor (or their respective Controlled Investment Affiliates or Immediate Family Members) of the Issuer or any of its Subsidiaries or any Parent Entity that occurred after the Spin-Off Date, to the extent the cash proceeds from the sale of such Capital Stock have not otherwise been applied to the payment of Restricted Payments by virtue of </w:t>
      </w:r>
      <w:r>
        <w:rPr>
          <w:rFonts w:ascii="Arial" w:cs="Arial" w:eastAsia="Arial" w:hAnsi="Arial"/>
          <w:sz w:val="18"/>
          <w:szCs w:val="18"/>
          <w:u w:val="single" w:color="auto"/>
          <w:color w:val="auto"/>
        </w:rPr>
        <w:t>Section 3.03(a)(4)(ii)</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540"/>
          </w:cols>
          <w:pgMar w:left="880" w:top="274" w:right="479" w:bottom="1440" w:gutter="0" w:footer="0" w:header="0"/>
        </w:sectPr>
      </w:pPr>
    </w:p>
    <w:bookmarkStart w:id="110" w:name="page111"/>
    <w:bookmarkEnd w:id="110"/>
    <w:p>
      <w:pPr>
        <w:ind w:left="540" w:right="140" w:firstLine="408"/>
        <w:spacing w:after="0" w:line="277" w:lineRule="auto"/>
        <w:tabs>
          <w:tab w:leader="none" w:pos="12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cash proceeds of key man life insurance policies received by the Issuer or its Restricted Subsidiaries (or any Parent Entity to the extent contributed to the Issuer) after the Spin-Off Date; </w:t>
      </w:r>
      <w:r>
        <w:rPr>
          <w:rFonts w:ascii="Arial" w:cs="Arial" w:eastAsia="Arial" w:hAnsi="Arial"/>
          <w:sz w:val="18"/>
          <w:szCs w:val="18"/>
          <w:i w:val="1"/>
          <w:iCs w:val="1"/>
          <w:color w:val="auto"/>
        </w:rPr>
        <w:t>less</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 of any Restricted Payments made in previous calendar years pursuant to clauses (i) and (ii) of this clause (6);</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Issuer may elect to apply all or any portion of the aggregate increase contemplated by clauses (i) and (ii) of this clause (6) in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 cancellation of Indebtedness owing to the Issuer or any Restricted Subsidiary from any future, present or former employee, director, officer, manager, contractor, consultant or advisor (or their respective Controlled Investment Affiliates or Immediate Family Members) of the Issuer or its Restricted Subsidiaries or any Parent Entity in connection with a repurchase of Capital Stock of the Issuer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or any other provision of this Indenture;</w:t>
      </w:r>
    </w:p>
    <w:p>
      <w:pPr>
        <w:spacing w:after="0" w:line="70" w:lineRule="exact"/>
        <w:rPr>
          <w:sz w:val="20"/>
          <w:szCs w:val="20"/>
          <w:color w:val="auto"/>
        </w:rPr>
      </w:pPr>
    </w:p>
    <w:p>
      <w:pPr>
        <w:ind w:right="80" w:firstLine="419"/>
        <w:spacing w:after="0" w:line="277" w:lineRule="auto"/>
        <w:tabs>
          <w:tab w:leader="none" w:pos="6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declaration and payment of dividends on Disqualified Stock of the Issuer or any of its Restricted Subsidiaries or Preferred Stock of a Restricted Subsidiary, issued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19"/>
        <w:spacing w:after="0" w:line="254" w:lineRule="auto"/>
        <w:tabs>
          <w:tab w:leader="none" w:pos="6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payments made or expected to be made by the Issuer or any Restricted Subsidiary (including payments by the Issuer or any Restricted Subsidiary to a Parent Entity so that such Parent Entity may make payments)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Issuer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spacing w:after="0" w:line="83"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dividends, loans, advances or distributions to any Parent Entity or other payments by the Issuer or any Restricted Subsidiary in amounts equal to (without duplication):</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amounts required for any Parent Entity to pay any Parent Entity Expenses or any Permitted Tax Amounts;</w:t>
      </w:r>
    </w:p>
    <w:p>
      <w:pPr>
        <w:spacing w:after="0" w:line="117" w:lineRule="exact"/>
        <w:rPr>
          <w:rFonts w:ascii="Arial" w:cs="Arial" w:eastAsia="Arial" w:hAnsi="Arial"/>
          <w:sz w:val="18"/>
          <w:szCs w:val="18"/>
          <w:color w:val="auto"/>
        </w:rPr>
      </w:pPr>
    </w:p>
    <w:p>
      <w:pPr>
        <w:ind w:left="540" w:right="140" w:firstLine="408"/>
        <w:spacing w:after="0" w:line="277" w:lineRule="auto"/>
        <w:tabs>
          <w:tab w:leader="none" w:pos="120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amounts constituting or to be used for purposes of making payments to the extent specified in </w:t>
      </w:r>
      <w:r>
        <w:rPr>
          <w:rFonts w:ascii="Arial" w:cs="Arial" w:eastAsia="Arial" w:hAnsi="Arial"/>
          <w:sz w:val="18"/>
          <w:szCs w:val="18"/>
          <w:u w:val="single" w:color="auto"/>
          <w:color w:val="auto"/>
        </w:rPr>
        <w:t>Sections 3.08(b)(2)</w:t>
      </w:r>
      <w:r>
        <w:rPr>
          <w:rFonts w:ascii="Arial" w:cs="Arial" w:eastAsia="Arial" w:hAnsi="Arial"/>
          <w:sz w:val="18"/>
          <w:szCs w:val="18"/>
          <w:color w:val="auto"/>
        </w:rPr>
        <w:t>, (</w:t>
      </w:r>
      <w:r>
        <w:rPr>
          <w:rFonts w:ascii="Arial" w:cs="Arial" w:eastAsia="Arial" w:hAnsi="Arial"/>
          <w:sz w:val="18"/>
          <w:szCs w:val="18"/>
          <w:u w:val="single" w:color="auto"/>
          <w:color w:val="auto"/>
        </w:rPr>
        <w:t>3)</w:t>
      </w:r>
      <w:r>
        <w:rPr>
          <w:rFonts w:ascii="Arial" w:cs="Arial" w:eastAsia="Arial" w:hAnsi="Arial"/>
          <w:sz w:val="18"/>
          <w:szCs w:val="18"/>
          <w:color w:val="auto"/>
        </w:rPr>
        <w:t>, (</w:t>
      </w:r>
      <w:r>
        <w:rPr>
          <w:rFonts w:ascii="Arial" w:cs="Arial" w:eastAsia="Arial" w:hAnsi="Arial"/>
          <w:sz w:val="18"/>
          <w:szCs w:val="18"/>
          <w:u w:val="single" w:color="auto"/>
          <w:color w:val="auto"/>
        </w:rPr>
        <w:t>5)</w:t>
      </w:r>
      <w:r>
        <w:rPr>
          <w:rFonts w:ascii="Arial" w:cs="Arial" w:eastAsia="Arial" w:hAnsi="Arial"/>
          <w:sz w:val="18"/>
          <w:szCs w:val="18"/>
          <w:color w:val="auto"/>
        </w:rPr>
        <w:t>,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60"/>
          </w:cols>
          <w:pgMar w:left="880" w:top="274" w:right="459" w:bottom="1440" w:gutter="0" w:footer="0" w:header="0"/>
        </w:sectPr>
      </w:pPr>
    </w:p>
    <w:bookmarkStart w:id="111" w:name="page112"/>
    <w:bookmarkEnd w:id="111"/>
    <w:p>
      <w:pPr>
        <w:ind w:right="40" w:firstLine="419"/>
        <w:spacing w:after="0" w:line="288" w:lineRule="auto"/>
        <w:tabs>
          <w:tab w:leader="none" w:pos="768"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declaration and payment of dividends on the common stock or common equity interests of the Issuer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in an amount in any fiscal year not to exceed $50.0 million (which permitted amount shall increase by 5.0% each year beginning with the first fiscal year after the fiscal year in which the Spin-Off Date occurs); or (b) in lieu of all or a portion of the dividends permitted by clause (a), any prepayment, purchase, repurchase, redemption, defeasance, discharge, retirement or other acquisition of the Issuer’s Capital Stock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60" w:lineRule="exact"/>
        <w:rPr>
          <w:rFonts w:ascii="Arial" w:cs="Arial" w:eastAsia="Arial" w:hAnsi="Arial"/>
          <w:sz w:val="16"/>
          <w:szCs w:val="16"/>
          <w:color w:val="auto"/>
        </w:rPr>
      </w:pPr>
    </w:p>
    <w:p>
      <w:pPr>
        <w:ind w:right="360" w:firstLine="419"/>
        <w:spacing w:after="0" w:line="301" w:lineRule="auto"/>
        <w:tabs>
          <w:tab w:leader="none" w:pos="76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payments by the Issuer, or loans, advances, dividends or distributions to any Parent Entity to make payments, to holders of Capital Stock of the Issuer or any Parent Entity in lieu of the issuance of fractional shares of such Capital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payment, loan, advance, dividend or distribution shall not be for the purpose of evading any limitation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or otherwise to facilitate any dividend or other return of capital to the holders of such Capital Stock (as determined in good faith by the Issuer);</w:t>
      </w:r>
    </w:p>
    <w:p>
      <w:pPr>
        <w:spacing w:after="0" w:line="49" w:lineRule="exact"/>
        <w:rPr>
          <w:rFonts w:ascii="Arial" w:cs="Arial" w:eastAsia="Arial" w:hAnsi="Arial"/>
          <w:sz w:val="16"/>
          <w:szCs w:val="16"/>
          <w:color w:val="auto"/>
        </w:rPr>
      </w:pPr>
    </w:p>
    <w:p>
      <w:pPr>
        <w:jc w:val="both"/>
        <w:ind w:right="160" w:firstLine="419"/>
        <w:spacing w:after="0" w:line="263" w:lineRule="auto"/>
        <w:tabs>
          <w:tab w:leader="none" w:pos="7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w:t>
      </w:r>
    </w:p>
    <w:p>
      <w:pPr>
        <w:spacing w:after="0" w:line="75" w:lineRule="exact"/>
        <w:rPr>
          <w:rFonts w:ascii="Arial" w:cs="Arial" w:eastAsia="Arial" w:hAnsi="Arial"/>
          <w:sz w:val="18"/>
          <w:szCs w:val="18"/>
          <w:color w:val="auto"/>
        </w:rPr>
      </w:pPr>
    </w:p>
    <w:p>
      <w:pPr>
        <w:ind w:right="20" w:firstLine="419"/>
        <w:spacing w:after="0" w:line="269" w:lineRule="auto"/>
        <w:tabs>
          <w:tab w:leader="none" w:pos="76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 the declaration and payment of dividends on Designated Preferred Stock of the Issuer or any of its Restricted Subsidiaries issued after the Spin-Off Date; (ii) the declaration and payment of dividends to a Parent Entity in an amount sufficient to allow such Parent Entity to pay dividends to holders of its Designated Preferred Stock issued after the Spin-Off Date; and (iii) the declaration and payment of dividends on Refunding Capital Stock that is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case of clause (ii), the amount of dividends paid to a Person pursuant to such clause shall not exceed the cash proceeds received by the Issuer or the aggregate amount contributed in cash to the equity of the Issuer (other than through the issuance of Disqualified Stock or an Excluded Contribution of the Issuer), from the issuance or sale of such Designated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in the case of clauses (i) and (iii), for the most recently ended four fiscal quarters for which consolidated financial statements are available (which may, at the Issuer’s election, be internal financial statements) immediately preceding the date of issuance of such Designated Preferred Stock or declaration of such dividends on such Refunding Capital Stock, after giving effect to such payment on a pro forma basis, the Issuer would be permitted to incur at least $1.00 of additional Indebtedness pursuant to the test set forth in </w:t>
      </w:r>
      <w:r>
        <w:rPr>
          <w:rFonts w:ascii="Arial" w:cs="Arial" w:eastAsia="Arial" w:hAnsi="Arial"/>
          <w:sz w:val="17"/>
          <w:szCs w:val="17"/>
          <w:u w:val="single" w:color="auto"/>
          <w:color w:val="auto"/>
        </w:rPr>
        <w:t>Section 3.02(a)</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760" w:hanging="341"/>
        <w:spacing w:after="0"/>
        <w:tabs>
          <w:tab w:leader="none" w:pos="7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distributions, by dividend or otherwise, or other transfer or disposition of shares of Capital Stock of, or equity interests in, an</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Unrestricted Subsidiary (or a Restricted Subsidiary that owns one or more Unrestricted Subsidiaries and no other material assets), or Indebtedness owed to the Issuer or a Restricted Subsidiary by an Unrestricted Subsidiary (or a Restricted Subsidiary that owns one or more Unrestricted Subsidiaries and no other material assets), in each case, other than Unrestricted Subsidiaries, substantially all the assets of which are cash and Cash Equivalents or proceeds thereof;</w:t>
      </w:r>
    </w:p>
    <w:p>
      <w:pPr>
        <w:spacing w:after="0" w:line="1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500"/>
          </w:cols>
          <w:pgMar w:left="880" w:top="274" w:right="519" w:bottom="1440" w:gutter="0" w:footer="0" w:header="0"/>
        </w:sectPr>
      </w:pPr>
    </w:p>
    <w:bookmarkStart w:id="112" w:name="page113"/>
    <w:bookmarkEnd w:id="112"/>
    <w:p>
      <w:pPr>
        <w:jc w:val="both"/>
        <w:ind w:left="4" w:right="120" w:firstLine="419"/>
        <w:spacing w:after="0" w:line="263" w:lineRule="auto"/>
        <w:tabs>
          <w:tab w:leader="none" w:pos="771" w:val="left"/>
        </w:tabs>
        <w:numPr>
          <w:ilvl w:val="1"/>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75" w:lineRule="exact"/>
        <w:rPr>
          <w:rFonts w:ascii="Arial" w:cs="Arial" w:eastAsia="Arial" w:hAnsi="Arial"/>
          <w:sz w:val="18"/>
          <w:szCs w:val="18"/>
          <w:color w:val="auto"/>
        </w:rPr>
      </w:pPr>
    </w:p>
    <w:p>
      <w:pPr>
        <w:ind w:left="4" w:right="20" w:firstLine="419"/>
        <w:spacing w:after="0" w:line="259" w:lineRule="auto"/>
        <w:tabs>
          <w:tab w:leader="none" w:pos="77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Restricted Payment made in connection with the Transactions (including, for the avoidance of doubt, the Special Payment) and any fees, costs and expenses (including all legal, accounting and other professional fees, costs and expenses) related thereto, including Transaction Costs, or used to fund amounts owed to Affiliates in connection with the Transactions (including dividends to any Parent Entity to permit payment by such Parent Entity of such amounts);</w:t>
      </w:r>
    </w:p>
    <w:p>
      <w:pPr>
        <w:spacing w:after="0" w:line="78" w:lineRule="exact"/>
        <w:rPr>
          <w:rFonts w:ascii="Arial" w:cs="Arial" w:eastAsia="Arial" w:hAnsi="Arial"/>
          <w:sz w:val="18"/>
          <w:szCs w:val="18"/>
          <w:color w:val="auto"/>
        </w:rPr>
      </w:pPr>
    </w:p>
    <w:p>
      <w:pPr>
        <w:ind w:left="764" w:hanging="341"/>
        <w:spacing w:after="0"/>
        <w:tabs>
          <w:tab w:leader="none" w:pos="76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 Restricted Payments (including loans or advances) in an aggregate amount outstanding at the time made not to exceed the greater of</w:t>
      </w:r>
    </w:p>
    <w:p>
      <w:pPr>
        <w:spacing w:after="0" w:line="46" w:lineRule="exact"/>
        <w:rPr>
          <w:rFonts w:ascii="Arial" w:cs="Arial" w:eastAsia="Arial" w:hAnsi="Arial"/>
          <w:sz w:val="16"/>
          <w:szCs w:val="16"/>
          <w:color w:val="auto"/>
        </w:rPr>
      </w:pPr>
    </w:p>
    <w:p>
      <w:pPr>
        <w:ind w:left="4" w:right="40" w:hanging="4"/>
        <w:spacing w:after="0" w:line="253" w:lineRule="auto"/>
        <w:tabs>
          <w:tab w:leader="none" w:pos="2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$175.0 million and (b) 35.0% of LTM EBITDA at such time, and (ii) any Restricted Payments, so long as, (a) immediately after giving pro forma effect to the payment of any such Restricted Payment and the incurrence of any Indebtedness the net proceeds of which are used to make such Restricted Payment, the Consolidated Total Net Leverage Ratio shall be no greater than 2.10 to 1.00 and (b) no Event of Default described in clauses (1), (2), (7) or (8)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shall have occurred or be continuing;</w:t>
      </w:r>
    </w:p>
    <w:p>
      <w:pPr>
        <w:spacing w:after="0" w:line="84" w:lineRule="exact"/>
        <w:rPr>
          <w:rFonts w:ascii="Arial" w:cs="Arial" w:eastAsia="Arial" w:hAnsi="Arial"/>
          <w:sz w:val="18"/>
          <w:szCs w:val="18"/>
          <w:color w:val="auto"/>
        </w:rPr>
      </w:pPr>
    </w:p>
    <w:p>
      <w:pPr>
        <w:ind w:left="764" w:hanging="341"/>
        <w:spacing w:after="0"/>
        <w:tabs>
          <w:tab w:leader="none" w:pos="76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mandatory redemptions of Disqualified Stock issued as a Restricted Payment or as consideration for a Permitted Investment;</w:t>
      </w:r>
    </w:p>
    <w:p>
      <w:pPr>
        <w:spacing w:after="0" w:line="128" w:lineRule="exact"/>
        <w:rPr>
          <w:rFonts w:ascii="Arial" w:cs="Arial" w:eastAsia="Arial" w:hAnsi="Arial"/>
          <w:sz w:val="17"/>
          <w:szCs w:val="17"/>
          <w:color w:val="auto"/>
        </w:rPr>
      </w:pPr>
    </w:p>
    <w:p>
      <w:pPr>
        <w:ind w:left="4" w:firstLine="419"/>
        <w:spacing w:after="0" w:line="290" w:lineRule="auto"/>
        <w:tabs>
          <w:tab w:leader="none" w:pos="77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(i) the redemption, defeasance, repurchase, exchange or other acquisition or retirement of Subordinated Indebtedness of the Issuer or any Guarantor or the making of any Restricted Investment in an aggregate amount outstanding at the time made, taken together with all other redemptions, defeasances, repurchases, exchanges or other acquisitions or retirements of Subordinated Indebtedness or Restricted Investments made pursuant to this clause, not to exceed the greater of (a) $200.0 million and (b) 40.0% of LTM EBITDA at such time, and (ii), the redemption, defeasance, repurchase, exchange or other acquisition or retirement of Subordinated Indebtedness or Restricted Investments of the Issuer or any Guarantor, so long as, (a) immediately after giving pro forma effect to the payment of any such Restricted Payment and the incurrence of any Indebtedness the net proceeds of which are used to make such Restricted Payment, the Consolidated Total Net Leverage Ratio shall be no greater than 2.60 to 1.00 and (b) no Event of Default described in clauses (1), (2), (7) or (8)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shall have occurred or be continuing;</w:t>
      </w:r>
    </w:p>
    <w:p>
      <w:pPr>
        <w:spacing w:after="0" w:line="57" w:lineRule="exact"/>
        <w:rPr>
          <w:rFonts w:ascii="Arial" w:cs="Arial" w:eastAsia="Arial" w:hAnsi="Arial"/>
          <w:sz w:val="16"/>
          <w:szCs w:val="16"/>
          <w:color w:val="auto"/>
        </w:rPr>
      </w:pPr>
    </w:p>
    <w:p>
      <w:pPr>
        <w:jc w:val="both"/>
        <w:ind w:left="4" w:right="60" w:firstLine="419"/>
        <w:spacing w:after="0" w:line="286" w:lineRule="auto"/>
        <w:tabs>
          <w:tab w:leader="none" w:pos="77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hereof;</w:t>
      </w:r>
    </w:p>
    <w:p>
      <w:pPr>
        <w:spacing w:after="0" w:line="57" w:lineRule="exact"/>
        <w:rPr>
          <w:rFonts w:ascii="Arial" w:cs="Arial" w:eastAsia="Arial" w:hAnsi="Arial"/>
          <w:sz w:val="17"/>
          <w:szCs w:val="17"/>
          <w:color w:val="auto"/>
        </w:rPr>
      </w:pPr>
    </w:p>
    <w:p>
      <w:pPr>
        <w:ind w:left="764" w:hanging="341"/>
        <w:spacing w:after="0"/>
        <w:tabs>
          <w:tab w:leader="none" w:pos="76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Restricted Payments to a Parent Entity to finance Investments that would otherwise be permitted to be made pursuant to this</w:t>
      </w:r>
    </w:p>
    <w:p>
      <w:pPr>
        <w:spacing w:after="0" w:line="35" w:lineRule="exact"/>
        <w:rPr>
          <w:sz w:val="20"/>
          <w:szCs w:val="20"/>
          <w:color w:val="auto"/>
        </w:rPr>
      </w:pPr>
    </w:p>
    <w:p>
      <w:pPr>
        <w:ind w:left="4" w:right="300"/>
        <w:spacing w:after="0" w:line="260" w:lineRule="auto"/>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if made by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Restricted Payment shall be made substantially concurrently with the closing of such Investment (or anytime following the closing of such Investment with respect to earn-out or</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64"/>
          </w:cols>
          <w:pgMar w:left="876" w:top="274" w:right="459" w:bottom="1440" w:gutter="0" w:footer="0" w:header="0"/>
        </w:sectPr>
      </w:pPr>
    </w:p>
    <w:bookmarkStart w:id="113" w:name="page114"/>
    <w:bookmarkEnd w:id="113"/>
    <w:p>
      <w:pPr>
        <w:ind w:left="440"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similar payments), (b) such Parent Entity shall, promptly following the closing thereof, cause (1) all property acquired (whether assets or Capital Stock) to be contributed to the capital of the Issuer or one of its Restricted Subsidiaries or (2) the merger or amalgamation of the Person formed or acquired by or merged or consolidated with the Issuer or one of its Restricted Subsidiaries (to the extent not prohibited by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to consummate such Investment, (c)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(d) any property received by the Issuer shall not increase amounts available for Restricted Payments pursuant to the Available Amount Builder Basket, except to the extent the fair market value at the time of such receipt of such property exceeds the Restricted Payment made pursuant to this clause and (e) such Investment shall be deemed to be made by the Issuer or such Restricted Subsidiary pursuant to another provision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3.03(b)(12)</w:t>
      </w:r>
      <w:r>
        <w:rPr>
          <w:rFonts w:ascii="Arial" w:cs="Arial" w:eastAsia="Arial" w:hAnsi="Arial"/>
          <w:sz w:val="16"/>
          <w:szCs w:val="16"/>
          <w:color w:val="auto"/>
        </w:rPr>
        <w:t xml:space="preserve"> hereof) or pursuant to the definition of “Permitted Investments” (other than pursuant to clause (12) thereof);</w:t>
      </w:r>
    </w:p>
    <w:p>
      <w:pPr>
        <w:spacing w:after="0" w:line="60" w:lineRule="exact"/>
        <w:rPr>
          <w:sz w:val="20"/>
          <w:szCs w:val="20"/>
          <w:color w:val="auto"/>
        </w:rPr>
      </w:pPr>
    </w:p>
    <w:p>
      <w:pPr>
        <w:ind w:left="440" w:right="180" w:firstLine="419"/>
        <w:spacing w:after="0" w:line="277" w:lineRule="auto"/>
        <w:tabs>
          <w:tab w:leader="none" w:pos="120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or other Restricted Payments in an aggregate amount not to exceed an amount equal to the sum of Total Leverage Excess Proceeds and Declined Excess Proceeds;</w:t>
      </w:r>
    </w:p>
    <w:p>
      <w:pPr>
        <w:spacing w:after="0" w:line="62" w:lineRule="exact"/>
        <w:rPr>
          <w:rFonts w:ascii="Arial" w:cs="Arial" w:eastAsia="Arial" w:hAnsi="Arial"/>
          <w:sz w:val="18"/>
          <w:szCs w:val="18"/>
          <w:color w:val="auto"/>
        </w:rPr>
      </w:pPr>
    </w:p>
    <w:p>
      <w:pPr>
        <w:ind w:left="440" w:right="880" w:firstLine="419"/>
        <w:spacing w:after="0" w:line="277" w:lineRule="auto"/>
        <w:tabs>
          <w:tab w:leader="none" w:pos="120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Restricted Payment made in connection with a Permitted Intercompany Activity, Permitted Tax Restructuring or related transactions; and</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Restricted Payment payable solely in the Capital Stock of any Parent Entity.</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in the event that a Restricted Payment or Investment (or portion thereof) meets the criteria of more than one of the categories of Permitted Payments described in the clauses above, or is permitted pursuant to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and/or one or more of the clauses contained in the definition of “Permitted Investments,” the Issuer will be entitled to divide or classify (or later divide, classify or reclassify in whole or in part in its sole discretion) such Restricted Payment or Investment (or portion thereof) in any manner that complies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including as an Investment pursuant to one or more of the clauses contained in the definition of “Permitted Investments;”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Restricted Payment permitted pursuant to any clause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(17)(ii)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as applicable) shall automatically cease to be deemed permitted or outstanding for purposes of such clause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as applicable, and shall automatically be deemed permitted for the purposes of </w:t>
      </w:r>
      <w:r>
        <w:rPr>
          <w:rFonts w:ascii="Arial" w:cs="Arial" w:eastAsia="Arial" w:hAnsi="Arial"/>
          <w:sz w:val="17"/>
          <w:szCs w:val="17"/>
          <w:u w:val="single" w:color="auto"/>
          <w:color w:val="auto"/>
        </w:rPr>
        <w:t>clause (17)(ii)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as applicable, from and after the first date on which the Issuer or its Restricted Subsidiaries could have incurred such Restricted Payment under clause </w:t>
      </w:r>
      <w:r>
        <w:rPr>
          <w:rFonts w:ascii="Arial" w:cs="Arial" w:eastAsia="Arial" w:hAnsi="Arial"/>
          <w:sz w:val="17"/>
          <w:szCs w:val="17"/>
          <w:u w:val="single" w:color="auto"/>
          <w:color w:val="auto"/>
        </w:rPr>
        <w:t>(17)(ii)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(19)(ii)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as applicable, without reliance on such other clause of </w:t>
      </w:r>
      <w:r>
        <w:rPr>
          <w:rFonts w:ascii="Arial" w:cs="Arial" w:eastAsia="Arial" w:hAnsi="Arial"/>
          <w:sz w:val="17"/>
          <w:szCs w:val="17"/>
          <w:u w:val="single" w:color="auto"/>
          <w:color w:val="auto"/>
        </w:rPr>
        <w:t>Section 3.03(b)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any Investment permitted pursuant to one of the clauses of the definition of “Permitted Investments” (other than </w:t>
      </w:r>
      <w:r>
        <w:rPr>
          <w:rFonts w:ascii="Arial" w:cs="Arial" w:eastAsia="Arial" w:hAnsi="Arial"/>
          <w:sz w:val="17"/>
          <w:szCs w:val="17"/>
          <w:u w:val="single" w:color="auto"/>
          <w:color w:val="auto"/>
        </w:rPr>
        <w:t>clause (34)(y)</w:t>
      </w:r>
      <w:r>
        <w:rPr>
          <w:rFonts w:ascii="Arial" w:cs="Arial" w:eastAsia="Arial" w:hAnsi="Arial"/>
          <w:sz w:val="17"/>
          <w:szCs w:val="17"/>
          <w:color w:val="auto"/>
        </w:rPr>
        <w:t xml:space="preserve"> thereof) shall automatically cease to be deemed permitted or outstanding for purposes of such clause of the definition of “Permitted Investments” and shall automatically be deemed permitted for the purposes of </w:t>
      </w:r>
      <w:r>
        <w:rPr>
          <w:rFonts w:ascii="Arial" w:cs="Arial" w:eastAsia="Arial" w:hAnsi="Arial"/>
          <w:sz w:val="17"/>
          <w:szCs w:val="17"/>
          <w:u w:val="single" w:color="auto"/>
          <w:color w:val="auto"/>
        </w:rPr>
        <w:t>clause (34)(y)</w:t>
      </w:r>
      <w:r>
        <w:rPr>
          <w:rFonts w:ascii="Arial" w:cs="Arial" w:eastAsia="Arial" w:hAnsi="Arial"/>
          <w:sz w:val="17"/>
          <w:szCs w:val="17"/>
          <w:color w:val="auto"/>
        </w:rPr>
        <w:t xml:space="preserve"> thereof from and after the first date on which the Issuer or its Restricted Subsidiaries could have incurred such Investment under </w:t>
      </w:r>
      <w:r>
        <w:rPr>
          <w:rFonts w:ascii="Arial" w:cs="Arial" w:eastAsia="Arial" w:hAnsi="Arial"/>
          <w:sz w:val="17"/>
          <w:szCs w:val="17"/>
          <w:u w:val="single" w:color="auto"/>
          <w:color w:val="auto"/>
        </w:rPr>
        <w:t>clause (34)(y)</w:t>
      </w:r>
      <w:r>
        <w:rPr>
          <w:rFonts w:ascii="Arial" w:cs="Arial" w:eastAsia="Arial" w:hAnsi="Arial"/>
          <w:sz w:val="17"/>
          <w:szCs w:val="17"/>
          <w:color w:val="auto"/>
        </w:rPr>
        <w:t xml:space="preserve"> of the definition of “Permitted Investments” without reliance on such other clause of such definition.</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amount of all Restricted Payments (other than cash) shall be the fair market value on the date of such Restricted Payment of the asset(s) or securities proposed to be paid, transferred or issued by the Issuer or such Restricted Subsidiary, as applicable, pursuant to such Restricted Payment. The fair market value of any cash Restricted Payment shall be its face amount, and the fair market value of any non-cash Restricted Payment, property or assets other than cash shall be determined conclusively by the Issuer acting in good faith.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14" w:name="page115"/>
    <w:bookmarkEnd w:id="11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commitment, definitive agreement or similar event relating to an Investment, the Issuer or the applicable Restricted Subsidiary may designate such Investment as having occurred on the date of the commitment, definitive agreement or similar event relating thereto (such date, the “</w:t>
      </w:r>
      <w:r>
        <w:rPr>
          <w:rFonts w:ascii="Arial" w:cs="Arial" w:eastAsia="Arial" w:hAnsi="Arial"/>
          <w:sz w:val="17"/>
          <w:szCs w:val="17"/>
          <w:u w:val="single" w:color="auto"/>
          <w:color w:val="auto"/>
        </w:rPr>
        <w:t>Election Date</w:t>
      </w:r>
      <w:r>
        <w:rPr>
          <w:rFonts w:ascii="Arial" w:cs="Arial" w:eastAsia="Arial" w:hAnsi="Arial"/>
          <w:sz w:val="17"/>
          <w:szCs w:val="17"/>
          <w:color w:val="auto"/>
        </w:rPr>
        <w:t xml:space="preserve">”) if, after giving pro forma effect to such Investment and all related transactions in connection therewith and any related pro forma adjustments, the Issuer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the application of </w:t>
      </w:r>
      <w:r>
        <w:rPr>
          <w:rFonts w:ascii="Arial" w:cs="Arial" w:eastAsia="Arial" w:hAnsi="Arial"/>
          <w:sz w:val="17"/>
          <w:szCs w:val="17"/>
          <w:u w:val="single" w:color="auto"/>
          <w:color w:val="auto"/>
        </w:rPr>
        <w:t>Section 1.04(e)</w:t>
      </w:r>
      <w:r>
        <w:rPr>
          <w:rFonts w:ascii="Arial" w:cs="Arial" w:eastAsia="Arial" w:hAnsi="Arial"/>
          <w:sz w:val="17"/>
          <w:szCs w:val="17"/>
          <w:color w:val="auto"/>
        </w:rPr>
        <w:t>, to the extent applicable.</w:t>
      </w:r>
    </w:p>
    <w:p>
      <w:pPr>
        <w:spacing w:after="0" w:line="18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If the Issuer or a Restricted Subsidiary makes a Restricted Payment which at the time of the making of such Restricted Payment would in the good faith determination of the Issuer be permitted under the provisions of this Indenture, such Restricted Payment shall be deemed to have been made in compliance with this Indenture notwithstanding any subsequent adjustments made in good faith to the Issuer’s financial statements affecting Consolidated Net Income or Consolidated EBITDA of the Issuer for any period.</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not restrict the making of, or dividends or other distributions in amounts sufficient to make, any “AHYDO catch-up payment” with respect to any Indebtedness of any Parent Entity, the Issuer or any of its Restricted Subsidiaries permitted to be incurred under this Indenture.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Limitation on Restrictions on Distributions from Guarantors</w:t>
      </w:r>
      <w:r>
        <w:rPr>
          <w:rFonts w:ascii="Arial" w:cs="Arial" w:eastAsia="Arial" w:hAnsi="Arial"/>
          <w:sz w:val="18"/>
          <w:szCs w:val="18"/>
          <w:color w:val="auto"/>
        </w:rPr>
        <w:t>.</w:t>
      </w:r>
    </w:p>
    <w:p>
      <w:pPr>
        <w:spacing w:after="0" w:line="117" w:lineRule="exact"/>
        <w:rPr>
          <w:sz w:val="20"/>
          <w:szCs w:val="20"/>
          <w:color w:val="auto"/>
        </w:rPr>
      </w:pPr>
    </w:p>
    <w:p>
      <w:pPr>
        <w:ind w:left="220" w:right="200" w:firstLine="1400"/>
        <w:spacing w:after="0" w:line="273" w:lineRule="auto"/>
        <w:tabs>
          <w:tab w:leader="none" w:pos="186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From and after the Spin-Off Date, the Issuer shall not, and shall not permit any Guarantor to, create or otherwise cause or permit to exist or become effective any consensual encumbrance or consensual restriction on the ability of any Guarantor to pay dividends or make any other distributions on its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Issuer or any Restricted Subsidiary to other Indebtedness incurred by the Issuer or any Restricted Subsidiary shall not be deemed to constitute such an encumbrance or restriction.</w:t>
      </w:r>
    </w:p>
    <w:p>
      <w:pPr>
        <w:spacing w:after="0" w:line="69" w:lineRule="exact"/>
        <w:rPr>
          <w:rFonts w:ascii="Arial" w:cs="Arial" w:eastAsia="Arial" w:hAnsi="Arial"/>
          <w:sz w:val="17"/>
          <w:szCs w:val="17"/>
          <w:color w:val="auto"/>
        </w:rPr>
      </w:pPr>
    </w:p>
    <w:p>
      <w:pPr>
        <w:ind w:left="1880" w:hanging="260"/>
        <w:spacing w:after="0"/>
        <w:tabs>
          <w:tab w:leader="none" w:pos="18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shall not prohibit:</w:t>
      </w:r>
    </w:p>
    <w:p>
      <w:pPr>
        <w:spacing w:after="0" w:line="117"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encumbrance or restriction pursuant to (x) the Credit Agreement or (y) any Credit Facility or any other agreement or instrument, in each case, in effect at or entered into on the Spin-Off Date;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encumbrance or restriction pursuant to the Note Documents;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encumbrance or restriction pursuant to applicable law, rule, regulation or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15" w:name="page116"/>
    <w:bookmarkEnd w:id="115"/>
    <w:p>
      <w:pPr>
        <w:ind w:firstLine="419"/>
        <w:spacing w:after="0" w:line="269" w:lineRule="auto"/>
        <w:tabs>
          <w:tab w:leader="none" w:pos="678"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encumbrance or restriction pursuant to an agreement or instrument of a Person or relating to any Capital Stock or Indebtedness of a Person, entered into on or before the date on which such Person was acquired by or merged, consolidated or otherwise combined with or into the Issuer or any Restricted Subsidiary, or was designated as a Restricted Subsidiary or on which such agreement or instrument is assumed by the Issuer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Issuer or was merged, consolidated or otherwise combined with or into the Issuer or any Restricted Subsidiary or entered into in contemplation of or in connection with such transaction) and outstanding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this clause (4), if another Person is the Successor Company, any Subsidiary of such Person or agreement or instrument of such Person or any such Subsidiary shall be deemed acquired or assumed by the Issuer or any Restricted Subsidiary when such Person becomes the Successor Company;</w:t>
      </w:r>
    </w:p>
    <w:p>
      <w:pPr>
        <w:spacing w:after="0" w:line="77" w:lineRule="exact"/>
        <w:rPr>
          <w:rFonts w:ascii="Arial" w:cs="Arial" w:eastAsia="Arial" w:hAnsi="Arial"/>
          <w:sz w:val="17"/>
          <w:szCs w:val="17"/>
          <w:color w:val="auto"/>
        </w:rPr>
      </w:pPr>
    </w:p>
    <w:p>
      <w:pPr>
        <w:ind w:left="680" w:hanging="261"/>
        <w:spacing w:after="0"/>
        <w:tabs>
          <w:tab w:leader="none" w:pos="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encumbrance or restriction:</w:t>
      </w:r>
    </w:p>
    <w:p>
      <w:pPr>
        <w:spacing w:after="0" w:line="117" w:lineRule="exact"/>
        <w:rPr>
          <w:rFonts w:ascii="Arial" w:cs="Arial" w:eastAsia="Arial" w:hAnsi="Arial"/>
          <w:sz w:val="18"/>
          <w:szCs w:val="18"/>
          <w:color w:val="auto"/>
        </w:rPr>
      </w:pPr>
    </w:p>
    <w:p>
      <w:pPr>
        <w:ind w:left="540" w:right="40" w:firstLine="408"/>
        <w:spacing w:after="0" w:line="308" w:lineRule="auto"/>
        <w:tabs>
          <w:tab w:leader="none" w:pos="1156"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38" w:lineRule="exact"/>
        <w:rPr>
          <w:rFonts w:ascii="Arial" w:cs="Arial" w:eastAsia="Arial" w:hAnsi="Arial"/>
          <w:sz w:val="17"/>
          <w:szCs w:val="17"/>
          <w:color w:val="auto"/>
        </w:rPr>
      </w:pPr>
    </w:p>
    <w:p>
      <w:pPr>
        <w:ind w:left="540" w:right="40" w:firstLine="408"/>
        <w:spacing w:after="0" w:line="311" w:lineRule="auto"/>
        <w:tabs>
          <w:tab w:leader="none" w:pos="120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contained in mortgages, pledges, charges or other security agreements permitted under this Indenture or securing Indebtedness of the Issuer or a Restricted Subsidiary permitted under this Indenture to the extent such encumbrances or restrictions restrict the transfer or encumbrance of the property or assets subject to such mortgages, pledges, charges or other security agreements;</w:t>
      </w:r>
    </w:p>
    <w:p>
      <w:pPr>
        <w:spacing w:after="0" w:line="40" w:lineRule="exact"/>
        <w:rPr>
          <w:rFonts w:ascii="Arial" w:cs="Arial" w:eastAsia="Arial" w:hAnsi="Arial"/>
          <w:sz w:val="16"/>
          <w:szCs w:val="16"/>
          <w:color w:val="auto"/>
        </w:rPr>
      </w:pPr>
    </w:p>
    <w:p>
      <w:pPr>
        <w:ind w:left="540" w:right="60" w:firstLine="408"/>
        <w:spacing w:after="0" w:line="275" w:lineRule="auto"/>
        <w:tabs>
          <w:tab w:leader="none" w:pos="1256"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contained in any trading, netting, operating, construction, service, supply, purchase, sale or other agreement to which the Issuer or any of its Restricted Subsidiaries is a party entered into in the ordinary course of business or consistent with past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prohibits the encumbrance of solely the property or assets of the Issuer or such Restricted Subsidiary that are subject to such agreement, the payment rights arising thereunder or the proceeds thereof and does not extend to any other asset or property of the Issuer or such Restricted Subsidiary or the assets or property of another Restricted Subsidiary; or</w:t>
      </w:r>
    </w:p>
    <w:p>
      <w:pPr>
        <w:spacing w:after="0" w:line="68" w:lineRule="exact"/>
        <w:rPr>
          <w:rFonts w:ascii="Arial" w:cs="Arial" w:eastAsia="Arial" w:hAnsi="Arial"/>
          <w:sz w:val="17"/>
          <w:szCs w:val="17"/>
          <w:color w:val="auto"/>
        </w:rPr>
      </w:pPr>
    </w:p>
    <w:p>
      <w:pPr>
        <w:ind w:left="540" w:right="820" w:firstLine="408"/>
        <w:spacing w:after="0" w:line="277" w:lineRule="auto"/>
        <w:tabs>
          <w:tab w:leader="none" w:pos="124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pursuant to customary provisions restricting dispositions of real property interests set forth in any reciprocal easement agreements of the Issuer or any Restricted Subsidiary;</w:t>
      </w:r>
    </w:p>
    <w:p>
      <w:pPr>
        <w:spacing w:after="0" w:line="62" w:lineRule="exact"/>
        <w:rPr>
          <w:rFonts w:ascii="Arial" w:cs="Arial" w:eastAsia="Arial" w:hAnsi="Arial"/>
          <w:sz w:val="18"/>
          <w:szCs w:val="18"/>
          <w:color w:val="auto"/>
        </w:rPr>
      </w:pPr>
    </w:p>
    <w:p>
      <w:pPr>
        <w:ind w:right="660" w:firstLine="419"/>
        <w:spacing w:after="0" w:line="277" w:lineRule="auto"/>
        <w:tabs>
          <w:tab w:leader="none" w:pos="6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encumbrance or restriction pursuant to Purchase Money Obligations and Capitalized Lease Obligations permitted under this Indenture, in each case, that impose encumbrances or restrictions on the property so acquired;</w:t>
      </w:r>
    </w:p>
    <w:p>
      <w:pPr>
        <w:spacing w:after="0" w:line="62"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encumbrance or restriction imposed pursuant to an agreement entered into for the direct or indirect sale or disposition to a Person of all or substantially all the Capital Stock or assets of the Issuer or any Restricted Subsidiary (or the property or assets that are subject to such restriction) pending the closing of such sale or disposition;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560"/>
          </w:cols>
          <w:pgMar w:left="880" w:top="274" w:right="459" w:bottom="1440" w:gutter="0" w:footer="0" w:header="0"/>
        </w:sectPr>
      </w:pPr>
    </w:p>
    <w:bookmarkStart w:id="116" w:name="page117"/>
    <w:bookmarkEnd w:id="116"/>
    <w:p>
      <w:pPr>
        <w:ind w:left="440" w:right="80" w:firstLine="419"/>
        <w:spacing w:after="0" w:line="277" w:lineRule="auto"/>
        <w:tabs>
          <w:tab w:leader="none" w:pos="11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customary provisions in leases, licenses, equityholder agreements, joint venture agreements, organizational documents and other similar agreements and instruments;</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encumbrances or restrictions arising or existing by reason of applicable law or any applicable rule, regulation or order, or required by any regulatory authority;</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2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encumbrance or restriction on cash or other deposits or net worth imposed by customers under agreements entered into in the ordinary course of business or consistent with past practice;</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encumbrance or restriction pursuant to Hedging Obligations;</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other Indebtedness, Disqualified Stock or Preferred Stock of Non-Guarantors permitted to be incurred or issued subsequent to the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Spin-Off Date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that impose restrictions solely on the Non-Guarantors party thereto and/or their Subsidiaries;</w:t>
      </w:r>
    </w:p>
    <w:p>
      <w:pPr>
        <w:spacing w:after="0" w:line="103" w:lineRule="exact"/>
        <w:rPr>
          <w:sz w:val="20"/>
          <w:szCs w:val="20"/>
          <w:color w:val="auto"/>
        </w:rPr>
      </w:pPr>
    </w:p>
    <w:p>
      <w:pPr>
        <w:ind w:left="440" w:right="920" w:firstLine="419"/>
        <w:spacing w:after="0" w:line="308" w:lineRule="auto"/>
        <w:tabs>
          <w:tab w:leader="none" w:pos="120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restrictions created in connection with any Qualified Securitization Financing or Receivables Facility that, in the good faith determination of the Issuer, are necessary or advisable to effect such Securitization Facility or Receivables Facility;</w:t>
      </w:r>
    </w:p>
    <w:p>
      <w:pPr>
        <w:spacing w:after="0" w:line="38" w:lineRule="exact"/>
        <w:rPr>
          <w:rFonts w:ascii="Arial" w:cs="Arial" w:eastAsia="Arial" w:hAnsi="Arial"/>
          <w:sz w:val="17"/>
          <w:szCs w:val="17"/>
          <w:color w:val="auto"/>
        </w:rPr>
      </w:pPr>
    </w:p>
    <w:p>
      <w:pPr>
        <w:ind w:left="440" w:right="100" w:firstLine="419"/>
        <w:spacing w:after="0" w:line="291" w:lineRule="auto"/>
        <w:tabs>
          <w:tab w:leader="none" w:pos="120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encumbrance or restriction arising pursuant to an agreement or instrument relating to any Indebtedness permitted to be incurred subsequent to the Spin-Off Date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if (i) the encumbrances and restrictions contained in any such agreement or instrument taken as a whole are not materially less favorable to the Holders than the encumbrances and restrictions contained in the Credit Agreement, together with the security documents associated therewith, or this Indenture as in effect on the Spin-Off Date or (ii) either (A) the Issuer determines at the time of entry into such agreement or instrument that such encumbrances or restrictions will not adversely affect, in any material respect, the Issuer’s ability to make principal or interest payments on the Notes or (B) such encumbrance or restriction applies only during the continuance of a default in respect of a payment relating to such agreement or instrument;</w:t>
      </w:r>
    </w:p>
    <w:p>
      <w:pPr>
        <w:spacing w:after="0" w:line="58" w:lineRule="exact"/>
        <w:rPr>
          <w:rFonts w:ascii="Arial" w:cs="Arial" w:eastAsia="Arial" w:hAnsi="Arial"/>
          <w:sz w:val="16"/>
          <w:szCs w:val="16"/>
          <w:color w:val="auto"/>
        </w:rPr>
      </w:pPr>
    </w:p>
    <w:p>
      <w:pPr>
        <w:ind w:left="1200" w:hanging="341"/>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encumbrance or restriction existing by reason of any lien permitted under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encumbrance or restriction arising pursuant to the Transaction Documents; or</w:t>
      </w:r>
    </w:p>
    <w:p>
      <w:pPr>
        <w:spacing w:after="0" w:line="117" w:lineRule="exact"/>
        <w:rPr>
          <w:rFonts w:ascii="Arial" w:cs="Arial" w:eastAsia="Arial" w:hAnsi="Arial"/>
          <w:sz w:val="18"/>
          <w:szCs w:val="18"/>
          <w:color w:val="auto"/>
        </w:rPr>
      </w:pPr>
    </w:p>
    <w:p>
      <w:pPr>
        <w:ind w:left="440" w:right="60" w:firstLine="419"/>
        <w:spacing w:after="0" w:line="293" w:lineRule="auto"/>
        <w:tabs>
          <w:tab w:leader="none" w:pos="120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encumbrance or restriction pursuant to an agreement or instrument effecting a refinancing of Indebtedness incurred pursuant to, or that otherwise refinances, an agreement or instrument referred to in the clauses above or this clause (17) (an “</w:t>
      </w:r>
      <w:r>
        <w:rPr>
          <w:rFonts w:ascii="Arial" w:cs="Arial" w:eastAsia="Arial" w:hAnsi="Arial"/>
          <w:sz w:val="16"/>
          <w:szCs w:val="16"/>
          <w:u w:val="single" w:color="auto"/>
          <w:color w:val="auto"/>
        </w:rPr>
        <w:t>Initial Agreement</w:t>
      </w:r>
      <w:r>
        <w:rPr>
          <w:rFonts w:ascii="Arial" w:cs="Arial" w:eastAsia="Arial" w:hAnsi="Arial"/>
          <w:sz w:val="16"/>
          <w:szCs w:val="16"/>
          <w:color w:val="auto"/>
        </w:rPr>
        <w:t xml:space="preserve">”) or contained in any amendment, supplement or other modification to an agreement referred to in the clauses above or this clause (17);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encumbrances and restrictions with respect to such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Issuer).</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Limitation on Sales of Assets and Subsidiary Stock</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 From and after the Spin-Off Date, the Issuer shall not, and shall not permit any of its Restricted Subsidiaries to, make any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Disposition unless: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117" w:name="page118"/>
    <w:bookmarkEnd w:id="117"/>
    <w:p>
      <w:pPr>
        <w:ind w:right="20" w:firstLine="419"/>
        <w:spacing w:after="0" w:line="279" w:lineRule="auto"/>
        <w:tabs>
          <w:tab w:leader="none" w:pos="678"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or such Restricted Subsidiary, as applicable,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Issuer, of the shares and assets subject to such Asset Disposition (including, for the avoidance of doubt, if such Asset Disposition is a Permitted Asset Swap);</w:t>
      </w:r>
    </w:p>
    <w:p>
      <w:pPr>
        <w:spacing w:after="0" w:line="63" w:lineRule="exact"/>
        <w:rPr>
          <w:rFonts w:ascii="Arial" w:cs="Arial" w:eastAsia="Arial" w:hAnsi="Arial"/>
          <w:sz w:val="17"/>
          <w:szCs w:val="17"/>
          <w:color w:val="auto"/>
        </w:rPr>
      </w:pPr>
    </w:p>
    <w:p>
      <w:pPr>
        <w:ind w:firstLine="419"/>
        <w:spacing w:after="0" w:line="257" w:lineRule="auto"/>
        <w:tabs>
          <w:tab w:leader="none" w:pos="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 any such Asset Disposition, or series of related Asset Dispositions (except to the extent the Asset Disposition is a Permitted Asset Swap), with a purchase price in excess of the greater of (x) $100.0 million and (y) 20.0% of LTM EBITDA, at least 75% of the consideration from such Asset Disposition, together with all other Asset Dispositions since the Spin-Off Date as to which this clause (2) applies (on a cumulative basis), received by the Issuer or such Restricted Subsidiary, as applicable, is in the form of cash or Cash Equivalents;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clause (2), the following shall be deemed to be cash:</w:t>
      </w:r>
    </w:p>
    <w:p>
      <w:pPr>
        <w:spacing w:after="0" w:line="93" w:lineRule="exact"/>
        <w:rPr>
          <w:rFonts w:ascii="Arial" w:cs="Arial" w:eastAsia="Arial" w:hAnsi="Arial"/>
          <w:sz w:val="18"/>
          <w:szCs w:val="18"/>
          <w:color w:val="auto"/>
        </w:rPr>
      </w:pPr>
    </w:p>
    <w:p>
      <w:pPr>
        <w:ind w:left="1520" w:right="80" w:hanging="533"/>
        <w:spacing w:after="0" w:line="301" w:lineRule="auto"/>
        <w:tabs>
          <w:tab w:leader="none" w:pos="15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assumption by the transferee of Indebtedness or other liabilities (including by way of relief from, or by any other Person assuming responsibility for, any such Indebtedness or other liabilities, contingent or otherwise) of the Issuer or a Restricted Subsidiary (other than Subordinated Indebtedness of the Issuer or a Guarantor) or the release of the Issuer or such Restricted Subsidiary from all liability on such Indebtedness or other liability in connection with such Asset Disposition;</w:t>
      </w:r>
    </w:p>
    <w:p>
      <w:pPr>
        <w:spacing w:after="0" w:line="62" w:lineRule="exact"/>
        <w:rPr>
          <w:rFonts w:ascii="Arial" w:cs="Arial" w:eastAsia="Arial" w:hAnsi="Arial"/>
          <w:sz w:val="16"/>
          <w:szCs w:val="16"/>
          <w:color w:val="auto"/>
        </w:rPr>
      </w:pPr>
    </w:p>
    <w:p>
      <w:pPr>
        <w:ind w:left="1520" w:right="40" w:hanging="533"/>
        <w:spacing w:after="0" w:line="259" w:lineRule="auto"/>
        <w:tabs>
          <w:tab w:leader="none" w:pos="15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securities, notes or other obligations or other property received by the Issuer or any Restricted Subsidiary from the transferee that are converted by the Issuer or such Restricted Subsidiary into cash or Cash Equivalents, or by their terms are required to be satisfied for cash and Cash Equivalents (to the extent of the cash or Cash Equivalents received), in each case, within 365 days following the closing of such Asset Disposition;</w:t>
      </w:r>
    </w:p>
    <w:p>
      <w:pPr>
        <w:spacing w:after="0" w:line="92" w:lineRule="exact"/>
        <w:rPr>
          <w:rFonts w:ascii="Arial" w:cs="Arial" w:eastAsia="Arial" w:hAnsi="Arial"/>
          <w:sz w:val="18"/>
          <w:szCs w:val="18"/>
          <w:color w:val="auto"/>
        </w:rPr>
      </w:pPr>
    </w:p>
    <w:p>
      <w:pPr>
        <w:ind w:left="1520" w:right="200" w:hanging="533"/>
        <w:spacing w:after="0" w:line="263" w:lineRule="auto"/>
        <w:tabs>
          <w:tab w:leader="none" w:pos="15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Indebtedness of any Restricted Subsidiary that is no longer a Restricted Subsidiary as a result of such Asset Disposition, to the extent that, immediately following such Asset Disposition, neither the Issuer nor any other Restricted Subsidiary guarantees the payment of such Indebtedness;</w:t>
      </w:r>
    </w:p>
    <w:p>
      <w:pPr>
        <w:spacing w:after="0" w:line="89" w:lineRule="exact"/>
        <w:rPr>
          <w:rFonts w:ascii="Arial" w:cs="Arial" w:eastAsia="Arial" w:hAnsi="Arial"/>
          <w:sz w:val="18"/>
          <w:szCs w:val="18"/>
          <w:color w:val="auto"/>
        </w:rPr>
      </w:pPr>
    </w:p>
    <w:p>
      <w:pPr>
        <w:ind w:left="1520" w:right="320" w:hanging="533"/>
        <w:spacing w:after="0" w:line="277" w:lineRule="auto"/>
        <w:tabs>
          <w:tab w:leader="none" w:pos="15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consideration consisting of Indebtedness of the Issuer (other than Subordinated Indebtedness) received after the Spin-Off Date from Persons who are not the Issuer or any Restricted Subsidiary; and</w:t>
      </w:r>
    </w:p>
    <w:p>
      <w:pPr>
        <w:spacing w:after="0" w:line="75" w:lineRule="exact"/>
        <w:rPr>
          <w:rFonts w:ascii="Arial" w:cs="Arial" w:eastAsia="Arial" w:hAnsi="Arial"/>
          <w:sz w:val="18"/>
          <w:szCs w:val="18"/>
          <w:color w:val="auto"/>
        </w:rPr>
      </w:pPr>
    </w:p>
    <w:p>
      <w:pPr>
        <w:ind w:left="1520" w:hanging="533"/>
        <w:spacing w:after="0" w:line="257" w:lineRule="auto"/>
        <w:tabs>
          <w:tab w:leader="none" w:pos="15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Issuer or any Restricted Subsidiary in such Asset Dispositions having an aggregate fair market value, taken together with all other Designated Non-Cash Consideration received pursuant to this covenant that is at that time outstanding, not to exceed the greater of (x) $150.0 million and (y) 30.0% of LTM EBITDA, with the fair market value of each item of Designated Non-Cash Consideration being measured at the time received and without giving effect to subsequent changes in value; and</w:t>
      </w:r>
    </w:p>
    <w:p>
      <w:pPr>
        <w:spacing w:after="0" w:line="79" w:lineRule="exact"/>
        <w:rPr>
          <w:rFonts w:ascii="Arial" w:cs="Arial" w:eastAsia="Arial" w:hAnsi="Arial"/>
          <w:sz w:val="18"/>
          <w:szCs w:val="18"/>
          <w:color w:val="auto"/>
        </w:rPr>
      </w:pPr>
    </w:p>
    <w:p>
      <w:pPr>
        <w:jc w:val="both"/>
        <w:ind w:right="80" w:firstLine="419"/>
        <w:spacing w:after="0" w:line="259" w:lineRule="auto"/>
        <w:tabs>
          <w:tab w:leader="none" w:pos="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within 540 days from the later of (A) the date of such Asset Disposition and (B) the receipt of the Net Available Cash from such Asset Disposition (as may be extended by an Acceptable Commitment as set forth below, the “</w:t>
      </w:r>
      <w:r>
        <w:rPr>
          <w:rFonts w:ascii="Arial" w:cs="Arial" w:eastAsia="Arial" w:hAnsi="Arial"/>
          <w:sz w:val="18"/>
          <w:szCs w:val="18"/>
          <w:u w:val="single" w:color="auto"/>
          <w:color w:val="auto"/>
        </w:rPr>
        <w:t>Proceeds Application Period</w:t>
      </w:r>
      <w:r>
        <w:rPr>
          <w:rFonts w:ascii="Arial" w:cs="Arial" w:eastAsia="Arial" w:hAnsi="Arial"/>
          <w:sz w:val="18"/>
          <w:szCs w:val="18"/>
          <w:color w:val="auto"/>
        </w:rPr>
        <w:t>”), an amount equal to the Applicable Percentage of such Net Available Cash (the “</w:t>
      </w:r>
      <w:r>
        <w:rPr>
          <w:rFonts w:ascii="Arial" w:cs="Arial" w:eastAsia="Arial" w:hAnsi="Arial"/>
          <w:sz w:val="18"/>
          <w:szCs w:val="18"/>
          <w:u w:val="single" w:color="auto"/>
          <w:color w:val="auto"/>
        </w:rPr>
        <w:t>Applicable Proceeds</w:t>
      </w:r>
      <w:r>
        <w:rPr>
          <w:rFonts w:ascii="Arial" w:cs="Arial" w:eastAsia="Arial" w:hAnsi="Arial"/>
          <w:sz w:val="18"/>
          <w:szCs w:val="18"/>
          <w:color w:val="auto"/>
        </w:rPr>
        <w:t>”) is applied, to the extent the Issuer or any Restricted Subsidiary, as applicable, elects:</w:t>
      </w: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560"/>
          </w:cols>
          <w:pgMar w:left="880" w:top="274" w:right="459" w:bottom="1440" w:gutter="0" w:footer="0" w:header="0"/>
        </w:sectPr>
      </w:pPr>
    </w:p>
    <w:bookmarkStart w:id="118" w:name="page119"/>
    <w:bookmarkEnd w:id="118"/>
    <w:p>
      <w:pPr>
        <w:ind w:left="-20" w:firstLine="408"/>
        <w:spacing w:after="0" w:line="284" w:lineRule="auto"/>
        <w:tabs>
          <w:tab w:leader="none" w:pos="596"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to reduce, prepay, repay or purchase any Obligations under the Notes (at a price equal to or greater than the aggregate principal amount of notes purchased) or any other First Lien Obligations (and, in the case of revolving obligations, to correspondingly permanently reduce commitments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(x) to the extent that the terms of such First Lien Obligations (other than Additional Notes) require Applicable Proceeds to repay Obligations outstanding under such First Lien Obligations prior to the repayment of other First Lien Obligations, the Issuer or such Restricted Subsidiary shall be entitled to repay such Obligations prior to repaying Obligations under the Notes and (y) except as provided in the foregoing subclause (x), to the extent the Issuer or such Restricted Subsidiary so reduces any other First Lien Obligations, the Issuer will either (1) reduce Obligations under the Notes on a pro rata basis by, at its option, (A) redeeming notes as described under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or (B) purchasing notes through open market purchases at a price equal to or greater than the aggregate principal amount of notes purchased, or (2) make an offer (in accordance with the procedures set forth below for an Asset Disposition Offer) to all Holders to purchase their notes on a ratable basis with such other First Lien Obligations for no less than 100% of the principal amount thereof, plus the amount of accrued but unpaid interest, if any, thereon; (b) solely to the extent such Applicable Proceeds are not derived from an Asset Disposition of Collateral, to reduce any other Pari Passu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Issuer or any Restricted Subsidiary shall so repay any Pari Passu Indebtedness other than the Notes, the Issuer will either (1) reduce Obligations under the Notes on a pro rata basis by, at its option, (A) redeeming notes as described under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or (B) purchasing notes through open market purchases at a price equal to or greater than the aggregate principal amount of notes purchased, or (2) make an offer (in accordance with the procedures set forth below for an Asset Disposition Offer) to all Holders to purchase their notes on a ratable basis with such other Pari Passu Indebtedness for no less than 100% of the principal amount thereof, plus the amount of accrued but unpaid interest, if any, thereon; or (c) to reduce, prepay, repay or purchase any Indebtedness of a Non-Guarantor (in each case, other than Indebtedness owed to the Issuer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Issuer or any Restricted Subsidiary makes an offer to reduce, prepay, repay or purchase any obligations pursuant to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at a price no less than 100% of the principal amount thereof, to the extent the relevant creditors do not accept such offering, the Issuer and the Restricted Subsidiaries will be deemed to have applied an amount of the Applicable Proceeds equal to such amount not so accepted in such offer, and such amount shall not increase the amount of Excess Proceeds (and such amount shall instead constitute Declined Excess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connection with any reduction, prepayment, repayment or purchase of Indebtedness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the Issuer or such Restricted Subsidiary will retire such Indebtedness and will cause the related commitment (other than obligations in respect of any asset-based credit facility to the extent the assets sold or otherwise disposed of in connection with such Asset Disposition constituted “borrowing base assets”) to be reduced in an amount equal to the principal amount so reduced, prepaid, repaid or purchased;</w:t>
      </w:r>
    </w:p>
    <w:p>
      <w:pPr>
        <w:spacing w:after="0" w:line="61" w:lineRule="exact"/>
        <w:rPr>
          <w:rFonts w:ascii="Arial" w:cs="Arial" w:eastAsia="Arial" w:hAnsi="Arial"/>
          <w:sz w:val="16"/>
          <w:szCs w:val="16"/>
          <w:color w:val="auto"/>
        </w:rPr>
      </w:pPr>
    </w:p>
    <w:p>
      <w:pPr>
        <w:jc w:val="both"/>
        <w:ind w:left="-20" w:right="40" w:firstLine="408"/>
        <w:spacing w:after="0" w:line="263" w:lineRule="auto"/>
        <w:tabs>
          <w:tab w:leader="none" w:pos="6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to invest (including capital expenditures) in or commit to invest in Additional Assets (including by means of an investment in Additional Assets by a Restricted Subsidiary); or (b) to invest (including capital expenditures) in any one or more businesses, properties or assets that replace the businesses, properties and/or assets</w:t>
      </w:r>
    </w:p>
    <w:p>
      <w:pPr>
        <w:spacing w:after="0" w:line="1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020"/>
          </w:cols>
          <w:pgMar w:left="1440" w:top="274" w:right="439" w:bottom="1440" w:gutter="0" w:footer="0" w:header="0"/>
        </w:sectPr>
      </w:pPr>
    </w:p>
    <w:bookmarkStart w:id="119" w:name="page120"/>
    <w:bookmarkEnd w:id="119"/>
    <w:p>
      <w:pPr>
        <w:ind w:left="98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are the subject of such Asset Disposition, with any such investment made by way of a capital or other lease valued at the present value of the minimum amount of payments under such lease (as reasonably determined by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binding agreement shall be treated as a permitted application of Applicable Proceeds from the date of such commitment with the good faith expectation that an amount equal to Applicable Proceeds will be applied to satisfy such commitment within 180 days after the end of such 540-day period (an “</w:t>
      </w:r>
      <w:r>
        <w:rPr>
          <w:rFonts w:ascii="Arial" w:cs="Arial" w:eastAsia="Arial" w:hAnsi="Arial"/>
          <w:sz w:val="17"/>
          <w:szCs w:val="17"/>
          <w:u w:val="single" w:color="auto"/>
          <w:color w:val="auto"/>
        </w:rPr>
        <w:t>Acceptable Commitment</w:t>
      </w:r>
      <w:r>
        <w:rPr>
          <w:rFonts w:ascii="Arial" w:cs="Arial" w:eastAsia="Arial" w:hAnsi="Arial"/>
          <w:sz w:val="17"/>
          <w:szCs w:val="17"/>
          <w:color w:val="auto"/>
        </w:rPr>
        <w:t>”) that such investment is completed;</w:t>
      </w:r>
    </w:p>
    <w:p>
      <w:pPr>
        <w:spacing w:after="0" w:line="68" w:lineRule="exact"/>
        <w:rPr>
          <w:sz w:val="20"/>
          <w:szCs w:val="20"/>
          <w:color w:val="auto"/>
        </w:rPr>
      </w:pPr>
    </w:p>
    <w:p>
      <w:pPr>
        <w:ind w:left="1700" w:hanging="312"/>
        <w:spacing w:after="0"/>
        <w:tabs>
          <w:tab w:leader="none" w:pos="1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make any other Permitted Investment;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pending the final application of the amount of any such Applicable Proceeds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3.05</w:t>
      </w:r>
      <w:r>
        <w:rPr>
          <w:rFonts w:ascii="Arial" w:cs="Arial" w:eastAsia="Arial" w:hAnsi="Arial"/>
          <w:sz w:val="17"/>
          <w:szCs w:val="17"/>
          <w:color w:val="auto"/>
        </w:rPr>
        <w:t>, the Issuer or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Subsidiaries may apply such Applicable Proceeds temporarily to reduce Indebtedness (including under the Credit Facilities) or otherwise apply such Applicable Proceeds in any manner not prohibited by this Indenture, and (2) the Issuer (or any Restricted Subsidiary, as applicable) may elect to invest in Additional Assets prior to receiving the Applicable Proceeds attributable to any given Asset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clause (ii) above with respect to such Asset Disposition.</w:t>
      </w:r>
    </w:p>
    <w:p>
      <w:pPr>
        <w:spacing w:after="0" w:line="177"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If, with respect to any Asset Disposition, at the expiration of the Proceeds Application Period with respect to such Asset Disposition, there remains Applicable Proceeds in excess of the greater of (i) $125.0 million and (ii) 25.0% of LTM EBITDA (such amount of Applicable Proceeds that are equal to the greater of (i) $125.0 million and (ii) 25.0% of LTM EBITDA, “</w:t>
      </w:r>
      <w:r>
        <w:rPr>
          <w:rFonts w:ascii="Arial" w:cs="Arial" w:eastAsia="Arial" w:hAnsi="Arial"/>
          <w:sz w:val="17"/>
          <w:szCs w:val="17"/>
          <w:u w:val="single" w:color="auto"/>
          <w:color w:val="auto"/>
        </w:rPr>
        <w:t>Declined Excess Proceeds</w:t>
      </w:r>
      <w:r>
        <w:rPr>
          <w:rFonts w:ascii="Arial" w:cs="Arial" w:eastAsia="Arial" w:hAnsi="Arial"/>
          <w:sz w:val="17"/>
          <w:szCs w:val="17"/>
          <w:color w:val="auto"/>
        </w:rPr>
        <w:t>,” and such amount of Applicable Proceeds that are in excess of the greater of (i) $125.0 million and (ii) 25.0% of LTM EBITDA, “</w:t>
      </w:r>
      <w:r>
        <w:rPr>
          <w:rFonts w:ascii="Arial" w:cs="Arial" w:eastAsia="Arial" w:hAnsi="Arial"/>
          <w:sz w:val="17"/>
          <w:szCs w:val="17"/>
          <w:u w:val="single" w:color="auto"/>
          <w:color w:val="auto"/>
        </w:rPr>
        <w:t>Excess Proceeds</w:t>
      </w:r>
      <w:r>
        <w:rPr>
          <w:rFonts w:ascii="Arial" w:cs="Arial" w:eastAsia="Arial" w:hAnsi="Arial"/>
          <w:sz w:val="17"/>
          <w:szCs w:val="17"/>
          <w:color w:val="auto"/>
        </w:rPr>
        <w:t>”), then subject to the limitations with respect to Foreign Dispositions set forth below, the Issuer shall make an offer (an “</w:t>
      </w:r>
      <w:r>
        <w:rPr>
          <w:rFonts w:ascii="Arial" w:cs="Arial" w:eastAsia="Arial" w:hAnsi="Arial"/>
          <w:sz w:val="17"/>
          <w:szCs w:val="17"/>
          <w:u w:val="single" w:color="auto"/>
          <w:color w:val="auto"/>
        </w:rPr>
        <w:t>Asset Disposition Offer</w:t>
      </w:r>
      <w:r>
        <w:rPr>
          <w:rFonts w:ascii="Arial" w:cs="Arial" w:eastAsia="Arial" w:hAnsi="Arial"/>
          <w:sz w:val="17"/>
          <w:szCs w:val="17"/>
          <w:color w:val="auto"/>
        </w:rPr>
        <w:t>”) no later than ten (10) Business Days after the expiration of the Proceeds Application Period to all Holders of Notes and, if required by the terms of any First Lien Obligations, to all holders of such Pari Passu Indebtedness, to purchase the maximum principal amount of such Notes and First Lien Obligations, as appropriate, on a pro rata basis, that may be purchased out of such Excess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First Lien Obligations, if any, as may be provided by the terms of such other Indebtedness), to, but not including, the date fixed for the closing of such offer, in accordance with the procedures set forth in this Indenture and the agreement governing the First Lien Obligations, as applicable, in minimum denominations of $2,000 and in integral multiples of $1,000 in excess thereof. Notices of an Asset Disposition Offer shall be sent by first-class mail or sent electronically, at least 10 days but not more than 60 days before the purchase date to each Holder of the Notes at such Holder’s registered address, with a copy to the Trustee, or otherwise in accordance with the applicable procedures of DTC. The Issuer may satisfy the foregoing obligation with respect to the Applicable Proceeds by making an Asset Disposition Offer prior to the expiration of the Proceeds Application Period (the “</w:t>
      </w:r>
      <w:r>
        <w:rPr>
          <w:rFonts w:ascii="Arial" w:cs="Arial" w:eastAsia="Arial" w:hAnsi="Arial"/>
          <w:sz w:val="17"/>
          <w:szCs w:val="17"/>
          <w:u w:val="single" w:color="auto"/>
          <w:color w:val="auto"/>
        </w:rPr>
        <w:t>Advance Offer</w:t>
      </w:r>
      <w:r>
        <w:rPr>
          <w:rFonts w:ascii="Arial" w:cs="Arial" w:eastAsia="Arial" w:hAnsi="Arial"/>
          <w:sz w:val="17"/>
          <w:szCs w:val="17"/>
          <w:color w:val="auto"/>
        </w:rPr>
        <w:t>”) with respect to all or a part of the Applicable Proceeds (the “</w:t>
      </w:r>
      <w:r>
        <w:rPr>
          <w:rFonts w:ascii="Arial" w:cs="Arial" w:eastAsia="Arial" w:hAnsi="Arial"/>
          <w:sz w:val="17"/>
          <w:szCs w:val="17"/>
          <w:u w:val="single" w:color="auto"/>
          <w:color w:val="auto"/>
        </w:rPr>
        <w:t>Advance Portion</w:t>
      </w:r>
      <w:r>
        <w:rPr>
          <w:rFonts w:ascii="Arial" w:cs="Arial" w:eastAsia="Arial" w:hAnsi="Arial"/>
          <w:sz w:val="17"/>
          <w:szCs w:val="17"/>
          <w:color w:val="auto"/>
        </w:rPr>
        <w:t>”) in advance of being required to do so by this Indenture.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20" w:name="page121"/>
    <w:bookmarkEnd w:id="120"/>
    <w:p>
      <w:pPr>
        <w:ind w:right="40" w:firstLine="1428"/>
        <w:spacing w:after="0" w:line="269" w:lineRule="auto"/>
        <w:tabs>
          <w:tab w:leader="none" w:pos="1687"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that the aggregate amount (or accreted value, as applicable) of Notes and, if applicable, any other First Lien Obligations validly tendered or otherwise surrendered in connection with an Asset Disposition Offer made with Excess Proceeds (or, in the case of an Advance Offer, the Advance Portion) is less than the amount offered in an Asset Disposition Offer, the Issuer may include any remaining Excess Proceeds (or, in the case of an Advance Offer, the Advance Portion) in Declined Excess Proceeds, and use such Declined Excess Proceeds for any purpose not otherwise prohibited by this Indenture. If the aggregate principal amount (or accreted value, as applicable) of the Notes or, if applicable, First Lien Obligations validly tendered pursuant to any Asset Disposition Offer exceeds the amount of Excess Proceeds (or, in the case of an Advance Offer, the Advance Portion), the Issuer shall allocate the Excess Proceeds among the Notes and First Lien Obligations to be purchased on a pro rata basis on the basis of the aggregate principal amount (or accreted value, as applicable) of tendered Notes and First Lien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Notes or other First Lien Obligations will be selected and purchased in an unauthorized denomination. Upon completion of any Asset Disposition Offer, the amount of Applicable Proceeds and Excess Proceeds shall be reset at zero.</w:t>
      </w:r>
    </w:p>
    <w:p>
      <w:pPr>
        <w:spacing w:after="0" w:line="18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To the extent that any portion of Net Available Cash or Applicable Proceeds payable in respect of the Notes is denominated in a currency other than Dollars, the amount thereof payable in respect of the Notes shall not exceed the net amount of funds in Dollars that is actually received by the Issuer upon converting such portion into Dollars.</w:t>
      </w:r>
    </w:p>
    <w:p>
      <w:pPr>
        <w:spacing w:after="0" w:line="76" w:lineRule="exact"/>
        <w:rPr>
          <w:sz w:val="20"/>
          <w:szCs w:val="20"/>
          <w:color w:val="auto"/>
        </w:rPr>
      </w:pPr>
    </w:p>
    <w:p>
      <w:pPr>
        <w:ind w:firstLine="1428"/>
        <w:spacing w:after="0" w:line="286" w:lineRule="auto"/>
        <w:tabs>
          <w:tab w:leader="none" w:pos="167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3.05</w:t>
      </w:r>
      <w:r>
        <w:rPr>
          <w:rFonts w:ascii="Arial" w:cs="Arial" w:eastAsia="Arial" w:hAnsi="Arial"/>
          <w:sz w:val="16"/>
          <w:szCs w:val="16"/>
          <w:color w:val="auto"/>
        </w:rPr>
        <w:t>, (i) to the extent that any of or all the Net Available Cash or Applicable Proceeds of any Asset Disposition is received or deemed to be received by a Non-U.S. Subsidiary (or a U.S. Subsidiary of a Non-U.S. Subsidiary) (a “</w:t>
      </w:r>
      <w:r>
        <w:rPr>
          <w:rFonts w:ascii="Arial" w:cs="Arial" w:eastAsia="Arial" w:hAnsi="Arial"/>
          <w:sz w:val="16"/>
          <w:szCs w:val="16"/>
          <w:u w:val="single" w:color="auto"/>
          <w:color w:val="auto"/>
        </w:rPr>
        <w:t>Foreign Disposition</w:t>
      </w:r>
      <w:r>
        <w:rPr>
          <w:rFonts w:ascii="Arial" w:cs="Arial" w:eastAsia="Arial" w:hAnsi="Arial"/>
          <w:sz w:val="16"/>
          <w:szCs w:val="16"/>
          <w:color w:val="auto"/>
        </w:rPr>
        <w:t xml:space="preserve">”) giving rise to a prepayment event described above is (x) prohibited, restricted or delayed by applicable local law, rule or regulation (including, without limitation, (a) financial assistance and corporate benefit restrictions and (b) fiduciary and statutory duties of any director or officer of such Subsidiaries), (y) restricted by applicable organizational documents or any agreement or (z) subject to other onerous organizational or administrative impediments, in each case, from being repatriated or otherwise paid to the Issuer or so prepaid, or such repatriation or payment or prepayment would present a material risk of liability for the applicable Subsidiary or its directors or officers (or gives rise to a material risk of breach of fiduciary or statutory duties by any director or officer), an amount equal to the portion of such Net Available Cash so affected will not be required to be applied in compliance with this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(ii) to the extent that the Issuer has determined in good faith that repatriation of any of or all the Net Available Cash of any Foreign Disposition could have an adverse Tax consequence (which for the avoidance of doubt, includes, but is not limited to, any prepayment out of such Net Available Cash whereby doing so the Issuer, any of its Subsidiaries, any Parent Entity or any of their respective affiliates and/or equity owners would incur a Tax liability, including a taxable dividend) (as determined by the Issuer), an amount equal to the Net Available Cash so affected will not be required to be applied in compliance with this </w:t>
      </w:r>
      <w:r>
        <w:rPr>
          <w:rFonts w:ascii="Arial" w:cs="Arial" w:eastAsia="Arial" w:hAnsi="Arial"/>
          <w:sz w:val="16"/>
          <w:szCs w:val="16"/>
          <w:u w:val="single" w:color="auto"/>
          <w:color w:val="auto"/>
        </w:rPr>
        <w:t>Section 3.05</w:t>
      </w:r>
      <w:r>
        <w:rPr>
          <w:rFonts w:ascii="Arial" w:cs="Arial" w:eastAsia="Arial" w:hAnsi="Arial"/>
          <w:sz w:val="16"/>
          <w:szCs w:val="16"/>
          <w:color w:val="auto"/>
        </w:rPr>
        <w:t>. The non-application of any prepayment amounts as a consequence of the foregoing provisions will not, for the avoidance of doubt, constitute a Default or an Event of Default.</w:t>
      </w:r>
    </w:p>
    <w:p>
      <w:pPr>
        <w:spacing w:after="0" w:line="62" w:lineRule="exact"/>
        <w:rPr>
          <w:rFonts w:ascii="Arial" w:cs="Arial" w:eastAsia="Arial" w:hAnsi="Arial"/>
          <w:sz w:val="16"/>
          <w:szCs w:val="16"/>
          <w:color w:val="auto"/>
        </w:rPr>
      </w:pPr>
    </w:p>
    <w:p>
      <w:pPr>
        <w:ind w:right="60" w:firstLine="1428"/>
        <w:spacing w:after="0" w:line="259" w:lineRule="auto"/>
        <w:tabs>
          <w:tab w:leader="none" w:pos="16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extent that the provisions of any securities laws or regulations, including Rule 14e-1 under the Exchange Act,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spacing w:after="0" w:line="78" w:lineRule="exact"/>
        <w:rPr>
          <w:rFonts w:ascii="Arial" w:cs="Arial" w:eastAsia="Arial" w:hAnsi="Arial"/>
          <w:sz w:val="18"/>
          <w:szCs w:val="18"/>
          <w:color w:val="auto"/>
        </w:rPr>
      </w:pPr>
    </w:p>
    <w:p>
      <w:pPr>
        <w:ind w:right="20" w:firstLine="1428"/>
        <w:spacing w:after="0" w:line="263" w:lineRule="auto"/>
        <w:tabs>
          <w:tab w:leader="none" w:pos="167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provisions of this Indenture relative to the Issuer’s obligation to make an offer to repurchase the Notes as a result of an Asset Disposition may be amended, supplemented, waived or modified with the written consent of the Holders of a majority in principal amount of the Notes then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21" w:name="page122"/>
    <w:bookmarkEnd w:id="121"/>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w:t>
      </w:r>
      <w:r>
        <w:rPr>
          <w:rFonts w:ascii="Arial" w:cs="Arial" w:eastAsia="Arial" w:hAnsi="Arial"/>
          <w:sz w:val="16"/>
          <w:szCs w:val="16"/>
          <w:u w:val="single" w:color="auto"/>
          <w:color w:val="auto"/>
        </w:rPr>
        <w:t>Limitation on Liens</w:t>
      </w:r>
      <w:r>
        <w:rPr>
          <w:rFonts w:ascii="Arial" w:cs="Arial" w:eastAsia="Arial" w:hAnsi="Arial"/>
          <w:sz w:val="16"/>
          <w:szCs w:val="16"/>
          <w:color w:val="auto"/>
        </w:rPr>
        <w:t>. From and after the Spin-Off Date, the Issuer shall not, and shall not permit any Guarantor to, directly or indirectly, create, incur or permit to exist any Lien (except Permitted Liens) (each, an “</w:t>
      </w:r>
      <w:r>
        <w:rPr>
          <w:rFonts w:ascii="Arial" w:cs="Arial" w:eastAsia="Arial" w:hAnsi="Arial"/>
          <w:sz w:val="16"/>
          <w:szCs w:val="16"/>
          <w:u w:val="single" w:color="auto"/>
          <w:color w:val="auto"/>
        </w:rPr>
        <w:t>Initial Lien</w:t>
      </w:r>
      <w:r>
        <w:rPr>
          <w:rFonts w:ascii="Arial" w:cs="Arial" w:eastAsia="Arial" w:hAnsi="Arial"/>
          <w:sz w:val="16"/>
          <w:szCs w:val="16"/>
          <w:color w:val="auto"/>
        </w:rPr>
        <w:t>”) that secures obligations under any Indebtedness, on any asset or property of the Issuer or any Guarantor, except, in the case of any assets that do not constitute Collateral, any Initial Lien if the Notes and related Guarantees are secured equally and ratably on any such assets or property of the Issuer or any Guarantor with (or prior to) such Indebtedness secured by such Lien, except that the foregoing shall not apply to Liens securing the Notes and the related Guarantees.</w:t>
      </w:r>
    </w:p>
    <w:p>
      <w:pPr>
        <w:spacing w:after="0" w:line="16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Any Lien created for the benefit of the Holders pursuant to the last clause of the preceding sentence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With respect to any Lien that was permitted to secure such Indebtedness at the time of the incurrence of such Indebtedness, such Lien shall also be permitted to secure any Increased Amount of such Indebtedness.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Limitation on Guarantees</w:t>
      </w:r>
      <w:r>
        <w:rPr>
          <w:rFonts w:ascii="Arial" w:cs="Arial" w:eastAsia="Arial" w:hAnsi="Arial"/>
          <w:sz w:val="18"/>
          <w:szCs w:val="18"/>
          <w:color w:val="auto"/>
        </w:rPr>
        <w:t>.</w:t>
      </w:r>
    </w:p>
    <w:p>
      <w:pPr>
        <w:spacing w:after="0" w:line="117" w:lineRule="exact"/>
        <w:rPr>
          <w:sz w:val="20"/>
          <w:szCs w:val="20"/>
          <w:color w:val="auto"/>
        </w:rPr>
      </w:pPr>
    </w:p>
    <w:p>
      <w:pPr>
        <w:ind w:left="220" w:right="20" w:firstLine="1400"/>
        <w:spacing w:after="0" w:line="257" w:lineRule="auto"/>
        <w:tabs>
          <w:tab w:leader="none" w:pos="18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From and after the Spin-Off Date, the Issuer shall not permit any of its Wholly Owned Subsidiaries that are Restricted Subsidiaries, other than a Guarantor or an Excluded Subsidiary, to incur Indebtedness for borrowed money under or Guarantee the payment of (i) any syndicated Credit Facility of the Issuer or any other Subsidiary Guarantor incurred pursuant to </w:t>
      </w:r>
      <w:r>
        <w:rPr>
          <w:rFonts w:ascii="Arial" w:cs="Arial" w:eastAsia="Arial" w:hAnsi="Arial"/>
          <w:sz w:val="18"/>
          <w:szCs w:val="18"/>
          <w:u w:val="single" w:color="auto"/>
          <w:color w:val="auto"/>
        </w:rPr>
        <w:t>Section 3.02(b)(1)</w:t>
      </w:r>
      <w:r>
        <w:rPr>
          <w:rFonts w:ascii="Arial" w:cs="Arial" w:eastAsia="Arial" w:hAnsi="Arial"/>
          <w:sz w:val="18"/>
          <w:szCs w:val="18"/>
          <w:color w:val="auto"/>
        </w:rPr>
        <w:t xml:space="preserve"> or (ii) capital markets debt securities of the Issuer or any other Subsidiary Guarantor, in each case, in a principal amount in excess of the greater of $150.0 million and 10.0% of LTM EBITDA, unless:</w:t>
      </w:r>
    </w:p>
    <w:p>
      <w:pPr>
        <w:spacing w:after="0" w:line="79" w:lineRule="exact"/>
        <w:rPr>
          <w:rFonts w:ascii="Arial" w:cs="Arial" w:eastAsia="Arial" w:hAnsi="Arial"/>
          <w:sz w:val="18"/>
          <w:szCs w:val="18"/>
          <w:color w:val="auto"/>
        </w:rPr>
      </w:pPr>
    </w:p>
    <w:p>
      <w:pPr>
        <w:ind w:left="980" w:right="20" w:firstLine="408"/>
        <w:spacing w:after="0" w:line="290" w:lineRule="auto"/>
        <w:tabs>
          <w:tab w:leader="none" w:pos="163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such Restricted Subsidiary within ninety (90) days executes and delivers a supplemental indenture to this Indenture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providing for a Guarantee by such Restricted Subsidiary (together with such Notes Security Documents, or amendments or supplements thereto and such other documentation as shall be necessary to provide for valid and perfected Liens on such Restricted Subsidiary’s assets of the type constituting Collateral to secure such Guarantee on the terms described under </w:t>
      </w:r>
      <w:r>
        <w:rPr>
          <w:rFonts w:ascii="Arial" w:cs="Arial" w:eastAsia="Arial" w:hAnsi="Arial"/>
          <w:sz w:val="16"/>
          <w:szCs w:val="16"/>
          <w:u w:val="single" w:color="auto"/>
          <w:color w:val="auto"/>
        </w:rPr>
        <w:t>Article XII</w:t>
      </w:r>
      <w:r>
        <w:rPr>
          <w:rFonts w:ascii="Arial" w:cs="Arial" w:eastAsia="Arial" w:hAnsi="Arial"/>
          <w:sz w:val="16"/>
          <w:szCs w:val="16"/>
          <w:color w:val="auto"/>
        </w:rPr>
        <w:t>), except that with respect to a guarantee of Indebtedness of the Issuer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or such Guarantor’s Guarantee of the Notes; and</w:t>
      </w:r>
    </w:p>
    <w:p>
      <w:pPr>
        <w:spacing w:after="0" w:line="57" w:lineRule="exact"/>
        <w:rPr>
          <w:rFonts w:ascii="Arial" w:cs="Arial" w:eastAsia="Arial" w:hAnsi="Arial"/>
          <w:sz w:val="16"/>
          <w:szCs w:val="16"/>
          <w:color w:val="auto"/>
        </w:rPr>
      </w:pPr>
    </w:p>
    <w:p>
      <w:pPr>
        <w:ind w:left="980" w:right="100" w:firstLine="408"/>
        <w:spacing w:after="0" w:line="286" w:lineRule="auto"/>
        <w:tabs>
          <w:tab w:leader="none" w:pos="163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such Restricted Subsidiary waives and will not in any manner whatsoever claim or take the benefit or advantage of, any rights of reimbursement, indemnity or subrogation or any other rights against the Issuer or any other Restricted Subsidiary as a result of any payment by such Restricted Subsidiary under its Guarantee until payment in full of Obligations under this Indenture;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3.07</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applicable (i) to any Indebtedness or guarantee of any Restricted Subsidiary that existed at the time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became a Restricted Subsidiary and was not incurred in connection with, or in contemplation of, such Person becoming a Restricted Subsidiary, or (ii) in the event that the Guarantee of the Issuer’s obligations under the Notes or this Indenture by such Subsidiary would not be permitted under applicable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22" w:name="page123"/>
    <w:bookmarkEnd w:id="122"/>
    <w:p>
      <w:pPr>
        <w:ind w:left="220" w:right="20" w:firstLine="1400"/>
        <w:spacing w:after="0" w:line="255" w:lineRule="auto"/>
        <w:tabs>
          <w:tab w:leader="none" w:pos="18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may elect, in its sole discretion, to cause or allow, as the case may be, any Subsidiary of the Issuer or any of its Parent Entities that is not otherwise required to be a Guarantor to become a Guarantor, in which case, (i) such Subsidiary or Parent Entity shall not be required to comply with the 90-day period described in </w:t>
      </w:r>
      <w:r>
        <w:rPr>
          <w:rFonts w:ascii="Arial" w:cs="Arial" w:eastAsia="Arial" w:hAnsi="Arial"/>
          <w:sz w:val="18"/>
          <w:szCs w:val="18"/>
          <w:u w:val="single" w:color="auto"/>
          <w:color w:val="auto"/>
        </w:rPr>
        <w:t>Section 3.07(a)</w:t>
      </w:r>
      <w:r>
        <w:rPr>
          <w:rFonts w:ascii="Arial" w:cs="Arial" w:eastAsia="Arial" w:hAnsi="Arial"/>
          <w:sz w:val="18"/>
          <w:szCs w:val="18"/>
          <w:color w:val="auto"/>
        </w:rPr>
        <w:t xml:space="preserve"> and (ii) such Guarantee may be released at any time in the Issuer’s sole discretion so long as any Indebtedness of such Subsidiary then outstanding could have been incurred by such Subsidiary (either (x) when so incurred or (y) at the time of the release of such Guarantee) and such Subsidiary is not otherwise required to be a Guarantor at the time of such release accordance with the provisions above.</w:t>
      </w:r>
    </w:p>
    <w:p>
      <w:pPr>
        <w:spacing w:after="0" w:line="84" w:lineRule="exact"/>
        <w:rPr>
          <w:rFonts w:ascii="Arial" w:cs="Arial" w:eastAsia="Arial" w:hAnsi="Arial"/>
          <w:sz w:val="18"/>
          <w:szCs w:val="18"/>
          <w:color w:val="auto"/>
        </w:rPr>
      </w:pPr>
    </w:p>
    <w:p>
      <w:pPr>
        <w:ind w:left="220" w:firstLine="1400"/>
        <w:spacing w:after="0" w:line="272" w:lineRule="auto"/>
        <w:tabs>
          <w:tab w:leader="none" w:pos="18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If any Guarantor becomes an Immaterial Subsidiary, the Issuer shall have the right, by delivery of a supplemental indenture executed by the Issuer to the Trustee and the Notes Collateral Agent, to cause such Immaterial Subsidiary to automatically and unconditionally cease to be a Guarantor (and any Liens on its assets securing such Guarantee to be automatically and unconditionally released), subject to the requirement described in </w:t>
      </w:r>
      <w:r>
        <w:rPr>
          <w:rFonts w:ascii="Arial" w:cs="Arial" w:eastAsia="Arial" w:hAnsi="Arial"/>
          <w:sz w:val="17"/>
          <w:szCs w:val="17"/>
          <w:u w:val="single" w:color="auto"/>
          <w:color w:val="auto"/>
        </w:rPr>
        <w:t>Section 3.07(a)</w:t>
      </w:r>
      <w:r>
        <w:rPr>
          <w:rFonts w:ascii="Arial" w:cs="Arial" w:eastAsia="Arial" w:hAnsi="Arial"/>
          <w:sz w:val="17"/>
          <w:szCs w:val="17"/>
          <w:color w:val="auto"/>
        </w:rPr>
        <w:t xml:space="preserve"> above that such Subsidiary shall be required to become a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Immaterial Subsidiary shall not be permitted to Guarantee the Credit Agreement or other Indebtedness of the Issuer or the other Guarantors, unless it again becomes a Guarantor.</w:t>
      </w:r>
    </w:p>
    <w:p>
      <w:pPr>
        <w:spacing w:after="0" w:line="69" w:lineRule="exact"/>
        <w:rPr>
          <w:rFonts w:ascii="Arial" w:cs="Arial" w:eastAsia="Arial" w:hAnsi="Arial"/>
          <w:sz w:val="17"/>
          <w:szCs w:val="17"/>
          <w:color w:val="auto"/>
        </w:rPr>
      </w:pPr>
    </w:p>
    <w:p>
      <w:pPr>
        <w:ind w:left="1880" w:hanging="260"/>
        <w:spacing w:after="0"/>
        <w:tabs>
          <w:tab w:leader="none" w:pos="18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Each such Guarantee shall also be released in accordance with the provisions of this Indenture described under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Limitation on Affiliate Transactions</w:t>
      </w:r>
      <w:r>
        <w:rPr>
          <w:rFonts w:ascii="Arial" w:cs="Arial" w:eastAsia="Arial" w:hAnsi="Arial"/>
          <w:sz w:val="18"/>
          <w:szCs w:val="18"/>
          <w:color w:val="auto"/>
        </w:rPr>
        <w:t>.</w:t>
      </w:r>
    </w:p>
    <w:p>
      <w:pPr>
        <w:spacing w:after="0" w:line="117" w:lineRule="exact"/>
        <w:rPr>
          <w:sz w:val="20"/>
          <w:szCs w:val="20"/>
          <w:color w:val="auto"/>
        </w:rPr>
      </w:pPr>
    </w:p>
    <w:p>
      <w:pPr>
        <w:ind w:left="220" w:right="140" w:firstLine="1400"/>
        <w:spacing w:after="0" w:line="286" w:lineRule="auto"/>
        <w:tabs>
          <w:tab w:leader="none" w:pos="186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From and after the Spin-Off Date, the Issuer shall not, and shall not permit any Restricted Subsidiary to enter into or conduct any transaction (including the purchase, sale, lease or exchange of any property or the rendering of any service) with any Affiliate of the Issuer (an “</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involving value in excess of the greater of (i) $25.0 million and (ii) 5.0% of LTM EBITDA unless:</w:t>
      </w:r>
    </w:p>
    <w:p>
      <w:pPr>
        <w:spacing w:after="0" w:line="57" w:lineRule="exact"/>
        <w:rPr>
          <w:rFonts w:ascii="Arial" w:cs="Arial" w:eastAsia="Arial" w:hAnsi="Arial"/>
          <w:sz w:val="17"/>
          <w:szCs w:val="17"/>
          <w:color w:val="auto"/>
        </w:rPr>
      </w:pPr>
    </w:p>
    <w:p>
      <w:pPr>
        <w:ind w:left="440" w:right="120" w:firstLine="419"/>
        <w:spacing w:after="0" w:line="263" w:lineRule="auto"/>
        <w:tabs>
          <w:tab w:leader="none" w:pos="11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terms of such Affiliate Transaction, taken as a whole, are not materially less favorable to the Issuer or such Restricted Subsidiary, as applicable, than those that could be obtained in a comparable transaction at the time of such transaction or the execution of the agreement providing for such transaction in arm’s length dealings with a Person who is not such an Affiliate; and</w:t>
      </w:r>
    </w:p>
    <w:p>
      <w:pPr>
        <w:spacing w:after="0" w:line="75" w:lineRule="exact"/>
        <w:rPr>
          <w:rFonts w:ascii="Arial" w:cs="Arial" w:eastAsia="Arial" w:hAnsi="Arial"/>
          <w:sz w:val="18"/>
          <w:szCs w:val="18"/>
          <w:color w:val="auto"/>
        </w:rPr>
      </w:pPr>
    </w:p>
    <w:p>
      <w:pPr>
        <w:ind w:left="440" w:right="280" w:firstLine="419"/>
        <w:spacing w:after="0" w:line="308" w:lineRule="auto"/>
        <w:tabs>
          <w:tab w:leader="none" w:pos="111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the event such Affiliate Transaction involves an aggregate value in excess of the greater of (i) $75.0 million and (ii) 15.0% of LTM EBITDA, the terms of such transaction have been approved by a majority of the members of the Board of Directors of the Issuer.</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Any Affiliate Transaction shall be deemed to have satisfied the requirements set forth in clause (2) of this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if such Affiliate Transaction is approved by a majority of the Disinterested Directors of the Issuer, if any.</w:t>
      </w:r>
    </w:p>
    <w:p>
      <w:pPr>
        <w:spacing w:after="0" w:line="62" w:lineRule="exact"/>
        <w:rPr>
          <w:sz w:val="20"/>
          <w:szCs w:val="20"/>
          <w:color w:val="auto"/>
        </w:rPr>
      </w:pPr>
    </w:p>
    <w:p>
      <w:pPr>
        <w:ind w:left="5320" w:right="5080" w:hanging="3892"/>
        <w:spacing w:after="0" w:line="535" w:lineRule="auto"/>
        <w:tabs>
          <w:tab w:leader="none" w:pos="169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3.08(a)</w:t>
      </w:r>
      <w:r>
        <w:rPr>
          <w:rFonts w:ascii="Arial" w:cs="Arial" w:eastAsia="Arial" w:hAnsi="Arial"/>
          <w:sz w:val="16"/>
          <w:szCs w:val="16"/>
          <w:color w:val="auto"/>
        </w:rPr>
        <w:t xml:space="preserve"> above shall not apply to: -114-</w:t>
      </w:r>
    </w:p>
    <w:p>
      <w:pPr>
        <w:sectPr>
          <w:pgSz w:w="11900" w:h="16838" w:orient="portrait"/>
          <w:cols w:equalWidth="0" w:num="1">
            <w:col w:w="11000"/>
          </w:cols>
          <w:pgMar w:left="440" w:top="274" w:right="459" w:bottom="1440" w:gutter="0" w:footer="0" w:header="0"/>
        </w:sectPr>
      </w:pPr>
    </w:p>
    <w:bookmarkStart w:id="123" w:name="page124"/>
    <w:bookmarkEnd w:id="123"/>
    <w:p>
      <w:pPr>
        <w:ind w:firstLine="419"/>
        <w:spacing w:after="0" w:line="277"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Restricted Payment or other transaction permitted to be made or undertaken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(including Permitted Payments) or any Permitted Investment;</w:t>
      </w:r>
    </w:p>
    <w:p>
      <w:pPr>
        <w:spacing w:after="0" w:line="62" w:lineRule="exact"/>
        <w:rPr>
          <w:rFonts w:ascii="Arial" w:cs="Arial" w:eastAsia="Arial" w:hAnsi="Arial"/>
          <w:sz w:val="18"/>
          <w:szCs w:val="18"/>
          <w:color w:val="auto"/>
        </w:rPr>
      </w:pPr>
    </w:p>
    <w:p>
      <w:pPr>
        <w:jc w:val="both"/>
        <w:ind w:right="20" w:firstLine="419"/>
        <w:spacing w:after="0" w:line="301" w:lineRule="auto"/>
        <w:tabs>
          <w:tab w:leader="none" w:pos="6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issuance, transfer or sale of (a) Capital Stock, options, other equity-related interests or other securities, or other payments, awards or grants in cash, securities or otherwise to any Parent Entity or future, current or former employee, director, officer, manager, contractor, consultant or advisor (or their respective Controlled Investment Affiliates or Immediate Family Members) of the Issuer or any of its Subsidiaries or any of its Parent Entities and (b) directors’ qualifying shares and shares issued to foreign nationals as required under applicable law;</w:t>
      </w:r>
    </w:p>
    <w:p>
      <w:pPr>
        <w:spacing w:after="0" w:line="49" w:lineRule="exact"/>
        <w:rPr>
          <w:rFonts w:ascii="Arial" w:cs="Arial" w:eastAsia="Arial" w:hAnsi="Arial"/>
          <w:sz w:val="16"/>
          <w:szCs w:val="16"/>
          <w:color w:val="auto"/>
        </w:rPr>
      </w:pPr>
    </w:p>
    <w:p>
      <w:pPr>
        <w:ind w:left="680" w:hanging="261"/>
        <w:spacing w:after="0"/>
        <w:tabs>
          <w:tab w:leader="none" w:pos="6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Management Advances and any waiver or transaction with respect thereto;</w:t>
      </w:r>
    </w:p>
    <w:p>
      <w:pPr>
        <w:spacing w:after="0" w:line="117" w:lineRule="exact"/>
        <w:rPr>
          <w:rFonts w:ascii="Arial" w:cs="Arial" w:eastAsia="Arial" w:hAnsi="Arial"/>
          <w:sz w:val="18"/>
          <w:szCs w:val="18"/>
          <w:color w:val="auto"/>
        </w:rPr>
      </w:pPr>
    </w:p>
    <w:p>
      <w:pPr>
        <w:ind w:right="20" w:firstLine="419"/>
        <w:spacing w:after="0" w:line="279" w:lineRule="auto"/>
        <w:tabs>
          <w:tab w:leader="none" w:pos="67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 any transaction between or among the Issuer and any Restricted Subsidiary (or entity that becomes a Restricted Subsidiary as a result of such transaction), or between or among Restricted Subsidiaries and (b) any merger, amalgamation or consolidation with any Parent Entity,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Parent Entity shall have no material liabilities and no material assets other than cash, Cash Equivalents and the Capital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and such merger, amalgamation or consolidation is otherwise not prohibited under this Indenture;</w:t>
      </w:r>
    </w:p>
    <w:p>
      <w:pPr>
        <w:spacing w:after="0" w:line="63" w:lineRule="exact"/>
        <w:rPr>
          <w:rFonts w:ascii="Arial" w:cs="Arial" w:eastAsia="Arial" w:hAnsi="Arial"/>
          <w:sz w:val="17"/>
          <w:szCs w:val="17"/>
          <w:color w:val="auto"/>
        </w:rPr>
      </w:pPr>
    </w:p>
    <w:p>
      <w:pPr>
        <w:ind w:right="60" w:firstLine="419"/>
        <w:spacing w:after="0" w:line="275" w:lineRule="auto"/>
        <w:tabs>
          <w:tab w:leader="none" w:pos="67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payment of compensation, fees, costs, reimbursements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Issuer, any Parent Entity or any Restricted Subsidiary (whether directly or indirectly and including through their Controlled Investment Affiliates or Immediate Family Members);</w:t>
      </w:r>
    </w:p>
    <w:p>
      <w:pPr>
        <w:spacing w:after="0" w:line="68" w:lineRule="exact"/>
        <w:rPr>
          <w:rFonts w:ascii="Arial" w:cs="Arial" w:eastAsia="Arial" w:hAnsi="Arial"/>
          <w:sz w:val="17"/>
          <w:szCs w:val="17"/>
          <w:color w:val="auto"/>
        </w:rPr>
      </w:pPr>
    </w:p>
    <w:p>
      <w:pPr>
        <w:ind w:right="40" w:firstLine="419"/>
        <w:spacing w:after="0" w:line="296" w:lineRule="auto"/>
        <w:tabs>
          <w:tab w:leader="none" w:pos="6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entry into and performance of obligations of the Issuer or any of its Restricted Subsidiaries under the terms of any transaction arising out of, and any payments pursuant to or for purposes of funding, any agreement or instrument in effect as of or on the Spin-Off Date, as these agreements and instruments may be amended, modified, supplemented, extended, renewed or refinanced from time to time in accordance with the other terms of this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or to the extent not disadvantageous in any material respect in the reasonable determination of the Issuer to the Holders when taken as a whole as compared to the applicable agreement as in effect on the Spin-Off Date;</w:t>
      </w:r>
    </w:p>
    <w:p>
      <w:pPr>
        <w:spacing w:after="0" w:line="53" w:lineRule="exact"/>
        <w:rPr>
          <w:rFonts w:ascii="Arial" w:cs="Arial" w:eastAsia="Arial" w:hAnsi="Arial"/>
          <w:sz w:val="16"/>
          <w:szCs w:val="16"/>
          <w:color w:val="auto"/>
        </w:rPr>
      </w:pPr>
    </w:p>
    <w:p>
      <w:pPr>
        <w:ind w:right="400" w:firstLine="419"/>
        <w:spacing w:after="0" w:line="342" w:lineRule="auto"/>
        <w:tabs>
          <w:tab w:leader="none" w:pos="6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15" w:lineRule="exact"/>
        <w:rPr>
          <w:rFonts w:ascii="Arial" w:cs="Arial" w:eastAsia="Arial" w:hAnsi="Arial"/>
          <w:sz w:val="16"/>
          <w:szCs w:val="16"/>
          <w:color w:val="auto"/>
        </w:rPr>
      </w:pPr>
    </w:p>
    <w:p>
      <w:pPr>
        <w:ind w:right="120" w:firstLine="419"/>
        <w:spacing w:after="0" w:line="259" w:lineRule="auto"/>
        <w:tabs>
          <w:tab w:leader="none" w:pos="6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transactions with customers, vendors, clients, joint venture partners, suppliers, contractors, distributors or purchasers or sellers of goods or services, in each case in the ordinary course of business or consistent with past practice, which are fair to the Issuer or its Restricted Subsidiaries, in the reasonable determination of the Issuer, or are on terms, taken as a whole, that are not materially less favorable as might reasonably have been obtained at such time from an unaffiliated party;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560"/>
          </w:cols>
          <w:pgMar w:left="880" w:top="274" w:right="459" w:bottom="1440" w:gutter="0" w:footer="0" w:header="0"/>
        </w:sectPr>
      </w:pPr>
    </w:p>
    <w:bookmarkStart w:id="124" w:name="page125"/>
    <w:bookmarkEnd w:id="124"/>
    <w:p>
      <w:pPr>
        <w:ind w:right="100" w:firstLine="419"/>
        <w:spacing w:after="0" w:line="259" w:lineRule="auto"/>
        <w:tabs>
          <w:tab w:leader="none" w:pos="678"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between or among the Issuer or any Restricted Subsidiary (or any entity that becomes a Restricted Subsidiary as a result of such transaction) or joint venture (regardless of the form of legal entity) in which the Issuer or any Subsidiary has invested (and which Subsidiary or joint venture would not be an Affiliate of the Issuer but for the Issuer’s or a Subsidiary’s ownership of Equity Interests in such joint venture or Subsidiary);</w:t>
      </w:r>
    </w:p>
    <w:p>
      <w:pPr>
        <w:spacing w:after="0" w:line="78" w:lineRule="exact"/>
        <w:rPr>
          <w:rFonts w:ascii="Arial" w:cs="Arial" w:eastAsia="Arial" w:hAnsi="Arial"/>
          <w:sz w:val="18"/>
          <w:szCs w:val="18"/>
          <w:color w:val="auto"/>
        </w:rPr>
      </w:pPr>
    </w:p>
    <w:p>
      <w:pPr>
        <w:jc w:val="both"/>
        <w:ind w:right="160" w:firstLine="419"/>
        <w:spacing w:after="0" w:line="259" w:lineRule="auto"/>
        <w:tabs>
          <w:tab w:leader="none" w:pos="7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issuance, sale or transfer of Capital Stock (other than Disqualified Stock or Designated Preferred Stock) of the Issuer, any Parent Entity or any of its Restricted Subsidiaries or options, warrants or other rights to acquire such Capital Stock and the granting of registration and other customary rights (and the performance of the related obligations) in connection therewith or any contribution to capital of the Issuer or any Restricted Subsidiary;</w:t>
      </w:r>
    </w:p>
    <w:p>
      <w:pPr>
        <w:spacing w:after="0" w:line="78" w:lineRule="exact"/>
        <w:rPr>
          <w:rFonts w:ascii="Arial" w:cs="Arial" w:eastAsia="Arial" w:hAnsi="Arial"/>
          <w:sz w:val="18"/>
          <w:szCs w:val="18"/>
          <w:color w:val="auto"/>
        </w:rPr>
      </w:pPr>
    </w:p>
    <w:p>
      <w:pPr>
        <w:ind w:left="760" w:hanging="341"/>
        <w:spacing w:after="0"/>
        <w:tabs>
          <w:tab w:leader="none" w:pos="7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60" w:firstLine="419"/>
        <w:spacing w:after="0" w:line="277" w:lineRule="auto"/>
        <w:tabs>
          <w:tab w:leader="none" w:pos="7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Transactions and the payment of all fees, costs and expenses (including all legal, accounting and other professional fees, costs and expenses) related to the Transactions, including Transaction Costs;</w:t>
      </w:r>
    </w:p>
    <w:p>
      <w:pPr>
        <w:spacing w:after="0" w:line="62" w:lineRule="exact"/>
        <w:rPr>
          <w:rFonts w:ascii="Arial" w:cs="Arial" w:eastAsia="Arial" w:hAnsi="Arial"/>
          <w:sz w:val="18"/>
          <w:szCs w:val="18"/>
          <w:color w:val="auto"/>
        </w:rPr>
      </w:pPr>
    </w:p>
    <w:p>
      <w:pPr>
        <w:ind w:right="560" w:firstLine="419"/>
        <w:spacing w:after="0" w:line="263" w:lineRule="auto"/>
        <w:tabs>
          <w:tab w:leader="none" w:pos="7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transactions in which the Issuer or any Restricted Subsidiary, as applicable, delivers to the Trustee a letter from an Independent Financial Advisor stating that such transaction is fair to the Issuer or such Restricted Subsidiary from a financial point of view or meets the requirements of </w:t>
      </w:r>
      <w:r>
        <w:rPr>
          <w:rFonts w:ascii="Arial" w:cs="Arial" w:eastAsia="Arial" w:hAnsi="Arial"/>
          <w:sz w:val="18"/>
          <w:szCs w:val="18"/>
          <w:u w:val="single" w:color="auto"/>
          <w:color w:val="auto"/>
        </w:rPr>
        <w:t>Section 3.08(a)(1)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60" w:firstLine="419"/>
        <w:spacing w:after="0" w:line="291" w:lineRule="auto"/>
        <w:tabs>
          <w:tab w:leader="none" w:pos="7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the Issuer or any Restricted Subsidiary of its obligations under the terms of, any equityholders, investor rights or similar agreement (including any registration rights agreement or purchase agreements related thereto) to which it is party as of the Spin-Off Date and any similar agreement that it (or any Parent Entity) may enter into thereafter;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existence of, or the performance by the Issuer or any Restricted Subsidiary (or any Parent Entity) of its obligations under any future amendment to any such existing agreement or under any similar agreement entered into after the Spin-Off Date will only be permitted under this clause to the extent that the terms of any such amendment or new agreement are not otherwise, when taken as a whole, more disadvantageous to the Holders in any material respect in the reasonable determination of the Issuer than those in effect on the Spin-Off Date;</w:t>
      </w:r>
    </w:p>
    <w:p>
      <w:pPr>
        <w:spacing w:after="0" w:line="58" w:lineRule="exact"/>
        <w:rPr>
          <w:rFonts w:ascii="Arial" w:cs="Arial" w:eastAsia="Arial" w:hAnsi="Arial"/>
          <w:sz w:val="16"/>
          <w:szCs w:val="16"/>
          <w:color w:val="auto"/>
        </w:rPr>
      </w:pPr>
    </w:p>
    <w:p>
      <w:pPr>
        <w:ind w:firstLine="419"/>
        <w:spacing w:after="0" w:line="286" w:lineRule="auto"/>
        <w:tabs>
          <w:tab w:leader="none" w:pos="76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any purchases by Affiliates of the Issuer of Indebtedness or Disqualified Stock of the Issuer or any of the Restricted Subsidiaries the majority of which Indebtedness or Disqualified Stock is purchased by Persons who are not Affiliates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purchases by Affiliates of the Issuer are on the same terms as such purchases by such Persons who are not Affiliates of the Issuer;</w:t>
      </w:r>
    </w:p>
    <w:p>
      <w:pPr>
        <w:spacing w:after="0" w:line="57" w:lineRule="exact"/>
        <w:rPr>
          <w:rFonts w:ascii="Arial" w:cs="Arial" w:eastAsia="Arial" w:hAnsi="Arial"/>
          <w:sz w:val="17"/>
          <w:szCs w:val="17"/>
          <w:color w:val="auto"/>
        </w:rPr>
      </w:pPr>
    </w:p>
    <w:p>
      <w:pPr>
        <w:ind w:left="760" w:hanging="341"/>
        <w:spacing w:after="0"/>
        <w:tabs>
          <w:tab w:leader="none" w:pos="7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investments by Affiliates in securities or loans of the Issuer or any of its Restricted Subsidiaries (and payment of reasonable</w:t>
      </w:r>
    </w:p>
    <w:p>
      <w:pPr>
        <w:spacing w:after="0" w:line="3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out-of-pocket expenses incurred by such Affiliates in connection therewith) so long as the investment is being offered by the Issuer or such Restricted Subsidiary generally to other non-affiliated third party investors on the same or more favorable terms and (ii) payments to Affiliates in respect of securities or loans of the Issuer or any of its Restricted Subsidiaries contemplated in the foregoing subclause (i) or that were acquired from Persons other than the Issuer and its Restricted Subsidiaries, in each case, in accordance with the terms of such securities or loans;</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560"/>
          </w:cols>
          <w:pgMar w:left="880" w:top="274" w:right="459" w:bottom="1440" w:gutter="0" w:footer="0" w:header="0"/>
        </w:sectPr>
      </w:pPr>
    </w:p>
    <w:bookmarkStart w:id="125" w:name="page126"/>
    <w:bookmarkEnd w:id="125"/>
    <w:p>
      <w:pPr>
        <w:ind w:right="200" w:firstLine="419"/>
        <w:spacing w:after="0" w:line="263"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by any Parent Entity, the Issuer or its Subsidiaries pursuant to any tax sharing agreements or other agreements in respect of Permitted Tax Amounts among any such Parent Entity, the Issuer and/or its Subsidiaries on customary terms to the extent attributable to the ownership or operation of the Issuer and its Subsidiaries;</w:t>
      </w:r>
    </w:p>
    <w:p>
      <w:pPr>
        <w:spacing w:after="0" w:line="75" w:lineRule="exact"/>
        <w:rPr>
          <w:rFonts w:ascii="Arial" w:cs="Arial" w:eastAsia="Arial" w:hAnsi="Arial"/>
          <w:sz w:val="18"/>
          <w:szCs w:val="18"/>
          <w:color w:val="auto"/>
        </w:rPr>
      </w:pPr>
    </w:p>
    <w:p>
      <w:pPr>
        <w:ind w:right="120" w:firstLine="419"/>
        <w:spacing w:after="0" w:line="271" w:lineRule="auto"/>
        <w:tabs>
          <w:tab w:leader="none" w:pos="7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payments, Indebtedness and Disqualified Stock (and cancellation of any thereof) of the Issuer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Issuer,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Issuer in good faith;</w:t>
      </w:r>
    </w:p>
    <w:p>
      <w:pPr>
        <w:spacing w:after="0" w:line="70" w:lineRule="exact"/>
        <w:rPr>
          <w:rFonts w:ascii="Arial" w:cs="Arial" w:eastAsia="Arial" w:hAnsi="Arial"/>
          <w:sz w:val="17"/>
          <w:szCs w:val="17"/>
          <w:color w:val="auto"/>
        </w:rPr>
      </w:pPr>
    </w:p>
    <w:p>
      <w:pPr>
        <w:ind w:right="180" w:firstLine="419"/>
        <w:spacing w:after="0" w:line="275" w:lineRule="auto"/>
        <w:tabs>
          <w:tab w:leader="none" w:pos="7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Issuer or its Restricted Subsidiaries and any distributor, employee, director, officer, manager, contractor, consultant or advisor (or their respective Controlled Investment Affiliates or Immediate Family Members) approved by the reasonable determination of the Issuer or entered into in connection with the Transactions;</w:t>
      </w:r>
    </w:p>
    <w:p>
      <w:pPr>
        <w:spacing w:after="0" w:line="68" w:lineRule="exact"/>
        <w:rPr>
          <w:rFonts w:ascii="Arial" w:cs="Arial" w:eastAsia="Arial" w:hAnsi="Arial"/>
          <w:sz w:val="17"/>
          <w:szCs w:val="17"/>
          <w:color w:val="auto"/>
        </w:rPr>
      </w:pPr>
    </w:p>
    <w:p>
      <w:pPr>
        <w:jc w:val="both"/>
        <w:ind w:right="100" w:firstLine="419"/>
        <w:spacing w:after="0" w:line="259"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any transition services arrangement, supply arrangement or similar arrangement entered into in connection with or in contemplation of the disposition of assets or Capital Stock in any Restricted Subsidiary permitted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or entered into with any Business Successor, in each case, that the Issuer determines in good faith is either fair to the Issuer or otherwise on customary terms for such type of arrangements in connection with similar transactions;</w:t>
      </w:r>
    </w:p>
    <w:p>
      <w:pPr>
        <w:spacing w:after="0" w:line="78" w:lineRule="exact"/>
        <w:rPr>
          <w:rFonts w:ascii="Arial" w:cs="Arial" w:eastAsia="Arial" w:hAnsi="Arial"/>
          <w:sz w:val="18"/>
          <w:szCs w:val="18"/>
          <w:color w:val="auto"/>
        </w:rPr>
      </w:pPr>
    </w:p>
    <w:p>
      <w:pPr>
        <w:ind w:right="20" w:firstLine="419"/>
        <w:spacing w:after="0" w:line="277"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transactions entered into by an Unrestricted Subsidiary with an Affiliate prior to the day such Unrestricted Subsidiary is redesignated as a Restricted Subsidiary as described in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and pledges of Capital Stock of Unrestricted Subsidiaries;</w:t>
      </w:r>
    </w:p>
    <w:p>
      <w:pPr>
        <w:spacing w:after="0" w:line="62" w:lineRule="exact"/>
        <w:rPr>
          <w:rFonts w:ascii="Arial" w:cs="Arial" w:eastAsia="Arial" w:hAnsi="Arial"/>
          <w:sz w:val="18"/>
          <w:szCs w:val="18"/>
          <w:color w:val="auto"/>
        </w:rPr>
      </w:pPr>
    </w:p>
    <w:p>
      <w:pPr>
        <w:jc w:val="both"/>
        <w:ind w:firstLine="419"/>
        <w:spacing w:after="0" w:line="263"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any lease entered into between the Issuer or any Restricted Subsidiary, as lessee, and any Affiliate of the Issuer, as lessor and (ii) any operational services or other arrangement entered into between the Issuer or any Restricted Subsidiary and any Affiliate of the Issuer, in each case, which is approved by the reasonable determination of the Issuer;</w:t>
      </w:r>
    </w:p>
    <w:p>
      <w:pPr>
        <w:spacing w:after="0" w:line="75" w:lineRule="exact"/>
        <w:rPr>
          <w:rFonts w:ascii="Arial" w:cs="Arial" w:eastAsia="Arial" w:hAnsi="Arial"/>
          <w:sz w:val="18"/>
          <w:szCs w:val="18"/>
          <w:color w:val="auto"/>
        </w:rPr>
      </w:pPr>
    </w:p>
    <w:p>
      <w:pPr>
        <w:ind w:left="760" w:hanging="341"/>
        <w:spacing w:after="0"/>
        <w:tabs>
          <w:tab w:leader="none" w:pos="7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intellectual property licenses and research and development agreements in the ordinary course of business or consistent with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102" w:lineRule="exact"/>
        <w:rPr>
          <w:rFonts w:ascii="Arial" w:cs="Arial" w:eastAsia="Arial" w:hAnsi="Arial"/>
          <w:sz w:val="16"/>
          <w:szCs w:val="16"/>
          <w:color w:val="auto"/>
        </w:rPr>
      </w:pPr>
    </w:p>
    <w:p>
      <w:pPr>
        <w:ind w:right="280" w:firstLine="419"/>
        <w:spacing w:after="0" w:line="277"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62" w:lineRule="exact"/>
        <w:rPr>
          <w:rFonts w:ascii="Arial" w:cs="Arial" w:eastAsia="Arial" w:hAnsi="Arial"/>
          <w:sz w:val="18"/>
          <w:szCs w:val="18"/>
          <w:color w:val="auto"/>
        </w:rPr>
      </w:pPr>
    </w:p>
    <w:p>
      <w:pPr>
        <w:ind w:right="940" w:firstLine="419"/>
        <w:spacing w:after="0" w:line="277" w:lineRule="auto"/>
        <w:tabs>
          <w:tab w:leader="none" w:pos="7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payment of fees, costs and expenses related to registration rights and indemnities provided to equityholders pursuant to equityholders, investor rights, registration rights or similar agreements;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540"/>
          </w:cols>
          <w:pgMar w:left="880" w:top="274" w:right="479" w:bottom="1440" w:gutter="0" w:footer="0" w:header="0"/>
        </w:sectPr>
      </w:pPr>
    </w:p>
    <w:bookmarkStart w:id="126" w:name="page127"/>
    <w:bookmarkEnd w:id="126"/>
    <w:p>
      <w:pPr>
        <w:ind w:left="1200" w:hanging="341"/>
        <w:spacing w:after="0"/>
        <w:tabs>
          <w:tab w:leader="none" w:pos="1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undertaken in the ordinary course of business pursuant to membership in a purchasing consortium; and</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Permitted Intercompany Activities, Permitted Tax Restructurings, Intercompany License Agreements and related transactions.</w:t>
      </w:r>
    </w:p>
    <w:p>
      <w:pPr>
        <w:spacing w:after="0" w:line="129" w:lineRule="exact"/>
        <w:rPr>
          <w:sz w:val="20"/>
          <w:szCs w:val="20"/>
          <w:color w:val="auto"/>
        </w:rPr>
      </w:pPr>
    </w:p>
    <w:p>
      <w:pPr>
        <w:ind w:firstLine="1432"/>
        <w:spacing w:after="0" w:line="273" w:lineRule="auto"/>
        <w:rPr>
          <w:sz w:val="20"/>
          <w:szCs w:val="20"/>
          <w:color w:val="auto"/>
        </w:rPr>
      </w:pPr>
      <w:r>
        <w:rPr>
          <w:rFonts w:ascii="Arial" w:cs="Arial" w:eastAsia="Arial" w:hAnsi="Arial"/>
          <w:sz w:val="17"/>
          <w:szCs w:val="17"/>
          <w:color w:val="auto"/>
        </w:rPr>
        <w:t>In addition, if the Issuer or any of its Restricted Subsidiaries (i) purchases or otherwise acquires assets or properties from a Person which is not an Affiliate, the purchase or acquisition by an Affiliate of the Issuer of an interest in all or a portion of the assets or properties acquired shall not be deemed an Affiliate Transaction (or cause such purchase or acquisition by the Issuer or such Restricted Subsidiary to be deemed an Affiliate Transaction) or (ii) sells or otherwise disposes of assets or other properties to a Person who is not an Affiliate, the sale or other disposition by an Affiliate of the Issuer of an interest in all or a portion of the assets or properties sold shall not be deemed an Affiliate Transaction (or cause such sale or other disposition by the Issuer or such Restricted Subsidiary to be deemed an Affiliate Transaction).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89" w:lineRule="auto"/>
        <w:tabs>
          <w:tab w:leader="none" w:pos="1677"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If a Change of Control occurs, unless a third party makes a Change of Control Offer or the Issuer has previously or substantially concurrently therewith delivered a redemption notice with respect to all the outstanding Notes as set forth under </w:t>
      </w:r>
      <w:r>
        <w:rPr>
          <w:rFonts w:ascii="Arial" w:cs="Arial" w:eastAsia="Arial" w:hAnsi="Arial"/>
          <w:sz w:val="16"/>
          <w:szCs w:val="16"/>
          <w:u w:val="single" w:color="auto"/>
          <w:color w:val="auto"/>
        </w:rPr>
        <w:t>Section 5.07</w:t>
      </w:r>
      <w:r>
        <w:rPr>
          <w:rFonts w:ascii="Arial" w:cs="Arial" w:eastAsia="Arial" w:hAnsi="Arial"/>
          <w:sz w:val="16"/>
          <w:szCs w:val="16"/>
          <w:color w:val="auto"/>
        </w:rPr>
        <w:t>, the Issuer shall make an offer to purchase all of the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at a price in cash (the “</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equal to 101% of the aggregate principal amount thereof plus accrued and unpaid interest, if any, to, but excluding, the applicable date of repurchase;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repurchase date is on or after the record date and on or before the corresponding interest payment date, then Holders in whose names the Notes are registered at the close of business on such record date will receive the interest due on the repurchase date. Within 30 days following any Change of Control, the Issuer shall deliver or cause to be delivered a notice of such Change of Control Offer electronically in accordance with the applicable procedures of DTC or by first-class mail, with a copy to the Trustee, to each Holder of Notes at the address of such Holder appearing in the security register or otherwise in accordance with the applicable procedures of DTC, with the following information:</w:t>
      </w:r>
    </w:p>
    <w:p>
      <w:pPr>
        <w:spacing w:after="0" w:line="58" w:lineRule="exact"/>
        <w:rPr>
          <w:rFonts w:ascii="Arial" w:cs="Arial" w:eastAsia="Arial" w:hAnsi="Arial"/>
          <w:sz w:val="16"/>
          <w:szCs w:val="16"/>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description of the transaction or transactions that constitute the Change of Control;</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3.09</w:t>
      </w:r>
      <w:r>
        <w:rPr>
          <w:rFonts w:ascii="Arial" w:cs="Arial" w:eastAsia="Arial" w:hAnsi="Arial"/>
          <w:sz w:val="18"/>
          <w:szCs w:val="18"/>
          <w:color w:val="auto"/>
        </w:rPr>
        <w:t>, and that all Notes properly tendered pursuant to such Change of Control Offer will be accepted for payment by the Issuer;</w:t>
      </w:r>
    </w:p>
    <w:p>
      <w:pPr>
        <w:spacing w:after="0" w:line="62" w:lineRule="exact"/>
        <w:rPr>
          <w:rFonts w:ascii="Arial" w:cs="Arial" w:eastAsia="Arial" w:hAnsi="Arial"/>
          <w:sz w:val="18"/>
          <w:szCs w:val="18"/>
          <w:color w:val="auto"/>
        </w:rPr>
      </w:pPr>
    </w:p>
    <w:p>
      <w:pPr>
        <w:ind w:left="440" w:right="340" w:firstLine="419"/>
        <w:spacing w:after="0" w:line="342" w:lineRule="auto"/>
        <w:tabs>
          <w:tab w:leader="none" w:pos="11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purchase price and the purchase date, which will be no earlier than 10 days and no later than 60 days from the date such notice is delivered (the “</w:t>
      </w:r>
      <w:r>
        <w:rPr>
          <w:rFonts w:ascii="Arial" w:cs="Arial" w:eastAsia="Arial" w:hAnsi="Arial"/>
          <w:sz w:val="16"/>
          <w:szCs w:val="16"/>
          <w:u w:val="single" w:color="auto"/>
          <w:color w:val="auto"/>
        </w:rPr>
        <w:t>Change of Control Payment Date</w:t>
      </w:r>
      <w:r>
        <w:rPr>
          <w:rFonts w:ascii="Arial" w:cs="Arial" w:eastAsia="Arial" w:hAnsi="Arial"/>
          <w:sz w:val="16"/>
          <w:szCs w:val="16"/>
          <w:color w:val="auto"/>
        </w:rPr>
        <w:t>”), except in the case of a conditional Change of Control Offer as described below;</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27" w:name="page128"/>
    <w:bookmarkEnd w:id="127"/>
    <w:p>
      <w:pPr>
        <w:ind w:left="440" w:right="120" w:firstLine="419"/>
        <w:spacing w:after="0" w:line="259"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Holders electing to have any Notes purchased pursuant to a Change of Control Offer will be required to surrender such Notes, with the form entitled “Option of Holder to Elect Purchase” on the reverse of such Notes completed, to the applicable Paying Agent specified in the notice at the address specified in the notice prior to the close of business on the third Business Day preceding the Change of Control Payment Date, or otherwise comply with DTC procedures;</w:t>
      </w:r>
    </w:p>
    <w:p>
      <w:pPr>
        <w:spacing w:after="0" w:line="78" w:lineRule="exact"/>
        <w:rPr>
          <w:rFonts w:ascii="Arial" w:cs="Arial" w:eastAsia="Arial" w:hAnsi="Arial"/>
          <w:sz w:val="18"/>
          <w:szCs w:val="18"/>
          <w:color w:val="auto"/>
        </w:rPr>
      </w:pPr>
    </w:p>
    <w:p>
      <w:pPr>
        <w:ind w:left="440" w:right="60" w:firstLine="419"/>
        <w:spacing w:after="0" w:line="25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that Holders will be entitled to withdraw their tendered Notes and their election to require the Issuer to purchase such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applicable Paying Agent receives, not later than the close of business on the second Business Day prior to the expiration date of the Change of Control Offer, a telegram, facsimile transmission or letter setting forth the name of the Holder of the Notes, the principal amount of Notes tendered for purchase, and a statement that such Holder is withdrawing its tendered Notes and its election to have such Notes purchased, or otherwise comply with DTC procedures;</w:t>
      </w:r>
    </w:p>
    <w:p>
      <w:pPr>
        <w:spacing w:after="0" w:line="79"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of $2,000;</w:t>
      </w:r>
    </w:p>
    <w:p>
      <w:pPr>
        <w:spacing w:after="0" w:line="75"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such notice is delivered prior to the occurrence of a Change of Control, stating that the Change of Control Offer is conditional on the occurrence of such Change of Control; and</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other instructions, as determined by the Issuer, consistent with this </w:t>
      </w:r>
      <w:r>
        <w:rPr>
          <w:rFonts w:ascii="Arial" w:cs="Arial" w:eastAsia="Arial" w:hAnsi="Arial"/>
          <w:sz w:val="18"/>
          <w:szCs w:val="18"/>
          <w:u w:val="single" w:color="auto"/>
          <w:color w:val="auto"/>
        </w:rPr>
        <w:t>Section 3.09</w:t>
      </w:r>
      <w:r>
        <w:rPr>
          <w:rFonts w:ascii="Arial" w:cs="Arial" w:eastAsia="Arial" w:hAnsi="Arial"/>
          <w:sz w:val="18"/>
          <w:szCs w:val="18"/>
          <w:color w:val="auto"/>
        </w:rPr>
        <w:t>, that a Holder must follow.</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The applicable Paying Agent will promptly deliver to each Holder of the Notes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minimum principal amount of $2,000 or an integral multiple of $1,000 in excess thereof. The Issuer will publicly announce the results of the Change of Control Offer on or as soon as practicable after the Change of Control Payment Date.</w:t>
      </w:r>
    </w:p>
    <w:p>
      <w:pPr>
        <w:spacing w:after="0" w:line="188"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will be paid on the Change of Control Payment Date to the Person in whose name a Note is registered at the close of business on such record date.</w:t>
      </w:r>
    </w:p>
    <w:p>
      <w:pPr>
        <w:spacing w:after="0" w:line="76" w:lineRule="exact"/>
        <w:rPr>
          <w:sz w:val="20"/>
          <w:szCs w:val="20"/>
          <w:color w:val="auto"/>
        </w:rPr>
      </w:pPr>
    </w:p>
    <w:p>
      <w:pPr>
        <w:ind w:left="1680" w:hanging="252"/>
        <w:spacing w:after="0"/>
        <w:tabs>
          <w:tab w:leader="none" w:pos="16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On the Change of Control Payment Date, the Issuer will, to the extent permitted by law,</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properly tendered pursuant to the Change of Control Offer,</w:t>
      </w:r>
    </w:p>
    <w:p>
      <w:pPr>
        <w:spacing w:after="0" w:line="117" w:lineRule="exact"/>
        <w:rPr>
          <w:rFonts w:ascii="Arial" w:cs="Arial" w:eastAsia="Arial" w:hAnsi="Arial"/>
          <w:sz w:val="18"/>
          <w:szCs w:val="18"/>
          <w:color w:val="auto"/>
        </w:rPr>
      </w:pPr>
    </w:p>
    <w:p>
      <w:pPr>
        <w:ind w:left="440" w:right="60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deposit with the applicable Paying Agent an amount equal to the aggregate Change of Control Payment in respect of all Notes or portions thereof so tendered,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80"/>
          </w:cols>
          <w:pgMar w:left="440" w:top="274" w:right="479" w:bottom="1440" w:gutter="0" w:footer="0" w:header="0"/>
        </w:sectPr>
      </w:pPr>
    </w:p>
    <w:bookmarkStart w:id="128" w:name="page129"/>
    <w:bookmarkEnd w:id="128"/>
    <w:p>
      <w:pPr>
        <w:ind w:right="40" w:firstLine="1428"/>
        <w:spacing w:after="0" w:line="255" w:lineRule="auto"/>
        <w:tabs>
          <w:tab w:leader="none" w:pos="16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will not be required to make a Change of Control Offer following a Change of Control if (x)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(y) a notice of redemption of all outstanding Notes has been given pursuant to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hereof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84" w:lineRule="exact"/>
        <w:rPr>
          <w:rFonts w:ascii="Arial" w:cs="Arial" w:eastAsia="Arial" w:hAnsi="Arial"/>
          <w:sz w:val="18"/>
          <w:szCs w:val="18"/>
          <w:color w:val="auto"/>
        </w:rPr>
      </w:pPr>
    </w:p>
    <w:p>
      <w:pPr>
        <w:ind w:right="20" w:firstLine="1428"/>
        <w:spacing w:after="0" w:line="342" w:lineRule="auto"/>
        <w:tabs>
          <w:tab w:leader="none" w:pos="168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a Change of Control Offer may be made in advance of a Change of Control, conditional upon such Change of Control, on analogous terms as those described in the penultimate paragraph of </w:t>
      </w:r>
      <w:r>
        <w:rPr>
          <w:rFonts w:ascii="Arial" w:cs="Arial" w:eastAsia="Arial" w:hAnsi="Arial"/>
          <w:sz w:val="16"/>
          <w:szCs w:val="16"/>
          <w:u w:val="single" w:color="auto"/>
          <w:color w:val="auto"/>
        </w:rPr>
        <w:t>Section 5.03</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80" w:firstLine="1428"/>
        <w:spacing w:after="0" w:line="342" w:lineRule="auto"/>
        <w:tabs>
          <w:tab w:leader="none" w:pos="165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While the Notes are in global form and the Issuer makes an offer to purchase all of the Notes pursuant to the Change of Control Offer, a Holder may exercise its option to elect for the purchase of the Notes through the facilities of DTC, subject to its rules and regulations.</w:t>
      </w:r>
    </w:p>
    <w:p>
      <w:pPr>
        <w:spacing w:after="0" w:line="15" w:lineRule="exact"/>
        <w:rPr>
          <w:rFonts w:ascii="Arial" w:cs="Arial" w:eastAsia="Arial" w:hAnsi="Arial"/>
          <w:sz w:val="16"/>
          <w:szCs w:val="16"/>
          <w:color w:val="auto"/>
        </w:rPr>
      </w:pPr>
    </w:p>
    <w:p>
      <w:pPr>
        <w:ind w:right="60" w:firstLine="1428"/>
        <w:spacing w:after="0" w:line="255" w:lineRule="auto"/>
        <w:tabs>
          <w:tab w:leader="none" w:pos="168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Issuer will comply, to the extent applicable, with the requirements of Rule 14e-1 under the Exchange Act and any other securities laws, rules and regulations thereunder to the extent such laws or regulations are applicable in connection with the repurchase of the Notes pursuant to a Change of Control Offer. To the extent that the provisions of any securities laws, rules or regulations conflict with the provisions of this Indenture, the Issuer shall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spacing w:after="0" w:line="84" w:lineRule="exact"/>
        <w:rPr>
          <w:rFonts w:ascii="Arial" w:cs="Arial" w:eastAsia="Arial" w:hAnsi="Arial"/>
          <w:sz w:val="18"/>
          <w:szCs w:val="18"/>
          <w:color w:val="auto"/>
        </w:rPr>
      </w:pPr>
    </w:p>
    <w:p>
      <w:pPr>
        <w:ind w:right="100" w:firstLine="1428"/>
        <w:spacing w:after="0" w:line="263" w:lineRule="auto"/>
        <w:tabs>
          <w:tab w:leader="none" w:pos="168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provisions of this Indenture relative to the Issuer’s obligation to make an offer to repurchase the Notes as a result of a Change of Control may be amended, supplemented, waived or modified with the written consent of the Holders of a majority in principal amount of the Notes then outstanding.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From and after the Spin-Off Date, the Issuer shall furnish to the Trustee, within 15 days after the time periods specified below:</w:t>
      </w:r>
    </w:p>
    <w:p>
      <w:pPr>
        <w:spacing w:after="0" w:line="140" w:lineRule="exact"/>
        <w:rPr>
          <w:rFonts w:ascii="Arial" w:cs="Arial" w:eastAsia="Arial" w:hAnsi="Arial"/>
          <w:sz w:val="16"/>
          <w:szCs w:val="16"/>
          <w:color w:val="auto"/>
        </w:rPr>
      </w:pPr>
    </w:p>
    <w:p>
      <w:pPr>
        <w:ind w:left="440" w:firstLine="419"/>
        <w:spacing w:after="0" w:line="254" w:lineRule="auto"/>
        <w:tabs>
          <w:tab w:leader="none" w:pos="111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within 125 days after the end of each fiscal year (or 150 days with respect to the first fiscal year for which annual financial statements are required to be delivered pursuant to this clause (1)) (or if such day is not a Business Day, on the next succeeding Business Day) of the Issuer, a consolidated balance sheet of the Issuer and its Subsidiaries as at the end of such fiscal year, and the related consolidated statements of income or operations, shareholders’ equity and cash flows for such fiscal year, setting forth in each case, starting with the second fiscal year for which annual financial statements are required to be delivered pursuant to this clause (1), in comparative form the figures for the previous fiscal year,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274" w:right="439" w:bottom="1440" w:gutter="0" w:footer="0" w:header="0"/>
        </w:sectPr>
      </w:pPr>
    </w:p>
    <w:bookmarkStart w:id="129" w:name="page130"/>
    <w:bookmarkEnd w:id="129"/>
    <w:p>
      <w:pPr>
        <w:ind w:left="444" w:right="40" w:firstLine="419"/>
        <w:spacing w:after="0" w:line="254" w:lineRule="auto"/>
        <w:tabs>
          <w:tab w:leader="none" w:pos="11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65 days (or 75 days with respect to each of the first three fiscal quarters for which quarterly financial statements are required to be delivered pursuant to this clause (2)) after the end of each of the first three fiscal quarters of each fiscal year of the Issuer (or if such day is not a Business Day, on the next succeeding Business Day), a consolidated balance sheet of the Issuer and its Subsidiaries as at the end of such fiscal quarter, and the related consolidated statements of income or operations and cash flows for such fiscal quarter and for the portion of the fiscal year then ended, setting forth in each case, starting only with the first delivery required to be made pursuant to this clause (2) which occurs after a full year of financial statements have previously been delivered pursuant to clauses (1) and (2), in comparative form the figures for the corresponding fiscal quarter of the previous fiscal year and the corresponding portion of the previous fiscal year, all in reasonable detail in accordance with GAAP;</w:t>
      </w:r>
    </w:p>
    <w:p>
      <w:pPr>
        <w:spacing w:after="0" w:line="192"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 xml:space="preserve">in each case, except as described above or below and subject to exceptions consistent with the presentation of information in the Offering Memorandum;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Issuer shall not be required to (A) provide (i) segment reporting and disclosure (including any required by FASB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Topic 280), (ii) separate financial statements or other information contemplated by Rules 3-05, 3-09, 3-10, 3-16, Rule 13-01 and Rule 13-02 or 4-08of Regulation S-X (or any successor provisions) or any schedules required by Regulation S-X, (iii) information required by Regulation G under the Exchange Act or Item 10, Item 302, Item 402 or Item 601 of Regulation S-K (or any successor provision), (iv) XBRL exhibits, (v) earnings per share information, (vi) information regarding executive compensation and related party disclosure related to SEC Release Nos.</w:t>
      </w:r>
    </w:p>
    <w:p>
      <w:pPr>
        <w:spacing w:after="0" w:line="4"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auto"/>
        </w:rPr>
        <w:t>33-8732A, 34-54302A and IC-27444A, (vii) other information customarily excluded from an offering memorandum, including any information that is not otherwise of the type and form currently included in the Offering Memorandum relating to the Notes, (viii) purchase accounting adjustments relating to the Transactions or any other transactions permitted under this Indenture to the extent it is not practicable to include any such adjustments in such financial statements and (ix) following the consummation of an acquisition in the applicable period or the period thereafter, the obligations in clauses</w:t>
      </w:r>
    </w:p>
    <w:p>
      <w:pPr>
        <w:spacing w:after="0" w:line="2" w:lineRule="exact"/>
        <w:rPr>
          <w:sz w:val="20"/>
          <w:szCs w:val="20"/>
          <w:color w:val="auto"/>
        </w:rPr>
      </w:pPr>
    </w:p>
    <w:p>
      <w:pPr>
        <w:ind w:left="4" w:right="40" w:hanging="4"/>
        <w:spacing w:after="0" w:line="281" w:lineRule="auto"/>
        <w:tabs>
          <w:tab w:leader="none" w:pos="25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and (2) above, with respect to the target of such acquisition may be satisfied by, at the option of the Issuer, (x) furnishing management accounts for the target of such acquisition or (y) omitting the target of such acquisition from the required financial statements of the Issuer and its Subsidiaries for the applicable period and the period thereafter or (B) (i) comply with Sections 302, 906 and 404 of the Sarbanes-Oxley Act of 2002, as amended, or</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(ii) otherwise furnish any information, certificates or reports required by Items 307 or 308 of Regulation S-K (or any successor provision).</w:t>
      </w:r>
    </w:p>
    <w:p>
      <w:pPr>
        <w:spacing w:after="0" w:line="102" w:lineRule="exact"/>
        <w:rPr>
          <w:rFonts w:ascii="Arial" w:cs="Arial" w:eastAsia="Arial" w:hAnsi="Arial"/>
          <w:sz w:val="16"/>
          <w:szCs w:val="16"/>
          <w:color w:val="auto"/>
        </w:rPr>
      </w:pPr>
    </w:p>
    <w:p>
      <w:pPr>
        <w:ind w:left="444" w:right="60" w:firstLine="419"/>
        <w:spacing w:after="0" w:line="255" w:lineRule="auto"/>
        <w:tabs>
          <w:tab w:leader="none" w:pos="112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To the extent any such information is not so filed or furnished, as applicable, within the time periods specified above and such information is subsequently filed or furnished, as applicable, the Issuer will be deemed to have satisfied its obligations with respect thereto at such time and any Default with respect thereto shall be deemed to have been 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cure shall not otherwise affect the rights of the Holders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if Holders of at least 30% in principal amount of the outstanding Notes have declared the principal, premium, if any, interest and any other monetary obligations on all the outstanding notes to be due and payable immediately and such declaration shall not have been rescinded or cancelled prior to such cure.</w:t>
      </w:r>
    </w:p>
    <w:p>
      <w:pPr>
        <w:spacing w:after="0" w:line="84" w:lineRule="exact"/>
        <w:rPr>
          <w:rFonts w:ascii="Arial" w:cs="Arial" w:eastAsia="Arial" w:hAnsi="Arial"/>
          <w:sz w:val="18"/>
          <w:szCs w:val="18"/>
          <w:color w:val="auto"/>
        </w:rPr>
      </w:pPr>
    </w:p>
    <w:p>
      <w:pPr>
        <w:ind w:left="224" w:right="160" w:firstLine="1400"/>
        <w:spacing w:after="0" w:line="277" w:lineRule="auto"/>
        <w:tabs>
          <w:tab w:leader="none" w:pos="1882"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The Issuer shall furnish to Holders and to securities analysts and prospective investors, upon their request, the information of the Issuer required to be delivered pursuant to Rule 144A(d)(4) under the Securities Act.</w:t>
      </w:r>
    </w:p>
    <w:p>
      <w:pPr>
        <w:spacing w:after="0" w:line="62" w:lineRule="exact"/>
        <w:rPr>
          <w:rFonts w:ascii="Arial" w:cs="Arial" w:eastAsia="Arial" w:hAnsi="Arial"/>
          <w:sz w:val="18"/>
          <w:szCs w:val="18"/>
          <w:color w:val="auto"/>
        </w:rPr>
      </w:pPr>
    </w:p>
    <w:p>
      <w:pPr>
        <w:ind w:left="1864" w:hanging="240"/>
        <w:spacing w:after="0"/>
        <w:tabs>
          <w:tab w:leader="none" w:pos="1864" w:val="left"/>
        </w:tabs>
        <w:numPr>
          <w:ilvl w:val="2"/>
          <w:numId w:val="181"/>
        </w:numPr>
        <w:rPr>
          <w:rFonts w:ascii="Arial" w:cs="Arial" w:eastAsia="Arial" w:hAnsi="Arial"/>
          <w:sz w:val="18"/>
          <w:szCs w:val="18"/>
          <w:color w:val="auto"/>
        </w:rPr>
      </w:pPr>
      <w:r>
        <w:rPr>
          <w:rFonts w:ascii="Arial" w:cs="Arial" w:eastAsia="Arial" w:hAnsi="Arial"/>
          <w:sz w:val="18"/>
          <w:szCs w:val="18"/>
          <w:color w:val="auto"/>
        </w:rPr>
        <w:t>Substantially concurrently with the furnishing or making of such information available to the Trustee pursuant to</w:t>
      </w:r>
    </w:p>
    <w:p>
      <w:pPr>
        <w:spacing w:after="0" w:line="23" w:lineRule="exact"/>
        <w:rPr>
          <w:sz w:val="20"/>
          <w:szCs w:val="20"/>
          <w:color w:val="auto"/>
        </w:rPr>
      </w:pPr>
    </w:p>
    <w:p>
      <w:pPr>
        <w:ind w:left="224"/>
        <w:spacing w:after="0" w:line="260" w:lineRule="auto"/>
        <w:rPr>
          <w:sz w:val="20"/>
          <w:szCs w:val="20"/>
          <w:color w:val="auto"/>
        </w:rPr>
      </w:pPr>
      <w:r>
        <w:rPr>
          <w:rFonts w:ascii="Arial" w:cs="Arial" w:eastAsia="Arial" w:hAnsi="Arial"/>
          <w:sz w:val="18"/>
          <w:szCs w:val="18"/>
          <w:u w:val="single" w:color="auto"/>
          <w:color w:val="auto"/>
        </w:rPr>
        <w:t>Section 3.10(a)</w:t>
      </w:r>
      <w:r>
        <w:rPr>
          <w:rFonts w:ascii="Arial" w:cs="Arial" w:eastAsia="Arial" w:hAnsi="Arial"/>
          <w:sz w:val="18"/>
          <w:szCs w:val="18"/>
          <w:color w:val="auto"/>
        </w:rPr>
        <w:t>, the Issuer shall also use its commercially reasonable efforts to post copies of such information required by the immediately preceding paragraph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4"/>
          </w:cols>
          <w:pgMar w:left="436" w:top="274" w:right="439" w:bottom="1440" w:gutter="0" w:footer="0" w:header="0"/>
        </w:sectPr>
      </w:pPr>
    </w:p>
    <w:bookmarkStart w:id="130" w:name="page131"/>
    <w:bookmarkEnd w:id="13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a website (which may be nonpublic and may be maintained by the Issuer, its Subsidiaries or a third party) to which access will be given to Holders, bona fide prospective investors in the Notes (which prospective investors may be limited to “qualified institutional buyers” within the meaning of Rule 144A of the Securities Act or Non-U.S. Persons (as defined in Regulation S under the Securities Act) that certify their status as such to the reasonable satisfaction of the Issuer), and securities analysts (to the extent providing analysis of an investment in the Notes) and market making financial institutions that are reasonably satisfactory to the Issuer who agree to treat such information and reports as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or its Subsidiaries, as applicable, may deny access to any competitively-sensitive information and reports otherwise to be provided pursuant to this covenant to any person that is a competitor of the Issuer and its Subsidiaries to the extent that the Issuer determines in good faith that the provision of such information and reports to such Person would be competitively harmful to the Issuer and its Subsidiaries. The Issuer may condition the delivery of any such reports on the agreement of such Persons to (i) treat all such reports (and the information contained therein) and information as confidential, (ii) not use such reports (and the information contained therein) and information for any purpose other than their investment or potential investment in the Notes and (iii) not publicly disclose any such reports (and the information contained therein) and information.</w:t>
      </w:r>
    </w:p>
    <w:p>
      <w:pPr>
        <w:spacing w:after="0" w:line="64" w:lineRule="exact"/>
        <w:rPr>
          <w:sz w:val="20"/>
          <w:szCs w:val="20"/>
          <w:color w:val="auto"/>
        </w:rPr>
      </w:pPr>
    </w:p>
    <w:p>
      <w:pPr>
        <w:ind w:right="20" w:firstLine="1400"/>
        <w:spacing w:after="0" w:line="257" w:lineRule="auto"/>
        <w:tabs>
          <w:tab w:leader="none" w:pos="165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If the Issuer has designated any of its Subsidiaries as an Unrestricted Subsidiary, and such Unrestricted Subsidiary would, if taken as a whole with all other Unrestricted Subsidiaries, constitute a Material Subsidiary, then the annual and quarterly information required by </w:t>
      </w:r>
      <w:r>
        <w:rPr>
          <w:rFonts w:ascii="Arial" w:cs="Arial" w:eastAsia="Arial" w:hAnsi="Arial"/>
          <w:sz w:val="18"/>
          <w:szCs w:val="18"/>
          <w:u w:val="single" w:color="auto"/>
          <w:color w:val="auto"/>
        </w:rPr>
        <w:t>Section 3.10(a)(1)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shall include a presentation, either on the face of the financial statements or in footnotes thereto, to reflect the adjustments which would be necessary to eliminate the accounts of Unrestricted Subsidiaries from such financial statements (and which presentation, for the avoidance of doubt, need not be audited).</w:t>
      </w:r>
    </w:p>
    <w:p>
      <w:pPr>
        <w:spacing w:after="0" w:line="79" w:lineRule="exact"/>
        <w:rPr>
          <w:rFonts w:ascii="Arial" w:cs="Arial" w:eastAsia="Arial" w:hAnsi="Arial"/>
          <w:sz w:val="18"/>
          <w:szCs w:val="18"/>
          <w:color w:val="auto"/>
        </w:rPr>
      </w:pPr>
    </w:p>
    <w:p>
      <w:pPr>
        <w:ind w:right="160" w:firstLine="1400"/>
        <w:spacing w:after="0" w:line="296" w:lineRule="auto"/>
        <w:tabs>
          <w:tab w:leader="none" w:pos="16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Issuer may satisfy its obligations pursuant to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with respect to financial information relating to the Issuer by furnishing financial information relating to a Parent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same is accompanied by consolidating information that explains in reasonable detail the differences between the information relating to such Parent Entity (and other Parent Entities included in such information, if any), on the one hand, and the information relating to the Issuer and its Restricted Subsidiaries on a standalone basis, on the other hand. For the avoidance of doubt, the consolidating information referred to in the proviso in the preceding sentence need not be audited.</w:t>
      </w:r>
    </w:p>
    <w:p>
      <w:pPr>
        <w:spacing w:after="0" w:line="53" w:lineRule="exact"/>
        <w:rPr>
          <w:rFonts w:ascii="Arial" w:cs="Arial" w:eastAsia="Arial" w:hAnsi="Arial"/>
          <w:sz w:val="16"/>
          <w:szCs w:val="16"/>
          <w:color w:val="auto"/>
        </w:rPr>
      </w:pPr>
    </w:p>
    <w:p>
      <w:pPr>
        <w:ind w:right="20" w:firstLine="1400"/>
        <w:spacing w:after="0" w:line="275" w:lineRule="auto"/>
        <w:tabs>
          <w:tab w:leader="none" w:pos="162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(i) if the Issuer or any Parent Entity has furnished to the Holders of Notes the reports described in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with respect to the Issuer or any Parent Entity, the Issuer shall be deemed to be in compliance with the provisions of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and (ii) the Issuer will be deemed to have furnished the reports referred to in this covenant to the Trustee and the holders if the Issuer has filed such reports or other reports or filings which contain the information contemplated herein with the SEC via the EDGAR filing system (or any successor thereto) and such reports are publicly available.</w:t>
      </w:r>
    </w:p>
    <w:p>
      <w:pPr>
        <w:spacing w:after="0" w:line="68" w:lineRule="exact"/>
        <w:rPr>
          <w:rFonts w:ascii="Arial" w:cs="Arial" w:eastAsia="Arial" w:hAnsi="Arial"/>
          <w:sz w:val="17"/>
          <w:szCs w:val="17"/>
          <w:color w:val="auto"/>
        </w:rPr>
      </w:pPr>
    </w:p>
    <w:p>
      <w:pPr>
        <w:ind w:left="1660" w:hanging="260"/>
        <w:spacing w:after="0"/>
        <w:tabs>
          <w:tab w:leader="none" w:pos="16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Trustee shall have no duty to determine whether any filings or postings described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have been made.</w:t>
      </w:r>
    </w:p>
    <w:p>
      <w:pPr>
        <w:spacing w:after="0" w:line="140" w:lineRule="exact"/>
        <w:rPr>
          <w:rFonts w:ascii="Arial" w:cs="Arial" w:eastAsia="Arial" w:hAnsi="Arial"/>
          <w:sz w:val="16"/>
          <w:szCs w:val="16"/>
          <w:color w:val="auto"/>
        </w:rPr>
      </w:pPr>
    </w:p>
    <w:p>
      <w:pPr>
        <w:ind w:firstLine="1400"/>
        <w:spacing w:after="0" w:line="273" w:lineRule="auto"/>
        <w:tabs>
          <w:tab w:leader="none" w:pos="165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Delivery of reports, information and documents to the Trustee under this Indenture is for informational purposes only and the information and the Trustee’s receipt of the foregoing shall not constitute actual or constructive notice of any information contained therein, or determinable from information contained therein including the Issuer’s compliance with any of its covenants hereunder (as to which the Trustee is entitled to conclusively rely on an Officer’s Certificate). The Trustee shall have no duty to review or analyze such reports, information or documents. The Trustee shall have no liability or responsibility for the filing, timeliness or content of any such reports, information or documents, and the Trustee shall have no duty to participate in or monitor any conference calls.</w:t>
      </w:r>
    </w:p>
    <w:p>
      <w:pPr>
        <w:spacing w:after="0" w:line="11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780"/>
          </w:cols>
          <w:pgMar w:left="660" w:top="274" w:right="459" w:bottom="1440" w:gutter="0" w:footer="0" w:header="0"/>
        </w:sectPr>
      </w:pPr>
    </w:p>
    <w:bookmarkStart w:id="131" w:name="page132"/>
    <w:bookmarkEnd w:id="13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Issuer will maintain an office or agency where the Notes may be presented or surrendered for payment where, if applicable, the Notes may be surrendered for registration of transfer or exchange. The corporate trust office of the Trustee, which initially shall be located at 333 Thornall Street, Edison, NJ 08837, Attention: Mark DiGiacomo,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Issuer may also from time to time designate one or more other offices or agencies where the Notes may be presented or surrendered for any or all such purposes and may from time to time rescind any such designation. The Issuer will give prompt written notice to the Trustee of any such designation or rescission and any change in the location of any such other office or agency. No office of the Trustee shall be an office or agency of the Issuer for the purposes of service of legal process on the Issuer or any Guarantor.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After-Acquired Collateral</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From and after the Spin-Off Date, subject to the Perfection Exceptions and the terms of the First Lien Pari Passu Intercreditor Agreement, if the Issuer or any Subsidiary Guarantor creates or perfects any additional security interest upon any property or assets (other than Excluded Property) of such Person to secure any First Lien Obligations, it shall concurrently grant and perfect a first-priority perfected security interest (subject to Permitted Liens) in such property as security for the Notes with the priority required by this Indenture and the Notes Security Documents.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Spin-Off Date Transaction Deliverables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the Spin-Off Date, each of the Subsidiaries of the Issuer that is required to guarantee the obligations under the Credit Agreement on or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Spin-Off Date shall execute and deliver to the Trustee the Supplemental Indenture. On the Spin-Off Date,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3.14</w:t>
      </w:r>
      <w:r>
        <w:rPr>
          <w:rFonts w:ascii="Arial" w:cs="Arial" w:eastAsia="Arial" w:hAnsi="Arial"/>
          <w:sz w:val="16"/>
          <w:szCs w:val="16"/>
          <w:color w:val="auto"/>
        </w:rPr>
        <w:t>, each of the Issuer and the Subsidiary Guarantors shall (x) enter into the Notes Security Documents to which it is a party defining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security interests that secure the Notes and the Subsidiary Guarantees and (y) use commercially reasonable efforts to perfect all security interests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Collateral, with respect to the Issuer and the Subsidiary Guarantors, on the Spin-Off Date, subject to certain exceptions below and in the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Documents (including the Perfection Exceptions).</w:t>
      </w:r>
    </w:p>
    <w:p>
      <w:pPr>
        <w:spacing w:after="0" w:line="21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On the Spin-Off Date (but subject to the immediately following paragraph), the Issuer shall deliver to the Trustee and/or the Notes Collateral Agent, as applicable, all of the following, each of which shall be originals or facsimiles or “pdf” files unless otherwise specified, each properly executed by a responsible officer of the signing Person, each dated as of a date that is no later than the Spin-Off Date (or, in the case of certificates of governmental officials, as of a recent date before such date), each accompanied by their respective required schedules and other attachments (and set forth thereon shall be all required information with respect to the Issuer and its Subsidiaries, giving effect to the Transactions):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132" w:name="page133"/>
    <w:bookmarkEnd w:id="132"/>
    <w:p>
      <w:pPr>
        <w:ind w:left="1860" w:hanging="240"/>
        <w:spacing w:after="0"/>
        <w:tabs>
          <w:tab w:leader="none" w:pos="18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perfection certificate;</w:t>
      </w:r>
    </w:p>
    <w:p>
      <w:pPr>
        <w:spacing w:after="0" w:line="225" w:lineRule="exact"/>
        <w:rPr>
          <w:rFonts w:ascii="Arial" w:cs="Arial" w:eastAsia="Arial" w:hAnsi="Arial"/>
          <w:sz w:val="18"/>
          <w:szCs w:val="18"/>
          <w:color w:val="auto"/>
        </w:rPr>
      </w:pPr>
    </w:p>
    <w:p>
      <w:pPr>
        <w:ind w:left="1880" w:hanging="260"/>
        <w:spacing w:after="0"/>
        <w:tabs>
          <w:tab w:leader="none" w:pos="1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First Lien Pari Passu Intercreditor Agreement;</w:t>
      </w:r>
    </w:p>
    <w:p>
      <w:pPr>
        <w:spacing w:after="0" w:line="225" w:lineRule="exact"/>
        <w:rPr>
          <w:rFonts w:ascii="Arial" w:cs="Arial" w:eastAsia="Arial" w:hAnsi="Arial"/>
          <w:sz w:val="18"/>
          <w:szCs w:val="18"/>
          <w:color w:val="auto"/>
        </w:rPr>
      </w:pPr>
    </w:p>
    <w:p>
      <w:pPr>
        <w:ind w:left="1860" w:hanging="240"/>
        <w:spacing w:after="0"/>
        <w:tabs>
          <w:tab w:leader="none" w:pos="18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Security Agreement, duly executed by the Issuer and each Subsidiary Guarantor;</w:t>
      </w:r>
    </w:p>
    <w:p>
      <w:pPr>
        <w:spacing w:after="0" w:line="225" w:lineRule="exact"/>
        <w:rPr>
          <w:rFonts w:ascii="Arial" w:cs="Arial" w:eastAsia="Arial" w:hAnsi="Arial"/>
          <w:sz w:val="18"/>
          <w:szCs w:val="18"/>
          <w:color w:val="auto"/>
        </w:rPr>
      </w:pPr>
    </w:p>
    <w:p>
      <w:pPr>
        <w:ind w:left="220" w:right="120" w:firstLine="1400"/>
        <w:spacing w:after="0" w:line="277" w:lineRule="auto"/>
        <w:tabs>
          <w:tab w:leader="none" w:pos="18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by the Issuer and each Subsidiary Guarantor under the Uniform Commercial Code of each applicable jurisdiction;</w:t>
      </w:r>
    </w:p>
    <w:p>
      <w:pPr>
        <w:spacing w:after="0" w:line="170" w:lineRule="exact"/>
        <w:rPr>
          <w:rFonts w:ascii="Arial" w:cs="Arial" w:eastAsia="Arial" w:hAnsi="Arial"/>
          <w:sz w:val="18"/>
          <w:szCs w:val="18"/>
          <w:color w:val="auto"/>
        </w:rPr>
      </w:pPr>
    </w:p>
    <w:p>
      <w:pPr>
        <w:ind w:left="220" w:right="220" w:firstLine="1400"/>
        <w:spacing w:after="0" w:line="277" w:lineRule="auto"/>
        <w:tabs>
          <w:tab w:leader="none" w:pos="18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Intellectual Property Security Agreement, duly executed by the Notes Collateral Agent and the Issuer or each Subsidiary Guarantor that owns intellectual property that is required to be pledged in accordance with the Security Agreement;</w:t>
      </w:r>
    </w:p>
    <w:p>
      <w:pPr>
        <w:spacing w:after="0" w:line="170" w:lineRule="exact"/>
        <w:rPr>
          <w:rFonts w:ascii="Arial" w:cs="Arial" w:eastAsia="Arial" w:hAnsi="Arial"/>
          <w:sz w:val="18"/>
          <w:szCs w:val="18"/>
          <w:color w:val="auto"/>
        </w:rPr>
      </w:pPr>
    </w:p>
    <w:p>
      <w:pPr>
        <w:ind w:left="220" w:right="100" w:firstLine="1400"/>
        <w:spacing w:after="0" w:line="259" w:lineRule="auto"/>
        <w:tabs>
          <w:tab w:leader="none" w:pos="184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results of Uniform Commercial Code (or equivalent) filings, intellectual property lien searches, and tax and judgment lien searches made with respect to the Issuer and each Subsidiary Guarantor in the jurisdictions contemplated by the perfection certificate and copies of the financing statements (or similar documents) disclosed by such search and evidence that the liens indicated by such financing statements (or similar documents) are permitted by this Indenture;</w:t>
      </w:r>
    </w:p>
    <w:p>
      <w:pPr>
        <w:spacing w:after="0" w:line="186" w:lineRule="exact"/>
        <w:rPr>
          <w:rFonts w:ascii="Arial" w:cs="Arial" w:eastAsia="Arial" w:hAnsi="Arial"/>
          <w:sz w:val="18"/>
          <w:szCs w:val="18"/>
          <w:color w:val="auto"/>
        </w:rPr>
      </w:pPr>
    </w:p>
    <w:p>
      <w:pPr>
        <w:ind w:left="1880" w:hanging="260"/>
        <w:spacing w:after="0"/>
        <w:tabs>
          <w:tab w:leader="none" w:pos="1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insurance certificates and endorsements naming the Notes Collateral Agent as additional insured or loss payee, as applicable;</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20" w:right="300" w:firstLine="1400"/>
        <w:spacing w:after="0" w:line="263" w:lineRule="auto"/>
        <w:tabs>
          <w:tab w:leader="none" w:pos="18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customary intercompany subordination agreement and such customary documents, legal opinions and certifications (including organization documents and, if applicable, good standing certificates or certificates of status) in connection with the foregoing, in each case, consistent with those delivered pursuant to the corresponding provision of the Credit Agreement.</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Notwithstanding the foregoing, in the case of clauses (f), (g) and (h) of this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to the extent that pursuant to the corresponding provision of the Credit Agreement, such deliverable is not required pursuant to the Credit Agreement to be delivered on the Spin-Off Date (whether pursuant to the terms thereof, or as a result of any determination made thereunder, or by amendment, waiver or otherwise), the foregoing clauses (f), (g) or (h) of this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shall be deemed modified such that such deliverable shall not be required to be made under this Indenture unless and until required under the Credit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3.15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Issuer shall deliver to the Trustee within 120 days after the end of each fiscal year of the Issuer an Officer’s Certificate, the signer of which shall be the principal executive officer, principal financial officer, principal accounting officer, principal legal officer, secretary or treasurer of the Issuer, stating that in the course of the performance by the signer of his or her duties as an Officer of the Issuer he or she would normally have knowledge of any Default or Event of Default and whether or not the signer knows of any Default or Event of Default that occurred during the previous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Officer’s Certificate shall be required for any fiscal year ended prior to the Spin-Off Date. If such Officer does have such knowledge, the certificate shall describe the Default or Event of Default, its status and the action the Issuer is taking or proposes to take with respect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440" w:top="274" w:right="479" w:bottom="1440" w:gutter="0" w:footer="0" w:header="0"/>
        </w:sectPr>
      </w:pPr>
    </w:p>
    <w:bookmarkStart w:id="133" w:name="page134"/>
    <w:bookmarkEnd w:id="133"/>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3.17 </w:t>
      </w:r>
      <w:r>
        <w:rPr>
          <w:rFonts w:ascii="Arial" w:cs="Arial" w:eastAsia="Arial" w:hAnsi="Arial"/>
          <w:sz w:val="18"/>
          <w:szCs w:val="18"/>
          <w:u w:val="single" w:color="auto"/>
          <w:color w:val="auto"/>
        </w:rPr>
        <w:t>Further Instruments and Acts</w:t>
      </w:r>
      <w:r>
        <w:rPr>
          <w:rFonts w:ascii="Arial" w:cs="Arial" w:eastAsia="Arial" w:hAnsi="Arial"/>
          <w:sz w:val="18"/>
          <w:szCs w:val="18"/>
          <w:color w:val="auto"/>
        </w:rPr>
        <w:t>. Upon request of the Trustee or as necessary to comply with future developments or requirements, the Issuer will execute and deliver such further instruments and do such further acts as may be reasonably necessary or proper to carry out more effectively the purpose of this Indenture.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Statement by Officers as to Default</w:t>
      </w:r>
      <w:r>
        <w:rPr>
          <w:rFonts w:ascii="Arial" w:cs="Arial" w:eastAsia="Arial" w:hAnsi="Arial"/>
          <w:sz w:val="17"/>
          <w:szCs w:val="17"/>
          <w:color w:val="auto"/>
        </w:rPr>
        <w:t>. The Issuer shall deliver to the Trustee, within 30 days after the Issuer becomes aware of the occurrence of any Default or Event of Default, an Officer’s Certificate setting forth the details of such Default or Event of Default, its status and the actions which the Issuer is taking or proposes to take with respect thereto. The Trustee will not be deemed to have knowledge of any Defaults or Events of Default unless a Responsible Officer of the Trustee has obtained actual knowledge thereof.</w:t>
      </w:r>
    </w:p>
    <w:p>
      <w:pPr>
        <w:spacing w:after="0" w:line="17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Designation of Restricted and Unrestricted Subsidiaries</w:t>
      </w:r>
      <w:r>
        <w:rPr>
          <w:rFonts w:ascii="Arial" w:cs="Arial" w:eastAsia="Arial" w:hAnsi="Arial"/>
          <w:sz w:val="17"/>
          <w:szCs w:val="17"/>
          <w:color w:val="auto"/>
        </w:rPr>
        <w:t xml:space="preserve">. The Issuer may designate any Restricted Subsidiary to be an Unrestricted Subsidiary if such designation would not cause an Event of Default described in clauses (1), (2), (7) or (8)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If a Restricted Subsidiary is designated as an Unrestricted Subsidiary, the aggregate fair market value of all outstanding Investments owned by the Issuer and its Restricted Subsidiaries in the Subsidiary designated as an Unrestricted Subsidiary will be deemed to be an Investment made as of the time of the designation and will reduce the amount available for Restricted Payments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or under one or more clauses of the definition of “Permitted Investments,” as determined by the Issuer. Such designation will only be permitted if the Investment would be permitted at that time and if the Restricted Subsidiary otherwise meets the definition of an “Unrestricted Subsidiary.” The Issuer may redesignate any Unrestricted Subsidiary to be a Restricted Subsidiary if such redesignation would not cause an Event of Default.</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Any designation of a Subsidiary of the Issuer as an Unrestricted Subsidiary will be evidenced to the Trustee by delivering to the Trustee an Officer’s Certificate certifying that such designation complies with the preceding conditions and was not prohibited by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as of such date and, if such Indebtedness or Liens are not permitted to be incurred as of such date by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hereof, the Issuer will be in default of such covenant.</w:t>
      </w:r>
    </w:p>
    <w:p>
      <w:pPr>
        <w:spacing w:after="0" w:line="19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The Issuer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and Liens by a Restricted Subsidiary of any outstanding Indebtedness and Liens of such Unrestricted Subsidiary, and such designation will only be permitted if (1) such Indebtedness is permitted under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hereof (including pursuant to </w:t>
      </w:r>
      <w:r>
        <w:rPr>
          <w:rFonts w:ascii="Arial" w:cs="Arial" w:eastAsia="Arial" w:hAnsi="Arial"/>
          <w:sz w:val="16"/>
          <w:szCs w:val="16"/>
          <w:u w:val="single" w:color="auto"/>
          <w:color w:val="auto"/>
        </w:rPr>
        <w:t>Section 3.02(b)(5)</w:t>
      </w:r>
      <w:r>
        <w:rPr>
          <w:rFonts w:ascii="Arial" w:cs="Arial" w:eastAsia="Arial" w:hAnsi="Arial"/>
          <w:sz w:val="16"/>
          <w:szCs w:val="16"/>
          <w:color w:val="auto"/>
        </w:rPr>
        <w:t xml:space="preserve"> treating such redesignation as an acquisition for the purpose of such clause) and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hereof,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applicable reference period; and (2) no Event of Default described in clauses (1), (2), (7) or (8)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would be in existence following such designation. Any such designation by the Issuer shall be evidenced to the Trustee by delivering to the Trustee an Officer’s Certificate certifying that such designation complies with the preceding conditions.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34" w:name="page135"/>
    <w:bookmarkEnd w:id="134"/>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3.21 </w:t>
      </w:r>
      <w:r>
        <w:rPr>
          <w:rFonts w:ascii="Arial" w:cs="Arial" w:eastAsia="Arial" w:hAnsi="Arial"/>
          <w:sz w:val="18"/>
          <w:szCs w:val="18"/>
          <w:u w:val="single" w:color="auto"/>
          <w:color w:val="auto"/>
        </w:rPr>
        <w:t>Suspension of Certain Covenants on Achievement of Investment Grade Status</w:t>
      </w:r>
    </w:p>
    <w:p>
      <w:pPr>
        <w:spacing w:after="0" w:line="117" w:lineRule="exact"/>
        <w:rPr>
          <w:sz w:val="20"/>
          <w:szCs w:val="20"/>
          <w:color w:val="auto"/>
        </w:rPr>
      </w:pPr>
    </w:p>
    <w:p>
      <w:pPr>
        <w:ind w:firstLine="1400"/>
        <w:spacing w:after="0" w:line="296" w:lineRule="auto"/>
        <w:tabs>
          <w:tab w:leader="none" w:pos="164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Following the first day following the Spin-Off Date that (i) the Notes have achieved Investment Grade Status and (ii) no Default or Event of Default has occurred and is continuing under this Indenture (the occurrence of the events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being collectively referred to as a “</w:t>
      </w:r>
      <w:r>
        <w:rPr>
          <w:rFonts w:ascii="Arial" w:cs="Arial" w:eastAsia="Arial" w:hAnsi="Arial"/>
          <w:sz w:val="16"/>
          <w:szCs w:val="16"/>
          <w:u w:val="single" w:color="auto"/>
          <w:color w:val="auto"/>
        </w:rPr>
        <w:t>Covenant Suspension Event</w:t>
      </w:r>
      <w:r>
        <w:rPr>
          <w:rFonts w:ascii="Arial" w:cs="Arial" w:eastAsia="Arial" w:hAnsi="Arial"/>
          <w:sz w:val="16"/>
          <w:szCs w:val="16"/>
          <w:color w:val="auto"/>
        </w:rPr>
        <w:t>”), then, beginning on that day and continuing until the Reversion Date (such period of time between the date of occurrence of a Covenant Suspension Event and the Reversion Date,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the Issuer and its Restricted Subsidiaries will not be subject to </w:t>
      </w:r>
      <w:r>
        <w:rPr>
          <w:rFonts w:ascii="Arial" w:cs="Arial" w:eastAsia="Arial" w:hAnsi="Arial"/>
          <w:sz w:val="16"/>
          <w:szCs w:val="16"/>
          <w:u w:val="single" w:color="auto"/>
          <w:color w:val="auto"/>
        </w:rPr>
        <w:t>Sections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3.07</w:t>
      </w:r>
      <w:r>
        <w:rPr>
          <w:rFonts w:ascii="Arial" w:cs="Arial" w:eastAsia="Arial" w:hAnsi="Arial"/>
          <w:sz w:val="16"/>
          <w:szCs w:val="16"/>
          <w:color w:val="auto"/>
        </w:rPr>
        <w:t xml:space="preserve">, </w:t>
      </w:r>
      <w:r>
        <w:rPr>
          <w:rFonts w:ascii="Arial" w:cs="Arial" w:eastAsia="Arial" w:hAnsi="Arial"/>
          <w:sz w:val="16"/>
          <w:szCs w:val="16"/>
          <w:u w:val="single" w:color="auto"/>
          <w:color w:val="auto"/>
        </w:rPr>
        <w:t>3.08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4.01(a)(3)</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Suspended Covenants</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60" w:firstLine="1400"/>
        <w:spacing w:after="0" w:line="289" w:lineRule="auto"/>
        <w:tabs>
          <w:tab w:leader="none" w:pos="165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at any time the Notes cease to have such Investment Grade Status, then the Suspended Covenants shall thereafter be reinstated as if such covenants had never been suspended (the “</w:t>
      </w:r>
      <w:r>
        <w:rPr>
          <w:rFonts w:ascii="Arial" w:cs="Arial" w:eastAsia="Arial" w:hAnsi="Arial"/>
          <w:sz w:val="16"/>
          <w:szCs w:val="16"/>
          <w:u w:val="single" w:color="auto"/>
          <w:color w:val="auto"/>
        </w:rPr>
        <w:t>Reversion Date</w:t>
      </w:r>
      <w:r>
        <w:rPr>
          <w:rFonts w:ascii="Arial" w:cs="Arial" w:eastAsia="Arial" w:hAnsi="Arial"/>
          <w:sz w:val="16"/>
          <w:szCs w:val="16"/>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Covenants shall no longer be in effect for such time that the Notes maintain an Investment Grade Status);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Default, Event of Default or breach of any kind shall be deemed to exist under this Indenture, the Notes or the Note Guarantees with respect to the Suspended Covenants based on, and none of the Issuer or any of its Subsidiaries shall bear any liability for, any actions taken or events occurring during the Suspension Period, or any actions taken at any time pursuant to any contractual obligation arising prior to the Reversion Date, regardless of whether such actions or events would have been permitted if the applicable Suspended Covenants remained in effect during such period.</w:t>
      </w:r>
    </w:p>
    <w:p>
      <w:pPr>
        <w:spacing w:after="0" w:line="58" w:lineRule="exact"/>
        <w:rPr>
          <w:rFonts w:ascii="Arial" w:cs="Arial" w:eastAsia="Arial" w:hAnsi="Arial"/>
          <w:sz w:val="16"/>
          <w:szCs w:val="16"/>
          <w:color w:val="auto"/>
        </w:rPr>
      </w:pPr>
    </w:p>
    <w:p>
      <w:pPr>
        <w:ind w:right="140" w:firstLine="1400"/>
        <w:spacing w:after="0" w:line="301" w:lineRule="auto"/>
        <w:tabs>
          <w:tab w:leader="none" w:pos="164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On the Reversion Date, all Indebtedness incurred during the Suspension Period will be deemed to have been outstanding on the Spin-Off Date, so that it is classified as permitted under </w:t>
      </w:r>
      <w:r>
        <w:rPr>
          <w:rFonts w:ascii="Arial" w:cs="Arial" w:eastAsia="Arial" w:hAnsi="Arial"/>
          <w:sz w:val="16"/>
          <w:szCs w:val="16"/>
          <w:u w:val="single" w:color="auto"/>
          <w:color w:val="auto"/>
        </w:rPr>
        <w:t>Section 3.02(b)(4)(b)</w:t>
      </w:r>
      <w:r>
        <w:rPr>
          <w:rFonts w:ascii="Arial" w:cs="Arial" w:eastAsia="Arial" w:hAnsi="Arial"/>
          <w:sz w:val="16"/>
          <w:szCs w:val="16"/>
          <w:color w:val="auto"/>
        </w:rPr>
        <w:t xml:space="preserve">. On and after the Reversion Date, all Liens created during the Suspension Period will be considered Permitted Liens pursuant to </w:t>
      </w:r>
      <w:r>
        <w:rPr>
          <w:rFonts w:ascii="Arial" w:cs="Arial" w:eastAsia="Arial" w:hAnsi="Arial"/>
          <w:sz w:val="16"/>
          <w:szCs w:val="16"/>
          <w:u w:val="single" w:color="auto"/>
          <w:color w:val="auto"/>
        </w:rPr>
        <w:t>clause (11)</w:t>
      </w:r>
      <w:r>
        <w:rPr>
          <w:rFonts w:ascii="Arial" w:cs="Arial" w:eastAsia="Arial" w:hAnsi="Arial"/>
          <w:sz w:val="16"/>
          <w:szCs w:val="16"/>
          <w:color w:val="auto"/>
        </w:rPr>
        <w:t xml:space="preserve"> of such definition. Accordingly, Restricted Payments made during the Suspension Period will not reduce the amount available to be made as Restricted Payments under </w:t>
      </w:r>
      <w:r>
        <w:rPr>
          <w:rFonts w:ascii="Arial" w:cs="Arial" w:eastAsia="Arial" w:hAnsi="Arial"/>
          <w:sz w:val="16"/>
          <w:szCs w:val="16"/>
          <w:u w:val="single" w:color="auto"/>
          <w:color w:val="auto"/>
        </w:rPr>
        <w:t>Section 3.03(a)</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right="80" w:firstLine="1400"/>
        <w:spacing w:after="0" w:line="257" w:lineRule="auto"/>
        <w:tabs>
          <w:tab w:leader="none" w:pos="165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On the Reversion Date, the amount of Excess Proceeds shall be reset at zero. Any Affiliate Transaction entered into after the Reversion Date pursuant to an agreement entered into during any Suspension Period will be deemed to have been outstanding on the Spin-Off Date, so that it is classified as permitted under </w:t>
      </w:r>
      <w:r>
        <w:rPr>
          <w:rFonts w:ascii="Arial" w:cs="Arial" w:eastAsia="Arial" w:hAnsi="Arial"/>
          <w:sz w:val="18"/>
          <w:szCs w:val="18"/>
          <w:u w:val="single" w:color="auto"/>
          <w:color w:val="auto"/>
        </w:rPr>
        <w:t>Section 3.08(b)(6)</w:t>
      </w:r>
      <w:r>
        <w:rPr>
          <w:rFonts w:ascii="Arial" w:cs="Arial" w:eastAsia="Arial" w:hAnsi="Arial"/>
          <w:sz w:val="18"/>
          <w:szCs w:val="18"/>
          <w:color w:val="auto"/>
        </w:rPr>
        <w:t xml:space="preserve">. Any encumbrance or restriction on the ability of any Restricted Subsidiary to take any action described in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that becomes effective during the Suspension Period will be deemed to have existed on the Spin-Off Date, so that it is classified as permitted under </w:t>
      </w:r>
      <w:r>
        <w:rPr>
          <w:rFonts w:ascii="Arial" w:cs="Arial" w:eastAsia="Arial" w:hAnsi="Arial"/>
          <w:sz w:val="18"/>
          <w:szCs w:val="18"/>
          <w:u w:val="single" w:color="auto"/>
          <w:color w:val="auto"/>
        </w:rPr>
        <w:t>Section 3.04(b)(1)</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160" w:firstLine="1400"/>
        <w:spacing w:after="0" w:line="342" w:lineRule="auto"/>
        <w:tabs>
          <w:tab w:leader="none" w:pos="164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All obligations to grant Note Guarantees (including any such future obligations) shall be reinstated upon the Reversion Date, and within the time frame required under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the Issuer must comply with the terms of the covenant described under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00" w:firstLine="1400"/>
        <w:spacing w:after="0" w:line="257" w:lineRule="auto"/>
        <w:tabs>
          <w:tab w:leader="none" w:pos="162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 described above, however, no Default, Event of Default or breach of any kind shall be deemed to have occurred on the Reversion Date as a result of any actions taken or the continuance of any circumstances resulting from actions taken or the performance of obligations under agreements entered into by the Issuer or any of the Restricted Subsidiaries during the Suspension Period (other than agreements to take actions after the Reversion Date that would not be permitted outside of the Suspension Period entered into in contemplation of the Reversion Date).</w:t>
      </w:r>
    </w:p>
    <w:p>
      <w:pPr>
        <w:spacing w:after="0" w:line="79" w:lineRule="exact"/>
        <w:rPr>
          <w:rFonts w:ascii="Arial" w:cs="Arial" w:eastAsia="Arial" w:hAnsi="Arial"/>
          <w:sz w:val="18"/>
          <w:szCs w:val="18"/>
          <w:color w:val="auto"/>
        </w:rPr>
      </w:pPr>
    </w:p>
    <w:p>
      <w:pPr>
        <w:ind w:right="20" w:firstLine="1400"/>
        <w:spacing w:after="0" w:line="263" w:lineRule="auto"/>
        <w:tabs>
          <w:tab w:leader="none" w:pos="165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On and after each Reversion Date, the Issuer and any of its Subsidiaries will be permitted to consummate the transactions contemplated by any contract entered into during the Suspension Period, so long as such contract and such consummation would have been permitted during such Suspension Period.</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780"/>
          </w:cols>
          <w:pgMar w:left="660" w:top="274" w:right="459" w:bottom="1440" w:gutter="0" w:footer="0" w:header="0"/>
        </w:sectPr>
      </w:pPr>
    </w:p>
    <w:bookmarkStart w:id="135" w:name="page136"/>
    <w:bookmarkEnd w:id="135"/>
    <w:p>
      <w:pPr>
        <w:ind w:right="160" w:firstLine="1400"/>
        <w:spacing w:after="0" w:line="263" w:lineRule="auto"/>
        <w:tabs>
          <w:tab w:leader="none" w:pos="1658"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no duty to monitor the ratings of the Notes, shall not be deemed to have any knowledge of the ratings of the Notes and shall have no duty to notify Holders if the Notes achieve Investment Grade Status or of the occurrence of a Reversion Date or to independently determine or verify if such events have occurred.</w:t>
      </w:r>
    </w:p>
    <w:p>
      <w:pPr>
        <w:spacing w:after="0" w:line="39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u w:val="single" w:color="auto"/>
          <w:color w:val="auto"/>
        </w:rPr>
        <w:t>SUCCESSOR COMPANY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Merger and Consolidation</w:t>
      </w:r>
      <w:r>
        <w:rPr>
          <w:rFonts w:ascii="Arial" w:cs="Arial" w:eastAsia="Arial" w:hAnsi="Arial"/>
          <w:sz w:val="18"/>
          <w:szCs w:val="18"/>
          <w:color w:val="auto"/>
        </w:rPr>
        <w:t>.</w:t>
      </w:r>
    </w:p>
    <w:p>
      <w:pPr>
        <w:spacing w:after="0" w:line="117" w:lineRule="exact"/>
        <w:rPr>
          <w:sz w:val="20"/>
          <w:szCs w:val="20"/>
          <w:color w:val="auto"/>
        </w:rPr>
      </w:pPr>
    </w:p>
    <w:p>
      <w:pPr>
        <w:ind w:right="40" w:firstLine="1400"/>
        <w:spacing w:after="0" w:line="263" w:lineRule="auto"/>
        <w:tabs>
          <w:tab w:leader="none" w:pos="164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From and after the Spin-Off Date, the Issuer shall not consolidate with or merge with or into, or convey, transfer or lease all or substantially all of the assets of the Issuer and its Restricted Subsidiaries, taken as a whole, in one transaction or a series of related transactions, to any Person, unless:</w:t>
      </w:r>
    </w:p>
    <w:p>
      <w:pPr>
        <w:spacing w:after="0" w:line="75" w:lineRule="exact"/>
        <w:rPr>
          <w:rFonts w:ascii="Arial" w:cs="Arial" w:eastAsia="Arial" w:hAnsi="Arial"/>
          <w:sz w:val="18"/>
          <w:szCs w:val="18"/>
          <w:color w:val="auto"/>
        </w:rPr>
      </w:pPr>
    </w:p>
    <w:p>
      <w:pPr>
        <w:jc w:val="both"/>
        <w:ind w:left="220" w:right="60" w:firstLine="419"/>
        <w:spacing w:after="0" w:line="259" w:lineRule="auto"/>
        <w:tabs>
          <w:tab w:leader="none" w:pos="8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is the surviving Person or the resulting, surviving or transferee Person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will be a Person organized or existing under the laws of an Applicable Jurisdiction and the Successor Company (if not the Issuer) will expressly assume all the obligations of the Issuer under the Notes, this Indenture and the Notes Security Documents pursuant to supplemental indentures or other documents and instruments;</w:t>
      </w:r>
    </w:p>
    <w:p>
      <w:pPr>
        <w:spacing w:after="0" w:line="78" w:lineRule="exact"/>
        <w:rPr>
          <w:rFonts w:ascii="Arial" w:cs="Arial" w:eastAsia="Arial" w:hAnsi="Arial"/>
          <w:sz w:val="18"/>
          <w:szCs w:val="18"/>
          <w:color w:val="auto"/>
        </w:rPr>
      </w:pPr>
    </w:p>
    <w:p>
      <w:pPr>
        <w:ind w:left="220" w:right="20" w:firstLine="419"/>
        <w:spacing w:after="0" w:line="311" w:lineRule="auto"/>
        <w:tabs>
          <w:tab w:leader="none" w:pos="89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w:t>
      </w:r>
    </w:p>
    <w:p>
      <w:pPr>
        <w:spacing w:after="0" w:line="40" w:lineRule="exact"/>
        <w:rPr>
          <w:rFonts w:ascii="Arial" w:cs="Arial" w:eastAsia="Arial" w:hAnsi="Arial"/>
          <w:sz w:val="16"/>
          <w:szCs w:val="16"/>
          <w:color w:val="auto"/>
        </w:rPr>
      </w:pPr>
    </w:p>
    <w:p>
      <w:pPr>
        <w:ind w:left="220" w:firstLine="419"/>
        <w:spacing w:after="0" w:line="257" w:lineRule="auto"/>
        <w:tabs>
          <w:tab w:leader="none" w:pos="8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immediately after giving pro forma effect to such transaction, either (a) the applicable Successor Company or the Issuer would be able to incur at least an additional $1.00 of Indebtedness pursuant to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hereof, (b) the Fixed Charge Coverage Ratio of the Issuer and its Restricted Subsidiaries would not be lower than it was immediately prior to giving effect to such transaction or (c) the Consolidated Total Net Leverage Ratio of the Issuer and its Restricted Subsidiaries would not be higher than it was immediately prior to giving effect to such transactions; and</w:t>
      </w:r>
    </w:p>
    <w:p>
      <w:pPr>
        <w:spacing w:after="0" w:line="79" w:lineRule="exact"/>
        <w:rPr>
          <w:rFonts w:ascii="Arial" w:cs="Arial" w:eastAsia="Arial" w:hAnsi="Arial"/>
          <w:sz w:val="18"/>
          <w:szCs w:val="18"/>
          <w:color w:val="auto"/>
        </w:rPr>
      </w:pPr>
    </w:p>
    <w:p>
      <w:pPr>
        <w:ind w:left="220" w:right="80" w:firstLine="419"/>
        <w:spacing w:after="0" w:line="301" w:lineRule="auto"/>
        <w:tabs>
          <w:tab w:leader="none" w:pos="89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Issuer shall have delivered to the Trustee an Officer’s Certificate and an Opinion of Counsel, each stating that such consolidation, merger or transfer and such supplemental indenture (if any) comply with this Indenture and an Opinion of Counsel stating that such supplemental indenture (if any) is a legal and binding agreement enforceable against the Successor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giving an Opinion of Counsel, counsel may rely on an Officer’s Certificate as to any matters of fact, including as to satisfaction of clauses (2) and (3) above.</w:t>
      </w:r>
    </w:p>
    <w:p>
      <w:pPr>
        <w:spacing w:after="0" w:line="49" w:lineRule="exact"/>
        <w:rPr>
          <w:rFonts w:ascii="Arial" w:cs="Arial" w:eastAsia="Arial" w:hAnsi="Arial"/>
          <w:sz w:val="16"/>
          <w:szCs w:val="16"/>
          <w:color w:val="auto"/>
        </w:rPr>
      </w:pPr>
    </w:p>
    <w:p>
      <w:pPr>
        <w:ind w:left="1660" w:hanging="260"/>
        <w:spacing w:after="0"/>
        <w:tabs>
          <w:tab w:leader="none" w:pos="16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180" w:firstLine="1400"/>
        <w:spacing w:after="0" w:line="263" w:lineRule="auto"/>
        <w:tabs>
          <w:tab w:leader="none" w:pos="16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Successor Company will succeed to, and be substituted for, and may exercise every right and power of, the Issuer under the Notes and this Indenture, and the Issuer will automatically and unconditionally be released and discharged from its obligations under the Notes and this Indenture.</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780"/>
          </w:cols>
          <w:pgMar w:left="660" w:top="274" w:right="459" w:bottom="1440" w:gutter="0" w:footer="0" w:header="0"/>
        </w:sectPr>
      </w:pPr>
    </w:p>
    <w:bookmarkStart w:id="136" w:name="page137"/>
    <w:bookmarkEnd w:id="136"/>
    <w:p>
      <w:pPr>
        <w:ind w:left="224" w:right="140" w:firstLine="1400"/>
        <w:spacing w:after="0" w:line="254" w:lineRule="auto"/>
        <w:tabs>
          <w:tab w:leader="none" w:pos="1882"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(i) the Issuer may consolidate or otherwise combine with or merge into or transfer all or substantially all or part of its properties and assets to one or more Guarantors, (ii) the Issuer may consolidate or otherwise combine with or merge into an Affiliate incorporated or organized for the purpose of changing the legal domicile of the Issuer, reincorporating the Issuer in another jurisdiction, or changing the legal form of the Issuer, (iii) the Issuer may complete any Permitted Tax Restructuring, (iv) the Issuer may consolidate or otherwise combine with or merge into or transfer all or substantially all or part of its properties and assets to any Person in connection with the Transactions and (v) any Permitted Investment and/or permitted disposition may be structured as a merger, consolidation or amalgamation.</w:t>
      </w:r>
    </w:p>
    <w:p>
      <w:pPr>
        <w:spacing w:after="0" w:line="86" w:lineRule="exact"/>
        <w:rPr>
          <w:rFonts w:ascii="Arial" w:cs="Arial" w:eastAsia="Arial" w:hAnsi="Arial"/>
          <w:sz w:val="18"/>
          <w:szCs w:val="18"/>
          <w:color w:val="auto"/>
        </w:rPr>
      </w:pPr>
    </w:p>
    <w:p>
      <w:pPr>
        <w:ind w:left="224" w:right="160" w:firstLine="1400"/>
        <w:spacing w:after="0" w:line="277" w:lineRule="auto"/>
        <w:tabs>
          <w:tab w:leader="none" w:pos="187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foregoing provisions shall not apply to the creation of a new Subsidiary as a Restricted Subsidiary. For the avoidance of doubt, notwithstanding anything else contained herein, any LLC Conversion shall be permitted under this Indenture.</w:t>
      </w:r>
    </w:p>
    <w:p>
      <w:pPr>
        <w:spacing w:after="0" w:line="62" w:lineRule="exact"/>
        <w:rPr>
          <w:rFonts w:ascii="Arial" w:cs="Arial" w:eastAsia="Arial" w:hAnsi="Arial"/>
          <w:sz w:val="18"/>
          <w:szCs w:val="18"/>
          <w:color w:val="auto"/>
        </w:rPr>
      </w:pPr>
    </w:p>
    <w:p>
      <w:pPr>
        <w:ind w:left="224" w:right="80" w:firstLine="1400"/>
        <w:spacing w:after="0" w:line="342" w:lineRule="auto"/>
        <w:tabs>
          <w:tab w:leader="none" w:pos="18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10.02(b)</w:t>
      </w:r>
      <w:r>
        <w:rPr>
          <w:rFonts w:ascii="Arial" w:cs="Arial" w:eastAsia="Arial" w:hAnsi="Arial"/>
          <w:sz w:val="16"/>
          <w:szCs w:val="16"/>
          <w:color w:val="auto"/>
        </w:rPr>
        <w:t>, on and following the Spin-Off Date, no Guarantor may consolidate with or merge with or into, or convey, transfer or lease all or substantially all of its assets, in one transaction or a series of related transactions, to any Person, unless:</w:t>
      </w:r>
    </w:p>
    <w:p>
      <w:pPr>
        <w:spacing w:after="0" w:line="16" w:lineRule="exact"/>
        <w:rPr>
          <w:sz w:val="20"/>
          <w:szCs w:val="20"/>
          <w:color w:val="auto"/>
        </w:rPr>
      </w:pPr>
    </w:p>
    <w:p>
      <w:pPr>
        <w:ind w:left="1424" w:right="80" w:firstLine="383"/>
        <w:spacing w:after="0" w:line="259" w:lineRule="auto"/>
        <w:rPr>
          <w:sz w:val="20"/>
          <w:szCs w:val="20"/>
          <w:color w:val="auto"/>
        </w:rPr>
      </w:pPr>
      <w:r>
        <w:rPr>
          <w:rFonts w:ascii="Arial" w:cs="Arial" w:eastAsia="Arial" w:hAnsi="Arial"/>
          <w:sz w:val="18"/>
          <w:szCs w:val="18"/>
          <w:color w:val="auto"/>
        </w:rPr>
        <w:t>(1)(a) the other Person is the Issuer or any Restricted Subsidiary that is a Guarantor or becomes a Guarantor concurrently with the transaction; or either (x) the Issuer or a Guarantor is the continuing Person or (y) the resulting, surviving or transferee Person expressly assumes all the obligations of the Guarantor under its Note Guarantee, the Notes Security Documents and this Indenture; and</w:t>
      </w:r>
    </w:p>
    <w:p>
      <w:pPr>
        <w:spacing w:after="0" w:line="7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(b) immediately after giving effect to the transaction, no Event of Default shall have occurred and be continuing; or</w:t>
      </w:r>
    </w:p>
    <w:p>
      <w:pPr>
        <w:spacing w:after="0" w:line="117" w:lineRule="exact"/>
        <w:rPr>
          <w:sz w:val="20"/>
          <w:szCs w:val="20"/>
          <w:color w:val="auto"/>
        </w:rPr>
      </w:pPr>
    </w:p>
    <w:p>
      <w:pPr>
        <w:ind w:left="1424" w:right="480" w:firstLine="391"/>
        <w:spacing w:after="0" w:line="263" w:lineRule="auto"/>
        <w:tabs>
          <w:tab w:leader="none" w:pos="206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transaction constitutes a sale, disposition or transfer of the Guarantor or the conveyance, transfer or lease of all or substantially all of the assets of the Guarantor (in each case other than to the Issuer or a Restricted Subsidiary) otherwise not prohibited by this Indenture.</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Notwithstanding any other provision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any Guarantor may (a) consolidate or otherwise combine with, merge into or transfer all or part of its properties and assets to another Guarantor or the Issuer, (b) consolidate or otherwise combine with or merge into an Affiliate (i) organized or existing under the laws of an Applicable Jurisdiction or (ii)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Issuer determines in good faith that such action is in the best interests of the Issuer, (e) complete any Permitted Tax Restructuring, (f) consolidate or otherwise combine with, merge into or otherwise transfer all or party of its properties and assets to (upon voluntary liquidation or otherwise) any Person if (x) such transaction is undertaken in good faith to improve the tax efficiency of any Parent Entity, the Issuer and/or any of its Subsidiaries and (y) after giving effect to such transaction, the value of the Guarantees, taken as a whole, is not materially impaired (as determined in good faith by the Issuer), (g) consolidate or otherwise combine with or merge into any Person in connection with the Transactions and</w:t>
      </w:r>
    </w:p>
    <w:p>
      <w:pPr>
        <w:spacing w:after="0" w:line="5" w:lineRule="exact"/>
        <w:rPr>
          <w:sz w:val="20"/>
          <w:szCs w:val="20"/>
          <w:color w:val="auto"/>
        </w:rPr>
      </w:pPr>
    </w:p>
    <w:p>
      <w:pPr>
        <w:ind w:left="4" w:right="100" w:hanging="4"/>
        <w:spacing w:after="0" w:line="255" w:lineRule="auto"/>
        <w:tabs>
          <w:tab w:leader="none" w:pos="25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consolidate with or merge with or into, or transfer all or part of its properties and assets to, any Person in connection with any Permitted Investment and/or permitted disposition. Notwithstanding anything to the contrary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Issuer may contribute Capital Stock of any or all of its Subsidiaries to any Guarantor.</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4"/>
          </w:cols>
          <w:pgMar w:left="436" w:top="274" w:right="479" w:bottom="1440" w:gutter="0" w:footer="0" w:header="0"/>
        </w:sectPr>
      </w:pPr>
    </w:p>
    <w:bookmarkStart w:id="137" w:name="page138"/>
    <w:bookmarkEnd w:id="137"/>
    <w:p>
      <w:pPr>
        <w:ind w:right="18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sale, lease or other disposition by the Issuer of any part of its assets shall not be deemed to constitute the sale, lease or other disposition of substantially all of its assets for purposes of this Indenture if the fair market value of the assets retained by the Issuer exceeds 100.0% of the aggregate principal amount of all outstanding Notes and any other outstanding Indebtedness of the Issuer that ranks equally with, or senior to, the Notes with respect to such assets. Such fair market value may, at the election of the Issuer, be established by the delivery to the Trustee of an independent expert’s certificate stating the independent expert’s opinion of such fair market value as of a date not more than 90 days before or after such sale, lease or other disposition. This paragraph is not intended to limit the Issuer’s sales, leases or other dispositions of less than substantially all of its assets.</w:t>
      </w:r>
    </w:p>
    <w:p>
      <w:pPr>
        <w:spacing w:after="0" w:line="164"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will not apply to the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REDEMPTION OF SECURITIES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Notices to Trustee</w:t>
      </w:r>
      <w:r>
        <w:rPr>
          <w:rFonts w:ascii="Arial" w:cs="Arial" w:eastAsia="Arial" w:hAnsi="Arial"/>
          <w:sz w:val="18"/>
          <w:szCs w:val="18"/>
          <w:color w:val="auto"/>
        </w:rPr>
        <w:t xml:space="preserve">. Except with respect to a Special Mandatory Redemption pursuant to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hereof, if the Issuer elects to redeem Notes pursuant to the optional redemption provisions of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hereof, it must furnish to the Trustee, at least 10 days but not more than 60 days before a redemption date, an Officer’s Certificate setting forth:</w:t>
      </w:r>
    </w:p>
    <w:p>
      <w:pPr>
        <w:spacing w:after="0" w:line="76" w:lineRule="exact"/>
        <w:rPr>
          <w:sz w:val="20"/>
          <w:szCs w:val="20"/>
          <w:color w:val="auto"/>
        </w:rPr>
      </w:pPr>
    </w:p>
    <w:p>
      <w:pPr>
        <w:ind w:left="1120" w:hanging="261"/>
        <w:spacing w:after="0"/>
        <w:tabs>
          <w:tab w:leader="none" w:pos="112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to be redeemed;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Any optional redemption referenced in such Officer’s Certificate may be cancelled by the Issuer at any time prior to notice of redemption being sent to any Holder and thereafter shall be null and void.</w:t>
      </w:r>
    </w:p>
    <w:p>
      <w:pPr>
        <w:spacing w:after="0" w:line="170"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Selection of Notes to Be Redeemed or Purchased</w:t>
      </w:r>
      <w:r>
        <w:rPr>
          <w:rFonts w:ascii="Arial" w:cs="Arial" w:eastAsia="Arial" w:hAnsi="Arial"/>
          <w:sz w:val="16"/>
          <w:szCs w:val="16"/>
          <w:color w:val="auto"/>
        </w:rPr>
        <w:t xml:space="preserve">. If less than all of the Notes are to be redeemed or purchased pursuant to </w:t>
      </w:r>
      <w:r>
        <w:rPr>
          <w:rFonts w:ascii="Arial" w:cs="Arial" w:eastAsia="Arial" w:hAnsi="Arial"/>
          <w:sz w:val="16"/>
          <w:szCs w:val="16"/>
          <w:u w:val="single" w:color="auto"/>
          <w:color w:val="auto"/>
        </w:rPr>
        <w:t>Section 5.07, Section 3.05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5.09</w:t>
      </w:r>
      <w:r>
        <w:rPr>
          <w:rFonts w:ascii="Arial" w:cs="Arial" w:eastAsia="Arial" w:hAnsi="Arial"/>
          <w:sz w:val="16"/>
          <w:szCs w:val="16"/>
          <w:color w:val="auto"/>
        </w:rPr>
        <w:t>, as applicable, the Trustee will select Notes for redemption or purchase (a) in compliance with the requirements of the principal securities exchange, if any, on which the Notes are listed, as certified to the Trustee by the Issuer, and otherwise in compliance with the requirements of DTC, or (b) if the Notes are not so listed or such exchange prescribes no method of selection and the Notes are not held through DTC or DTC prescribes no method of selection, on a pro rata basis or by lot (subject to adjustments to maintain the authorized Notes denomination requirements and to any applicable policies and procedures of DTC), except if otherwise required by law.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38" w:name="page139"/>
    <w:bookmarkEnd w:id="138"/>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partial redemption, the particular Notes to be redeemed or purchased will be selected, unless otherwise provided herein, not less than 10 days nor more than 60 days prior to the redemption or purchase date by the Trustee from the outstanding Notes not previously called for redemption or purchase;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provide the Trustee with sufficient notice of such partial redemption to enable the Trustee to select the Notes for partial redemption.</w:t>
      </w:r>
    </w:p>
    <w:p>
      <w:pPr>
        <w:spacing w:after="0" w:line="18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minimum principal amounts of $2,000 and whole multiples of $1,000 in excess of $2,000; except that if all of the Notes of a Holder are to be redeemed or purchased, the entire outstanding amount of Notes held by such Holder, even if not in a minimum principal amount of $2,000 or a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Notice of Redemption</w:t>
      </w:r>
      <w:r>
        <w:rPr>
          <w:rFonts w:ascii="Arial" w:cs="Arial" w:eastAsia="Arial" w:hAnsi="Arial"/>
          <w:sz w:val="17"/>
          <w:szCs w:val="17"/>
          <w:color w:val="auto"/>
        </w:rPr>
        <w:t xml:space="preserve">. Except with respect to a Special Mandatory Redemption pursuant to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hereof, at least 10 days but not more than 60 days before the redemption date, the Issuer will send or cause to be sent, by electronic delivery or by first-class mail postage prepaid, a notice of redemption to each Holder (with a copy to the Trustee) whose Notes are to be redeemed at the address of such Holder appearing in the security register or otherwise in accordance with the applicable procedures of DTC, except that redemption notices may be delivered electronically or mailed more than 60 days prior to a redemption date if the notice is issued in connection with a defeasance of the Notes or a satisfaction and discharge of this Indenture pursuant to </w:t>
      </w:r>
      <w:r>
        <w:rPr>
          <w:rFonts w:ascii="Arial" w:cs="Arial" w:eastAsia="Arial" w:hAnsi="Arial"/>
          <w:sz w:val="17"/>
          <w:szCs w:val="17"/>
          <w:u w:val="single" w:color="auto"/>
          <w:color w:val="auto"/>
        </w:rPr>
        <w:t>Articles VIII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hereto. Other than the timing, notices of a Special Mandatory Redemption shall be given to Holders in the same manner as notices of redemption.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will identify the Notes (including the CUSIP or ISIN number) to be redeemed and will state:</w:t>
      </w:r>
    </w:p>
    <w:p>
      <w:pPr>
        <w:spacing w:after="0" w:line="117" w:lineRule="exact"/>
        <w:rPr>
          <w:sz w:val="20"/>
          <w:szCs w:val="20"/>
          <w:color w:val="auto"/>
        </w:rPr>
      </w:pPr>
    </w:p>
    <w:p>
      <w:pPr>
        <w:ind w:left="1120" w:hanging="261"/>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139" w:name="page140"/>
    <w:bookmarkEnd w:id="139"/>
    <w:p>
      <w:pPr>
        <w:ind w:left="1120" w:hanging="261"/>
        <w:spacing w:after="0"/>
        <w:tabs>
          <w:tab w:leader="none" w:pos="11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paragraph of the Notes and/or Section of this Indenture pursuant to which the Notes called for redemption are being redeemed; and</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At the Issuer’s request, the Trustee will give the notice of redemption in the Issuer’s name and at its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Issuer has delivered to the Trustee, at least three (3) Business Days (or if any of the Notes to be redeemed are in definitive form, five (5) Business Days) prior to the date on which the notice of redemption is to be sent (or such shorter period as the Trustee may agree), an Officer’s Certificate requesting that the Trustee give such notice and setting forth the information to be stated in such notice as provided in the preceding paragraph (which may be the Officer’s Certificate referenced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8" w:lineRule="exact"/>
        <w:rPr>
          <w:sz w:val="20"/>
          <w:szCs w:val="20"/>
          <w:color w:val="auto"/>
        </w:rPr>
      </w:pPr>
    </w:p>
    <w:p>
      <w:pPr>
        <w:jc w:val="both"/>
        <w:ind w:right="60" w:firstLine="440"/>
        <w:spacing w:after="0" w:line="259" w:lineRule="auto"/>
        <w:rPr>
          <w:sz w:val="20"/>
          <w:szCs w:val="20"/>
          <w:color w:val="auto"/>
        </w:rPr>
      </w:pPr>
      <w:r>
        <w:rPr>
          <w:rFonts w:ascii="Arial" w:cs="Arial" w:eastAsia="Arial" w:hAnsi="Arial"/>
          <w:sz w:val="18"/>
          <w:szCs w:val="18"/>
          <w:color w:val="auto"/>
        </w:rPr>
        <w:t>The Issuer may redeem the Notes pursuant to one or more of the relevant provisions of this Indenture, and a single notice of redemption may be delivered with respect to redemptions made pursuant to different provisions. Any such notice may provide that redemptions made pursuant to different provisions may have different redemption dates or may specify the order in which redemptions taking place on the same redemption date are deemed to occur.</w:t>
      </w:r>
    </w:p>
    <w:p>
      <w:pPr>
        <w:spacing w:after="0" w:line="18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Notice of any redemption of the Notes may, at the Issuer’s discretion, be given prior to the completion of a transaction (including an Equity Offering, an incurrence of Indebtedness, a Change of Control or other transaction) and any redemption notice may, at the Issuer’s discretion, be subject to one or more conditions precedent, including, but not limited to, completion of a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5.04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Deposit of Redemption or Purchase Price</w:t>
      </w:r>
      <w:r>
        <w:rPr>
          <w:rFonts w:ascii="Arial" w:cs="Arial" w:eastAsia="Arial" w:hAnsi="Arial"/>
          <w:sz w:val="17"/>
          <w:szCs w:val="17"/>
          <w:color w:val="auto"/>
        </w:rPr>
        <w:t>. Prior to 11:00 a.m. New York City time on the redemption or purchase date, the Issuer will deposit with the Trustee or with the Paying Agent money sufficient to pay the redemption or purchase price of and accrued interest, if any, on all Notes to be redeemed or purchased on that date. The Trustee or the Paying Agent will promptly return, on or following the applicable redemption or repurchase date, to the Issuer any money deposited with the Trustee or the Paying Agent by the Issuer in excess of the amounts necessary to pay the redemption or purchase price of, and accrued interest, if any, on all Notes to be redeemed or purchased.</w:t>
      </w:r>
    </w:p>
    <w:p>
      <w:pPr>
        <w:spacing w:after="0" w:line="17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If the Issuer complies with the provisions of the preceding paragraph, on and after the applicable redemption or purchase date, interest will cease to accrue on the Notes or the portions of Notes called for redemption or purchase. If a Note is redeemed or purchased on or after a record date but before the corresponding interest payment date, then any accrued and unpaid interest, if any, to, but excluding, the redemption date or purchase date shall be paid on the applicable redemption date or purchase date to the Person in whose name such Note was registered at the close of business on such record date in accordance with the applicable procedures of DTC. If any Note called for redemption or purchase is not so paid upon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80"/>
          </w:cols>
          <w:pgMar w:left="440" w:top="274" w:right="479" w:bottom="1440" w:gutter="0" w:footer="0" w:header="0"/>
        </w:sectPr>
      </w:pPr>
    </w:p>
    <w:bookmarkStart w:id="140" w:name="page141"/>
    <w:bookmarkEnd w:id="14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hereof.</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Notes Redeemed or Purchased in Part</w:t>
      </w:r>
      <w:r>
        <w:rPr>
          <w:rFonts w:ascii="Arial" w:cs="Arial" w:eastAsia="Arial" w:hAnsi="Arial"/>
          <w:sz w:val="18"/>
          <w:szCs w:val="18"/>
          <w:color w:val="auto"/>
        </w:rPr>
        <w:t xml:space="preserve">. Upon surrender of a Note issued in physical form that is redeemed or purchased in part, the Issuer will issue and the Trustee will authenticate for the Holder at the expense of the Issuer a new Note equal in principal amount to the unredeemed or unpurchased portion of the Note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minimum principal amount of $2,000 or integral multiple of $1,000 in excess thereof.</w:t>
      </w:r>
    </w:p>
    <w:p>
      <w:pPr>
        <w:spacing w:after="0" w:line="187"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 xml:space="preserve">In the case of a Note issued as a global note, an appropriate notation will be made on such Note to decrease the principal amount thereof to an amount equal to the unredeemed portion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unredeemed portion thereof will be in a minimum principal amount of $2,000 or integral multiple of $1,000 in excess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860" w:hanging="240"/>
        <w:spacing w:after="0"/>
        <w:tabs>
          <w:tab w:leader="none" w:pos="18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At any time on or prior to February 15, 2027, the Issuer may not redeem the Notes at its option.</w:t>
      </w:r>
    </w:p>
    <w:p>
      <w:pPr>
        <w:spacing w:after="0" w:line="117" w:lineRule="exact"/>
        <w:rPr>
          <w:rFonts w:ascii="Arial" w:cs="Arial" w:eastAsia="Arial" w:hAnsi="Arial"/>
          <w:sz w:val="18"/>
          <w:szCs w:val="18"/>
          <w:color w:val="auto"/>
        </w:rPr>
      </w:pPr>
    </w:p>
    <w:p>
      <w:pPr>
        <w:ind w:left="220" w:right="20" w:firstLine="1400"/>
        <w:spacing w:after="0" w:line="273" w:lineRule="auto"/>
        <w:tabs>
          <w:tab w:leader="none" w:pos="187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At any time and from time to time after February 15, 2027, the Issuer may redeem the Notes, in whole or in part, upon at least 10 but not more than 60 days’ prior notice, with a copy to the Trustee, to each Holder of Notes to the address of such Holder appearing in the Notes Register at a redemption price equal to the percentage of the principal amount of the Notes to be redeemed as set forth in the table below, plus accrued and unpaid interest, if any, to, but excluding the applicable date of redemption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subject to the right of Holders of record of the Notes on the relevant record date to receive interest due on the relevant interest payment date, if redeemed during the twelve-month period beginning on February 15 of each of the years indicated in the table below:</w:t>
      </w:r>
    </w:p>
    <w:p>
      <w:pPr>
        <w:spacing w:after="0" w:line="201"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6"/>
              </w:rPr>
              <w:t>101.250%</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2028 and thereafter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right="140" w:firstLine="1400"/>
        <w:spacing w:after="0" w:line="269" w:lineRule="auto"/>
        <w:tabs>
          <w:tab w:leader="none" w:pos="186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Notwithstanding the foregoing, in connection with any tender offer for the Notes, including a Change of Control Offer or Asset Disposition Offer, if Holders of not less than 90.0% in aggregate principal amount of the outstanding Notes validly tender and do not validly withdraw such Notes in such tender offer and the Issuer, or any third party making such tender offer in lieu of the Issuer, purchases all of the Notes validly tendered and not validly withdrawn by such Holders, the Issuer or such third party shall have the right upon at least 10 but not more than 60 days’ prior notice, with a copy to the Trustee, to each Holder of Notes to the address of such Holder appearing in the Notes Register,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 of the aggregate principal amount of the outstanding Notes have validly tendered and not validly withdrawn such Notes in a tender offer, including a Change of Control Offer or Asset Disposition Offer, Notes owned by the Issuer or its Affiliates or by funds controlled or managed by any Affiliate of the Issuer, or any successor thereof, shall be deemed to be outstanding for the purposes of such tender offer.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60"/>
          </w:cols>
          <w:pgMar w:left="440" w:top="274" w:right="499" w:bottom="1440" w:gutter="0" w:footer="0" w:header="0"/>
        </w:sectPr>
      </w:pPr>
    </w:p>
    <w:bookmarkStart w:id="141" w:name="page142"/>
    <w:bookmarkEnd w:id="141"/>
    <w:p>
      <w:pPr>
        <w:ind w:left="220" w:right="20" w:firstLine="1400"/>
        <w:spacing w:after="0" w:line="277" w:lineRule="auto"/>
        <w:tabs>
          <w:tab w:leader="none" w:pos="1878"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Issuer defaults in the payment of the redemption price, interest will cease to accrue on the Notes or portions thereof called for redemption on the applicable Redemption Date.</w:t>
      </w:r>
    </w:p>
    <w:p>
      <w:pPr>
        <w:spacing w:after="0" w:line="62" w:lineRule="exact"/>
        <w:rPr>
          <w:rFonts w:ascii="Arial" w:cs="Arial" w:eastAsia="Arial" w:hAnsi="Arial"/>
          <w:sz w:val="18"/>
          <w:szCs w:val="18"/>
          <w:color w:val="auto"/>
        </w:rPr>
      </w:pPr>
    </w:p>
    <w:p>
      <w:pPr>
        <w:ind w:left="1860" w:hanging="240"/>
        <w:spacing w:after="0"/>
        <w:tabs>
          <w:tab w:leader="none" w:pos="18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Any redemption pursuant to this </w:t>
      </w:r>
      <w:r>
        <w:rPr>
          <w:rFonts w:ascii="Arial" w:cs="Arial" w:eastAsia="Arial" w:hAnsi="Arial"/>
          <w:sz w:val="17"/>
          <w:szCs w:val="17"/>
          <w:u w:val="single" w:color="auto"/>
          <w:color w:val="auto"/>
        </w:rPr>
        <w:t>Section 5.07</w:t>
      </w:r>
      <w:r>
        <w:rPr>
          <w:rFonts w:ascii="Arial" w:cs="Arial" w:eastAsia="Arial" w:hAnsi="Arial"/>
          <w:sz w:val="17"/>
          <w:szCs w:val="17"/>
          <w:color w:val="auto"/>
        </w:rPr>
        <w:t xml:space="preserve"> shall be made pursuant to the provisions of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5.06</w:t>
      </w:r>
      <w:r>
        <w:rPr>
          <w:rFonts w:ascii="Arial" w:cs="Arial" w:eastAsia="Arial" w:hAnsi="Arial"/>
          <w:sz w:val="17"/>
          <w:szCs w:val="17"/>
          <w:color w:val="auto"/>
        </w:rPr>
        <w:t>.</w:t>
      </w:r>
    </w:p>
    <w:p>
      <w:pPr>
        <w:spacing w:after="0" w:line="23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Mandatory Redemption</w:t>
      </w:r>
      <w:r>
        <w:rPr>
          <w:rFonts w:ascii="Arial" w:cs="Arial" w:eastAsia="Arial" w:hAnsi="Arial"/>
          <w:sz w:val="17"/>
          <w:szCs w:val="17"/>
          <w:color w:val="auto"/>
        </w:rPr>
        <w:t xml:space="preserve">. Except as described under </w:t>
      </w:r>
      <w:r>
        <w:rPr>
          <w:rFonts w:ascii="Arial" w:cs="Arial" w:eastAsia="Arial" w:hAnsi="Arial"/>
          <w:sz w:val="17"/>
          <w:szCs w:val="17"/>
          <w:u w:val="single" w:color="auto"/>
          <w:color w:val="auto"/>
        </w:rPr>
        <w:t>Section 5.09</w:t>
      </w:r>
      <w:r>
        <w:rPr>
          <w:rFonts w:ascii="Arial" w:cs="Arial" w:eastAsia="Arial" w:hAnsi="Arial"/>
          <w:sz w:val="17"/>
          <w:szCs w:val="17"/>
          <w:color w:val="auto"/>
        </w:rPr>
        <w:t xml:space="preserve">, the Issuer is not required to make mandatory redemption or sinking fund payments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under certain circumstances, the Issuer may be required to offer to purchase Notes under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3.09</w:t>
      </w:r>
      <w:r>
        <w:rPr>
          <w:rFonts w:ascii="Arial" w:cs="Arial" w:eastAsia="Arial" w:hAnsi="Arial"/>
          <w:sz w:val="17"/>
          <w:szCs w:val="17"/>
          <w:color w:val="auto"/>
        </w:rPr>
        <w:t>. As market conditions warrant, the Issuer and its equity holders, its respective Affiliates and members of its management, may from time to time seek to purchase its outstanding debt securities or loans, including the Notes, in privately negotiated or open market transactions (which may be below par), by tender offer or otherwise.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Special Mandatory Redemption</w:t>
      </w:r>
      <w:r>
        <w:rPr>
          <w:rFonts w:ascii="Arial" w:cs="Arial" w:eastAsia="Arial" w:hAnsi="Arial"/>
          <w:sz w:val="18"/>
          <w:szCs w:val="18"/>
          <w:color w:val="auto"/>
        </w:rPr>
        <w:t>.</w:t>
      </w:r>
    </w:p>
    <w:p>
      <w:pPr>
        <w:spacing w:after="0" w:line="117" w:lineRule="exact"/>
        <w:rPr>
          <w:sz w:val="20"/>
          <w:szCs w:val="20"/>
          <w:color w:val="auto"/>
        </w:rPr>
      </w:pPr>
    </w:p>
    <w:p>
      <w:pPr>
        <w:ind w:left="1860" w:hanging="240"/>
        <w:spacing w:after="0"/>
        <w:tabs>
          <w:tab w:leader="none" w:pos="18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If (x) the Spin-Off is not consummated on or prior to 11:59 p.m. on August 5, 2022 (such date and time, the “</w:t>
      </w:r>
      <w:r>
        <w:rPr>
          <w:rFonts w:ascii="Arial" w:cs="Arial" w:eastAsia="Arial" w:hAnsi="Arial"/>
          <w:sz w:val="16"/>
          <w:szCs w:val="16"/>
          <w:u w:val="single" w:color="auto"/>
          <w:color w:val="auto"/>
        </w:rPr>
        <w:t>Outside Date</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220" w:right="140" w:hanging="4"/>
        <w:spacing w:after="0" w:line="269" w:lineRule="auto"/>
        <w:tabs>
          <w:tab w:leader="none" w:pos="47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prior to the date of the consummation of the Spin-Off (the “</w:t>
      </w:r>
      <w:r>
        <w:rPr>
          <w:rFonts w:ascii="Arial" w:cs="Arial" w:eastAsia="Arial" w:hAnsi="Arial"/>
          <w:sz w:val="17"/>
          <w:szCs w:val="17"/>
          <w:u w:val="single" w:color="auto"/>
          <w:color w:val="auto"/>
        </w:rPr>
        <w:t>Spin-Off Date</w:t>
      </w:r>
      <w:r>
        <w:rPr>
          <w:rFonts w:ascii="Arial" w:cs="Arial" w:eastAsia="Arial" w:hAnsi="Arial"/>
          <w:sz w:val="17"/>
          <w:szCs w:val="17"/>
          <w:color w:val="auto"/>
        </w:rPr>
        <w:t>”), the Issuer notifies the Trustee in writing that BD does not expect to consummate the Spin-Off by the Outside Date, or (z) prior to the Spin-Off Date, BD has made a public announcement that it has determined not to proceed with the Spin-Off (the earliest date of any such event described in the foregoing clauses (x), (y), or (z) being the “</w:t>
      </w:r>
      <w:r>
        <w:rPr>
          <w:rFonts w:ascii="Arial" w:cs="Arial" w:eastAsia="Arial" w:hAnsi="Arial"/>
          <w:sz w:val="17"/>
          <w:szCs w:val="17"/>
          <w:u w:val="single" w:color="auto"/>
          <w:color w:val="auto"/>
        </w:rPr>
        <w:t>Special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then the Issuer shall redeem all of the Notes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at a special mandatory redemption price (the “</w:t>
      </w:r>
      <w:r>
        <w:rPr>
          <w:rFonts w:ascii="Arial" w:cs="Arial" w:eastAsia="Arial" w:hAnsi="Arial"/>
          <w:sz w:val="17"/>
          <w:szCs w:val="17"/>
          <w:u w:val="single" w:color="auto"/>
          <w:color w:val="auto"/>
        </w:rPr>
        <w:t>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Mandatory Redemption Price</w:t>
      </w:r>
      <w:r>
        <w:rPr>
          <w:rFonts w:ascii="Arial" w:cs="Arial" w:eastAsia="Arial" w:hAnsi="Arial"/>
          <w:sz w:val="17"/>
          <w:szCs w:val="17"/>
          <w:color w:val="auto"/>
        </w:rPr>
        <w:t>”) equal to 100% of the aggregate principal amount of the Notes, plus accrued and unpaid interest on the Notes, if any, from the Issue Date to, but excluding, the Special Mandatory Redemption Date (as defined below), subject to the right of Holders of record on the relevant record date to receive interest due on the relevant interest payment date.</w:t>
      </w:r>
    </w:p>
    <w:p>
      <w:pPr>
        <w:spacing w:after="0" w:line="72" w:lineRule="exact"/>
        <w:rPr>
          <w:rFonts w:ascii="Arial" w:cs="Arial" w:eastAsia="Arial" w:hAnsi="Arial"/>
          <w:sz w:val="17"/>
          <w:szCs w:val="17"/>
          <w:color w:val="auto"/>
        </w:rPr>
      </w:pPr>
    </w:p>
    <w:p>
      <w:pPr>
        <w:ind w:left="220" w:firstLine="1400"/>
        <w:spacing w:after="0" w:line="270" w:lineRule="auto"/>
        <w:tabs>
          <w:tab w:leader="none" w:pos="187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Notice of a Special Mandatory Redemption shall be delivered by the Issuer electronically or, at the Issuer’s option, mailed by first-class mail by the Issuer substantially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no later than two (2) Business Days following the applicable Special Termination Date, to the Trustee and the Holders, and shall provide that the Notes shall be redeemed at the Special Mandatory Redemption Price on the third Business Day after such notice is given by the Issuer (such date, the “</w:t>
      </w:r>
      <w:r>
        <w:rPr>
          <w:rFonts w:ascii="Arial" w:cs="Arial" w:eastAsia="Arial" w:hAnsi="Arial"/>
          <w:sz w:val="17"/>
          <w:szCs w:val="17"/>
          <w:u w:val="single" w:color="auto"/>
          <w:color w:val="auto"/>
        </w:rPr>
        <w:t>Special Mandatory Redemption Date</w:t>
      </w:r>
      <w:r>
        <w:rPr>
          <w:rFonts w:ascii="Arial" w:cs="Arial" w:eastAsia="Arial" w:hAnsi="Arial"/>
          <w:sz w:val="17"/>
          <w:szCs w:val="17"/>
          <w:color w:val="auto"/>
        </w:rPr>
        <w:t>”) in accordance with the terms of this Indenture or otherwise in accordance with the applicable procedures of DTC. If funds sufficient to pay the applicable Special Mandatory Redemption Price in respect of the Notes to be redeemed on the Special Mandatory Redemption Date are deposited with the Trustee on or before such Special Mandatory Redemption Date, then the Notes to be redeemed shall cease to bear interest on and after the Special Mandatory Redemption Date. For the avoidance of doubt, the Issuer shall not be required to effect any Special Mandatory Redemption following the time of the consummation of the Spin-Off.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142" w:name="page143"/>
    <w:bookmarkEnd w:id="142"/>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auto"/>
        </w:rPr>
        <w:t>DEFAULTS AND REMEDIES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1240" w:hanging="252"/>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hereunder:</w:t>
      </w:r>
    </w:p>
    <w:p>
      <w:pPr>
        <w:spacing w:after="0" w:line="130" w:lineRule="exact"/>
        <w:rPr>
          <w:rFonts w:ascii="Arial" w:cs="Arial" w:eastAsia="Arial" w:hAnsi="Arial"/>
          <w:sz w:val="18"/>
          <w:szCs w:val="18"/>
          <w:color w:val="auto"/>
        </w:rPr>
      </w:pPr>
    </w:p>
    <w:p>
      <w:pPr>
        <w:ind w:left="1960" w:hanging="433"/>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continued for 30 days;</w:t>
      </w:r>
    </w:p>
    <w:p>
      <w:pPr>
        <w:spacing w:after="0" w:line="130" w:lineRule="exact"/>
        <w:rPr>
          <w:rFonts w:ascii="Arial" w:cs="Arial" w:eastAsia="Arial" w:hAnsi="Arial"/>
          <w:sz w:val="18"/>
          <w:szCs w:val="18"/>
          <w:color w:val="auto"/>
        </w:rPr>
      </w:pPr>
    </w:p>
    <w:p>
      <w:pPr>
        <w:ind w:left="1960" w:right="280" w:hanging="433"/>
        <w:spacing w:after="0" w:line="342" w:lineRule="auto"/>
        <w:tabs>
          <w:tab w:leader="none" w:pos="196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29" w:lineRule="exact"/>
        <w:rPr>
          <w:rFonts w:ascii="Arial" w:cs="Arial" w:eastAsia="Arial" w:hAnsi="Arial"/>
          <w:sz w:val="16"/>
          <w:szCs w:val="16"/>
          <w:color w:val="auto"/>
        </w:rPr>
      </w:pPr>
    </w:p>
    <w:p>
      <w:pPr>
        <w:ind w:left="1960" w:hanging="433"/>
        <w:spacing w:after="0" w:line="257" w:lineRule="auto"/>
        <w:tabs>
          <w:tab w:leader="none" w:pos="19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failure by the Issuer or any Guarantor to comply for 60 days after written notice by the Trustee on behalf of the Holders or by the Holders of at least 30% in aggregate principal amount of the outstanding Notes with any agreement or obligation contained in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 failure to comply with this Indenture provisions described under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such period of continuance of such default or breach shall be 270 days after written notice described in this clause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has been given;</w:t>
      </w:r>
    </w:p>
    <w:p>
      <w:pPr>
        <w:spacing w:after="0" w:line="93" w:lineRule="exact"/>
        <w:rPr>
          <w:rFonts w:ascii="Arial" w:cs="Arial" w:eastAsia="Arial" w:hAnsi="Arial"/>
          <w:sz w:val="18"/>
          <w:szCs w:val="18"/>
          <w:color w:val="auto"/>
        </w:rPr>
      </w:pPr>
    </w:p>
    <w:p>
      <w:pPr>
        <w:ind w:left="1960" w:right="40" w:hanging="433"/>
        <w:spacing w:after="0" w:line="288" w:lineRule="auto"/>
        <w:tabs>
          <w:tab w:leader="none" w:pos="196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(x) prior to the BD Guarantee Release Date, (i) default by BD under and as defined in the Parent Guaranty Agreement, or (ii) the Parent Guaranty Agreement terminates or otherwise ceases to be effective other than in accordance with its terms, or (y) default under any mortgage, indenture or instrument under which there may be issued or by which there may be secured or evidenced any Indebtedness for money borrowed by the Issuer or any Material Subsidiary (or group of Restricted Subsidiaries that, taken together (as of the latest audited consolidated financial statements for the Issuer and its Restricted Subsidiaries) would constitute a Material Subsidiary) (or the payment of which is Guaranteed by the Issuer or any Material Subsidiary (or group of Restricted Subsidiaries that, taken together (as of the latest audited consolidated financial statements for the Issuer and its Restricted Subsidiaries) would constitute a Material Subsidiary)) other than Indebtedness owed to the Issuer or a Restricted Subsidiary whether such Indebtedness or Guarantee now exists, or is created after the date hereof, which default:</w:t>
      </w:r>
    </w:p>
    <w:p>
      <w:pPr>
        <w:spacing w:after="0" w:line="60" w:lineRule="exact"/>
        <w:rPr>
          <w:rFonts w:ascii="Arial" w:cs="Arial" w:eastAsia="Arial" w:hAnsi="Arial"/>
          <w:sz w:val="16"/>
          <w:szCs w:val="16"/>
          <w:color w:val="auto"/>
        </w:rPr>
      </w:pPr>
    </w:p>
    <w:p>
      <w:pPr>
        <w:ind w:left="1980" w:right="200" w:firstLine="343"/>
        <w:spacing w:after="0" w:line="277" w:lineRule="auto"/>
        <w:tabs>
          <w:tab w:leader="none" w:pos="2618"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is caused by a failure to pay principal of such Indebtedness, at its stated final maturity (after giving effect to any applicable grace periods) provided in such Indebtedness; or</w:t>
      </w:r>
    </w:p>
    <w:p>
      <w:pPr>
        <w:spacing w:after="0" w:line="62" w:lineRule="exact"/>
        <w:rPr>
          <w:rFonts w:ascii="Arial" w:cs="Arial" w:eastAsia="Arial" w:hAnsi="Arial"/>
          <w:sz w:val="18"/>
          <w:szCs w:val="18"/>
          <w:color w:val="auto"/>
        </w:rPr>
      </w:pPr>
    </w:p>
    <w:p>
      <w:pPr>
        <w:ind w:left="2600" w:hanging="277"/>
        <w:spacing w:after="0"/>
        <w:tabs>
          <w:tab w:leader="none" w:pos="260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stated final maturity;</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and, in each case with respect to this clause (y), the principal amount of any such Indebtedness, together with the principal amount of any other such Indebtedness under which there has been a payment default of principal at its stated final maturity (after giving effect to any applicable grace periods) or the maturity of which has been so accelerated, aggregates to an amount that is equal to or greater than the Threshold Amount (measured at the date of such non-payment or acceleration) or more at any one time outstanding;</w:t>
      </w:r>
    </w:p>
    <w:p>
      <w:pPr>
        <w:spacing w:after="0" w:line="77" w:lineRule="exact"/>
        <w:rPr>
          <w:sz w:val="20"/>
          <w:szCs w:val="20"/>
          <w:color w:val="auto"/>
        </w:rPr>
      </w:pPr>
    </w:p>
    <w:p>
      <w:pPr>
        <w:ind w:left="1960" w:right="200" w:hanging="433"/>
        <w:spacing w:after="0" w:line="286" w:lineRule="auto"/>
        <w:tabs>
          <w:tab w:leader="none" w:pos="19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failure by the Issuer or a Material Subsidiary (or group of Restricted Subsidiaries that, taken together (as of the latest audited consolidated financial statements for the Issuer and its Restricted Subsidiaries) would constitute a Material Subsidiary) to pay final judgments aggregating in excess of the Threshold Amount (measured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560"/>
          </w:cols>
          <w:pgMar w:left="880" w:top="270" w:right="459" w:bottom="1440" w:gutter="0" w:footer="0" w:header="0"/>
        </w:sectPr>
      </w:pPr>
    </w:p>
    <w:bookmarkStart w:id="143" w:name="page144"/>
    <w:bookmarkEnd w:id="143"/>
    <w:p>
      <w:pPr>
        <w:ind w:left="1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date of such judgment) other than any judgments covered by indemnities provided by, or insurance policies issued by, reputable and creditworthy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93" w:lineRule="exact"/>
        <w:rPr>
          <w:sz w:val="20"/>
          <w:szCs w:val="20"/>
          <w:color w:val="auto"/>
        </w:rPr>
      </w:pPr>
    </w:p>
    <w:p>
      <w:pPr>
        <w:ind w:left="1400" w:right="80" w:hanging="433"/>
        <w:spacing w:after="0" w:line="301" w:lineRule="auto"/>
        <w:tabs>
          <w:tab w:leader="none" w:pos="14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Guarantee of the Notes by a Material Subsidiary ceases to be in full force and effect, other than (A) in accordance with the terms of this Indenture, or (B) in connection with the bankruptcy of a Guarantor, so long as the aggregate assets of such Guarantor and any other Guarantor whose Note Guarantee ceased or ceases to be in full force as a result of a bankruptcy are less than the Threshold Amount (measured at the date of such bankruptcy);</w:t>
      </w:r>
    </w:p>
    <w:p>
      <w:pPr>
        <w:spacing w:after="0" w:line="62" w:lineRule="exact"/>
        <w:rPr>
          <w:rFonts w:ascii="Arial" w:cs="Arial" w:eastAsia="Arial" w:hAnsi="Arial"/>
          <w:sz w:val="16"/>
          <w:szCs w:val="16"/>
          <w:color w:val="auto"/>
        </w:rPr>
      </w:pPr>
    </w:p>
    <w:p>
      <w:pPr>
        <w:ind w:left="1400" w:right="120" w:hanging="433"/>
        <w:spacing w:after="0" w:line="263" w:lineRule="auto"/>
        <w:tabs>
          <w:tab w:leader="none" w:pos="14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Issuer or a Material Subsidiary (or any group of Restricted Subsidiaries that, taken together as of the latest audited consolidated financial statements of the Issuer and its Material Subsidiaries, would constitute a Material Subsidiary) pursuant to or within the meaning of any Bankruptcy Law:</w:t>
      </w:r>
    </w:p>
    <w:p>
      <w:pPr>
        <w:spacing w:after="0" w:line="75" w:lineRule="exact"/>
        <w:rPr>
          <w:rFonts w:ascii="Arial" w:cs="Arial" w:eastAsia="Arial" w:hAnsi="Arial"/>
          <w:sz w:val="18"/>
          <w:szCs w:val="18"/>
          <w:color w:val="auto"/>
        </w:rPr>
      </w:pPr>
    </w:p>
    <w:p>
      <w:pPr>
        <w:ind w:left="2060" w:hanging="297"/>
        <w:spacing w:after="0"/>
        <w:tabs>
          <w:tab w:leader="none" w:pos="20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2040" w:hanging="277"/>
        <w:spacing w:after="0"/>
        <w:tabs>
          <w:tab w:leader="none" w:pos="20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2040" w:hanging="277"/>
        <w:spacing w:after="0"/>
        <w:tabs>
          <w:tab w:leader="none" w:pos="20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substantially all of its property;</w:t>
      </w:r>
    </w:p>
    <w:p>
      <w:pPr>
        <w:spacing w:after="0" w:line="117" w:lineRule="exact"/>
        <w:rPr>
          <w:rFonts w:ascii="Arial" w:cs="Arial" w:eastAsia="Arial" w:hAnsi="Arial"/>
          <w:sz w:val="18"/>
          <w:szCs w:val="18"/>
          <w:color w:val="auto"/>
        </w:rPr>
      </w:pPr>
    </w:p>
    <w:p>
      <w:pPr>
        <w:ind w:left="2060" w:hanging="297"/>
        <w:spacing w:after="0"/>
        <w:tabs>
          <w:tab w:leader="none" w:pos="20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17" w:lineRule="exact"/>
        <w:rPr>
          <w:rFonts w:ascii="Arial" w:cs="Arial" w:eastAsia="Arial" w:hAnsi="Arial"/>
          <w:sz w:val="18"/>
          <w:szCs w:val="18"/>
          <w:color w:val="auto"/>
        </w:rPr>
      </w:pPr>
    </w:p>
    <w:p>
      <w:pPr>
        <w:ind w:left="2040" w:hanging="277"/>
        <w:spacing w:after="0"/>
        <w:tabs>
          <w:tab w:leader="none" w:pos="204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consents to or acquiesces in the institution of a bankruptcy or an insolvency proceeding against it; or</w:t>
      </w:r>
    </w:p>
    <w:p>
      <w:pPr>
        <w:spacing w:after="0" w:line="128" w:lineRule="exact"/>
        <w:rPr>
          <w:rFonts w:ascii="Arial" w:cs="Arial" w:eastAsia="Arial" w:hAnsi="Arial"/>
          <w:sz w:val="17"/>
          <w:szCs w:val="17"/>
          <w:color w:val="auto"/>
        </w:rPr>
      </w:pPr>
    </w:p>
    <w:p>
      <w:pPr>
        <w:ind w:left="2020" w:hanging="257"/>
        <w:spacing w:after="0"/>
        <w:tabs>
          <w:tab w:leader="none" w:pos="20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takes any comparable action under any foreign laws relating to insolvency;</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20" w:right="160" w:firstLine="343"/>
        <w:spacing w:after="0" w:line="263" w:lineRule="auto"/>
        <w:tabs>
          <w:tab w:leader="none" w:pos="205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is for relief against the Issuer or a Material Subsidiary (or any group of Restricted Subsidiaries that, taken together as of the latest audited consolidated financial statements for the Issuer and its Restricted Subsidiaries, would constitute a Material Subsidiary) in an involuntary case;</w:t>
      </w:r>
    </w:p>
    <w:p>
      <w:pPr>
        <w:spacing w:after="0" w:line="75" w:lineRule="exact"/>
        <w:rPr>
          <w:rFonts w:ascii="Arial" w:cs="Arial" w:eastAsia="Arial" w:hAnsi="Arial"/>
          <w:sz w:val="18"/>
          <w:szCs w:val="18"/>
          <w:color w:val="auto"/>
        </w:rPr>
      </w:pPr>
    </w:p>
    <w:p>
      <w:pPr>
        <w:ind w:left="1420" w:firstLine="343"/>
        <w:spacing w:after="0" w:line="263" w:lineRule="auto"/>
        <w:tabs>
          <w:tab w:leader="none" w:pos="204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appoints a Custodian of the Issuer or a Material Subsidiary (or any group of Restricted Subsidiaries that, taken together as of the latest audited consolidated financial statements for the Issuer and its Restricted Subsidiaries, would constitute a Material Subsidiary) for substantially all of its property; or</w:t>
      </w:r>
    </w:p>
    <w:p>
      <w:pPr>
        <w:spacing w:after="0" w:line="1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000"/>
          </w:cols>
          <w:pgMar w:left="1440" w:top="274" w:right="459" w:bottom="1440" w:gutter="0" w:footer="0" w:header="0"/>
        </w:sectPr>
      </w:pPr>
    </w:p>
    <w:bookmarkStart w:id="144" w:name="page145"/>
    <w:bookmarkEnd w:id="144"/>
    <w:p>
      <w:pPr>
        <w:jc w:val="both"/>
        <w:ind w:left="2420" w:right="640" w:firstLine="343"/>
        <w:spacing w:after="0" w:line="263" w:lineRule="auto"/>
        <w:tabs>
          <w:tab w:leader="none" w:pos="3049"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orders the winding up or liquidation of the Issuer or a Material Subsidiary (or any group of Restricted Subsidiaries that, taken together as of the latest audited consolidated financial statements for the Issuer and its Restricted Subsidiaries, would constitute a Material Subsidiary); or</w:t>
      </w:r>
    </w:p>
    <w:p>
      <w:pPr>
        <w:spacing w:after="0" w:line="76" w:lineRule="exact"/>
        <w:rPr>
          <w:sz w:val="20"/>
          <w:szCs w:val="20"/>
          <w:color w:val="auto"/>
        </w:rPr>
      </w:pPr>
    </w:p>
    <w:p>
      <w:pPr>
        <w:ind w:left="2420" w:right="120"/>
        <w:spacing w:after="0" w:line="277" w:lineRule="auto"/>
        <w:rPr>
          <w:sz w:val="20"/>
          <w:szCs w:val="20"/>
          <w:color w:val="auto"/>
        </w:rPr>
      </w:pPr>
      <w:r>
        <w:rPr>
          <w:rFonts w:ascii="Arial" w:cs="Arial" w:eastAsia="Arial" w:hAnsi="Arial"/>
          <w:sz w:val="18"/>
          <w:szCs w:val="18"/>
          <w:color w:val="auto"/>
        </w:rPr>
        <w:t>any similar relief is granted under any foreign laws and, in each case, the order, decree or relief remains unstayed and in effect for 60 consecutive days;</w:t>
      </w:r>
    </w:p>
    <w:p>
      <w:pPr>
        <w:spacing w:after="0" w:line="76" w:lineRule="exact"/>
        <w:rPr>
          <w:sz w:val="20"/>
          <w:szCs w:val="20"/>
          <w:color w:val="auto"/>
        </w:rPr>
      </w:pPr>
    </w:p>
    <w:p>
      <w:pPr>
        <w:ind w:left="2400" w:right="80" w:hanging="433"/>
        <w:spacing w:after="0" w:line="270" w:lineRule="auto"/>
        <w:tabs>
          <w:tab w:leader="none" w:pos="24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unless such Liens have been released in accordance with the provisions of this Indenture or the Notes Security Documents, Liens securing the Notes with respect to a material portion of the Collateral cease to be valid, perfected or enforceable, or the Issuer shall assert or any Guarantor shall assert, in any pleading in any court of competent jurisdiction, that any such Lien is invalid, unperfected or unenforceable and, in the case of any such Guarantor, the Issuer fail to cause such Guarantor to rescind such assertions within 30 days after the Issuer has actual knowledge of such assertions;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Event of Default shall occur under this clause (9) if the Issuer and the Guarantors cooperate with the Notes Collateral Agent to replace or perfect such Lien, such Lien is promptly replaced or perfected (as needed) and the rights, powers and privileges of the Holders are not materially adversely affected by such replacement or perfection; or</w:t>
      </w:r>
    </w:p>
    <w:p>
      <w:pPr>
        <w:spacing w:after="0" w:line="86" w:lineRule="exact"/>
        <w:rPr>
          <w:rFonts w:ascii="Arial" w:cs="Arial" w:eastAsia="Arial" w:hAnsi="Arial"/>
          <w:sz w:val="17"/>
          <w:szCs w:val="17"/>
          <w:color w:val="auto"/>
        </w:rPr>
      </w:pPr>
    </w:p>
    <w:p>
      <w:pPr>
        <w:ind w:left="2400" w:right="80" w:hanging="433"/>
        <w:spacing w:after="0" w:line="259" w:lineRule="auto"/>
        <w:tabs>
          <w:tab w:leader="none" w:pos="24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 the failure by the Issuer to timely deliver a notice of the special mandatory redemption, if applicable, and to pay the Special Mandatory Redemption Price on the Special Mandatory Redemption Date, as described above under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or (ii) failure by the Issuer or any Guarantor to perform or observe any term, covenant, or agreement as set forth under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Default under clause (3), (4)(y) or (5) above will not constitute an Event of Default until the Trustee or the Holders of at least 30%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outstanding Notes notify the Issuer in writing of the Default (with a copy to the Trustee if notice is given by the Holders)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clauses (3) and (5), the Issuer does not cure such Default within the time specified in clause (3) or (5) after receipt of such notice;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notice of Default may not be given with respect to any action taken, and reported publicly or to Holders and the Trustee, more than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prior to such notice of Default. Any notice of Default, notice of acceleration or instruction to the Trustee to provide a notice of Default, notice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acceleration or take any other action (a “</w:t>
      </w:r>
      <w:r>
        <w:rPr>
          <w:rFonts w:ascii="Arial" w:cs="Arial" w:eastAsia="Arial" w:hAnsi="Arial"/>
          <w:sz w:val="16"/>
          <w:szCs w:val="16"/>
          <w:u w:val="single" w:color="auto"/>
          <w:color w:val="auto"/>
        </w:rPr>
        <w:t>Noteholder Direction</w:t>
      </w:r>
      <w:r>
        <w:rPr>
          <w:rFonts w:ascii="Arial" w:cs="Arial" w:eastAsia="Arial" w:hAnsi="Arial"/>
          <w:sz w:val="16"/>
          <w:szCs w:val="16"/>
          <w:color w:val="auto"/>
        </w:rPr>
        <w:t>”) provided by any one or more Holders (each a “</w:t>
      </w:r>
      <w:r>
        <w:rPr>
          <w:rFonts w:ascii="Arial" w:cs="Arial" w:eastAsia="Arial" w:hAnsi="Arial"/>
          <w:sz w:val="16"/>
          <w:szCs w:val="16"/>
          <w:u w:val="single" w:color="auto"/>
          <w:color w:val="auto"/>
        </w:rPr>
        <w:t>Directing Holder</w:t>
      </w:r>
      <w:r>
        <w:rPr>
          <w:rFonts w:ascii="Arial" w:cs="Arial" w:eastAsia="Arial" w:hAnsi="Arial"/>
          <w:sz w:val="16"/>
          <w:szCs w:val="16"/>
          <w:color w:val="auto"/>
        </w:rPr>
        <w:t>”) shall be accompanied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written representation from each such Holder delivered to the Issuer and the Trustee that such Holder is not (or, in the case such Holder is DTC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nominee, that such Holder is being instructed solely by beneficial owners that have represented to such Holder that they are not) Net Short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Position Representation</w:t>
      </w:r>
      <w:r>
        <w:rPr>
          <w:rFonts w:ascii="Arial" w:cs="Arial" w:eastAsia="Arial" w:hAnsi="Arial"/>
          <w:sz w:val="16"/>
          <w:szCs w:val="16"/>
          <w:color w:val="auto"/>
        </w:rPr>
        <w:t>”), which representation, in the case of a Noteholder Direction relating to the delivery of a notice of Default shall be deemed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continuing representation until the resulting Event of Default is cured or otherwise ceases to exist or the Notes are accelerated. In addition,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Directing Holder shall be deemed, at the time of providing a Noteholder Direction, to covenant to provide the Issuer with such other information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Issuer may reasonably request from time to time in order to verify the accuracy of such Noteholder’s Position Representation within five (5)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of request therefor (a “</w:t>
      </w:r>
      <w:r>
        <w:rPr>
          <w:rFonts w:ascii="Arial" w:cs="Arial" w:eastAsia="Arial" w:hAnsi="Arial"/>
          <w:sz w:val="16"/>
          <w:szCs w:val="16"/>
          <w:u w:val="single" w:color="auto"/>
          <w:color w:val="auto"/>
        </w:rPr>
        <w:t>Verification Covenant</w:t>
      </w:r>
      <w:r>
        <w:rPr>
          <w:rFonts w:ascii="Arial" w:cs="Arial" w:eastAsia="Arial" w:hAnsi="Arial"/>
          <w:sz w:val="16"/>
          <w:szCs w:val="16"/>
          <w:color w:val="auto"/>
        </w:rPr>
        <w:t>”). In any case in which the Holder is DTC or its nominee, any Position Representation or Verification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Covenant required hereunder shall be provided by the beneficial owner of the Notes in lieu of DTC or its nominee and DTC shall be entitled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conclusively rely on such Position Representation and Verification Covenant in delivering its direction to the Trustee.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145" w:name="page146"/>
    <w:bookmarkEnd w:id="14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the Trustee have any liability or obligation to ascertain, monitor or inquire as to whether any Holder is Net Short and/or whether such Holder has delivered any Position Representation, Verification Covenant, Noteholder Direction, or any related certifications under this Indenture or in connection with the Notes or if any such Position Representation, Verification Covenant, Noteholder Direction, or any related certifications comply with this Indenture, the Notes, or any other document. It is understood and agreed that the Issuer and the Trustee shall be entitled to conclusively rely on each representation, deemed representation and certification made by, and covenant of, each beneficial owner provided for in this paragraph. Notwithstanding any other provision of this Indenture, the Notes or any other document, the provisions of this paragraph shall apply and survive with respect to each beneficial owner notwithstanding that any such Person may have ceased to be a beneficial owner, this Indenture may have been terminated or the Notes may have been redeemed in full.</w:t>
      </w:r>
    </w:p>
    <w:p>
      <w:pPr>
        <w:spacing w:after="0" w:line="178"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Event of Default shall be automatically stayed and the cure period with respect to such Default or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If, following the delivery of a Noteholder Direction, but prior to acceleration of the Notes, the Issuer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(other than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191"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w:t>
      </w:r>
    </w:p>
    <w:p>
      <w:pPr>
        <w:spacing w:after="0" w:line="14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connection with any Noteholder Direction or to determine whether or not any Holder has delivered any Position Representation, Verification Covenant, Noteholder Direction or any related certification or that such Position Representation, Verification Covenant, Noteholder Direction or any related certification conforms with this Indenture or any other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0"/>
          </w:cols>
          <w:pgMar w:left="440" w:top="274" w:right="479" w:bottom="1440" w:gutter="0" w:footer="0" w:header="0"/>
        </w:sectPr>
      </w:pPr>
    </w:p>
    <w:bookmarkStart w:id="146" w:name="page147"/>
    <w:bookmarkEnd w:id="146"/>
    <w:p>
      <w:pPr>
        <w:ind w:right="280" w:firstLine="436"/>
        <w:spacing w:after="0" w:line="286" w:lineRule="auto"/>
        <w:tabs>
          <w:tab w:leader="none" w:pos="6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Default for a failure to report or failure to deliver a required certificate in connection with another default (the “</w:t>
      </w:r>
      <w:r>
        <w:rPr>
          <w:rFonts w:ascii="Arial" w:cs="Arial" w:eastAsia="Arial" w:hAnsi="Arial"/>
          <w:sz w:val="17"/>
          <w:szCs w:val="17"/>
          <w:u w:val="single" w:color="auto"/>
          <w:color w:val="auto"/>
        </w:rPr>
        <w:t>Initial Default</w:t>
      </w:r>
      <w:r>
        <w:rPr>
          <w:rFonts w:ascii="Arial" w:cs="Arial" w:eastAsia="Arial" w:hAnsi="Arial"/>
          <w:sz w:val="17"/>
          <w:szCs w:val="17"/>
          <w:color w:val="auto"/>
        </w:rPr>
        <w:t>”) occurs, then at the time such Initial Default is cured or waived, as applicable, such Default for a failure to report or failure to deliver a required certificate in connection with another default that resulted solely because of that Initial Default shall also be cured without any further action.</w:t>
      </w:r>
    </w:p>
    <w:p>
      <w:pPr>
        <w:spacing w:after="0" w:line="165" w:lineRule="exact"/>
        <w:rPr>
          <w:rFonts w:ascii="Arial" w:cs="Arial" w:eastAsia="Arial" w:hAnsi="Arial"/>
          <w:sz w:val="17"/>
          <w:szCs w:val="17"/>
          <w:color w:val="auto"/>
        </w:rPr>
      </w:pPr>
    </w:p>
    <w:p>
      <w:pPr>
        <w:ind w:right="140" w:firstLine="436"/>
        <w:spacing w:after="0" w:line="311"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Default or Event of Default for the failure to comply with the time periods prescribed in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hereof or otherwise to deliver any notice or certificate pursuant to any other provision of this Indenture shall be deemed to be cured upon the delivery of any such report required by such provision or such notice or certificate, as applicable, even though such delivery is not within the prescribed period specified in this Indenture.</w:t>
      </w:r>
    </w:p>
    <w:p>
      <w:pPr>
        <w:spacing w:after="0" w:line="148"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time period provided in this Indenture to cure any actual or alleged Default or Event of Default may be extended or stayed by a court of competent jurisdiction.</w:t>
      </w:r>
    </w:p>
    <w:p>
      <w:pPr>
        <w:spacing w:after="0" w:line="170"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Acceleration</w:t>
      </w:r>
      <w:r>
        <w:rPr>
          <w:rFonts w:ascii="Arial" w:cs="Arial" w:eastAsia="Arial" w:hAnsi="Arial"/>
          <w:sz w:val="16"/>
          <w:szCs w:val="16"/>
          <w:color w:val="auto"/>
        </w:rPr>
        <w:t xml:space="preserve">. If any Event of Default (other than an Event of Default described in clause (7), (8) or (10)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with respect to the Issuer) occurs and is continuing, the Trustee by written notice to the Issuer or the Holders of at least 30% in principal amount of the outstanding Notes by written notice to the Issuer and the Trustee, may declare the principal of and accrued and unpaid interest, if any, on all the Notes to be due and payable. Upon such a declaration, such principal and accrued and unpaid interest, if any, will be due and payable immediately.</w:t>
      </w:r>
    </w:p>
    <w:p>
      <w:pPr>
        <w:spacing w:after="0" w:line="15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In the event of any declaration of acceleration of the Notes due to an Event of Default specified in clause (4)(y) of </w:t>
      </w:r>
      <w:r>
        <w:rPr>
          <w:rFonts w:ascii="Arial" w:cs="Arial" w:eastAsia="Arial" w:hAnsi="Arial"/>
          <w:sz w:val="18"/>
          <w:szCs w:val="18"/>
          <w:u w:val="single" w:color="auto"/>
          <w:color w:val="auto"/>
        </w:rPr>
        <w:t>Section 6.01(a)</w:t>
      </w:r>
      <w:r>
        <w:rPr>
          <w:rFonts w:ascii="Arial" w:cs="Arial" w:eastAsia="Arial" w:hAnsi="Arial"/>
          <w:sz w:val="18"/>
          <w:szCs w:val="18"/>
          <w:color w:val="auto"/>
        </w:rPr>
        <w:t>, such Event of Default and all consequences thereof shall be annulled, waived and rescinded, automatically and without any action by the Trustee or the Holders, if within 30 days after the declaration of acceleration with respect thereto:</w:t>
      </w:r>
    </w:p>
    <w:p>
      <w:pPr>
        <w:spacing w:after="0" w:line="76" w:lineRule="exact"/>
        <w:rPr>
          <w:sz w:val="20"/>
          <w:szCs w:val="20"/>
          <w:color w:val="auto"/>
        </w:rPr>
      </w:pPr>
    </w:p>
    <w:p>
      <w:pPr>
        <w:ind w:left="1120" w:hanging="261"/>
        <w:spacing w:after="0"/>
        <w:tabs>
          <w:tab w:leader="none" w:pos="11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(x) the Indebtedness that gave rise to such Event of Default shall have been discharged in full; or</w:t>
      </w:r>
    </w:p>
    <w:p>
      <w:pPr>
        <w:spacing w:after="0" w:line="117" w:lineRule="exact"/>
        <w:rPr>
          <w:rFonts w:ascii="Arial" w:cs="Arial" w:eastAsia="Arial" w:hAnsi="Arial"/>
          <w:sz w:val="18"/>
          <w:szCs w:val="18"/>
          <w:color w:val="auto"/>
        </w:rPr>
      </w:pPr>
    </w:p>
    <w:p>
      <w:pPr>
        <w:ind w:right="160" w:firstLine="1098"/>
        <w:spacing w:after="0" w:line="277" w:lineRule="auto"/>
        <w:tabs>
          <w:tab w:leader="none" w:pos="135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holders of such Indebtedness have rescinded or waived the acceleration, notice or action (as the case may be) giving rise to such Event of Default; or</w:t>
      </w:r>
    </w:p>
    <w:p>
      <w:pPr>
        <w:spacing w:after="0" w:line="62" w:lineRule="exact"/>
        <w:rPr>
          <w:rFonts w:ascii="Arial" w:cs="Arial" w:eastAsia="Arial" w:hAnsi="Arial"/>
          <w:sz w:val="18"/>
          <w:szCs w:val="18"/>
          <w:color w:val="auto"/>
        </w:rPr>
      </w:pPr>
    </w:p>
    <w:p>
      <w:pPr>
        <w:ind w:left="1340" w:hanging="242"/>
        <w:spacing w:after="0"/>
        <w:tabs>
          <w:tab w:leader="none" w:pos="13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default that is the basis for such Event of Default has been cured;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annulment of the acceleration of the Notes would not conflict with any judgment or decree of a court of competent jurisdiction.</w:t>
      </w:r>
    </w:p>
    <w:p>
      <w:pPr>
        <w:spacing w:after="0" w:line="23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If an Event of Default described in clause (7), (8) or (10)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with respect to the Issuer occurs and is continuing, the principal of and accrued and unpaid interest, if any, on all the Notes will become and be immediately due and payable without any declaration or other act on the part of the Trustee or any Holders.</w:t>
      </w:r>
    </w:p>
    <w:p>
      <w:pPr>
        <w:spacing w:after="0" w:line="184" w:lineRule="exact"/>
        <w:rPr>
          <w:sz w:val="20"/>
          <w:szCs w:val="20"/>
          <w:color w:val="auto"/>
        </w:rPr>
      </w:pPr>
    </w:p>
    <w:p>
      <w:pPr>
        <w:jc w:val="both"/>
        <w:ind w:right="180" w:firstLine="991"/>
        <w:spacing w:after="0" w:line="286"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Other Remedies</w:t>
      </w:r>
      <w:r>
        <w:rPr>
          <w:rFonts w:ascii="Arial" w:cs="Arial" w:eastAsia="Arial" w:hAnsi="Arial"/>
          <w:sz w:val="17"/>
          <w:szCs w:val="17"/>
          <w:color w:val="auto"/>
        </w:rPr>
        <w:t>. If an Event of Default occurs and is continuing, the Trustee and the Notes Collateral Agent may pursue any available remedy by proceeding at law or in equity to collect the payment of principal of, or premium, if any, or interest, if any, on the Notes or to enforce the performance of any provision of the Notes, this Indenture or the Notes Security Documents.</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Trustee and the Notes Collateral Agent may maintain a proceeding even if it does not possess any of the Notes or does not produce any of them in the proceeding. A delay or omission by the Trustee, the Notes Collateral Agent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47" w:name="page148"/>
    <w:bookmarkEnd w:id="147"/>
    <w:p>
      <w:pPr>
        <w:ind w:left="4"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 xml:space="preserve">. The Holders of a majority in aggregate principal amount of the then outstanding Notes by written notice to the Trustee may, on behalf of all of the Holders, (a) waive, by their consent (including, without limitation, consents obtained in connection with a purchase of, or tender offer or exchange offer for, Notes), any past or existing Default or Event of Default and its consequences under this Indenture except (i) a Default or Event of Default in the payment of the principal of, or interest, on a Note or (ii) a Default or Event of Default in respect of a provision that under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cannot be amended or waived without the consent of each Holder affected and (b) rescind any acceleration with respect to the Notes and its consequences if (1) such rescission would not conflict with any judgment or decree of a court of competent jurisdiction,</w:t>
      </w:r>
    </w:p>
    <w:p>
      <w:pPr>
        <w:spacing w:after="0" w:line="4" w:lineRule="exact"/>
        <w:rPr>
          <w:sz w:val="20"/>
          <w:szCs w:val="20"/>
          <w:color w:val="auto"/>
        </w:rPr>
      </w:pPr>
    </w:p>
    <w:p>
      <w:pPr>
        <w:ind w:left="4" w:right="100" w:hanging="4"/>
        <w:spacing w:after="0" w:line="268" w:lineRule="auto"/>
        <w:tabs>
          <w:tab w:leader="none" w:pos="2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all existing Events of Default have been cured or waived except nonpayment of principal, premium, if any, or interest, if any, that has become due solely because of the acceleration, (3) to the extent the payment of such interest is lawful, interest on overdue installments of interest and overdue principal, which has become due otherwise than by such declaration of acceleration, has been paid, (4) the Issuer has paid the Trustee its compensation and reimbursed the Trustee for its reasonable expenses, disbursements and advances and (5) in the event of the cure or waiver of an Event of Default of the type described in clause (4)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the Trustee shall have received an Officer’s Certificate and an Opinion of Counsel stating that such Event of Default has been cured or waived. No such rescission shall affect any subsequent Default or impair any right consequent thereto. When a Default or Event of Default is waived, it is deemed cured, but no such waiver shall extend to any subsequent or other Default or Event of Default or impair any consequent right except as provided in </w:t>
      </w:r>
      <w:r>
        <w:rPr>
          <w:rFonts w:ascii="Arial" w:cs="Arial" w:eastAsia="Arial" w:hAnsi="Arial"/>
          <w:sz w:val="17"/>
          <w:szCs w:val="17"/>
          <w:u w:val="single" w:color="auto"/>
          <w:color w:val="auto"/>
        </w:rPr>
        <w:t>Section 6.01(b)</w:t>
      </w:r>
      <w:r>
        <w:rPr>
          <w:rFonts w:ascii="Arial" w:cs="Arial" w:eastAsia="Arial" w:hAnsi="Arial"/>
          <w:sz w:val="17"/>
          <w:szCs w:val="17"/>
          <w:color w:val="auto"/>
        </w:rPr>
        <w:t>.</w:t>
      </w:r>
    </w:p>
    <w:p>
      <w:pPr>
        <w:spacing w:after="0" w:line="183"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xml:space="preserve">. The Holders of a majority in aggregate principal amount of the outstanding Notes may direct the time, method and place of conducting any proceeding for any remedy available to the Trustee or the Notes Collateral Agent or of exercising any trust or power conferred on the Trustee or the Notes Collateral Agent. However, the Trustee may refuse to follow any direction that conflicts with law or this Indenture or the Notes or, subject to </w:t>
      </w:r>
      <w:r>
        <w:rPr>
          <w:rFonts w:ascii="Arial" w:cs="Arial" w:eastAsia="Arial" w:hAnsi="Arial"/>
          <w:sz w:val="17"/>
          <w:szCs w:val="17"/>
          <w:u w:val="single" w:color="auto"/>
          <w:color w:val="auto"/>
        </w:rPr>
        <w:t>Sections 7.01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7.02</w:t>
      </w:r>
      <w:r>
        <w:rPr>
          <w:rFonts w:ascii="Arial" w:cs="Arial" w:eastAsia="Arial" w:hAnsi="Arial"/>
          <w:sz w:val="17"/>
          <w:szCs w:val="17"/>
          <w:color w:val="auto"/>
        </w:rPr>
        <w:t xml:space="preserve">, that the Trustee determines is unduly prejudicial to the rights of any other Holders (it being understood that the Trustee does not have an affirmative duty to ascertain whether or not any actions are prejudicial to such Holders) or would involve the Trustee in personal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Trustee may take any other action deemed proper by the Trustee that is not inconsistent with such direction;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Trustee has no duty to determine whether any action is prejudicial to any Holder. Prior to taking any such action hereunder, the Trustee shall be entitled to indemnification or security satisfactory to the Trustee against all fees, losses, liabilities and expenses (including attorneys’ fees and expenses) that may be caused by taking or not taking such action and the Trustee will be under no obligation to exercise any of the rights or powers under this Indenture at the request or direction of any of the Holders unless such Holders have offered and, if requested, provided to the Trustee such indemnification or security.</w:t>
      </w:r>
    </w:p>
    <w:p>
      <w:pPr>
        <w:spacing w:after="0" w:line="18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6.07</w:t>
      </w:r>
      <w:r>
        <w:rPr>
          <w:rFonts w:ascii="Arial" w:cs="Arial" w:eastAsia="Arial" w:hAnsi="Arial"/>
          <w:sz w:val="17"/>
          <w:szCs w:val="17"/>
          <w:color w:val="auto"/>
        </w:rPr>
        <w:t>, a Holder may not pursue any remedy with respect to this Indenture or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Notes unless:</w:t>
      </w:r>
    </w:p>
    <w:p>
      <w:pPr>
        <w:spacing w:after="0" w:line="103" w:lineRule="exact"/>
        <w:rPr>
          <w:sz w:val="20"/>
          <w:szCs w:val="20"/>
          <w:color w:val="auto"/>
        </w:rPr>
      </w:pPr>
    </w:p>
    <w:p>
      <w:pPr>
        <w:ind w:left="1644" w:hanging="252"/>
        <w:spacing w:after="0"/>
        <w:tabs>
          <w:tab w:leader="none" w:pos="16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Holders of at least 30% in aggregate principal amount of the outstanding Notes have requested in writing the Trustee to pursue</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remedy;</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4"/>
          </w:cols>
          <w:pgMar w:left="436" w:top="274" w:right="459" w:bottom="1440" w:gutter="0" w:footer="0" w:header="0"/>
        </w:sectPr>
      </w:pPr>
    </w:p>
    <w:bookmarkStart w:id="148" w:name="page149"/>
    <w:bookmarkEnd w:id="148"/>
    <w:p>
      <w:pPr>
        <w:ind w:left="440" w:right="200" w:firstLine="419"/>
        <w:spacing w:after="0" w:line="277"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Holders have offered in writing and, if requested, provided to the Trustee security or indemnity satisfactory to the Trustee against any loss, liability or expense;</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written request and the offer of security or indemnity; and</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written direction that, in the opinion of the Trustee, is inconsistent with such request within such 60-day period.</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4"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 xml:space="preserve">. Notwithstanding any other provision of this Indenture (including, without limitation,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the contractual right of any Holder to receive payment of interest on the Notes held by such Holder or to institute suit for the enforcement of any such payment on or with respect to such Holder’s Notes shall not be impaired or affected without the consent of such Holder (and, for the avoidance of doubt, the amendment, supplement or modification in accordance with the terms of this Indenture of </w:t>
      </w:r>
      <w:r>
        <w:rPr>
          <w:rFonts w:ascii="Arial" w:cs="Arial" w:eastAsia="Arial" w:hAnsi="Arial"/>
          <w:sz w:val="18"/>
          <w:szCs w:val="18"/>
          <w:u w:val="single" w:color="auto"/>
          <w:color w:val="auto"/>
        </w:rPr>
        <w:t>Articles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6.01(a)(3)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the related definitions shall be deemed not to impair the contractual right of any Holder to receive payments of principal of and interest on such Holder’s Notes on or after the due dates therefor or to institute suit for the enforcement of any such payment on or with respect to such Holder’s Note).</w:t>
      </w:r>
    </w:p>
    <w:p>
      <w:pPr>
        <w:spacing w:after="0" w:line="195"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Collection Suit by Trustee</w:t>
      </w:r>
      <w:r>
        <w:rPr>
          <w:rFonts w:ascii="Arial" w:cs="Arial" w:eastAsia="Arial" w:hAnsi="Arial"/>
          <w:sz w:val="17"/>
          <w:szCs w:val="17"/>
          <w:color w:val="auto"/>
        </w:rPr>
        <w:t xml:space="preserve">. If an Event of Default specified in clauses (1) or (2)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occurs and is continuing, the Trustee may recover judgment in its own name and as trustee of an express trust against the Issuer for the whole amount then due and owing (together with interest on any unpaid interest to the extent lawful) and the amounts provided for in </w:t>
      </w:r>
      <w:r>
        <w:rPr>
          <w:rFonts w:ascii="Arial" w:cs="Arial" w:eastAsia="Arial" w:hAnsi="Arial"/>
          <w:sz w:val="17"/>
          <w:szCs w:val="17"/>
          <w:u w:val="single" w:color="auto"/>
          <w:color w:val="auto"/>
        </w:rPr>
        <w:t>Section 7.07</w:t>
      </w:r>
      <w:r>
        <w:rPr>
          <w:rFonts w:ascii="Arial" w:cs="Arial" w:eastAsia="Arial" w:hAnsi="Arial"/>
          <w:sz w:val="17"/>
          <w:szCs w:val="17"/>
          <w:color w:val="auto"/>
        </w:rPr>
        <w:t>.</w:t>
      </w:r>
    </w:p>
    <w:p>
      <w:pPr>
        <w:spacing w:after="0" w:line="165"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w:t>
      </w:r>
      <w:r>
        <w:rPr>
          <w:rFonts w:ascii="Arial" w:cs="Arial" w:eastAsia="Arial" w:hAnsi="Arial"/>
          <w:sz w:val="17"/>
          <w:szCs w:val="17"/>
          <w:u w:val="single" w:color="auto"/>
          <w:color w:val="auto"/>
        </w:rPr>
        <w:t>Section 7.07</w:t>
      </w:r>
      <w:r>
        <w:rPr>
          <w:rFonts w:ascii="Arial" w:cs="Arial" w:eastAsia="Arial" w:hAnsi="Arial"/>
          <w:sz w:val="17"/>
          <w:szCs w:val="17"/>
          <w:color w:val="auto"/>
        </w:rPr>
        <w:t>.</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440" w:top="274" w:right="479" w:bottom="1440" w:gutter="0" w:footer="0" w:header="0"/>
        </w:sectPr>
      </w:pPr>
    </w:p>
    <w:bookmarkStart w:id="149" w:name="page150"/>
    <w:bookmarkEnd w:id="1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Priorities</w:t>
      </w:r>
      <w:r>
        <w:rPr>
          <w:rFonts w:ascii="Arial" w:cs="Arial" w:eastAsia="Arial" w:hAnsi="Arial"/>
          <w:sz w:val="18"/>
          <w:szCs w:val="18"/>
          <w:color w:val="auto"/>
        </w:rPr>
        <w:t>.</w:t>
      </w:r>
    </w:p>
    <w:p>
      <w:pPr>
        <w:spacing w:after="0" w:line="117" w:lineRule="exact"/>
        <w:rPr>
          <w:sz w:val="20"/>
          <w:szCs w:val="20"/>
          <w:color w:val="auto"/>
        </w:rPr>
      </w:pPr>
    </w:p>
    <w:p>
      <w:pPr>
        <w:ind w:left="220" w:right="580" w:firstLine="1400"/>
        <w:spacing w:after="0" w:line="342" w:lineRule="auto"/>
        <w:tabs>
          <w:tab w:leader="none" w:pos="18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Subject to the terms of the First Lien Pari Passu Intercreditor Agreement, if the Trustee collects any money or property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including upon realization of the Collateral, it shall pay out the money or property in the following order:</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FIRST: to the Trustee and the Notes Collateral Agent for amounts due to it under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342" w:lineRule="auto"/>
        <w:rPr>
          <w:sz w:val="20"/>
          <w:szCs w:val="20"/>
          <w:color w:val="auto"/>
        </w:rPr>
      </w:pPr>
      <w:r>
        <w:rPr>
          <w:rFonts w:ascii="Arial" w:cs="Arial" w:eastAsia="Arial" w:hAnsi="Arial"/>
          <w:sz w:val="16"/>
          <w:szCs w:val="16"/>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Issuer, or to the extent the Trustee collects any amount for any Guarantor, to such Guarantor.</w:t>
      </w:r>
    </w:p>
    <w:p>
      <w:pPr>
        <w:spacing w:after="0" w:line="117" w:lineRule="exact"/>
        <w:rPr>
          <w:sz w:val="20"/>
          <w:szCs w:val="20"/>
          <w:color w:val="auto"/>
        </w:rPr>
      </w:pPr>
    </w:p>
    <w:p>
      <w:pPr>
        <w:ind w:left="220" w:right="20" w:firstLine="1400"/>
        <w:spacing w:after="0" w:line="263" w:lineRule="auto"/>
        <w:tabs>
          <w:tab w:leader="none" w:pos="187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Trustee may fix a record date and payment date for any payment to Holders pursuant to this </w:t>
      </w:r>
      <w:r>
        <w:rPr>
          <w:rFonts w:ascii="Arial" w:cs="Arial" w:eastAsia="Arial" w:hAnsi="Arial"/>
          <w:sz w:val="18"/>
          <w:szCs w:val="18"/>
          <w:u w:val="single" w:color="auto"/>
          <w:color w:val="auto"/>
        </w:rPr>
        <w:t>Section 6.10</w:t>
      </w:r>
      <w:r>
        <w:rPr>
          <w:rFonts w:ascii="Arial" w:cs="Arial" w:eastAsia="Arial" w:hAnsi="Arial"/>
          <w:sz w:val="18"/>
          <w:szCs w:val="18"/>
          <w:color w:val="auto"/>
        </w:rPr>
        <w:t>. At least 15 days before such record date, the Issuer shall send or cause to be sent to each Holder and the Trustee a notice that states the record date, the payment date and amount to be paid.</w:t>
      </w:r>
    </w:p>
    <w:p>
      <w:pPr>
        <w:spacing w:after="0" w:line="184" w:lineRule="exact"/>
        <w:rPr>
          <w:sz w:val="20"/>
          <w:szCs w:val="20"/>
          <w:color w:val="auto"/>
        </w:rPr>
      </w:pPr>
    </w:p>
    <w:p>
      <w:pPr>
        <w:ind w:right="240" w:firstLine="991"/>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does not apply to a suit by the Trustee, a suit by the Issuer, a suit by a Holder pursuant to Section 6.07 or a suit by Holders of more than 20.0% in outstanding aggregate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-168275</wp:posOffset>
            </wp:positionV>
            <wp:extent cx="285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220" w:right="80" w:firstLine="1400"/>
        <w:spacing w:after="0" w:line="263" w:lineRule="auto"/>
        <w:tabs>
          <w:tab w:leader="none" w:pos="18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and is actually known to a Responsible Officer of the Trustee,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880" w:hanging="260"/>
        <w:spacing w:after="0"/>
        <w:tabs>
          <w:tab w:leader="none" w:pos="18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actually known to the Trustee:</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50" w:name="page151"/>
    <w:bookmarkEnd w:id="150"/>
    <w:p>
      <w:pPr>
        <w:ind w:left="440" w:firstLine="419"/>
        <w:spacing w:after="0" w:line="293" w:lineRule="auto"/>
        <w:tabs>
          <w:tab w:leader="none" w:pos="1118"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gross negligence or willful misconduct on its part, as determined in a final and non-appealable order of a court of competent jurisdiction, the Trustee may conclusively rely, as to the truth of the statements 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56" w:lineRule="exact"/>
        <w:rPr>
          <w:rFonts w:ascii="Arial" w:cs="Arial" w:eastAsia="Arial" w:hAnsi="Arial"/>
          <w:sz w:val="16"/>
          <w:szCs w:val="16"/>
          <w:color w:val="auto"/>
        </w:rPr>
      </w:pPr>
    </w:p>
    <w:p>
      <w:pPr>
        <w:ind w:right="160" w:firstLine="1428"/>
        <w:spacing w:after="0" w:line="277" w:lineRule="auto"/>
        <w:tabs>
          <w:tab w:leader="none" w:pos="167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grossly negligent action, its own grossly negligent failure to act or its own willful misconduct, as determined in a final and non-appealable order of a court of competent jurisdiction, except that:</w:t>
      </w:r>
    </w:p>
    <w:p>
      <w:pPr>
        <w:spacing w:after="0" w:line="62" w:lineRule="exact"/>
        <w:rPr>
          <w:sz w:val="20"/>
          <w:szCs w:val="20"/>
          <w:color w:val="auto"/>
        </w:rPr>
      </w:pPr>
    </w:p>
    <w:p>
      <w:pPr>
        <w:ind w:left="1120" w:hanging="261"/>
        <w:spacing w:after="0"/>
        <w:tabs>
          <w:tab w:leader="none" w:pos="11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this paragraph does not limit the effect of </w:t>
      </w:r>
      <w:r>
        <w:rPr>
          <w:rFonts w:ascii="Arial" w:cs="Arial" w:eastAsia="Arial" w:hAnsi="Arial"/>
          <w:sz w:val="18"/>
          <w:szCs w:val="18"/>
          <w:u w:val="single" w:color="auto"/>
          <w:color w:val="auto"/>
        </w:rPr>
        <w:t>Section 7.01(b)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of the Trustee unless it is proved that the Trustee was negligent in ascertaining the pertinent facts;</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440" w:right="100" w:firstLine="419"/>
        <w:spacing w:after="0" w:line="311" w:lineRule="auto"/>
        <w:tabs>
          <w:tab w:leader="none" w:pos="111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 provision of this Indenture or the Notes shall require the Trustee to expend or risk its own funds or 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40" w:lineRule="exact"/>
        <w:rPr>
          <w:rFonts w:ascii="Arial" w:cs="Arial" w:eastAsia="Arial" w:hAnsi="Arial"/>
          <w:sz w:val="16"/>
          <w:szCs w:val="16"/>
          <w:color w:val="auto"/>
        </w:rPr>
      </w:pPr>
    </w:p>
    <w:p>
      <w:pPr>
        <w:ind w:left="1680" w:hanging="252"/>
        <w:spacing w:after="0"/>
        <w:tabs>
          <w:tab w:leader="none" w:pos="16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Every provision of this Indenture that in any way relates to the Trustee is subject to clauses (a), (b) and (c) of this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300" w:firstLine="1428"/>
        <w:spacing w:after="0" w:line="277" w:lineRule="auto"/>
        <w:tabs>
          <w:tab w:leader="none" w:pos="167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Trustee shall not be liable (i) for interest on any money received by it except as the Trustee may agree in writing with the Issuer or for (ii) any exchange of currency or any foreign exchange risk.</w:t>
      </w:r>
    </w:p>
    <w:p>
      <w:pPr>
        <w:spacing w:after="0" w:line="62" w:lineRule="exact"/>
        <w:rPr>
          <w:rFonts w:ascii="Arial" w:cs="Arial" w:eastAsia="Arial" w:hAnsi="Arial"/>
          <w:sz w:val="18"/>
          <w:szCs w:val="18"/>
          <w:color w:val="auto"/>
        </w:rPr>
      </w:pPr>
    </w:p>
    <w:p>
      <w:pPr>
        <w:ind w:right="60" w:firstLine="1428"/>
        <w:spacing w:after="0" w:line="277" w:lineRule="auto"/>
        <w:tabs>
          <w:tab w:leader="none" w:pos="165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Rights of Trustee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fully protected in acting or refraining from acting upon any resolution, certificate, statement, instrument, opinion, report, notice, request, direction, consent, judgment, order or other paper or document (whether in its original, facsimile or other electronic form) reasonably believed by it to be genuine and to have been signed or presented by the proper Person. The Trustee need not investigate any fact or matter stated in the document. The Trustee shall receive and retain financial reports and statements of the Issuer or the Issuer, as applicable, as provided herein, but shall have no duty to review or analyze such reports or statements to determine compliance with covenants or other obligations of the Issuer.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51" w:name="page152"/>
    <w:bookmarkEnd w:id="151"/>
    <w:p>
      <w:pPr>
        <w:ind w:right="60" w:firstLine="1428"/>
        <w:spacing w:after="0" w:line="308" w:lineRule="auto"/>
        <w:tabs>
          <w:tab w:leader="none" w:pos="1687"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38" w:lineRule="exact"/>
        <w:rPr>
          <w:rFonts w:ascii="Arial" w:cs="Arial" w:eastAsia="Arial" w:hAnsi="Arial"/>
          <w:sz w:val="17"/>
          <w:szCs w:val="17"/>
          <w:color w:val="auto"/>
        </w:rPr>
      </w:pPr>
    </w:p>
    <w:p>
      <w:pPr>
        <w:ind w:right="60" w:firstLine="1428"/>
        <w:spacing w:after="0" w:line="342" w:lineRule="auto"/>
        <w:tabs>
          <w:tab w:leader="none" w:pos="167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Trustee may execute any of the trusts and powers hereunder or perform any duties hereunder either directly or by or through its attorneys and agents and shall not be responsible for the misconduct or negligence of any agent or attorney appointed with due care by it hereunder.</w:t>
      </w:r>
    </w:p>
    <w:p>
      <w:pPr>
        <w:spacing w:after="0" w:line="15" w:lineRule="exact"/>
        <w:rPr>
          <w:rFonts w:ascii="Arial" w:cs="Arial" w:eastAsia="Arial" w:hAnsi="Arial"/>
          <w:sz w:val="16"/>
          <w:szCs w:val="16"/>
          <w:color w:val="auto"/>
        </w:rPr>
      </w:pPr>
    </w:p>
    <w:p>
      <w:pPr>
        <w:ind w:right="20" w:firstLine="1428"/>
        <w:spacing w:after="0" w:line="277" w:lineRule="auto"/>
        <w:tabs>
          <w:tab w:leader="none" w:pos="16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62" w:lineRule="exact"/>
        <w:rPr>
          <w:rFonts w:ascii="Arial" w:cs="Arial" w:eastAsia="Arial" w:hAnsi="Arial"/>
          <w:sz w:val="18"/>
          <w:szCs w:val="18"/>
          <w:color w:val="auto"/>
        </w:rPr>
      </w:pPr>
    </w:p>
    <w:p>
      <w:pPr>
        <w:ind w:right="40" w:firstLine="1428"/>
        <w:spacing w:after="0" w:line="263" w:lineRule="auto"/>
        <w:tabs>
          <w:tab w:leader="none" w:pos="16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opinion of counsel relating to this 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75" w:lineRule="exact"/>
        <w:rPr>
          <w:rFonts w:ascii="Arial" w:cs="Arial" w:eastAsia="Arial" w:hAnsi="Arial"/>
          <w:sz w:val="18"/>
          <w:szCs w:val="18"/>
          <w:color w:val="auto"/>
        </w:rPr>
      </w:pPr>
    </w:p>
    <w:p>
      <w:pPr>
        <w:ind w:right="40" w:firstLine="1428"/>
        <w:spacing w:after="0" w:line="259" w:lineRule="auto"/>
        <w:tabs>
          <w:tab w:leader="none" w:pos="165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Trustee shall not be deemed to have notice of any Default or Event of Default or whether any entity or group of entities constitutes a Material Subsidiary unless a Responsible Officer of the Trustee has actual knowledge thereof or unless written notice of any event which is in fact such a Default or of any such Material Subsidiary is actually received by a Responsible Officer of the Trustee at the corporate trust office of the Trustee specified in </w:t>
      </w:r>
      <w:r>
        <w:rPr>
          <w:rFonts w:ascii="Arial" w:cs="Arial" w:eastAsia="Arial" w:hAnsi="Arial"/>
          <w:sz w:val="18"/>
          <w:szCs w:val="18"/>
          <w:u w:val="single" w:color="auto"/>
          <w:color w:val="auto"/>
        </w:rPr>
        <w:t>Section 3.12</w:t>
      </w:r>
      <w:r>
        <w:rPr>
          <w:rFonts w:ascii="Arial" w:cs="Arial" w:eastAsia="Arial" w:hAnsi="Arial"/>
          <w:sz w:val="18"/>
          <w:szCs w:val="18"/>
          <w:color w:val="auto"/>
        </w:rPr>
        <w:t>, and such notice references the Notes and this Indenture.</w:t>
      </w:r>
    </w:p>
    <w:p>
      <w:pPr>
        <w:spacing w:after="0" w:line="78" w:lineRule="exact"/>
        <w:rPr>
          <w:rFonts w:ascii="Arial" w:cs="Arial" w:eastAsia="Arial" w:hAnsi="Arial"/>
          <w:sz w:val="18"/>
          <w:szCs w:val="18"/>
          <w:color w:val="auto"/>
        </w:rPr>
      </w:pPr>
    </w:p>
    <w:p>
      <w:pPr>
        <w:ind w:right="160" w:firstLine="1428"/>
        <w:spacing w:after="0" w:line="263" w:lineRule="auto"/>
        <w:tabs>
          <w:tab w:leader="none" w:pos="16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including the Notes Collateral Agent.</w:t>
      </w:r>
    </w:p>
    <w:p>
      <w:pPr>
        <w:spacing w:after="0" w:line="75" w:lineRule="exact"/>
        <w:rPr>
          <w:rFonts w:ascii="Arial" w:cs="Arial" w:eastAsia="Arial" w:hAnsi="Arial"/>
          <w:sz w:val="18"/>
          <w:szCs w:val="18"/>
          <w:color w:val="auto"/>
        </w:rPr>
      </w:pPr>
    </w:p>
    <w:p>
      <w:pPr>
        <w:ind w:right="100" w:firstLine="1428"/>
        <w:spacing w:after="0" w:line="259" w:lineRule="auto"/>
        <w:tabs>
          <w:tab w:leader="none" w:pos="16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the Notes or the Notes Security Documents at the request, order or direction of any of the Holders pursuant to the provisions of this Indenture, unless such Holders shall have offered, and, if requested, provided to the Trustee security or indemnity satisfactory to the Trustee against the costs, expenses and liabilities which may be incurred therein or thereby.</w:t>
      </w:r>
    </w:p>
    <w:p>
      <w:pPr>
        <w:spacing w:after="0" w:line="78" w:lineRule="exact"/>
        <w:rPr>
          <w:rFonts w:ascii="Arial" w:cs="Arial" w:eastAsia="Arial" w:hAnsi="Arial"/>
          <w:sz w:val="18"/>
          <w:szCs w:val="18"/>
          <w:color w:val="auto"/>
        </w:rPr>
      </w:pPr>
    </w:p>
    <w:p>
      <w:pPr>
        <w:ind w:left="1640" w:hanging="212"/>
        <w:spacing w:after="0"/>
        <w:tabs>
          <w:tab w:leader="none" w:pos="16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of any fact or matter unless such fact or matter is known to a Responsible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Officer of the Trustee.</w:t>
      </w:r>
    </w:p>
    <w:p>
      <w:pPr>
        <w:spacing w:after="0" w:line="102" w:lineRule="exact"/>
        <w:rPr>
          <w:rFonts w:ascii="Arial" w:cs="Arial" w:eastAsia="Arial" w:hAnsi="Arial"/>
          <w:sz w:val="16"/>
          <w:szCs w:val="16"/>
          <w:color w:val="auto"/>
        </w:rPr>
      </w:pPr>
    </w:p>
    <w:p>
      <w:pPr>
        <w:ind w:firstLine="1428"/>
        <w:spacing w:after="0" w:line="259" w:lineRule="auto"/>
        <w:tabs>
          <w:tab w:leader="none" w:pos="16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or the Notes the Trustee shall deem it desirable that a matter be proved or established prior to taking, suffering or omitting any action hereunder or thereunder, the Trustee (unless other evidence be herein specifically prescribed) may, in the absence of gross negligence or willful misconduct on its part (as determined by a final nonappealable order of a court of competent jurisdiction), conclusively rely upon an Officer’s Certificate.</w:t>
      </w:r>
    </w:p>
    <w:p>
      <w:pPr>
        <w:spacing w:after="0" w:line="78" w:lineRule="exact"/>
        <w:rPr>
          <w:rFonts w:ascii="Arial" w:cs="Arial" w:eastAsia="Arial" w:hAnsi="Arial"/>
          <w:sz w:val="18"/>
          <w:szCs w:val="18"/>
          <w:color w:val="auto"/>
        </w:rPr>
      </w:pPr>
    </w:p>
    <w:p>
      <w:pPr>
        <w:ind w:right="40" w:firstLine="1428"/>
        <w:spacing w:after="0" w:line="255" w:lineRule="auto"/>
        <w:tabs>
          <w:tab w:leader="none" w:pos="168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report, notice, request, direction, consent, judgment,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Issuer and the Restricted Subsidiaries, personally or by agent or attorney at the sole cost of the Issuer and shall incur no liability or additional liability of any kind by reason of such inquiry or investigation.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52" w:name="page153"/>
    <w:bookmarkEnd w:id="152"/>
    <w:p>
      <w:pPr>
        <w:ind w:left="1640" w:hanging="212"/>
        <w:spacing w:after="0"/>
        <w:tabs>
          <w:tab w:leader="none" w:pos="16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required to give any bond or surety in respect of the performance of its powers and duties hereunder.</w:t>
      </w:r>
    </w:p>
    <w:p>
      <w:pPr>
        <w:spacing w:after="0" w:line="140" w:lineRule="exact"/>
        <w:rPr>
          <w:rFonts w:ascii="Arial" w:cs="Arial" w:eastAsia="Arial" w:hAnsi="Arial"/>
          <w:sz w:val="16"/>
          <w:szCs w:val="16"/>
          <w:color w:val="auto"/>
        </w:rPr>
      </w:pPr>
    </w:p>
    <w:p>
      <w:pPr>
        <w:ind w:right="340" w:firstLine="1428"/>
        <w:spacing w:after="0" w:line="277" w:lineRule="auto"/>
        <w:tabs>
          <w:tab w:leader="none" w:pos="173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Trustee may request that the Issuer deliver an Officer’s Certificate setting forth the names of individuals and/or titles of officers authorized at such time to take specified actions pursuant to this Indenture or the Notes.</w:t>
      </w:r>
    </w:p>
    <w:p>
      <w:pPr>
        <w:spacing w:after="0" w:line="62" w:lineRule="exact"/>
        <w:rPr>
          <w:rFonts w:ascii="Arial" w:cs="Arial" w:eastAsia="Arial" w:hAnsi="Arial"/>
          <w:sz w:val="18"/>
          <w:szCs w:val="18"/>
          <w:color w:val="auto"/>
        </w:rPr>
      </w:pPr>
    </w:p>
    <w:p>
      <w:pPr>
        <w:ind w:right="100" w:firstLine="1428"/>
        <w:spacing w:after="0" w:line="263" w:lineRule="auto"/>
        <w:tabs>
          <w:tab w:leader="none" w:pos="16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75" w:lineRule="exact"/>
        <w:rPr>
          <w:rFonts w:ascii="Arial" w:cs="Arial" w:eastAsia="Arial" w:hAnsi="Arial"/>
          <w:sz w:val="18"/>
          <w:szCs w:val="18"/>
          <w:color w:val="auto"/>
        </w:rPr>
      </w:pPr>
    </w:p>
    <w:p>
      <w:pPr>
        <w:ind w:right="560" w:firstLine="1428"/>
        <w:spacing w:after="0" w:line="277" w:lineRule="auto"/>
        <w:tabs>
          <w:tab w:leader="none" w:pos="16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shall be sufficient if signed by one Officer of the Issuer.</w:t>
      </w:r>
    </w:p>
    <w:p>
      <w:pPr>
        <w:spacing w:after="0" w:line="62" w:lineRule="exact"/>
        <w:rPr>
          <w:rFonts w:ascii="Arial" w:cs="Arial" w:eastAsia="Arial" w:hAnsi="Arial"/>
          <w:sz w:val="18"/>
          <w:szCs w:val="18"/>
          <w:color w:val="auto"/>
        </w:rPr>
      </w:pPr>
    </w:p>
    <w:p>
      <w:pPr>
        <w:ind w:right="280" w:firstLine="1428"/>
        <w:spacing w:after="0" w:line="277" w:lineRule="auto"/>
        <w:tabs>
          <w:tab w:leader="none" w:pos="16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permissive rights of the Trustee to take or refrain from taking any action enumerated in this Indenture and the other Note Documents shall not be construed as obligations or duties.</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Individual Rights of Trustee</w:t>
      </w:r>
      <w:r>
        <w:rPr>
          <w:rFonts w:ascii="Arial" w:cs="Arial" w:eastAsia="Arial" w:hAnsi="Arial"/>
          <w:sz w:val="17"/>
          <w:szCs w:val="17"/>
          <w:color w:val="auto"/>
        </w:rPr>
        <w:t xml:space="preserve">. The Trustee in its individual or any other capacity may become the owner or pledgee of Notes and may otherwise deal with the Issuer, Guarantors or their Affiliates with the same rights it would have if it were not Trustee. Any Paying Agent, Registrar, co-registrar or co-paying agent may do the same with like rights. However, the Trustee must comply with </w:t>
      </w:r>
      <w:r>
        <w:rPr>
          <w:rFonts w:ascii="Arial" w:cs="Arial" w:eastAsia="Arial" w:hAnsi="Arial"/>
          <w:sz w:val="17"/>
          <w:szCs w:val="17"/>
          <w:u w:val="single" w:color="auto"/>
          <w:color w:val="auto"/>
        </w:rPr>
        <w:t>Sections 7.10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7.11</w:t>
      </w:r>
      <w:r>
        <w:rPr>
          <w:rFonts w:ascii="Arial" w:cs="Arial" w:eastAsia="Arial" w:hAnsi="Arial"/>
          <w:sz w:val="17"/>
          <w:szCs w:val="17"/>
          <w:color w:val="auto"/>
        </w:rPr>
        <w:t>. In addition, the Trustee shall be permitted to engage in transactions with the Issuer and its Affiliates and Subsidiaries.</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or the Notes,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or in any document issued in connection with the sale of the Notes or in the Notes other than the Trustee’s certificate of authentication.</w:t>
      </w:r>
    </w:p>
    <w:p>
      <w:pPr>
        <w:spacing w:after="0" w:line="18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Notice of Defaults</w:t>
      </w:r>
      <w:r>
        <w:rPr>
          <w:rFonts w:ascii="Arial" w:cs="Arial" w:eastAsia="Arial" w:hAnsi="Arial"/>
          <w:sz w:val="17"/>
          <w:szCs w:val="17"/>
          <w:color w:val="auto"/>
        </w:rPr>
        <w:t>. If a Default or Event of Default occurs and is continuing and if a Responsible Officer of the Trustee has been informed in writing of such occurrence by the Issuer or has actual knowledge thereof, the Trustee shall send electronically or by first-class mail to each Holder at the address set forth in the Notes Register notice of the Default or Event of Default within 60 days after such notification or such date that it is actually known to a Responsible Officer of the Trustee. Except in the case of a Default or Event of Default in payment of principal of or interest, if any, on any Note (including payments pursuant to the optional redemption or required repurchase provisions of such Note), the Trustee may withhold the notice if and so long it determines that withholding the notice is in the interests of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40" w:top="274" w:right="479" w:bottom="1440" w:gutter="0" w:footer="0" w:header="0"/>
        </w:sectPr>
      </w:pPr>
    </w:p>
    <w:bookmarkStart w:id="153" w:name="page154"/>
    <w:bookmarkEnd w:id="1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 xml:space="preserve">. The Issuer shall pay to the Trustee from time to time compensation for its services hereunder and under the Notes as the Issuer and the Trustee shall from time to time agree in writing. The Trustee’s compensation shall not be limited by any law on compensation of a trustee of an express trust. The Issuer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Issuer and the Guarantors, jointly and severally, shall indemnify the Trustee, its directors, officers, employees and agents against any and all loss, liability, damages, claims or expense, including taxes (other than taxes based upon the income of the Trustee) (including reasonable attorneys’ and agents’ fees and expenses) incurred by it without willful misconduct or gross negligence, as determined by a final nonappealable order of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and the Notes and of defending itself against any claims (whether asserted by any Holder, the Issuer, any Guarantor or otherwise). The Trustee shall notify the Issuer promptly of any claim for which it may seek indemnity of which it has received written notice. Failure by the Trustee to so notify the Issuer shall not relieve the Issuer of its obligations hereunder. The Issuer shall defend the claim and the Trustee shall provide reasonable cooperation at the Issuer’s expense in the defense. The Trustee may have separate counsel and the Issuer shall pay the fees and expenses of such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not be required to pay the fees and expenses of such separate counsel if it assumes the Trustee’s defense, and, in the reasonable judgment of outside counsel to the Trustee, there is no conflict of interest between the Issuer and the Trustee in connection with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Issuer shall be required to pay the reasonable fees and expenses of such counsel in evaluating such conflict.</w:t>
      </w:r>
    </w:p>
    <w:p>
      <w:pPr>
        <w:spacing w:after="0" w:line="174"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To secure the Issuer’s payment obligations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The Trustee’s respective right to receive payment of any amounts due under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not be subordinate to any other liability or Indebtedness of the Issuer.</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The Issuer’s payment obligations pursuant to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shall survive the discharge of this Indenture and any resignation or removal of the Trustee under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17"/>
          <w:szCs w:val="17"/>
          <w:u w:val="single" w:color="auto"/>
          <w:color w:val="auto"/>
        </w:rPr>
        <w:t>Section 6.01(a)</w:t>
      </w:r>
      <w:r>
        <w:rPr>
          <w:rFonts w:ascii="Arial" w:cs="Arial" w:eastAsia="Arial" w:hAnsi="Arial"/>
          <w:sz w:val="17"/>
          <w:szCs w:val="17"/>
          <w:color w:val="auto"/>
        </w:rPr>
        <w:t>, the fees and expenses (including the reasonable fees and expenses of its counsel) are intended to constitute expenses of administration under any Bankruptcy Law.</w:t>
      </w:r>
    </w:p>
    <w:p>
      <w:pPr>
        <w:spacing w:after="0" w:line="17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The Trustee may resign at any time by so notifying the Issuer in writing not less than 30 days’ prior to the effective date of such resignation. The Holders of a majority in aggregate principal amount of the outstanding Notes may remove the Trustee by so notifying the removed Trustee in writing not less than 30 days prior to the effective date of such removal and may appoint a successor Trustee with the Issuer’s written consent, which consent will not be unreasonably withheld. The Issuer may remove the Trustee (or any Holder, who has been a bona fide holder of a Note for at least six (6) months, may petition any court of competent jurisdiction for the removal of the Trustee and the appointment of a successor Trustee) if:</w:t>
      </w:r>
    </w:p>
    <w:p>
      <w:pPr>
        <w:spacing w:after="0" w:line="84" w:lineRule="exact"/>
        <w:rPr>
          <w:sz w:val="20"/>
          <w:szCs w:val="20"/>
          <w:color w:val="auto"/>
        </w:rPr>
      </w:pPr>
    </w:p>
    <w:p>
      <w:pPr>
        <w:ind w:left="1120" w:hanging="261"/>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Trustee is adjudged bankrupt or insolvent;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74" w:right="459" w:bottom="1440" w:gutter="0" w:footer="0" w:header="0"/>
        </w:sectPr>
      </w:pPr>
    </w:p>
    <w:bookmarkStart w:id="154" w:name="page155"/>
    <w:bookmarkEnd w:id="154"/>
    <w:p>
      <w:pPr>
        <w:ind w:left="1120" w:hanging="261"/>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receiver or other public officer takes charge of the Trustee or its property;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Trustee has or acquires a conflict of interest that is not promptly eliminated;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Trustee otherwise becomes incapable of acting as Trustee.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If the Trustee resigns or is removed by the Issuer or by the Holders of a majority in principal amount of the outstanding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149"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removal or resignation of the Trustee shall not become effective until the acceptance of the appointment by the successor Trustee. The successor Trustee shall mail a notice of its succession to Holders. The retiring Trustee shall, at the expense of the Issuer, promptly transfer all property held by it as Trustee to the successor Trustee, subject to the lien provided for in </w:t>
      </w:r>
      <w:r>
        <w:rPr>
          <w:rFonts w:ascii="Arial" w:cs="Arial" w:eastAsia="Arial" w:hAnsi="Arial"/>
          <w:sz w:val="16"/>
          <w:szCs w:val="16"/>
          <w:u w:val="single" w:color="auto"/>
          <w:color w:val="auto"/>
        </w:rPr>
        <w:t>Section 7.07</w:t>
      </w:r>
      <w:r>
        <w:rPr>
          <w:rFonts w:ascii="Arial" w:cs="Arial" w:eastAsia="Arial" w:hAnsi="Arial"/>
          <w:sz w:val="16"/>
          <w:szCs w:val="16"/>
          <w:color w:val="auto"/>
        </w:rPr>
        <w:t>.</w:t>
      </w:r>
    </w:p>
    <w:p>
      <w:pPr>
        <w:spacing w:after="0" w:line="16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or the Holders of at least 10.0% in aggregate principal amount of the Notes may petition, at the Issuer’s expense, any court of competent jurisdiction for the appointment of a successor Trustee.</w:t>
      </w:r>
    </w:p>
    <w:p>
      <w:pPr>
        <w:spacing w:after="0" w:line="184"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 xml:space="preserve">Notwithstanding the replacement of the Trustee pursuant to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the Issuer’s obligations under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shall continue for the benefit of the retiring Trustee. The predecessor Trustee shall have no liability for any action or inaction of any successor Trustee.</w:t>
      </w:r>
    </w:p>
    <w:p>
      <w:pPr>
        <w:spacing w:after="0" w:line="146"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Successor Trustee by Merger</w:t>
      </w:r>
      <w:r>
        <w:rPr>
          <w:rFonts w:ascii="Arial" w:cs="Arial" w:eastAsia="Arial" w:hAnsi="Arial"/>
          <w:sz w:val="18"/>
          <w:szCs w:val="18"/>
          <w:color w:val="auto"/>
        </w:rPr>
        <w:t xml:space="preserve">. 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without the execution or filing of any paper or any further act on the part of any of the parties hereto.</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right to adopt the certificate of authentication of any predecessor Trustee or authenticate Notes in the name of any predecessor Trustee</w:t>
      </w:r>
      <w:r>
        <w:rPr>
          <w:rFonts w:ascii="Arial" w:cs="Arial" w:eastAsia="Arial" w:hAnsi="Arial"/>
          <w:sz w:val="17"/>
          <w:szCs w:val="17"/>
          <w:i w:val="1"/>
          <w:iCs w:val="1"/>
          <w:color w:val="auto"/>
        </w:rPr>
        <w:t xml:space="preserve"> </w:t>
      </w:r>
      <w:r>
        <w:rPr>
          <w:rFonts w:ascii="Arial" w:cs="Arial" w:eastAsia="Arial" w:hAnsi="Arial"/>
          <w:sz w:val="17"/>
          <w:szCs w:val="17"/>
          <w:color w:val="auto"/>
        </w:rPr>
        <w:t>shall only apply to its successor or successors by merger, consolidation or conversion.</w:t>
      </w:r>
    </w:p>
    <w:p>
      <w:pPr>
        <w:spacing w:after="0" w:line="178"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This Indenture shall always have a Trustee. The Trustee shall have a combined capital and surplus of at least $100 million as set forth in its most recent published annual report of condition.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155" w:name="page156"/>
    <w:bookmarkEnd w:id="155"/>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7.11 </w:t>
      </w:r>
      <w:r>
        <w:rPr>
          <w:rFonts w:ascii="Arial" w:cs="Arial" w:eastAsia="Arial" w:hAnsi="Arial"/>
          <w:sz w:val="18"/>
          <w:szCs w:val="18"/>
          <w:u w:val="single" w:color="auto"/>
          <w:color w:val="auto"/>
        </w:rPr>
        <w:t>Preferential Collection of Claims against the Issuer</w:t>
      </w:r>
      <w:r>
        <w:rPr>
          <w:rFonts w:ascii="Arial" w:cs="Arial" w:eastAsia="Arial" w:hAnsi="Arial"/>
          <w:sz w:val="18"/>
          <w:szCs w:val="18"/>
          <w:color w:val="auto"/>
        </w:rPr>
        <w:t>. The Trustee shall comply with Section 311(a) of the Trust Indenture Act, excluding any creditor relationship listed in Section 311(b) of the Trust Indenture Act. A Trustee who has resigned or been removed shall be subject to Section 311(a) of the Trust Indenture Act to the extent indicated.</w:t>
      </w:r>
    </w:p>
    <w:p>
      <w:pPr>
        <w:spacing w:after="0" w:line="184"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Trustee’s Application for Instruction from the Issuer</w:t>
      </w:r>
      <w:r>
        <w:rPr>
          <w:rFonts w:ascii="Arial" w:cs="Arial" w:eastAsia="Arial" w:hAnsi="Arial"/>
          <w:sz w:val="17"/>
          <w:szCs w:val="17"/>
          <w:color w:val="auto"/>
        </w:rPr>
        <w:t>(a) .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(3)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Limitation on Duty of Trustee in Respect of Collateral; Indemnification</w:t>
      </w:r>
      <w:r>
        <w:rPr>
          <w:rFonts w:ascii="Arial" w:cs="Arial" w:eastAsia="Arial" w:hAnsi="Arial"/>
          <w:sz w:val="18"/>
          <w:szCs w:val="18"/>
          <w:color w:val="auto"/>
        </w:rPr>
        <w:t>.</w:t>
      </w:r>
    </w:p>
    <w:p>
      <w:pPr>
        <w:spacing w:after="0" w:line="117" w:lineRule="exact"/>
        <w:rPr>
          <w:sz w:val="20"/>
          <w:szCs w:val="20"/>
          <w:color w:val="auto"/>
        </w:rPr>
      </w:pPr>
    </w:p>
    <w:p>
      <w:pPr>
        <w:ind w:left="220" w:right="420" w:firstLine="1400"/>
        <w:spacing w:after="0" w:line="263" w:lineRule="auto"/>
        <w:tabs>
          <w:tab w:leader="none" w:pos="18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the Trustee nor the Notes Collateral Agent shall have any liability or responsibility for the creation, maintenance, perfection, or maintenance of perfection of any security interest in the Collateral, including but not limited to the filing of any financing or continuation statements (which shall be filed by the Issuer).</w:t>
      </w:r>
    </w:p>
    <w:p>
      <w:pPr>
        <w:spacing w:after="0" w:line="75" w:lineRule="exact"/>
        <w:rPr>
          <w:rFonts w:ascii="Arial" w:cs="Arial" w:eastAsia="Arial" w:hAnsi="Arial"/>
          <w:sz w:val="18"/>
          <w:szCs w:val="18"/>
          <w:color w:val="auto"/>
        </w:rPr>
      </w:pPr>
    </w:p>
    <w:p>
      <w:pPr>
        <w:ind w:left="220" w:right="40" w:firstLine="1400"/>
        <w:spacing w:after="0" w:line="287" w:lineRule="auto"/>
        <w:tabs>
          <w:tab w:leader="none" w:pos="18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By their acceptance of the Notes, the Holders shall be deemed to have approved the terms of, and to have authorized the Trustee and the Notes Collateral Agent to enter into and to perform each of the Intercreditor Agreements and each Notes Security Document with the Issuer and the Subsidiary Guarantors. The Trustee and the Notes Collateral Agent shall not be responsible for and make no representation as to the existence, genuineness, value or protection of or insurance with respect to any Collateral, for the legality, effectiveness or sufficiency of this Indenture or any Notes Security Document, for any act or omission of the collateral agent for any Credit Facility, or for the creation, perfection, priority, sufficiency or protection of any Liens securing the Notes and the Notes Obligations. The Trustee and the Notes Collateral Agent shall not be responsible for filing any financing or continuation statements or recording any documents or instruments in any public office at any time or times or otherwise perfecting or maintaining the perfection of any Lien or security interest in the Collateral. The Trustee and the Notes Collateral Agent shall not be liable or responsible for the failure of the Issuer to effect or maintain insurance on the Collateral nor shall they be responsible for any loss by reason of want or insufficiency in insurance or by reason of the failure of any insurer in which the insurance is carried to pay the full amount of any loss against which it may have insured the Issuer, any Subsidiary Guarantor, the Trustee, the Notes Collateral Agent, or any other Person.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DEFEASANCE AND COVENANT DEFEASANCE</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 Defeasance</w:t>
      </w:r>
      <w:r>
        <w:rPr>
          <w:rFonts w:ascii="Arial" w:cs="Arial" w:eastAsia="Arial" w:hAnsi="Arial"/>
          <w:sz w:val="18"/>
          <w:szCs w:val="18"/>
          <w:color w:val="auto"/>
        </w:rPr>
        <w:t xml:space="preserve">. The Issuer may, at its option and at any time, elect to have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hereof be applied to all outstanding Notes upon compliance with the conditions set forth below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156" w:name="page157"/>
    <w:bookmarkEnd w:id="156"/>
    <w:p>
      <w:pPr>
        <w:ind w:right="16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xml:space="preserve">. 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hereof of the option applicable to this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the Issuer and each of the Guarantors will,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hereof, be deemed to have been discharged from their obligations with respect to all outstanding Notes (including the Guarantees) on the date the conditions set forth below are satisfied (hereinafter, “</w:t>
      </w:r>
      <w:r>
        <w:rPr>
          <w:rFonts w:ascii="Arial" w:cs="Arial" w:eastAsia="Arial" w:hAnsi="Arial"/>
          <w:sz w:val="16"/>
          <w:szCs w:val="16"/>
          <w:u w:val="single" w:color="auto"/>
          <w:color w:val="auto"/>
        </w:rPr>
        <w:t>Legal Defeasance</w:t>
      </w:r>
      <w:r>
        <w:rPr>
          <w:rFonts w:ascii="Arial" w:cs="Arial" w:eastAsia="Arial" w:hAnsi="Arial"/>
          <w:sz w:val="16"/>
          <w:szCs w:val="16"/>
          <w:color w:val="auto"/>
        </w:rPr>
        <w:t xml:space="preserve">”).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hereof and the other Sections of this Indenture referred to in clauses (1) and (2) below, and to have satisfied all of their other obligations under the Note Documents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pacing w:after="0" w:line="58" w:lineRule="exact"/>
        <w:rPr>
          <w:sz w:val="20"/>
          <w:szCs w:val="20"/>
          <w:color w:val="auto"/>
        </w:rPr>
      </w:pPr>
    </w:p>
    <w:p>
      <w:pPr>
        <w:ind w:left="440" w:firstLine="419"/>
        <w:spacing w:after="0" w:line="277"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rights of Holders of Notes issued under this Indenture to receive payments in respect of the principal of, premium, if any, and interest, if any, on the Notes when such payments are due solely out of the trust referred to in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Issuer’s obligations with respect to the Notes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concerning issuing temporary Notes, registration of such Notes, mutilated, destroyed, lost or stolen Notes and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hereof concerning the maintenance of an office or agency for payment and money for security payments held in trust;</w:t>
      </w:r>
    </w:p>
    <w:p>
      <w:pPr>
        <w:spacing w:after="0" w:line="75"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rights, powers, trusts, duties, immunities and indemnities of the Trustee and the Issuer’s or Guarantors’ obligations in connection therewith;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provisions relating to Legal Defeasance.</w:t>
      </w:r>
    </w:p>
    <w:p>
      <w:pPr>
        <w:spacing w:after="0" w:line="225" w:lineRule="exact"/>
        <w:rPr>
          <w:sz w:val="20"/>
          <w:szCs w:val="20"/>
          <w:color w:val="auto"/>
        </w:rPr>
      </w:pPr>
    </w:p>
    <w:p>
      <w:pPr>
        <w:ind w:right="40" w:firstLine="991"/>
        <w:spacing w:after="0" w:line="283"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hereof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Issuer and each of the Guarantors will,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hereof, be released from each of their obligations under the covenants contained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w:t>
      </w:r>
      <w:r>
        <w:rPr>
          <w:rFonts w:ascii="Arial" w:cs="Arial" w:eastAsia="Arial" w:hAnsi="Arial"/>
          <w:sz w:val="16"/>
          <w:szCs w:val="16"/>
          <w:u w:val="single" w:color="auto"/>
          <w:color w:val="auto"/>
        </w:rPr>
        <w:t>3.07</w:t>
      </w:r>
      <w:r>
        <w:rPr>
          <w:rFonts w:ascii="Arial" w:cs="Arial" w:eastAsia="Arial" w:hAnsi="Arial"/>
          <w:sz w:val="16"/>
          <w:szCs w:val="16"/>
          <w:color w:val="auto"/>
        </w:rPr>
        <w:t xml:space="preserve">, </w:t>
      </w:r>
      <w:r>
        <w:rPr>
          <w:rFonts w:ascii="Arial" w:cs="Arial" w:eastAsia="Arial" w:hAnsi="Arial"/>
          <w:sz w:val="16"/>
          <w:szCs w:val="16"/>
          <w:u w:val="single" w:color="auto"/>
          <w:color w:val="auto"/>
        </w:rPr>
        <w:t>3.08</w:t>
      </w:r>
      <w:r>
        <w:rPr>
          <w:rFonts w:ascii="Arial" w:cs="Arial" w:eastAsia="Arial" w:hAnsi="Arial"/>
          <w:sz w:val="16"/>
          <w:szCs w:val="16"/>
          <w:color w:val="auto"/>
        </w:rPr>
        <w:t xml:space="preserve">, </w:t>
      </w:r>
      <w:r>
        <w:rPr>
          <w:rFonts w:ascii="Arial" w:cs="Arial" w:eastAsia="Arial" w:hAnsi="Arial"/>
          <w:sz w:val="16"/>
          <w:szCs w:val="16"/>
          <w:u w:val="single" w:color="auto"/>
          <w:color w:val="auto"/>
        </w:rPr>
        <w:t>3.09</w:t>
      </w:r>
      <w:r>
        <w:rPr>
          <w:rFonts w:ascii="Arial" w:cs="Arial" w:eastAsia="Arial" w:hAnsi="Arial"/>
          <w:sz w:val="16"/>
          <w:szCs w:val="16"/>
          <w:color w:val="auto"/>
        </w:rPr>
        <w:t xml:space="preserve">, </w:t>
      </w:r>
      <w:r>
        <w:rPr>
          <w:rFonts w:ascii="Arial" w:cs="Arial" w:eastAsia="Arial" w:hAnsi="Arial"/>
          <w:sz w:val="16"/>
          <w:szCs w:val="16"/>
          <w:u w:val="single" w:color="auto"/>
          <w:color w:val="auto"/>
        </w:rPr>
        <w:t>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w:t>
      </w:r>
      <w:r>
        <w:rPr>
          <w:rFonts w:ascii="Arial" w:cs="Arial" w:eastAsia="Arial" w:hAnsi="Arial"/>
          <w:sz w:val="16"/>
          <w:szCs w:val="16"/>
          <w:u w:val="single" w:color="auto"/>
          <w:color w:val="auto"/>
        </w:rPr>
        <w:t>3.20</w:t>
      </w:r>
      <w:r>
        <w:rPr>
          <w:rFonts w:ascii="Arial" w:cs="Arial" w:eastAsia="Arial" w:hAnsi="Arial"/>
          <w:sz w:val="16"/>
          <w:szCs w:val="16"/>
          <w:color w:val="auto"/>
        </w:rPr>
        <w:t xml:space="preserve">, </w:t>
      </w:r>
      <w:r>
        <w:rPr>
          <w:rFonts w:ascii="Arial" w:cs="Arial" w:eastAsia="Arial" w:hAnsi="Arial"/>
          <w:sz w:val="16"/>
          <w:szCs w:val="16"/>
          <w:u w:val="single" w:color="auto"/>
          <w:color w:val="auto"/>
        </w:rPr>
        <w:t>3.21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4.01(a)(1)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(a)(2)</w:t>
      </w:r>
      <w:r>
        <w:rPr>
          <w:rFonts w:ascii="Arial" w:cs="Arial" w:eastAsia="Arial" w:hAnsi="Arial"/>
          <w:sz w:val="16"/>
          <w:szCs w:val="16"/>
          <w:color w:val="auto"/>
        </w:rPr>
        <w:t xml:space="preserve">) hereof with respect to the outstanding Notes on and after the date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hereof are satisfied (hereinafter,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hereof, but, except as specified above, the remainder of this Indenture and such Notes and Guarantees will be unaffected thereby. In addition, 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hereof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Sections 6.01(a)(3)</w:t>
      </w:r>
      <w:r>
        <w:rPr>
          <w:rFonts w:ascii="Arial" w:cs="Arial" w:eastAsia="Arial" w:hAnsi="Arial"/>
          <w:sz w:val="16"/>
          <w:szCs w:val="16"/>
          <w:color w:val="auto"/>
        </w:rPr>
        <w:t xml:space="preserve"> (other than with respect to </w:t>
      </w:r>
      <w:r>
        <w:rPr>
          <w:rFonts w:ascii="Arial" w:cs="Arial" w:eastAsia="Arial" w:hAnsi="Arial"/>
          <w:sz w:val="16"/>
          <w:szCs w:val="16"/>
          <w:u w:val="single" w:color="auto"/>
          <w:color w:val="auto"/>
        </w:rPr>
        <w:t>Section 4.01(a)(1)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6.01(a)(6)</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6.01(a)(9)</w:t>
      </w:r>
      <w:r>
        <w:rPr>
          <w:rFonts w:ascii="Arial" w:cs="Arial" w:eastAsia="Arial" w:hAnsi="Arial"/>
          <w:sz w:val="18"/>
          <w:szCs w:val="18"/>
          <w:color w:val="auto"/>
        </w:rPr>
        <w:t xml:space="preserve"> hereof shall not constitute Events of Default.</w:t>
      </w:r>
    </w:p>
    <w:p>
      <w:pPr>
        <w:spacing w:after="0" w:line="21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 xml:space="preserve">If the Issuer exercises its Legal Defeasance option or its Covenant Defeasance option in accordance with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the Collateral will automatically be released from the Lien securing the Notes Obligations (and, for the avoidance of doubt, the Issuer will not be obligated to comply with Section 3.13 or otherwise create or perfect any security interests as security for the Notes thereafter).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20"/>
          </w:cols>
          <w:pgMar w:left="440" w:top="274" w:right="439" w:bottom="1440" w:gutter="0" w:footer="0" w:header="0"/>
        </w:sectPr>
      </w:pPr>
    </w:p>
    <w:bookmarkStart w:id="157" w:name="page158"/>
    <w:bookmarkEnd w:id="157"/>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xml:space="preserve">. In order to exercise either Legal Defeasance or Covenant Defeasance, as applicable, under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hereof:</w:t>
      </w:r>
    </w:p>
    <w:p>
      <w:pPr>
        <w:spacing w:after="0" w:line="62" w:lineRule="exact"/>
        <w:rPr>
          <w:sz w:val="20"/>
          <w:szCs w:val="20"/>
          <w:color w:val="auto"/>
        </w:rPr>
      </w:pPr>
    </w:p>
    <w:p>
      <w:pPr>
        <w:ind w:left="1120" w:hanging="261"/>
        <w:spacing w:after="0"/>
        <w:tabs>
          <w:tab w:leader="none" w:pos="11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Issuer must irrevocably deposit with the Trustee, in trust, for the benefit of the Holders, cash in Dollars, U.S. Government</w:t>
      </w:r>
    </w:p>
    <w:p>
      <w:pPr>
        <w:spacing w:after="0" w:line="34" w:lineRule="exact"/>
        <w:rPr>
          <w:rFonts w:ascii="Arial" w:cs="Arial" w:eastAsia="Arial" w:hAnsi="Arial"/>
          <w:sz w:val="17"/>
          <w:szCs w:val="17"/>
          <w:color w:val="auto"/>
        </w:rPr>
      </w:pPr>
    </w:p>
    <w:p>
      <w:pPr>
        <w:ind w:left="440"/>
        <w:spacing w:after="0" w:line="255" w:lineRule="auto"/>
        <w:rPr>
          <w:rFonts w:ascii="Arial" w:cs="Arial" w:eastAsia="Arial" w:hAnsi="Arial"/>
          <w:sz w:val="17"/>
          <w:szCs w:val="17"/>
          <w:color w:val="auto"/>
        </w:rPr>
      </w:pPr>
      <w:r>
        <w:rPr>
          <w:rFonts w:ascii="Arial" w:cs="Arial" w:eastAsia="Arial" w:hAnsi="Arial"/>
          <w:sz w:val="18"/>
          <w:szCs w:val="18"/>
          <w:color w:val="auto"/>
        </w:rPr>
        <w:t>Obligations, or a combination thereof, in such amounts as will be sufficient, to pay the principal of and premium, if any, and interest, due on the Notes issued under this Indenture on the Stated Maturity date or on the applicable redemption date, as the case may be, and the Issuer must specify whether such Notes are being defeased to maturity or to a particular redemption date;</w:t>
      </w:r>
    </w:p>
    <w:p>
      <w:pPr>
        <w:spacing w:after="0" w:line="81" w:lineRule="exact"/>
        <w:rPr>
          <w:rFonts w:ascii="Arial" w:cs="Arial" w:eastAsia="Arial" w:hAnsi="Arial"/>
          <w:sz w:val="17"/>
          <w:szCs w:val="17"/>
          <w:color w:val="auto"/>
        </w:rPr>
      </w:pPr>
    </w:p>
    <w:p>
      <w:pPr>
        <w:ind w:left="440" w:right="620" w:firstLine="419"/>
        <w:spacing w:after="0" w:line="277" w:lineRule="auto"/>
        <w:tabs>
          <w:tab w:leader="none" w:pos="111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to the effect that, subject to customary assumptions and exclusions;</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United States Internal Revenue Service a ruling; or</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since the issuance of such Notes, there has been a change in the applicable U.S. federal income tax law;</w:t>
      </w:r>
    </w:p>
    <w:p>
      <w:pPr>
        <w:spacing w:after="0" w:line="117" w:lineRule="exact"/>
        <w:rPr>
          <w:sz w:val="20"/>
          <w:szCs w:val="20"/>
          <w:color w:val="auto"/>
        </w:rPr>
      </w:pPr>
    </w:p>
    <w:p>
      <w:pPr>
        <w:ind w:left="440" w:right="40"/>
        <w:spacing w:after="0" w:line="279" w:lineRule="auto"/>
        <w:rPr>
          <w:sz w:val="20"/>
          <w:szCs w:val="20"/>
          <w:color w:val="auto"/>
        </w:rPr>
      </w:pPr>
      <w:r>
        <w:rPr>
          <w:rFonts w:ascii="Arial" w:cs="Arial" w:eastAsia="Arial" w:hAnsi="Arial"/>
          <w:sz w:val="17"/>
          <w:szCs w:val="17"/>
          <w:color w:val="auto"/>
        </w:rPr>
        <w:t>in either case to the effect that, and based thereon such Opinion of Counsel shall confirm that, subject to customary assumptions and exclusions, the beneficial owners of the Notes, in their capacity as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63" w:lineRule="exact"/>
        <w:rPr>
          <w:sz w:val="20"/>
          <w:szCs w:val="20"/>
          <w:color w:val="auto"/>
        </w:rPr>
      </w:pPr>
    </w:p>
    <w:p>
      <w:pPr>
        <w:jc w:val="both"/>
        <w:ind w:left="440" w:right="120" w:firstLine="419"/>
        <w:spacing w:after="0" w:line="279" w:lineRule="auto"/>
        <w:tabs>
          <w:tab w:leader="none" w:pos="111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40" w:right="280" w:firstLine="419"/>
        <w:spacing w:after="0" w:line="277"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 Default or Event of Default (other than that resulting from borrowing funds to be applied to make such deposit and the granting of Liens in connection therewith) shall have occurred and be continuing on the date of such deposit;</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the Credit Facilities or any other material agreement or instrument (other than this Indenture) to which the Issuer or any Guarantor is a party or by which the Issuer or any Guarantor is bound;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to the effect that the deposit was not made by the Issuer with the intent of defeating, hindering, delaying, defrauding or preferring any creditors of the Issuer or any Guarantor;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158" w:name="page159"/>
    <w:bookmarkEnd w:id="158"/>
    <w:p>
      <w:pPr>
        <w:ind w:left="440" w:right="20" w:firstLine="419"/>
        <w:spacing w:after="0" w:line="263"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hereof, all money and U.S. Government Obligations (including the proceeds thereof) deposited with the Trustee (or other qualifying trustee, collectively for purposes of this </w:t>
      </w:r>
      <w:r>
        <w:rPr>
          <w:rFonts w:ascii="Arial" w:cs="Arial" w:eastAsia="Arial" w:hAnsi="Arial"/>
          <w:sz w:val="16"/>
          <w:szCs w:val="16"/>
          <w:u w:val="single" w:color="auto"/>
          <w:color w:val="auto"/>
        </w:rPr>
        <w:t>Section 8.05</w:t>
      </w:r>
      <w:r>
        <w:rPr>
          <w:rFonts w:ascii="Arial" w:cs="Arial" w:eastAsia="Arial" w:hAnsi="Arial"/>
          <w:sz w:val="16"/>
          <w:szCs w:val="16"/>
          <w:color w:val="auto"/>
        </w:rPr>
        <w:t>,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hereof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The Issuer will pay and indemnify the Trustee against any tax, fee or other charge imposed on or assessed against the cash or U.S. Government Obligations deposited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contrary, the Trustee will deliver or pay to the Issuer from time to time upon the request of the Issuer any money or U.S. Government Obligations held by it as provided in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hereof which, in the opinion of a nationally recognized firm of independent public accountants expressed in a written certification thereof delivered to the Trustee (which may be the opinion delivered under </w:t>
      </w:r>
      <w:r>
        <w:rPr>
          <w:rFonts w:ascii="Arial" w:cs="Arial" w:eastAsia="Arial" w:hAnsi="Arial"/>
          <w:sz w:val="18"/>
          <w:szCs w:val="18"/>
          <w:u w:val="single" w:color="auto"/>
          <w:color w:val="auto"/>
        </w:rPr>
        <w:t>Section 8.04(1)</w:t>
      </w:r>
      <w:r>
        <w:rPr>
          <w:rFonts w:ascii="Arial" w:cs="Arial" w:eastAsia="Arial" w:hAnsi="Arial"/>
          <w:sz w:val="18"/>
          <w:szCs w:val="18"/>
          <w:color w:val="auto"/>
        </w:rPr>
        <w:t xml:space="preserve">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Repayment to the Issuer</w:t>
      </w:r>
      <w:r>
        <w:rPr>
          <w:rFonts w:ascii="Arial" w:cs="Arial" w:eastAsia="Arial" w:hAnsi="Arial"/>
          <w:sz w:val="17"/>
          <w:szCs w:val="17"/>
          <w:color w:val="auto"/>
        </w:rPr>
        <w:t xml:space="preserv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Issuer)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Issuer, before being required to make any such repayment, shall at its own expense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81"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If the Trustee or Paying Agent is unable to apply any money or Dollars or U.S. Government Obligations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hereof until such time as the Trustee or Paying Agent is permitted to apply all such money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hereof,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Issuer make any payment of principal of, premium, or interest on, any Note following the reinstatement of its obligations, the Issuer will be subrogated to the rights of the Holders of such Notes to receive such payment from the money or U.S. Government Obligations held by the Trustee or Paying 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4" w:right="4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this Indenture, the Issuer and the Trustee or the Notes Collateral Agent, as applicable, may amend, supplement or modify this Indenture, any Guarantee, the Notes, and any other Note Document without the consent of any Holder to:</w:t>
      </w:r>
    </w:p>
    <w:p>
      <w:pPr>
        <w:spacing w:after="0" w:line="76" w:lineRule="exact"/>
        <w:rPr>
          <w:sz w:val="20"/>
          <w:szCs w:val="20"/>
          <w:color w:val="auto"/>
        </w:rPr>
      </w:pPr>
    </w:p>
    <w:p>
      <w:pPr>
        <w:ind w:left="440" w:right="680" w:firstLine="419"/>
        <w:spacing w:after="0" w:line="27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cure any ambiguity, omission, mistake, defect, error or inconsistency, conform any provision to any provision under the heading “Description of Notes” in the Offering Memorandum or reduce the minimum denomination of the Notes;</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provide for the assumption by a Successor Company of the obligations of the Issuer or a Guarantor under any Note Document or to comply with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 or to alter the provisions of this Indenture relating to the form of the Notes (including related definitions);</w:t>
      </w:r>
    </w:p>
    <w:p>
      <w:pPr>
        <w:spacing w:after="0" w:line="62" w:lineRule="exact"/>
        <w:rPr>
          <w:rFonts w:ascii="Arial" w:cs="Arial" w:eastAsia="Arial" w:hAnsi="Arial"/>
          <w:sz w:val="18"/>
          <w:szCs w:val="18"/>
          <w:color w:val="auto"/>
        </w:rPr>
      </w:pPr>
    </w:p>
    <w:p>
      <w:pPr>
        <w:ind w:left="440" w:right="700" w:firstLine="419"/>
        <w:spacing w:after="0" w:line="27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add to or modify the covenants or provide for a Note Guarantee for the benefit of the Holders or to surrender any right or power conferred upon the Issuer or any Restricted Subsidiary;</w:t>
      </w:r>
    </w:p>
    <w:p>
      <w:pPr>
        <w:spacing w:after="0" w:line="62" w:lineRule="exact"/>
        <w:rPr>
          <w:rFonts w:ascii="Arial" w:cs="Arial" w:eastAsia="Arial" w:hAnsi="Arial"/>
          <w:sz w:val="18"/>
          <w:szCs w:val="18"/>
          <w:color w:val="auto"/>
        </w:rPr>
      </w:pPr>
    </w:p>
    <w:p>
      <w:pPr>
        <w:ind w:left="440" w:right="140" w:firstLine="419"/>
        <w:spacing w:after="0" w:line="308" w:lineRule="auto"/>
        <w:tabs>
          <w:tab w:leader="none" w:pos="111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make any change (including changing the CUSIP or other identifying number on any Notes) that would provide any additional rights or benefits to the Holders or that does not materially and adversely affect the rights of any Holder in any material respect;</w:t>
      </w:r>
    </w:p>
    <w:p>
      <w:pPr>
        <w:spacing w:after="0" w:line="38" w:lineRule="exact"/>
        <w:rPr>
          <w:rFonts w:ascii="Arial" w:cs="Arial" w:eastAsia="Arial" w:hAnsi="Arial"/>
          <w:sz w:val="17"/>
          <w:szCs w:val="17"/>
          <w:color w:val="auto"/>
        </w:rPr>
      </w:pPr>
    </w:p>
    <w:p>
      <w:pPr>
        <w:ind w:left="440" w:right="280" w:firstLine="419"/>
        <w:spacing w:after="0" w:line="277"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at the Issuer’s election, comply with any requirement of the SEC in connection with the qualification of this Indenture under the Trust Indenture Act, if such qualification is required;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make such provisions as necessary for the issuance of Additional Notes;</w:t>
      </w:r>
    </w:p>
    <w:p>
      <w:pPr>
        <w:spacing w:after="0" w:line="117"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provide for any Restricted Subsidiary to provide a Guarantee in accordance with </w:t>
      </w:r>
      <w:r>
        <w:rPr>
          <w:rFonts w:ascii="Arial" w:cs="Arial" w:eastAsia="Arial" w:hAnsi="Arial"/>
          <w:sz w:val="18"/>
          <w:szCs w:val="18"/>
          <w:u w:val="single" w:color="auto"/>
          <w:color w:val="auto"/>
        </w:rPr>
        <w:t>Section 3.07</w:t>
      </w:r>
      <w:r>
        <w:rPr>
          <w:rFonts w:ascii="Arial" w:cs="Arial" w:eastAsia="Arial" w:hAnsi="Arial"/>
          <w:sz w:val="18"/>
          <w:szCs w:val="18"/>
          <w:color w:val="auto"/>
        </w:rPr>
        <w:t>, to add Guarantees with respect to the Notes, to add security to or for the benefit of the Notes, or to confirm and evidence the release, termination, subordination, discharge or retaking of any Guarantee or Lien with respect to or securing the Notes when such release, termination, subordination, discharge or retaking is provided for under this Indenture;</w:t>
      </w:r>
    </w:p>
    <w:p>
      <w:pPr>
        <w:spacing w:after="0" w:line="78" w:lineRule="exact"/>
        <w:rPr>
          <w:rFonts w:ascii="Arial" w:cs="Arial" w:eastAsia="Arial" w:hAnsi="Arial"/>
          <w:sz w:val="18"/>
          <w:szCs w:val="18"/>
          <w:color w:val="auto"/>
        </w:rPr>
      </w:pPr>
    </w:p>
    <w:p>
      <w:pPr>
        <w:ind w:left="440" w:right="680" w:firstLine="419"/>
        <w:spacing w:after="0" w:line="308" w:lineRule="auto"/>
        <w:tabs>
          <w:tab w:leader="none" w:pos="111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evidence and provide for the acceptance and appointment under this Indenture of a successor Trustee or successor Paying Agent hereunder pursuant to the requirements hereof or to provide for the accession by the Trustee to any Note Document;</w:t>
      </w:r>
    </w:p>
    <w:p>
      <w:pPr>
        <w:spacing w:after="0" w:line="38" w:lineRule="exact"/>
        <w:rPr>
          <w:rFonts w:ascii="Arial" w:cs="Arial" w:eastAsia="Arial" w:hAnsi="Arial"/>
          <w:sz w:val="17"/>
          <w:szCs w:val="17"/>
          <w:color w:val="auto"/>
        </w:rPr>
      </w:pPr>
    </w:p>
    <w:p>
      <w:pPr>
        <w:ind w:left="440" w:right="160" w:firstLine="419"/>
        <w:spacing w:after="0" w:line="296" w:lineRule="auto"/>
        <w:tabs>
          <w:tab w:leader="none" w:pos="120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to add additional assets as Collateral or add any security for the First Lien Obligations or make, complete or confirm any grant of security interest in any property or assets as additional Collateral securing the obligations under this Indenture, the Notes, the Guarantees and the Notes Security Documents, including when permitted or required by this Indenture or any of the Notes Security Documents and (b) to release Collateral from the Lien pursuant to this Indenture, the Notes Security Documents and the First Lien Pari Passu Intercreditor Agreement when permitted or required by this Indenture, the Notes Security Documents or the First Lien Pari Passu Intercreditor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440" w:top="270" w:right="439" w:bottom="1440" w:gutter="0" w:footer="0" w:header="0"/>
        </w:sectPr>
      </w:pPr>
    </w:p>
    <w:bookmarkStart w:id="160" w:name="page161"/>
    <w:bookmarkEnd w:id="160"/>
    <w:p>
      <w:pPr>
        <w:ind w:left="440" w:right="220" w:firstLine="419"/>
        <w:spacing w:after="0" w:line="277" w:lineRule="auto"/>
        <w:tabs>
          <w:tab w:leader="none" w:pos="1201"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add an obligor or a Guarantor under this Indenture and (b) when permitted or required by this Indenture, to release any Guarantor from its Guarantee pursuant to this Indenture;</w:t>
      </w:r>
    </w:p>
    <w:p>
      <w:pPr>
        <w:spacing w:after="0" w:line="62" w:lineRule="exact"/>
        <w:rPr>
          <w:rFonts w:ascii="Arial" w:cs="Arial" w:eastAsia="Arial" w:hAnsi="Arial"/>
          <w:sz w:val="18"/>
          <w:szCs w:val="18"/>
          <w:color w:val="auto"/>
        </w:rPr>
      </w:pPr>
    </w:p>
    <w:p>
      <w:pPr>
        <w:ind w:left="440" w:firstLine="419"/>
        <w:spacing w:after="0" w:line="263" w:lineRule="auto"/>
        <w:tabs>
          <w:tab w:leader="none" w:pos="12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make any amendment to the provisions of this Indenture relating to the transfer and legending of Notes not prohibited by this Indenture, including to facilitate the issuance and administration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 does not materially and adversely affect the rights of Holders to transfer the Notes;</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comply with the rules and procedures of any applicable securities depositary;</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2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to effect a release of the BD Guarantee upon the satisfaction of the BD Guarantee Release Condition as described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in the Parent Guaranty Agreement;</w:t>
      </w:r>
    </w:p>
    <w:p>
      <w:pPr>
        <w:spacing w:after="0" w:line="62" w:lineRule="exact"/>
        <w:rPr>
          <w:rFonts w:ascii="Arial" w:cs="Arial" w:eastAsia="Arial" w:hAnsi="Arial"/>
          <w:sz w:val="18"/>
          <w:szCs w:val="18"/>
          <w:color w:val="auto"/>
        </w:rPr>
      </w:pPr>
    </w:p>
    <w:p>
      <w:pPr>
        <w:ind w:left="440" w:right="320" w:firstLine="419"/>
        <w:spacing w:after="0" w:line="277" w:lineRule="auto"/>
        <w:tabs>
          <w:tab w:leader="none" w:pos="12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make any amendment to the provisions of this Indenture, the Guarantees and/or the Notes to eliminate the effect of any Accounting Change or in the application thereof as described in the last paragraph of the definition of “GAAP”; or</w:t>
      </w:r>
    </w:p>
    <w:p>
      <w:pPr>
        <w:spacing w:after="0" w:line="62" w:lineRule="exact"/>
        <w:rPr>
          <w:rFonts w:ascii="Arial" w:cs="Arial" w:eastAsia="Arial" w:hAnsi="Arial"/>
          <w:sz w:val="18"/>
          <w:szCs w:val="18"/>
          <w:color w:val="auto"/>
        </w:rPr>
      </w:pPr>
    </w:p>
    <w:p>
      <w:pPr>
        <w:jc w:val="both"/>
        <w:ind w:left="440" w:right="200" w:firstLine="419"/>
        <w:spacing w:after="0" w:line="263" w:lineRule="auto"/>
        <w:tabs>
          <w:tab w:leader="none" w:pos="12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execute or amend any Intercreditor Agreement and the Notes Security Documents to provide for the addition of any creditors to such agreements to the extent a Lien for the benefit of such creditor is permitted by the terms of this Indenture or otherwise under the circumstances provided for therein.</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upon the request of the Issuer and upon receipt by the Trustee and the Notes Collateral Agent of the documents described in </w:t>
      </w:r>
      <w:r>
        <w:rPr>
          <w:rFonts w:ascii="Arial" w:cs="Arial" w:eastAsia="Arial" w:hAnsi="Arial"/>
          <w:sz w:val="17"/>
          <w:szCs w:val="17"/>
          <w:u w:val="single" w:color="auto"/>
          <w:color w:val="auto"/>
        </w:rPr>
        <w:t>Sections 9.06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13.02</w:t>
      </w:r>
      <w:r>
        <w:rPr>
          <w:rFonts w:ascii="Arial" w:cs="Arial" w:eastAsia="Arial" w:hAnsi="Arial"/>
          <w:sz w:val="17"/>
          <w:szCs w:val="17"/>
          <w:color w:val="auto"/>
        </w:rPr>
        <w:t xml:space="preserve"> hereof, the Trustee and the Notes Collateral Agent will join with the Issuer and the Guarantors in the execution of such amended or supplemental indenture unless such amended or supplemental indenture affects the Trustee’s or the Notes Collateral Agent’s own rights, duties, liabilities or immunities under this Indenture or otherwise, in which case each of the Trustee or the Notes Collateral Agent may in its discretion, but will not be obligated to, enter into such amended or supplemental indenture.</w:t>
      </w:r>
    </w:p>
    <w:p>
      <w:pPr>
        <w:spacing w:after="0" w:line="176" w:lineRule="exact"/>
        <w:rPr>
          <w:sz w:val="20"/>
          <w:szCs w:val="20"/>
          <w:color w:val="auto"/>
        </w:rPr>
      </w:pPr>
    </w:p>
    <w:p>
      <w:pPr>
        <w:ind w:right="100" w:firstLine="991"/>
        <w:spacing w:after="0" w:line="25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xml:space="preserve">. Except as provided below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the Issuer, the Guarantors and the Trustee or the Notes Collateral Agent, as applicable, may amend or supplement this Indenture, any Guarantee, the Notes issued hereunder and any other Note Document with the consent of the Holders of at least a majority in principal amount of all the outstanding Notes issued under this Indenture, including, without limitation, consents obtained before or after a Change of Control or in connection with a purchase of, or tender offer or exchange offer for, Notes, and any existing Default or Event of Default or compliance with any provision of this Indenture, the Notes, the Guarantees and any other Note Document may be waived with the consent of the Holders of at least a majority in principal amount of all the outstanding Notes issued under this Indenture (including consents obtained before or after a Change of Control or in connection with a purchase of or tender offer or exchange offer for Notes).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hereof shall determine which Notes are considered to be “outstanding” for the purposes of this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80"/>
          </w:cols>
          <w:pgMar w:left="440" w:top="274" w:right="479" w:bottom="1440" w:gutter="0" w:footer="0" w:header="0"/>
        </w:sectPr>
      </w:pPr>
    </w:p>
    <w:bookmarkStart w:id="161" w:name="page162"/>
    <w:bookmarkEnd w:id="161"/>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request of the Issuer, and upon delivery to the Trustee and the Notes Collateral Agent of evidence of the consent of the Holders of Notes as aforesaid, and upon receipt by the Trustee and the Notes Collateral Agent of the documents described in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hereof, the Trustee and the Notes Collateral Agent will join with the Issuer and the Guarantors in the execution of such amended or supplemental indenture unless such amended or supplemental indenture affects the Trustee’s or the Notes Collateral Agent’s own rights, duties, liabilities or immunities under this Indenture or otherwise, in which case each of the Trustee or the Notes Collateral Agent may in its discretion, but will not be obligated to, enter into such amended or supplemental indenture.</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Without the consent of each Holder of Notes affected, an amendment, supplement or waiver may not, with respect to any Notes issued hereunder and held by a nonconsenting Holder:</w:t>
      </w:r>
    </w:p>
    <w:p>
      <w:pPr>
        <w:spacing w:after="0" w:line="62" w:lineRule="exact"/>
        <w:rPr>
          <w:sz w:val="20"/>
          <w:szCs w:val="20"/>
          <w:color w:val="auto"/>
        </w:rPr>
      </w:pPr>
    </w:p>
    <w:p>
      <w:pPr>
        <w:ind w:left="1120" w:hanging="261"/>
        <w:spacing w:after="0"/>
        <w:tabs>
          <w:tab w:leader="none" w:pos="11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reduce the stated rate of or extend the stated time for payment of interest on any such Note (other than provisions relating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3.09</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reduce the principal of or extend the Stated Maturity of any such Note (other than provisions relating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3.09</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440" w:firstLine="419"/>
        <w:spacing w:after="0" w:line="277" w:lineRule="auto"/>
        <w:tabs>
          <w:tab w:leader="none" w:pos="11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reduce the premium payable upon the redemption of any such Note or change the time at which any such Note may be redeemed, in each case as set forth in </w:t>
      </w:r>
      <w:r>
        <w:rPr>
          <w:rFonts w:ascii="Arial" w:cs="Arial" w:eastAsia="Arial" w:hAnsi="Arial"/>
          <w:sz w:val="18"/>
          <w:szCs w:val="18"/>
          <w:u w:val="single" w:color="auto"/>
          <w:color w:val="auto"/>
        </w:rPr>
        <w:t>Section 5.07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440" w:right="60" w:firstLine="419"/>
        <w:spacing w:after="0" w:line="277" w:lineRule="auto"/>
        <w:tabs>
          <w:tab w:leader="none" w:pos="11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of principal of and interest on such Holder’s Notes on or after the due dates therefor;</w:t>
      </w:r>
    </w:p>
    <w:p>
      <w:pPr>
        <w:spacing w:after="0" w:line="62" w:lineRule="exact"/>
        <w:rPr>
          <w:rFonts w:ascii="Arial" w:cs="Arial" w:eastAsia="Arial" w:hAnsi="Arial"/>
          <w:sz w:val="18"/>
          <w:szCs w:val="18"/>
          <w:color w:val="auto"/>
        </w:rPr>
      </w:pPr>
    </w:p>
    <w:p>
      <w:pPr>
        <w:ind w:left="440" w:right="120" w:firstLine="419"/>
        <w:spacing w:after="0" w:line="263" w:lineRule="auto"/>
        <w:tabs>
          <w:tab w:leader="none" w:pos="11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such Notes outstanding and a waiver of the payment default that resulted from such acceleration); or</w:t>
      </w:r>
    </w:p>
    <w:p>
      <w:pPr>
        <w:spacing w:after="0" w:line="75"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except as contemplated by this Indenture, (i) release all or substantially all of the Guarantors from their Guarantees, or (ii) release the BD Guarantee prior to the satisfaction of the BD Guarantee Release Condition.</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addition, without the consent of holders of at least 66 2/3% in principal amount of the Notes then outstanding (including, without limitation, consents obtained in connection with a purchase of, or tender offer or exchange offer for, notes), no amendment, supplement or waiver may modify any Notes Security Documents or the provisions in this Indenture dealing with Collateral or the Notes Security Documents to the extent that such amendment, supplement or waiver would have the effect of releasing Liens on all or substantially all of the Collateral securing the Notes (except as expressly provided by this Indenture, the Notes Security Documents or the First Lien Pari Passu Intercreditor Agreement) or change or alter the priority of the security interests in the Collateral.</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anything to the contrary herein, the provisions of this Indenture relative to the Issuer’s obligation to (i) make a Change of Control Offer may be amended, supplemented, waived or modified with the written consent of Holders of at least a majority in principal amount of all the outstanding Notes issued under this Indenture and (ii) make an offer to repurchase the Notes as a result of an Asset Disposition may be amended, supplemented, waived or modified with the written consent of the Holders of at least a majority in principal amount of the Notes then outstanding.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0"/>
          </w:cols>
          <w:pgMar w:left="440" w:top="274" w:right="459" w:bottom="1440" w:gutter="0" w:footer="0" w:header="0"/>
        </w:sectPr>
      </w:pPr>
    </w:p>
    <w:bookmarkStart w:id="162" w:name="page163"/>
    <w:bookmarkEnd w:id="16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shall not be necessary for the consent of the Holders under this Indenture to approve the particular form of any proposed amendment, supplement or waiver, but it shall be sufficient if such consent approves the substance thereof. A consent to any amendment, supplement or waiver under this Indenture by any Holder of the Notes given in connection with a tender or exchange of such Holder’s Notes will not be rendered invalid by such tender or exchange.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9.03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Revocation and Effect of Consents and Waivers</w:t>
      </w:r>
      <w:r>
        <w:rPr>
          <w:rFonts w:ascii="Arial" w:cs="Arial" w:eastAsia="Arial" w:hAnsi="Arial"/>
          <w:sz w:val="17"/>
          <w:szCs w:val="17"/>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78"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The Issuer may, but shall not be obligated to, fix a record date for the purpose of determining the Holders entitled to give their consent or take any other action described in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23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Trustee and Notes Collateral Agent to Sign Amendments</w:t>
      </w:r>
      <w:r>
        <w:rPr>
          <w:rFonts w:ascii="Arial" w:cs="Arial" w:eastAsia="Arial" w:hAnsi="Arial"/>
          <w:sz w:val="16"/>
          <w:szCs w:val="16"/>
          <w:color w:val="auto"/>
        </w:rPr>
        <w:t xml:space="preserve">. The Trustee and Notes Collateral Agent, as applicable, shall sign any amended or supplemental indenture authorized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if the amendment or supplement does not adversely affect the rights, duties, liabilities or immunities of the Trustee or Notes Collateral Agent, as applicable, in which case the Trustee or Notes Collateral Agent, as applicable, may in its discretion, but will not be obligated to, enter into such amended or supplemental indenture. In executing any amended or supplemental indenture, the Trustee or Notes Collateral Agent, as applicable, will be entitled to receive and (subject to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hereof) shall be fully protected in conclusively relying upon, in addition to the documents required by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hereof, an Officer’s Certificate and an Opinion of Counsel stating that the execution of such amended or supplemental indenture is authorized or permitted by this Indenture and is valid, binding and enforceable against the Issuer or any Guarantor, as the case may be, in accordance with its terms. Notwithstanding the foregoing, no Opinion of Counsel shall be required in connection with the Supplemental Indenture to be delivered pursuant to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274" w:right="459" w:bottom="1440" w:gutter="0" w:footer="0" w:header="0"/>
        </w:sectPr>
      </w:pPr>
    </w:p>
    <w:bookmarkStart w:id="163" w:name="page164"/>
    <w:bookmarkEnd w:id="16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ind w:left="4" w:right="100" w:firstLine="1428"/>
        <w:spacing w:after="0" w:line="284" w:lineRule="auto"/>
        <w:tabs>
          <w:tab w:leader="none" w:pos="168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On the Issue Date, BD shall execute and deliver to the Trustee the Parent Guaranty Agreement, pursuant to which the Notes will initially be guaranteed on an unsecured, unsubordinated basis by BD. Pursuant to the BD Guarantee as set forth in the Parent Guaranty Agreement, BD will unconditionally guarantee on an unsecured, unsubordinated basis, the full and punctual payment when due, whether at stated maturity, by acceleration or otherwise, of principal of, premium, if any, and interest on the Notes and the other Obligations of the Issuer under this Indenture and the Notes. Pursuant to the Parent Guaranty Agreement, the BD Guarantee will be automatically and unconditionally terminated and released, without any action on the part of the Trustee, any Holder of the Notes or any other Person, upon the earliest to occur of (i) the consummation of the Spin-Off or</w:t>
      </w:r>
    </w:p>
    <w:p>
      <w:pPr>
        <w:spacing w:after="0" w:line="4" w:lineRule="exact"/>
        <w:rPr>
          <w:rFonts w:ascii="Arial" w:cs="Arial" w:eastAsia="Arial" w:hAnsi="Arial"/>
          <w:sz w:val="16"/>
          <w:szCs w:val="16"/>
          <w:color w:val="auto"/>
        </w:rPr>
      </w:pPr>
    </w:p>
    <w:p>
      <w:pPr>
        <w:ind w:left="4" w:right="100" w:hanging="4"/>
        <w:spacing w:after="0" w:line="269" w:lineRule="auto"/>
        <w:tabs>
          <w:tab w:leader="none" w:pos="26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consummation of a legal defeasance or covenant defeasance relating to the Notes as described under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the discharge of this Indenture with respect to the Notes as described under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otherwise in accordance with the provisions of this Indenture (the “</w:t>
      </w:r>
      <w:r>
        <w:rPr>
          <w:rFonts w:ascii="Arial" w:cs="Arial" w:eastAsia="Arial" w:hAnsi="Arial"/>
          <w:sz w:val="17"/>
          <w:szCs w:val="17"/>
          <w:u w:val="single" w:color="auto"/>
          <w:color w:val="auto"/>
        </w:rPr>
        <w:t>BD Guarantee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Release Condition</w:t>
      </w:r>
      <w:r>
        <w:rPr>
          <w:rFonts w:ascii="Arial" w:cs="Arial" w:eastAsia="Arial" w:hAnsi="Arial"/>
          <w:sz w:val="17"/>
          <w:szCs w:val="17"/>
          <w:color w:val="auto"/>
        </w:rPr>
        <w:t>”; the date upon which the BD Guarantee is terminated and released in accordance with its terms, the “</w:t>
      </w:r>
      <w:r>
        <w:rPr>
          <w:rFonts w:ascii="Arial" w:cs="Arial" w:eastAsia="Arial" w:hAnsi="Arial"/>
          <w:sz w:val="17"/>
          <w:szCs w:val="17"/>
          <w:u w:val="single" w:color="auto"/>
          <w:color w:val="auto"/>
        </w:rPr>
        <w:t>BD Guarantee Release Date</w:t>
      </w:r>
      <w:r>
        <w:rPr>
          <w:rFonts w:ascii="Arial" w:cs="Arial" w:eastAsia="Arial" w:hAnsi="Arial"/>
          <w:sz w:val="17"/>
          <w:szCs w:val="17"/>
          <w:color w:val="auto"/>
        </w:rPr>
        <w:t>”). Any term or provision of this Indenture to the contrary notwithstanding, the obligations of BD hereunder and under the Parent Guaranty Agreement shall be limited to the maximum amount as will, after giving effect to all other contingent and fixed liabilities of BD, result in the obligations of BD under the BD Guarantee not constituting a fraudulent conveyance or fraudulent transfer under federal, foreign, state or provincial law and not otherwise being void or voidable under any similar laws affecting the rights of creditors generally.</w:t>
      </w:r>
    </w:p>
    <w:p>
      <w:pPr>
        <w:spacing w:after="0" w:line="180" w:lineRule="exact"/>
        <w:rPr>
          <w:rFonts w:ascii="Arial" w:cs="Arial" w:eastAsia="Arial" w:hAnsi="Arial"/>
          <w:sz w:val="17"/>
          <w:szCs w:val="17"/>
          <w:color w:val="auto"/>
        </w:rPr>
      </w:pPr>
    </w:p>
    <w:p>
      <w:pPr>
        <w:ind w:left="4" w:right="420" w:firstLine="1428"/>
        <w:spacing w:after="0" w:line="279" w:lineRule="auto"/>
        <w:tabs>
          <w:tab w:leader="none" w:pos="169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On the Spin-Off Date, each of the Subsidiaries of the Issuer that is required to guarantee the obligations under the Credit Agreement on or in connection with the Spin-Off Date shall execute and deliver to the Trustee the supplemental indenture, dated as of the Spin-Off Date,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each such Subsidiary, a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such guarantees therefrom, the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firstLine="1428"/>
        <w:spacing w:after="0" w:line="289" w:lineRule="auto"/>
        <w:tabs>
          <w:tab w:leader="none" w:pos="168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Subject to the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from and after the Spin-Off Date, by its execution of a supplemental indenture pursuant to which it agrees to become a Guarantor hereunder, each Guarantor hereby fully, unconditionally and irrevocably guarantee on a senior secured basis, as primary obligor and not merely as surety, jointly and severally with each other Guarantor, to each Holder, and the Trustee and the Notes Collateral Agent the full and punctual payment when due, whether at maturity, by acceleration, by redemption or otherwise (including the amount that would become due but for the operation of the automatic stay under Section 362(a) of the Bankruptcy Law), of the principal of, premium, if any, and interest on the Notes and all other Obligations and liabilities of the Issuer under this Indenture and the Notes when and as the same shall be due and payable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Arial" w:cs="Arial" w:eastAsia="Arial" w:hAnsi="Arial"/>
          <w:sz w:val="16"/>
          <w:szCs w:val="16"/>
          <w:u w:val="single" w:color="auto"/>
          <w:color w:val="auto"/>
        </w:rPr>
        <w:t>Section 7.07</w:t>
      </w:r>
      <w:r>
        <w:rPr>
          <w:rFonts w:ascii="Arial" w:cs="Arial" w:eastAsia="Arial" w:hAnsi="Arial"/>
          <w:sz w:val="16"/>
          <w:szCs w:val="16"/>
          <w:color w:val="auto"/>
        </w:rPr>
        <w:t>)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66" w:lineRule="exact"/>
        <w:rPr>
          <w:sz w:val="20"/>
          <w:szCs w:val="20"/>
          <w:color w:val="auto"/>
        </w:rPr>
      </w:pPr>
    </w:p>
    <w:p>
      <w:pPr>
        <w:ind w:left="4" w:right="60" w:firstLine="991"/>
        <w:spacing w:after="0" w:line="296" w:lineRule="auto"/>
        <w:rPr>
          <w:sz w:val="20"/>
          <w:szCs w:val="20"/>
          <w:color w:val="auto"/>
        </w:rPr>
      </w:pPr>
      <w:r>
        <w:rPr>
          <w:rFonts w:ascii="Arial" w:cs="Arial" w:eastAsia="Arial" w:hAnsi="Arial"/>
          <w:sz w:val="16"/>
          <w:szCs w:val="16"/>
          <w:color w:val="auto"/>
        </w:rPr>
        <w:t xml:space="preserve">The Guaranteed Obligations of each Subsidiary Guarantor shall be secured by a first-priority security interest (subject to Permitted Liens) in the Collateral owned by such Guarantor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other First Lien Obligations pursuant to the terms of the Notes Security Documents and the First Lien Pari Passu Intercreditor Agreement.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4"/>
          </w:cols>
          <w:pgMar w:left="436" w:top="270" w:right="439" w:bottom="1440" w:gutter="0" w:footer="0" w:header="0"/>
        </w:sectPr>
      </w:pPr>
    </w:p>
    <w:bookmarkStart w:id="164" w:name="page165"/>
    <w:bookmarkEnd w:id="164"/>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evidence its Guarantee set forth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each Guarantor hereby agrees that this Indenture or any supplemental indenture, as applicable, shall be executed on behalf of such Guarantor by an Officer of such Guarantor.</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Each Guarantor hereby agrees that its Guarantee set forth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remain in full force and effect notwithstanding the absence of the endorsement of any notation of such Guarantee on the Notes.</w:t>
      </w:r>
    </w:p>
    <w:p>
      <w:pPr>
        <w:spacing w:after="0" w:line="170"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If an Officer whose signature is on this Indenture or any supplemental indenture, as applicable, no longer holds that office at the time the Trustee authenticates the Note, the Guarantee shall be valid nevertheless.</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notwithstanding any extension or renewal of any Guaranteed Obligation.</w:t>
      </w:r>
    </w:p>
    <w:p>
      <w:pPr>
        <w:spacing w:after="0" w:line="184"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146"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12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10.02</w:t>
      </w:r>
      <w:r>
        <w:rPr>
          <w:rFonts w:ascii="Arial" w:cs="Arial" w:eastAsia="Arial" w:hAnsi="Arial"/>
          <w:sz w:val="16"/>
          <w:szCs w:val="16"/>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 (e) the failure of any Holder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17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 Each Guarantor further agrees that its Guarantee herein shall continue to be effective or be reinstated, as the case may be, if at any time payment, or any part thereof, of principal of, premium, if any, or interest on any of the Guaranteed Obligations is rescinded or must otherwise be restored by any Holder upon the bankruptcy or reorganization of the Issuer or otherwise.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4" w:right="459" w:bottom="1440" w:gutter="0" w:footer="0" w:header="0"/>
        </w:sectPr>
      </w:pPr>
    </w:p>
    <w:bookmarkStart w:id="165" w:name="page166"/>
    <w:bookmarkEnd w:id="16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furtherance of the foregoing and not in limitation of any other right which any Holder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(without duplication of the amounts described in the preceding clause (i)) accrued and unpaid interest on such Guaranteed Obligations then due and owing (but only to the extent not prohibited by law) (including interest accruing after the filing of any petition in bankruptcy or the commencement of any insolvency, reorganization or like proceeding relating to the Issuer or any Guarantor whether or not a claim for post-filing or post-petition interest is allowed in such proceeding).</w:t>
      </w:r>
    </w:p>
    <w:p>
      <w:pPr>
        <w:spacing w:after="0" w:line="17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17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Each Guarantor also agrees to pay any and all fees, costs and expenses (including attorneys’ fees and expenses) incurred by the Trustee, the Notes Collateral Agent or the Holders in enforcing any rights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Limitation on Liability; Termination, Release and Discharge</w:t>
      </w:r>
      <w:r>
        <w:rPr>
          <w:rFonts w:ascii="Arial" w:cs="Arial" w:eastAsia="Arial" w:hAnsi="Arial"/>
          <w:sz w:val="18"/>
          <w:szCs w:val="18"/>
          <w:color w:val="auto"/>
        </w:rPr>
        <w:t>.</w:t>
      </w:r>
    </w:p>
    <w:p>
      <w:pPr>
        <w:spacing w:after="0" w:line="117" w:lineRule="exact"/>
        <w:rPr>
          <w:sz w:val="20"/>
          <w:szCs w:val="20"/>
          <w:color w:val="auto"/>
        </w:rPr>
      </w:pPr>
    </w:p>
    <w:p>
      <w:pPr>
        <w:ind w:left="220" w:firstLine="1400"/>
        <w:spacing w:after="0" w:line="255" w:lineRule="auto"/>
        <w:tabs>
          <w:tab w:leader="none" w:pos="186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state or provincial law and not otherwise being void or voidable under any similar laws affecting the rights of creditors generally.</w:t>
      </w:r>
    </w:p>
    <w:p>
      <w:pPr>
        <w:spacing w:after="0" w:line="84" w:lineRule="exact"/>
        <w:rPr>
          <w:rFonts w:ascii="Arial" w:cs="Arial" w:eastAsia="Arial" w:hAnsi="Arial"/>
          <w:sz w:val="18"/>
          <w:szCs w:val="18"/>
          <w:color w:val="auto"/>
        </w:rPr>
      </w:pPr>
    </w:p>
    <w:p>
      <w:pPr>
        <w:ind w:left="1880" w:hanging="260"/>
        <w:spacing w:after="0"/>
        <w:tabs>
          <w:tab w:leader="none" w:pos="18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Note Guarantee of a Guarantor shall be automatically and unconditionally released and discharged upon:</w:t>
      </w:r>
    </w:p>
    <w:p>
      <w:pPr>
        <w:spacing w:after="0" w:line="117" w:lineRule="exact"/>
        <w:rPr>
          <w:rFonts w:ascii="Arial" w:cs="Arial" w:eastAsia="Arial" w:hAnsi="Arial"/>
          <w:sz w:val="18"/>
          <w:szCs w:val="18"/>
          <w:color w:val="auto"/>
        </w:rPr>
      </w:pPr>
    </w:p>
    <w:p>
      <w:pPr>
        <w:ind w:left="440" w:right="120" w:firstLine="419"/>
        <w:spacing w:after="0" w:line="259"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sale, exchange, transfer or other disposition (including by way of merger, amalgamation, consolidation, dividend distribution or otherwise) of the Capital Stock of such Guarantor or the sale, exchange, transfer or other disposition of all or substantially all of the assets of the Guarantor to a Person other than to the Issuer or a Restricted Subsidiary if such sale, exchange, transfer or other disposition is not prohibited by this Indenture;</w:t>
      </w:r>
    </w:p>
    <w:p>
      <w:pPr>
        <w:spacing w:after="0" w:line="78"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designation in accordance with this Indenture of the Guarantor as an Unrestricted Subsidiary or the occurrence of any event not prohibited by this Indenture after which the Guarantor is no longer a Restricted Subsidiary;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60"/>
          </w:cols>
          <w:pgMar w:left="440" w:top="274" w:right="499" w:bottom="1440" w:gutter="0" w:footer="0" w:header="0"/>
        </w:sectPr>
      </w:pPr>
    </w:p>
    <w:bookmarkStart w:id="166" w:name="page167"/>
    <w:bookmarkEnd w:id="166"/>
    <w:p>
      <w:pPr>
        <w:ind w:left="1120" w:hanging="261"/>
        <w:spacing w:after="0"/>
        <w:tabs>
          <w:tab w:leader="none" w:pos="11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defeasance or discharge of the Notes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that such Guarantor is not an Immaterial Subsidiary solely due to the operation of clause (i) of the definition of “Immaterial Subsidiary,” upon the release of the guarantee referred to in such clause;</w:t>
      </w:r>
    </w:p>
    <w:p>
      <w:pPr>
        <w:spacing w:after="0" w:line="62" w:lineRule="exact"/>
        <w:rPr>
          <w:rFonts w:ascii="Arial" w:cs="Arial" w:eastAsia="Arial" w:hAnsi="Arial"/>
          <w:sz w:val="18"/>
          <w:szCs w:val="18"/>
          <w:color w:val="auto"/>
        </w:rPr>
      </w:pPr>
    </w:p>
    <w:p>
      <w:pPr>
        <w:ind w:left="440" w:right="80" w:firstLine="419"/>
        <w:spacing w:after="0" w:line="279" w:lineRule="auto"/>
        <w:tabs>
          <w:tab w:leader="none" w:pos="111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such Guarantor being (or being substantially concurrently) released or discharged from all of its Guarantees of payment (i) by the Issuer of any Indebtedness of the Issuer under the Credit Agreement and (ii) its guarantee of all other Indebtedness of the Issuer or a Guarantor guaranteed pursuant to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hereof, except in the case of clause (i) or (ii) above, a release as a result of payment under such Guarantee (it being understood that a release subject to a contingent reinstatement is still considered a release);</w:t>
      </w:r>
    </w:p>
    <w:p>
      <w:pPr>
        <w:spacing w:after="0" w:line="63"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the merger, amalgamation or consolidation of any Guarantor with and into the Issuer or another Guarantor or upon the liquidation of such Guarantor, in each case, in compliance with the applicable provisions of this Indenture;</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occurrence of a Covenant Suspension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a Reversion Date, if any, each such Note Guarantee of any Guarantor shall be reinstated to the extent and within the time frame required under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as described under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the extent that such Guarantor has become an Excluded Subsidiary as a result of a transaction or designation in compliance with the applicable provisions of this Indenture;</w:t>
      </w:r>
    </w:p>
    <w:p>
      <w:pPr>
        <w:spacing w:after="0" w:line="62" w:lineRule="exact"/>
        <w:rPr>
          <w:rFonts w:ascii="Arial" w:cs="Arial" w:eastAsia="Arial" w:hAnsi="Arial"/>
          <w:sz w:val="18"/>
          <w:szCs w:val="18"/>
          <w:color w:val="auto"/>
        </w:rPr>
      </w:pPr>
    </w:p>
    <w:p>
      <w:pPr>
        <w:ind w:left="440" w:right="360" w:firstLine="419"/>
        <w:spacing w:after="0" w:line="259" w:lineRule="auto"/>
        <w:tabs>
          <w:tab w:leader="none" w:pos="120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payment in full of the principal amount of the Notes outstanding at such time, plus accrued and unpaid interest, if any, to, but excluding, the applicable payment or redemption date, and all other Obligations under this Indenture, the Guarantees and the Notes Security Documents that are due and payable at or prior to the time such principal, together with accrued and unpaid interest, is paid, whether by redemption or otherwise in accordance with this Indenture;</w:t>
      </w:r>
    </w:p>
    <w:p>
      <w:pPr>
        <w:spacing w:after="0" w:line="78" w:lineRule="exact"/>
        <w:rPr>
          <w:rFonts w:ascii="Arial" w:cs="Arial" w:eastAsia="Arial" w:hAnsi="Arial"/>
          <w:sz w:val="18"/>
          <w:szCs w:val="18"/>
          <w:color w:val="auto"/>
        </w:rPr>
      </w:pPr>
    </w:p>
    <w:p>
      <w:pPr>
        <w:ind w:left="440" w:firstLine="419"/>
        <w:spacing w:after="0" w:line="257" w:lineRule="auto"/>
        <w:tabs>
          <w:tab w:leader="none" w:pos="12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to the extent that such Guarantor has provided a Note Guarantee in the Issuer’s discretion in accordance with </w:t>
      </w:r>
      <w:r>
        <w:rPr>
          <w:rFonts w:ascii="Arial" w:cs="Arial" w:eastAsia="Arial" w:hAnsi="Arial"/>
          <w:sz w:val="18"/>
          <w:szCs w:val="18"/>
          <w:u w:val="single" w:color="auto"/>
          <w:color w:val="auto"/>
        </w:rPr>
        <w:t>Section 3.07(b)</w:t>
      </w:r>
      <w:r>
        <w:rPr>
          <w:rFonts w:ascii="Arial" w:cs="Arial" w:eastAsia="Arial" w:hAnsi="Arial"/>
          <w:sz w:val="18"/>
          <w:szCs w:val="18"/>
          <w:color w:val="auto"/>
        </w:rPr>
        <w:t>, upon the Issuer’s delivering written notice to the Trustee of its election to release such Guarantor from its Note Guarantee, so long as any Indebtedness of such Subsidiary then outstanding could have been incurred by such Subsidiary (either (x) when so incurred or (y) at the time of the release of such Guarantee) and such Subsidiary is not otherwise required to be a Guarantor at the time of such release in accordance with the provisions of this Indenture.</w:t>
      </w:r>
    </w:p>
    <w:p>
      <w:pPr>
        <w:spacing w:after="0" w:line="79" w:lineRule="exact"/>
        <w:rPr>
          <w:rFonts w:ascii="Arial" w:cs="Arial" w:eastAsia="Arial" w:hAnsi="Arial"/>
          <w:sz w:val="18"/>
          <w:szCs w:val="18"/>
          <w:color w:val="auto"/>
        </w:rPr>
      </w:pPr>
    </w:p>
    <w:p>
      <w:pPr>
        <w:ind w:left="220" w:firstLine="1400"/>
        <w:spacing w:after="0" w:line="277" w:lineRule="auto"/>
        <w:tabs>
          <w:tab w:leader="none" w:pos="186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The Issuer shall provide the Trustee and the Notes Collateral Agent with written notice of any release of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failure to deliver such notice shall not affect such release.</w:t>
      </w:r>
    </w:p>
    <w:p>
      <w:pPr>
        <w:spacing w:after="0" w:line="170"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 or any other Guarantor who has not paid its proportionate share of such payment. The provisions of this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80"/>
          </w:cols>
          <w:pgMar w:left="440" w:top="274" w:right="479" w:bottom="1440" w:gutter="0" w:footer="0" w:header="0"/>
        </w:sectPr>
      </w:pPr>
    </w:p>
    <w:bookmarkStart w:id="167" w:name="page168"/>
    <w:bookmarkEnd w:id="167"/>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w:t>
      </w:r>
      <w:r>
        <w:rPr>
          <w:rFonts w:ascii="Arial" w:cs="Arial" w:eastAsia="Arial" w:hAnsi="Arial"/>
          <w:sz w:val="18"/>
          <w:szCs w:val="18"/>
          <w:color w:val="auto"/>
        </w:rPr>
        <w:t>. This Indenture will be discharged and will cease to be of further effect as to all Notes issued hereunder, when:</w:t>
      </w:r>
    </w:p>
    <w:p>
      <w:pPr>
        <w:spacing w:after="0" w:line="62" w:lineRule="exact"/>
        <w:rPr>
          <w:sz w:val="20"/>
          <w:szCs w:val="20"/>
          <w:color w:val="auto"/>
        </w:rPr>
      </w:pPr>
    </w:p>
    <w:p>
      <w:pPr>
        <w:ind w:left="1860" w:hanging="240"/>
        <w:spacing w:after="0"/>
        <w:tabs>
          <w:tab w:leader="none" w:pos="18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40" w:right="40" w:firstLine="419"/>
        <w:spacing w:after="0" w:line="308" w:lineRule="auto"/>
        <w:tabs>
          <w:tab w:leader="none" w:pos="111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all Notes that have been authenticated and delivered, except lost, stolen or destroyed Notes that have been replaced or paid and Notes for whose payment money has theretofore been deposited in trust, have been delivered to the Trustee for cancellation; or</w:t>
      </w:r>
    </w:p>
    <w:p>
      <w:pPr>
        <w:spacing w:after="0" w:line="38" w:lineRule="exact"/>
        <w:rPr>
          <w:rFonts w:ascii="Arial" w:cs="Arial" w:eastAsia="Arial" w:hAnsi="Arial"/>
          <w:sz w:val="17"/>
          <w:szCs w:val="17"/>
          <w:color w:val="auto"/>
        </w:rPr>
      </w:pPr>
    </w:p>
    <w:p>
      <w:pPr>
        <w:ind w:left="440" w:right="20" w:firstLine="419"/>
        <w:spacing w:after="0" w:line="259"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such Notes not theretofore delivered to the Trustee for cancellation (i) have become due and payable by reason of the making of a notice of redemption or otherwise, (ii) will become due and payable within one year at their Stated Maturity or (iii) are to be called for redemption within one year under arrangements satisfactory to the Trustee for the giving of notice of redemption by the Trustee, in the name, and at the expense of the Issuer;</w:t>
      </w:r>
    </w:p>
    <w:p>
      <w:pPr>
        <w:spacing w:after="0" w:line="78" w:lineRule="exact"/>
        <w:rPr>
          <w:rFonts w:ascii="Arial" w:cs="Arial" w:eastAsia="Arial" w:hAnsi="Arial"/>
          <w:sz w:val="18"/>
          <w:szCs w:val="18"/>
          <w:color w:val="auto"/>
        </w:rPr>
      </w:pPr>
    </w:p>
    <w:p>
      <w:pPr>
        <w:ind w:left="220" w:right="120" w:firstLine="1400"/>
        <w:spacing w:after="0" w:line="257" w:lineRule="auto"/>
        <w:tabs>
          <w:tab w:leader="none" w:pos="187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Issuer has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79" w:lineRule="exact"/>
        <w:rPr>
          <w:rFonts w:ascii="Arial" w:cs="Arial" w:eastAsia="Arial" w:hAnsi="Arial"/>
          <w:sz w:val="18"/>
          <w:szCs w:val="18"/>
          <w:color w:val="auto"/>
        </w:rPr>
      </w:pPr>
    </w:p>
    <w:p>
      <w:pPr>
        <w:ind w:left="220" w:right="400" w:firstLine="1400"/>
        <w:spacing w:after="0" w:line="277" w:lineRule="auto"/>
        <w:tabs>
          <w:tab w:leader="none" w:pos="186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Issuer specified in clause (7) or clause (8) of Section 6.01(a) shall have occurred and be continuing on the date of such deposit;</w:t>
      </w:r>
    </w:p>
    <w:p>
      <w:pPr>
        <w:spacing w:after="0" w:line="62" w:lineRule="exact"/>
        <w:rPr>
          <w:rFonts w:ascii="Arial" w:cs="Arial" w:eastAsia="Arial" w:hAnsi="Arial"/>
          <w:sz w:val="18"/>
          <w:szCs w:val="18"/>
          <w:color w:val="auto"/>
        </w:rPr>
      </w:pPr>
    </w:p>
    <w:p>
      <w:pPr>
        <w:ind w:left="1880" w:hanging="260"/>
        <w:spacing w:after="0"/>
        <w:tabs>
          <w:tab w:leader="none" w:pos="18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Issuer has paid or caused to be paid all sums payable by the Issuer under this Indenture;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440" w:top="274" w:right="459" w:bottom="1440" w:gutter="0" w:footer="0" w:header="0"/>
        </w:sectPr>
      </w:pPr>
    </w:p>
    <w:bookmarkStart w:id="168" w:name="page169"/>
    <w:bookmarkEnd w:id="168"/>
    <w:p>
      <w:pPr>
        <w:ind w:left="220" w:right="80" w:firstLine="1400"/>
        <w:spacing w:after="0" w:line="277" w:lineRule="auto"/>
        <w:tabs>
          <w:tab w:leader="none" w:pos="18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has delivered irrevocable instructions to the Trustee to apply the deposited money in Dollars toward the payment of such Notes issued hereunder at maturity or the redemption date, as the case may be.</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In addition, the Issuer shall deliver an Officer’s Certificate and an Opinion of Counsel to the Trustee stating that all conditions precedent to satisfaction and discharge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counsel may rely on any Officer’s Certificate as to matters of fact (including as to compliance with the clauses (a) through (e)).</w:t>
      </w:r>
    </w:p>
    <w:p>
      <w:pPr>
        <w:spacing w:after="0" w:line="184"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 xml:space="preserve">Notwithstanding the satisfaction and discharge of this Indenture, the Issuer’s obligations to the Trustee in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hereof and, if money in Dollars has been deposited with the Trustee pursuant to clause (a)(2)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Sections 11.02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8.06</w:t>
      </w:r>
      <w:r>
        <w:rPr>
          <w:rFonts w:ascii="Arial" w:cs="Arial" w:eastAsia="Arial" w:hAnsi="Arial"/>
          <w:sz w:val="16"/>
          <w:szCs w:val="16"/>
          <w:color w:val="auto"/>
        </w:rPr>
        <w:t xml:space="preserve"> hereof will survive.</w:t>
      </w:r>
    </w:p>
    <w:p>
      <w:pPr>
        <w:spacing w:after="0" w:line="12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The Collateral shall be released from the Lien securing the Notes as provided herein upon a discharge in accordance with the provisions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70"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hereof, all money in Dollars or U.S. Government Obligations deposited with the Trustee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and interest for whose payment such money in Dollars or U.S. Government Obligations has been deposited with the Trustee; but such money in Dollars or U.S. Government Obligations need not be segregated from other funds except to the extent required by law.</w:t>
      </w:r>
    </w:p>
    <w:p>
      <w:pPr>
        <w:spacing w:after="0" w:line="19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Issuer have made any payment of principal of, premium or interest on, any Notes because of the reinstatement of its obligations, the Issuer shall be subrogated to the rights of the Holders of such Notes to receive such payment from the money or U.S. Government Obligations held by the Trustee or Paying Agent.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COLLATERAL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17" w:lineRule="exact"/>
        <w:rPr>
          <w:sz w:val="20"/>
          <w:szCs w:val="20"/>
          <w:color w:val="auto"/>
        </w:rPr>
      </w:pPr>
    </w:p>
    <w:p>
      <w:pPr>
        <w:ind w:left="220" w:firstLine="1400"/>
        <w:spacing w:after="0" w:line="291" w:lineRule="auto"/>
        <w:tabs>
          <w:tab w:leader="none" w:pos="18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From and after the Spin-Off Date, 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Notes Obligations of the Issuer and the Guarantors to the Notes Secured Parties under this Indenture, the Notes, the Guarantees and the Notes Security Documents, according to the terms hereunder or thereunder, shall be secured as provided in the Notes Security Documents, which will define the terms of the Liens that secure the Notes Obligations, subject to the terms of the First Lien Pari Passu Intercreditor Agreement. The Trustee and the Issuer hereby acknowledge and agree that the Notes Collateral Agent will from and after the Spin-Off Date hold the Collateral in trust for the benefit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169" w:name="page170"/>
    <w:bookmarkEnd w:id="16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Notes Secured Parties and pursuant to the terms of this Indenture and the Notes Security Documents. Each Holder, by accepting a Note, and each beneficial owner of an interest in a Note, consents and agrees to the terms of the Notes Security Documents (including the provisions providing for the possession, use, release and foreclosure of Collateral) and the First Lien Pari Passu Intercreditor Agreement as the same may be in effect or may be amended from time to time in accordance with their terms and this Indenture and the First Lien Pari Passu Intercreditor Agreement, and authorizes and directs the Notes Collateral Agent to enter into the Notes Security Documents and the First Lien Pari Passu Intercreditor Agreement and to perform its obligations and exercise its rights thereunder in accordance therewith. Subject to the Perfection Exceptions and the limitations set forth in the Notes Security Documents, from and after the Spin-Off Date, the Issuer shall deliver to the Notes Collateral Agent copies of all documents required to be filed pursuant to the Notes Security Documents, and will do or cause to be done all such acts and things as may be reasonably required by the next sentence of this </w:t>
      </w:r>
      <w:r>
        <w:rPr>
          <w:rFonts w:ascii="Arial" w:cs="Arial" w:eastAsia="Arial" w:hAnsi="Arial"/>
          <w:sz w:val="17"/>
          <w:szCs w:val="17"/>
          <w:u w:val="single" w:color="auto"/>
          <w:color w:val="auto"/>
        </w:rPr>
        <w:t>Section 12.01</w:t>
      </w:r>
      <w:r>
        <w:rPr>
          <w:rFonts w:ascii="Arial" w:cs="Arial" w:eastAsia="Arial" w:hAnsi="Arial"/>
          <w:sz w:val="17"/>
          <w:szCs w:val="17"/>
          <w:color w:val="auto"/>
        </w:rPr>
        <w:t>, to provide to the Notes Collateral Agent the security interest in the Collateral contemplated hereby and/or by the Notes Security Documents or any part thereof, as from time to time constituted, so as to render the same available for the security and benefit of this Indenture and of the Notes secured hereby, according to the intent and purposes herein expressed. Subject to the Perfection Exceptions and the limitations set forth in the Notes Security Documents, from and after the Spin-Off Date, the Issuer shall, and shall cause the Subsidiaries of the Issuer to, take any and all actions and make all filings (including, without limitation, the filing of UCC financing statements, continuation statements and amendments thereto) required to cause the Notes Security Documents to create and maintain, as security for the Notes Obligations of the Issuer and the Guarantors to the Secured Parties, a valid and enforceable perfected Lien and security interest in and on all of the Collateral (subject to the terms of the Notes Security Documents), in favor of the Notes Collateral Agent for the benefit of the Notes Secured Parties subject to no Liens other than Permitted Liens.</w:t>
      </w:r>
    </w:p>
    <w:p>
      <w:pPr>
        <w:spacing w:after="0" w:line="83" w:lineRule="exact"/>
        <w:rPr>
          <w:sz w:val="20"/>
          <w:szCs w:val="20"/>
          <w:color w:val="auto"/>
        </w:rPr>
      </w:pPr>
    </w:p>
    <w:p>
      <w:pPr>
        <w:ind w:right="60" w:firstLine="1400"/>
        <w:spacing w:after="0" w:line="263" w:lineRule="auto"/>
        <w:tabs>
          <w:tab w:leader="none" w:pos="16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the provisions of this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are qualified in their entirety by the Perfection Exceptions and neither the Issuer nor any Guarantor shall be required pursuant to this Indenture or any Notes Security Document to take any action limited by the Perfection Exceptions.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117" w:lineRule="exact"/>
        <w:rPr>
          <w:sz w:val="20"/>
          <w:szCs w:val="20"/>
          <w:color w:val="auto"/>
        </w:rPr>
      </w:pPr>
    </w:p>
    <w:p>
      <w:pPr>
        <w:ind w:right="20" w:firstLine="1400"/>
        <w:spacing w:after="0" w:line="268" w:lineRule="auto"/>
        <w:tabs>
          <w:tab w:leader="none" w:pos="164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Each of the Holders by acceptance of the Notes, and each beneficial owner of an interest in a Note, hereby designates and appoint the Notes Collateral Agent as its agent under this Indenture and the Note Documents and each of the Holders by acceptance of the Notes hereby irrevocably authorizes the Notes Collateral Agent to take such action on its behalf under the provisions of this Indenture and the Note Documents and to exercise such powers and perform such duties as are expressly delegated to the Notes Collateral Agent by the terms of this Indenture and the Note Documents, and consents and agrees to the terms of each Notes Security Document, as the same may be in effect or may be amended, restated, supplemented or otherwise modified from time to time in accordance with its respective terms or the terms of this Indenture. The Notes Collateral Agent agrees to act as such on the express conditions contained in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are solely for the benefit of the Notes Collateral Agent and the Trustee, and none of the Holders nor the Issuer or the Guarantors shall have any rights as a third party beneficiary of any of the provisions contained herein. Each Holder agrees that any action taken by the Notes Collateral Agent in accordance with the provisions of this Indenture and/or the applicable Note Documents, and the exercise by the Notes Collateral Agent of any rights or remedies set forth herein and therein shall be authorized and binding upon all Holders. Notwithstanding any provision to the contrary contained elsewhere in this Indenture or the Note Documents, the duties of the Notes Collateral Agent shall be ministerial and administrative in nature, and the Notes Collateral Agent shall not have any duties or responsibilities, except those expressly set forth herein and in the other Note Documents to which the Notes Collateral Agent is a party, nor shall the Notes Collateral Agent have or be deemed to have any trust or other fiduciary relationship with the Trustee, any Holder or the Issuer or a Guarantor, and no</w:t>
      </w:r>
    </w:p>
    <w:p>
      <w:pPr>
        <w:spacing w:after="0" w:line="11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760"/>
          </w:cols>
          <w:pgMar w:left="660" w:top="274" w:right="479" w:bottom="1440" w:gutter="0" w:footer="0" w:header="0"/>
        </w:sectPr>
      </w:pPr>
    </w:p>
    <w:bookmarkStart w:id="170" w:name="page171"/>
    <w:bookmarkEnd w:id="17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implied covenants, functions, responsibilities, duties, obligations or liabilities shall be read into this Indenture or the Note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80" w:lineRule="exact"/>
        <w:rPr>
          <w:sz w:val="20"/>
          <w:szCs w:val="20"/>
          <w:color w:val="auto"/>
        </w:rPr>
      </w:pPr>
    </w:p>
    <w:p>
      <w:pPr>
        <w:ind w:firstLine="1400"/>
        <w:spacing w:after="0" w:line="293" w:lineRule="auto"/>
        <w:tabs>
          <w:tab w:leader="none" w:pos="16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Notes Collateral Agent may perform any of its duties under this Indenture or the Note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6"/>
          <w:szCs w:val="16"/>
          <w:u w:val="single" w:color="auto"/>
          <w:color w:val="auto"/>
        </w:rPr>
        <w:t>Related Person</w:t>
      </w:r>
      <w:r>
        <w:rPr>
          <w:rFonts w:ascii="Arial" w:cs="Arial" w:eastAsia="Arial" w:hAnsi="Arial"/>
          <w:sz w:val="16"/>
          <w:szCs w:val="16"/>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spacing w:after="0" w:line="56" w:lineRule="exact"/>
        <w:rPr>
          <w:rFonts w:ascii="Arial" w:cs="Arial" w:eastAsia="Arial" w:hAnsi="Arial"/>
          <w:sz w:val="16"/>
          <w:szCs w:val="16"/>
          <w:color w:val="auto"/>
        </w:rPr>
      </w:pPr>
    </w:p>
    <w:p>
      <w:pPr>
        <w:ind w:right="20" w:firstLine="1400"/>
        <w:spacing w:after="0" w:line="287" w:lineRule="auto"/>
        <w:tabs>
          <w:tab w:leader="none" w:pos="164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Neither the Notes Collateral Agent nor any of its respective Related Persons shall (i) be liable for any action taken or omitted to be taken by any of them under or in connection with this Indenture or the transactions contemplated hereby (except for its own bad faith, gross negligence or willful misconduct as finally adjudicated by a court of competent jurisdiction) or under or in connection with any Security Document or the transactions contemplated thereby (except for its own bad faith, gross negligence or willful misconduct as finally adjudicated by a court of competent jurisdiction), or (ii) be responsible in any manner to any of the Trustee or any Holder for any recital, statement, representation, warranty, covenant or agreement made by the Issuer or any Guarantor or Affiliate thereof, or any Officer or Related Person thereof, contained in this Indenture, or any other Note Documents, or in any certificate, report, statement or other document referred to or provided for in, or received by the Notes Collateral Agent under or in connection with, this Indenture or the Note Documents, or the validity, effectiveness, genuineness, enforceability or sufficiency of this Indenture or the Note Documents, or for any failure of the Issuer or any Guarantor to perform its obligations hereunder or thereunder. Neither the Notes Collateral Agent nor any of its respective Related Persons shall be under any obligation to the Trustee or any Holder to ascertain or to inquire as to the observance or performance of any of the agreements contained in, or conditions of, this Indenture or the Note Documents or to inspect the properties, books, or records of the Issuer or a Guarantor or any Affiliates thereof.</w:t>
      </w:r>
    </w:p>
    <w:p>
      <w:pPr>
        <w:spacing w:after="0" w:line="59" w:lineRule="exact"/>
        <w:rPr>
          <w:rFonts w:ascii="Arial" w:cs="Arial" w:eastAsia="Arial" w:hAnsi="Arial"/>
          <w:sz w:val="16"/>
          <w:szCs w:val="16"/>
          <w:color w:val="auto"/>
        </w:rPr>
      </w:pPr>
    </w:p>
    <w:p>
      <w:pPr>
        <w:ind w:firstLine="1400"/>
        <w:spacing w:after="0" w:line="287" w:lineRule="auto"/>
        <w:tabs>
          <w:tab w:leader="none" w:pos="165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Notes Collateral Agent shall be entitled (in the absence of bad faith)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Guarantor), independent accountants and/or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Security Document, the Notes Collateral Agent shall be fully justified in failing or refusing to take any action under this Indenture or the Notes Security Documents, and shall incur no liability by reason of such failure or refusal to take action, unless it shall first receive such written advice or concurrence of the Trustee or the Holders of a majority in aggregate principal amount of the Notes as it determines and, if it so requests, it shall first be indemnified to its satisfaction by the Holders against any and all liability, fees and expense which may be incurred by it by reason of</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780"/>
          </w:cols>
          <w:pgMar w:left="660" w:top="274" w:right="459" w:bottom="1440" w:gutter="0" w:footer="0" w:header="0"/>
        </w:sectPr>
      </w:pPr>
    </w:p>
    <w:bookmarkStart w:id="171" w:name="page172"/>
    <w:bookmarkEnd w:id="171"/>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taking or continuing to take any such action. The Notes Collateral Agent shall in all cases be fully protected from claims by any Holders in acting, or in refraining from acting, under this Indenture or the Note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79" w:lineRule="exact"/>
        <w:rPr>
          <w:sz w:val="20"/>
          <w:szCs w:val="20"/>
          <w:color w:val="auto"/>
        </w:rPr>
      </w:pPr>
    </w:p>
    <w:p>
      <w:pPr>
        <w:ind w:firstLine="1400"/>
        <w:spacing w:after="0" w:line="257" w:lineRule="auto"/>
        <w:tabs>
          <w:tab w:leader="none" w:pos="164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the Holders of a majority in aggregate principal amount of the Notes (subject to this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20" w:firstLine="1400"/>
        <w:spacing w:after="0" w:line="286" w:lineRule="auto"/>
        <w:tabs>
          <w:tab w:leader="none" w:pos="162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Notes Collateral Agent or Holders of at least a majority in principal amount of all the outstanding Notes issued under this Indenture may appoint, after consulting with the Trustee, subject to the consent of the Issuer (which shall not be unreasonably withheld and which shall not be required during a continuing Event of Default), a successor collateral agent.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at the sole expense of the Issuer.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the Notes Collateral Agent shall be terminated. After the retiring Notes Collateral Agent’s resignation hereunder, the Notes Collateral Agent shall be fully and immediately discharged of all responsibilities under this Indenture and the Note Documents to which it is party, provided that the provisions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7.07</w:t>
      </w:r>
      <w:r>
        <w:rPr>
          <w:rFonts w:ascii="Arial" w:cs="Arial" w:eastAsia="Arial" w:hAnsi="Arial"/>
          <w:sz w:val="16"/>
          <w:szCs w:val="16"/>
          <w:color w:val="auto"/>
        </w:rPr>
        <w:t>)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59" w:lineRule="exact"/>
        <w:rPr>
          <w:rFonts w:ascii="Arial" w:cs="Arial" w:eastAsia="Arial" w:hAnsi="Arial"/>
          <w:sz w:val="16"/>
          <w:szCs w:val="16"/>
          <w:color w:val="auto"/>
        </w:rPr>
      </w:pPr>
    </w:p>
    <w:p>
      <w:pPr>
        <w:ind w:right="60" w:firstLine="1400"/>
        <w:spacing w:after="0" w:line="269" w:lineRule="auto"/>
        <w:tabs>
          <w:tab w:leader="none" w:pos="165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Trustee and the Notes Collateral Agent shall be authorized to appoint co-Notes Collateral Agents or sub-agents or other additional Notes Collateral Agents as necessary in its sole discretion or in accordance with applicable law and any such appointment shall be reflected in documentation (which the Issuer, the Trustee and the Notes Collateral Agent are hereby authorized to enter into). Except as otherwise explicitly provided herein or in the Note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respective officers, directors, employees or agents shall be responsible for any act or failure to act hereunder, except for its own gross negligence or willful misconduct as finally adjudicated by a court of competent jurisdiction.</w:t>
      </w:r>
    </w:p>
    <w:p>
      <w:pPr>
        <w:spacing w:after="0" w:line="11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780"/>
          </w:cols>
          <w:pgMar w:left="660" w:top="274" w:right="459" w:bottom="1440" w:gutter="0" w:footer="0" w:header="0"/>
        </w:sectPr>
      </w:pPr>
    </w:p>
    <w:bookmarkStart w:id="172" w:name="page173"/>
    <w:bookmarkEnd w:id="172"/>
    <w:p>
      <w:pPr>
        <w:ind w:firstLine="1400"/>
        <w:spacing w:after="0" w:line="272" w:lineRule="auto"/>
        <w:tabs>
          <w:tab w:leader="none" w:pos="1658" w:val="left"/>
        </w:tabs>
        <w:numPr>
          <w:ilvl w:val="0"/>
          <w:numId w:val="2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Notes Collateral Agent is authorized and directed to (i) enter into the Note Documents to which it is party, whether executed on or after the Issue Date (including the Note Documents to be executed on the Spin-Off Date pursuant to </w:t>
      </w:r>
      <w:r>
        <w:rPr>
          <w:rFonts w:ascii="Arial" w:cs="Arial" w:eastAsia="Arial" w:hAnsi="Arial"/>
          <w:sz w:val="17"/>
          <w:szCs w:val="17"/>
          <w:u w:val="single" w:color="auto"/>
          <w:color w:val="auto"/>
        </w:rPr>
        <w:t>Section 3.14</w:t>
      </w:r>
      <w:r>
        <w:rPr>
          <w:rFonts w:ascii="Arial" w:cs="Arial" w:eastAsia="Arial" w:hAnsi="Arial"/>
          <w:sz w:val="17"/>
          <w:szCs w:val="17"/>
          <w:color w:val="auto"/>
        </w:rPr>
        <w:t>), (ii) enter into the First Lien Pari Passu Intercreditor Agreement (and any joinders, supplements or amendments thereto contemplated hereby), (iii) make the representations of the Holders set forth in the Note Documents, (iv) bind the Holders on the terms as set forth in the Note Documents and (v) perform and observe its obligations under the Note Documents. Any execution of a Notes Security Document by the Notes Collateral Agent after the Spin-Off Date shall be at the direction and expense of the Issuer, upon delivery to the Notes Collateral Agent of an Officers’ Certificate and an Opinion of Counsel stating that the execution is authorized or permitted pursuant to this Indenture and applicable Note Documents.</w:t>
      </w:r>
    </w:p>
    <w:p>
      <w:pPr>
        <w:spacing w:after="0" w:line="69" w:lineRule="exact"/>
        <w:rPr>
          <w:rFonts w:ascii="Arial" w:cs="Arial" w:eastAsia="Arial" w:hAnsi="Arial"/>
          <w:sz w:val="17"/>
          <w:szCs w:val="17"/>
          <w:color w:val="auto"/>
        </w:rPr>
      </w:pPr>
    </w:p>
    <w:p>
      <w:pPr>
        <w:ind w:right="40" w:firstLine="1400"/>
        <w:spacing w:after="0" w:line="259" w:lineRule="auto"/>
        <w:tabs>
          <w:tab w:leader="none" w:pos="161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applicable, the Notes Collateral Agent is each Holder’s agent for the purpose of perfecting the Holders’ security interest in assets which, in accordance with Article 9 of the UCC, can be perfected only by possession. Should the Trustee obtain possession of any such Collateral, upon written request from the Issuer, the Trustee shall notify the Notes Collateral Agent thereof and promptly shall deliver such Collateral to the Notes Collateral Agent.</w:t>
      </w:r>
    </w:p>
    <w:p>
      <w:pPr>
        <w:spacing w:after="0" w:line="78" w:lineRule="exact"/>
        <w:rPr>
          <w:rFonts w:ascii="Arial" w:cs="Arial" w:eastAsia="Arial" w:hAnsi="Arial"/>
          <w:sz w:val="18"/>
          <w:szCs w:val="18"/>
          <w:color w:val="auto"/>
        </w:rPr>
      </w:pPr>
    </w:p>
    <w:p>
      <w:pPr>
        <w:ind w:firstLine="1400"/>
        <w:spacing w:after="0" w:line="288" w:lineRule="auto"/>
        <w:tabs>
          <w:tab w:leader="none" w:pos="161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Notes Collateral Agent shall not have any obligation whatsoever to the Trustee or any of the Holders to assure that the Collateral exists or is owned by the Issuer or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such of the Issuer’s or Guarantors’ property constituting collateral intended to be subject to the Lien and security interest of the Note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or any Notes Security Document other than pursuant to the instructions of the Trustee or the Holders of a majority in aggregate principal amount of the Notes, it being understood and agreed that in respect of the Collateral, or any act, omission, or event related thereto, the Notes Collateral Agent shall not have any other duty or liability whatsoever to the Trustee or any Holder or any other Notes Collateral Agent as to any of the foregoing.</w:t>
      </w:r>
    </w:p>
    <w:p>
      <w:pPr>
        <w:spacing w:after="0" w:line="60" w:lineRule="exact"/>
        <w:rPr>
          <w:rFonts w:ascii="Arial" w:cs="Arial" w:eastAsia="Arial" w:hAnsi="Arial"/>
          <w:sz w:val="16"/>
          <w:szCs w:val="16"/>
          <w:color w:val="auto"/>
        </w:rPr>
      </w:pPr>
    </w:p>
    <w:p>
      <w:pPr>
        <w:ind w:right="40" w:firstLine="1400"/>
        <w:spacing w:after="0" w:line="286" w:lineRule="auto"/>
        <w:tabs>
          <w:tab w:leader="none" w:pos="165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No provision of this Indenture or any Notes Security Document shall require the Notes Collateral Agent to expend or risk its own funds or otherwise incur any financial liability in the performance of any of its duties hereunder or thereunder or in the exercise of any of its rights or powers unless, if requested, it shall have first received security or indemnity reasonably satisfactory to it against potential costs and liabilities incurred by the Notes Collateral Agent relating thereto, if it shall have reasonable grounds for believing that repayment of such funds or reasonable indemnity against such risk of liability is not reasonably assured to it. The Notes Collateral Agent (i) shall not be liable for any action taken or omitted to be taken by it in connection with this Indenture, the First Lien Pari Passu Intercreditor Agreement and the Notes Security Documents or instrument referred to herein or therein, except to the extent that any of the foregoing are found by a final, non-appealable judgment of a court of competent jurisdiction to have resulted from its own bad faith, gross negligence or willful misconduct, (ii) shall not be liable for interest on any money received by it except as the Notes Collateral Agent may agree in writing with the Issuer (and money held in trust by the Notes Collateral Agent (a) shall be held uninvested without liability for interest, unless otherwise agreed in writing, (b) shall be held in a non-interest bearing trust account and (c)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780"/>
          </w:cols>
          <w:pgMar w:left="660" w:top="274" w:right="459" w:bottom="1440" w:gutter="0" w:footer="0" w:header="0"/>
        </w:sectPr>
      </w:pPr>
    </w:p>
    <w:bookmarkStart w:id="173" w:name="page174"/>
    <w:bookmarkEnd w:id="173"/>
    <w:p>
      <w:pPr>
        <w:ind w:right="220" w:firstLine="1400"/>
        <w:spacing w:after="0" w:line="301" w:lineRule="auto"/>
        <w:tabs>
          <w:tab w:leader="none" w:pos="1618" w:val="left"/>
        </w:tabs>
        <w:numPr>
          <w:ilvl w:val="0"/>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Collateral Agent shall not be responsible or liable for any failure or delay in the performance of its obligations under this Indenture arising out of or caused, directly or indirectly, by circumstances beyond its control, including, without limitation,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49" w:lineRule="exact"/>
        <w:rPr>
          <w:rFonts w:ascii="Arial" w:cs="Arial" w:eastAsia="Arial" w:hAnsi="Arial"/>
          <w:sz w:val="16"/>
          <w:szCs w:val="16"/>
          <w:color w:val="auto"/>
        </w:rPr>
      </w:pPr>
    </w:p>
    <w:p>
      <w:pPr>
        <w:ind w:right="40" w:firstLine="1400"/>
        <w:spacing w:after="0" w:line="286" w:lineRule="auto"/>
        <w:tabs>
          <w:tab w:leader="none" w:pos="170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Notes Collateral Agent does not assume any responsibility for any failure or delay in performance or any breach by the Issuer or any Guarantor under this Indenture and the Note Documents. The Notes Collateral Agent shall not be responsible to the Holders or any other Person for any recitals, statements, information, representations or warranties contained in any Note Documents or in any certificate, report, statement, or other document referred to or provided for in, or received by the Notes Collateral Agent under or in connection with, this Indenture or any Notes Security Document; the execution, validity, genuineness, effectiveness or enforceability of the First Lien Pari Passu Intercreditor Agreement and any Note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Note Documents. The Notes Collateral Agent shall not have any obligation to any Holder or any other Person to ascertain or inquire into the existence of any Default or Event of Default, the observance or performance by any obligor of any terms of this Indenture, the Credit Agreement or the Note Documents, or the satisfaction of any conditions precedent contained in this Indenture or any Note Documents. The Notes Collateral Agent shall not be required to initiate or conduct any litigation or collection or other proceeding under this Indenture and the Note Documents unless expressly set forth hereunder or thereunder. Without limiting its obligations as expressly set forth herein, the Notes Collateral Agent shall have the right at any time to seek instructions from the Holders with respect to the administration of the Note Documents.</w:t>
      </w:r>
    </w:p>
    <w:p>
      <w:pPr>
        <w:spacing w:after="0" w:line="278" w:lineRule="exact"/>
        <w:rPr>
          <w:rFonts w:ascii="Arial" w:cs="Arial" w:eastAsia="Arial" w:hAnsi="Arial"/>
          <w:sz w:val="16"/>
          <w:szCs w:val="16"/>
          <w:color w:val="auto"/>
        </w:rPr>
      </w:pPr>
    </w:p>
    <w:p>
      <w:pPr>
        <w:ind w:firstLine="1400"/>
        <w:spacing w:after="0" w:line="269" w:lineRule="auto"/>
        <w:tabs>
          <w:tab w:leader="none" w:pos="165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Subject to the provisions of the applicable Note Documents, each Holder, by acceptance of the Notes, agrees that the Notes Collateral Agent shall execute and deliver the First Lien Pari Passu Intercreditor Agreement and the Note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or the Note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other Notes Document. For purposes of clarity, phrases such as “satisfactory to the Notes Collateral Agent,” “approved by the Notes Collateral Agent,” “acceptable to the Notes Collateral Agent,” “in the Notes Collateral Agent’s discretion,” “selected by the Notes Collateral Agent,” “requested by the Notes Collateral Agent” and phrases of similar import authorize and permit the Notes Collateral Agent to approve, disapprove, determine, act or decline to act in its discretion.</w:t>
      </w:r>
    </w:p>
    <w:p>
      <w:pPr>
        <w:spacing w:after="0" w:line="77" w:lineRule="exact"/>
        <w:rPr>
          <w:rFonts w:ascii="Arial" w:cs="Arial" w:eastAsia="Arial" w:hAnsi="Arial"/>
          <w:sz w:val="17"/>
          <w:szCs w:val="17"/>
          <w:color w:val="auto"/>
        </w:rPr>
      </w:pPr>
    </w:p>
    <w:p>
      <w:pPr>
        <w:ind w:right="520" w:firstLine="1400"/>
        <w:spacing w:after="0" w:line="277" w:lineRule="auto"/>
        <w:tabs>
          <w:tab w:leader="none" w:pos="16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the occurrence of an Event of Default, the Trustee may (at the direction of a majority of Holders) direct the Notes Collateral Agent in connection with any action required or permitted by this Indenture or the Note Documents.</w:t>
      </w:r>
    </w:p>
    <w:p>
      <w:pPr>
        <w:spacing w:after="0" w:line="62" w:lineRule="exact"/>
        <w:rPr>
          <w:rFonts w:ascii="Arial" w:cs="Arial" w:eastAsia="Arial" w:hAnsi="Arial"/>
          <w:sz w:val="18"/>
          <w:szCs w:val="18"/>
          <w:color w:val="auto"/>
        </w:rPr>
      </w:pPr>
    </w:p>
    <w:p>
      <w:pPr>
        <w:ind w:right="100" w:firstLine="1400"/>
        <w:spacing w:after="0" w:line="286" w:lineRule="auto"/>
        <w:tabs>
          <w:tab w:leader="none" w:pos="165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Notes Collateral Agent is authorized to receive any funds for the benefit of itself, the Trustee and the Holders distributed under the Note Documents and to the extent not prohibited under the First Lien Pari Passu Intercreditor Agreement, for turnover to the Trustee to make further distributions of such funds to itself, the Trustee and the Holders in accordance with this Indenture.</w:t>
      </w:r>
    </w:p>
    <w:p>
      <w:pPr>
        <w:spacing w:after="0" w:line="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760"/>
          </w:cols>
          <w:pgMar w:left="660" w:top="274" w:right="479" w:bottom="1440" w:gutter="0" w:footer="0" w:header="0"/>
        </w:sectPr>
      </w:pPr>
    </w:p>
    <w:bookmarkStart w:id="174" w:name="page175"/>
    <w:bookmarkEnd w:id="174"/>
    <w:p>
      <w:pPr>
        <w:ind w:right="80" w:firstLine="1400"/>
        <w:spacing w:after="0" w:line="269" w:lineRule="auto"/>
        <w:tabs>
          <w:tab w:leader="none" w:pos="1658" w:val="left"/>
        </w:tabs>
        <w:numPr>
          <w:ilvl w:val="0"/>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of the Note Documents, in each case that the Notes Collateral Agent may or is required hereunder or under any other Notes Document to take any action (an “</w:t>
      </w:r>
      <w:r>
        <w:rPr>
          <w:rFonts w:ascii="Arial" w:cs="Arial" w:eastAsia="Arial" w:hAnsi="Arial"/>
          <w:sz w:val="17"/>
          <w:szCs w:val="17"/>
          <w:u w:val="single" w:color="auto"/>
          <w:color w:val="auto"/>
        </w:rPr>
        <w:t>Action</w:t>
      </w:r>
      <w:r>
        <w:rPr>
          <w:rFonts w:ascii="Arial" w:cs="Arial" w:eastAsia="Arial" w:hAnsi="Arial"/>
          <w:sz w:val="17"/>
          <w:szCs w:val="17"/>
          <w:color w:val="auto"/>
        </w:rPr>
        <w:t>”), including without limitation to make any determination, to give consents, to exercise rights, powers or remedies, to release or sell Collateral or otherwise to act hereunder or under any other Notes Document,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Subject to the terms of the Note Documents, if the Notes Collateral Agent shall request direction from the Trustee or the Holders of a majority in aggregate principal amount of the then outstanding Notes with respect to any Action, the Notes Collateral Agent shall be entitled to refrain from such Action unless and until the Notes Collateral Agent shall have received direction from the Trustee or the Holders of a majority in aggregate principal amount of the then outstanding Notes, and the Notes Collateral Agent shall not incur liability to any Person by reason of so refraining.</w:t>
      </w:r>
    </w:p>
    <w:p>
      <w:pPr>
        <w:spacing w:after="0" w:line="77" w:lineRule="exact"/>
        <w:rPr>
          <w:rFonts w:ascii="Arial" w:cs="Arial" w:eastAsia="Arial" w:hAnsi="Arial"/>
          <w:sz w:val="17"/>
          <w:szCs w:val="17"/>
          <w:color w:val="auto"/>
        </w:rPr>
      </w:pPr>
    </w:p>
    <w:p>
      <w:pPr>
        <w:ind w:firstLine="1400"/>
        <w:spacing w:after="0" w:line="254" w:lineRule="auto"/>
        <w:tabs>
          <w:tab w:leader="none" w:pos="162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any other Notes Document, in no event shall the Notes Collateral Agent or the Trustee be responsible for, or have any duty or obligation with respect to, the preparation, recording, filing, registering, perfection, protection or maintenance of the security interests or Liens intended to be created by this Indenture or the other Note Documents (including without limitation the filing or continuation of any UCC financing or continuation statements or similar documents or instruments (which shall be filed by the Issuer)), nor shall the Notes Collateral Agent or the Trustee be responsible for, and neither the Notes Collateral Agent nor the Trustee makes any representation regarding, the validity, effectiveness or priority of any of the Note Documents or the security interests or Liens intended to be created thereby.</w:t>
      </w:r>
    </w:p>
    <w:p>
      <w:pPr>
        <w:spacing w:after="0" w:line="86" w:lineRule="exact"/>
        <w:rPr>
          <w:rFonts w:ascii="Arial" w:cs="Arial" w:eastAsia="Arial" w:hAnsi="Arial"/>
          <w:sz w:val="18"/>
          <w:szCs w:val="18"/>
          <w:color w:val="auto"/>
        </w:rPr>
      </w:pPr>
    </w:p>
    <w:p>
      <w:pPr>
        <w:ind w:right="320" w:firstLine="1400"/>
        <w:spacing w:after="0" w:line="263" w:lineRule="auto"/>
        <w:tabs>
          <w:tab w:leader="none" w:pos="163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The Issuer shall pay compensation to, reimburse expenses of and indemnify the Notes Collateral Agent in accordance with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Accordingly, the reference to the “Trustee” in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shall be deemed to include the reference to the Notes Collateral Agent.</w:t>
      </w:r>
    </w:p>
    <w:p>
      <w:pPr>
        <w:spacing w:after="0" w:line="75" w:lineRule="exact"/>
        <w:rPr>
          <w:rFonts w:ascii="Arial" w:cs="Arial" w:eastAsia="Arial" w:hAnsi="Arial"/>
          <w:sz w:val="18"/>
          <w:szCs w:val="18"/>
          <w:color w:val="auto"/>
        </w:rPr>
      </w:pPr>
    </w:p>
    <w:p>
      <w:pPr>
        <w:ind w:firstLine="1400"/>
        <w:spacing w:after="0" w:line="259" w:lineRule="auto"/>
        <w:tabs>
          <w:tab w:leader="none" w:pos="160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Anything in this Indenture or any Security Document notwithstanding, in no event shall the Notes Collateral Agent be responsible or liable for special, indirect, incidental, punitive, or consequential loss or damage of any kind whatsoever (including, but not limited to, loss of profit) irrespective of whether the Notes Collateral Agent has been advised of the likelihood of such loss or damage and regardless of the form of action.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Authorization of Actions to Be Taken</w:t>
      </w:r>
      <w:r>
        <w:rPr>
          <w:rFonts w:ascii="Arial" w:cs="Arial" w:eastAsia="Arial" w:hAnsi="Arial"/>
          <w:sz w:val="18"/>
          <w:szCs w:val="18"/>
          <w:color w:val="auto"/>
        </w:rPr>
        <w:t>.</w:t>
      </w:r>
    </w:p>
    <w:p>
      <w:pPr>
        <w:spacing w:after="0" w:line="117" w:lineRule="exact"/>
        <w:rPr>
          <w:sz w:val="20"/>
          <w:szCs w:val="20"/>
          <w:color w:val="auto"/>
        </w:rPr>
      </w:pPr>
    </w:p>
    <w:p>
      <w:pPr>
        <w:ind w:right="140" w:firstLine="1400"/>
        <w:spacing w:after="0" w:line="259" w:lineRule="auto"/>
        <w:tabs>
          <w:tab w:leader="none" w:pos="164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Subject to the provisions of the First Lien Pari Passu Intercreditor Agreement and the Notes Security Documents, the Trustee and the Notes Collateral Agent are authorized and empowered to receive for the benefit of the Holders of Notes any funds collected or distributed under the Notes Security Documents to which the Notes Collateral Agent or Trustee is a party and to make further distributions of such funds to the Holders of Notes according to the provisions of this Indenture.</w:t>
      </w:r>
    </w:p>
    <w:p>
      <w:pPr>
        <w:spacing w:after="0" w:line="78" w:lineRule="exact"/>
        <w:rPr>
          <w:rFonts w:ascii="Arial" w:cs="Arial" w:eastAsia="Arial" w:hAnsi="Arial"/>
          <w:sz w:val="18"/>
          <w:szCs w:val="18"/>
          <w:color w:val="auto"/>
        </w:rPr>
      </w:pPr>
    </w:p>
    <w:p>
      <w:pPr>
        <w:ind w:right="100" w:firstLine="1400"/>
        <w:spacing w:after="0" w:line="259" w:lineRule="auto"/>
        <w:tabs>
          <w:tab w:leader="none" w:pos="165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the First Lien Pari Passu Intercreditor Agreement and the Notes Security Documents, upon the occurrence and continuance of an Event of Default, the Trustee may, at the direction of Holders of at least a majority in principal amount of all the outstanding Notes issued under this Indenture, direct, on behalf of the Holders, the Notes Collateral Agent to take all actions it deems necessary or appropriate in order to:</w:t>
      </w:r>
    </w:p>
    <w:p>
      <w:pPr>
        <w:spacing w:after="0" w:line="78" w:lineRule="exact"/>
        <w:rPr>
          <w:rFonts w:ascii="Arial" w:cs="Arial" w:eastAsia="Arial" w:hAnsi="Arial"/>
          <w:sz w:val="18"/>
          <w:szCs w:val="18"/>
          <w:color w:val="auto"/>
        </w:rPr>
      </w:pPr>
    </w:p>
    <w:p>
      <w:pPr>
        <w:ind w:left="900" w:hanging="261"/>
        <w:spacing w:after="0"/>
        <w:tabs>
          <w:tab w:leader="none" w:pos="9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foreclose upon or otherwise enforce any or all of the Liens securing the Notes Obligations;</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780"/>
          </w:cols>
          <w:pgMar w:left="660" w:top="274" w:right="459" w:bottom="1440" w:gutter="0" w:footer="0" w:header="0"/>
        </w:sectPr>
      </w:pPr>
    </w:p>
    <w:bookmarkStart w:id="175" w:name="page176"/>
    <w:bookmarkEnd w:id="175"/>
    <w:p>
      <w:pPr>
        <w:ind w:left="440" w:right="480" w:firstLine="419"/>
        <w:spacing w:after="0" w:line="277" w:lineRule="auto"/>
        <w:tabs>
          <w:tab w:leader="none" w:pos="1118"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 any of the terms of the Notes Security Documents and any Intercreditor Agreement to which the Notes Collateral Agent or Trustee is a party;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collect and receive payment of any and all Notes Obligations.</w:t>
      </w:r>
    </w:p>
    <w:p>
      <w:pPr>
        <w:spacing w:after="0" w:line="225"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Subject to the First Lien Pari Passu Intercreditor Agreement, the Trustee is authorized and empowered to institute and maintain, or direct the Notes Collateral Agent to institute and maintain, such suits and proceedings as it may deem expedient to prevent any impairment of Collateral by any acts that may be unlawful or in violation of the Notes Security Documents to which the Notes Collateral Agent or Trustee is a party or this Indenture, and such suits and proceedings as the Trustee or the Notes Collateral Agent may deem expedient to preserve or protect its interests and the interests of the Holders of Notes in the Collateral.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Release of Collateral and Subordination of Liens on the Collateral.</w:t>
      </w:r>
    </w:p>
    <w:p>
      <w:pPr>
        <w:spacing w:after="0" w:line="117" w:lineRule="exact"/>
        <w:rPr>
          <w:sz w:val="20"/>
          <w:szCs w:val="20"/>
          <w:color w:val="auto"/>
        </w:rPr>
      </w:pPr>
    </w:p>
    <w:p>
      <w:pPr>
        <w:ind w:left="220" w:right="40" w:firstLine="1400"/>
        <w:spacing w:after="0" w:line="263" w:lineRule="auto"/>
        <w:tabs>
          <w:tab w:leader="none" w:pos="186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Issuer and the Subsidiary Guarantors shall be entitled to the release of property and other assets constituting Collateral from the Liens securing the Notes and the Notes Obligations (and such Liens shall be automatically released) under any one or more of the following circumstances:</w:t>
      </w:r>
    </w:p>
    <w:p>
      <w:pPr>
        <w:spacing w:after="0" w:line="89" w:lineRule="exact"/>
        <w:rPr>
          <w:rFonts w:ascii="Arial" w:cs="Arial" w:eastAsia="Arial" w:hAnsi="Arial"/>
          <w:sz w:val="18"/>
          <w:szCs w:val="18"/>
          <w:color w:val="auto"/>
        </w:rPr>
      </w:pPr>
    </w:p>
    <w:p>
      <w:pPr>
        <w:jc w:val="both"/>
        <w:ind w:left="1420" w:right="360" w:hanging="439"/>
        <w:spacing w:after="0" w:line="311" w:lineRule="auto"/>
        <w:tabs>
          <w:tab w:leader="none" w:pos="14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 property subject to such Lien is sold, disposed of or distributed as part of or in connection with any transaction or series of related transactions not prohibited under this Indenture or any Notes Security Document, in each case to a Person that is not the Issuer or a Guarantor (including pursuant to any Receivables Facility permitted under this Indenture);</w:t>
      </w:r>
    </w:p>
    <w:p>
      <w:pPr>
        <w:spacing w:after="0" w:line="54" w:lineRule="exact"/>
        <w:rPr>
          <w:rFonts w:ascii="Arial" w:cs="Arial" w:eastAsia="Arial" w:hAnsi="Arial"/>
          <w:sz w:val="16"/>
          <w:szCs w:val="16"/>
          <w:color w:val="auto"/>
        </w:rPr>
      </w:pPr>
    </w:p>
    <w:p>
      <w:pPr>
        <w:ind w:left="1420" w:right="160" w:hanging="439"/>
        <w:spacing w:after="0" w:line="277" w:lineRule="auto"/>
        <w:tabs>
          <w:tab w:leader="none" w:pos="14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the property subject to such Lien constitutes or becomes Excluded Property as a result of an occurrence not prohibited under this Indenture;</w:t>
      </w:r>
    </w:p>
    <w:p>
      <w:pPr>
        <w:spacing w:after="0" w:line="75" w:lineRule="exact"/>
        <w:rPr>
          <w:rFonts w:ascii="Arial" w:cs="Arial" w:eastAsia="Arial" w:hAnsi="Arial"/>
          <w:sz w:val="18"/>
          <w:szCs w:val="18"/>
          <w:color w:val="auto"/>
        </w:rPr>
      </w:pPr>
    </w:p>
    <w:p>
      <w:pPr>
        <w:ind w:left="1420" w:right="680" w:hanging="439"/>
        <w:spacing w:after="0" w:line="308" w:lineRule="auto"/>
        <w:tabs>
          <w:tab w:leader="none" w:pos="14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if the property subject to such Lien is owned by a Subsidiary Guarantor, upon release of such Subsidiary Guarantor from its obligations under this Indenture or any Notes Security Document, as applicable, as described under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accordance with the First Lien Pari Passu Intercreditor Agreement;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pursuant to an amendment or waiver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In addition, the Liens on the Collateral securing the Notes and the Guarantees shall be automatically released upon (i) payment in full of the principal of, together with accrued and unpaid interest on, the Notes and all other Obligations under this Indenture, the Guarantees and the Notes Security Documents that are due and payable at or prior to the time such principal, together with accrued and unpaid interest, is paid or (ii) a legal defeasance or covenant defeasance as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a discharge of this Indenture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Without limiting the generality of the foregoing, in the event (i) that the Issuer delivers to the Trustee an Officer’s Certificate and Opinion of Counsel certifying that the events or circumstances described in clause (i) or (ii) of the immediately preceding sentence have occurred, the Trustee shall deliver to the Issuer and the Notes Collateral Agent a notice stating that the Trustee, on behalf of the Holders, without recourse or warranty, disclaims and gives up any and all rights it has in or to the Collateral, and any rights it has under the Notes Security Documents, and upon receipt by the Notes Collateral Agent of such notice, the Notes Collateral Agent shall be deemed not to hold a Lien in the Collateral on behalf of the Trustee and shall do or cause to be done all acts reasonably necessary at the request and expense of the Issuer to release such Lien as soon as is reasonably practicable.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274" w:right="459" w:bottom="1440" w:gutter="0" w:footer="0" w:header="0"/>
        </w:sectPr>
      </w:pPr>
    </w:p>
    <w:bookmarkStart w:id="176" w:name="page177"/>
    <w:bookmarkEnd w:id="176"/>
    <w:p>
      <w:pPr>
        <w:ind w:left="220" w:firstLine="1400"/>
        <w:spacing w:after="0" w:line="284" w:lineRule="auto"/>
        <w:tabs>
          <w:tab w:leader="none" w:pos="1878" w:val="left"/>
        </w:tabs>
        <w:numPr>
          <w:ilvl w:val="1"/>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Liens on the Collateral securing the Notes and Guarantees will be subordinated to the holder of any Permitted Lien on such property that is permitted by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(only with regard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(other than with respect to self-insurance arrangements),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(solely to the extent constituting Excluded Property),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(solely to the extent relating to a lien of the type allowed pursuant to </w:t>
      </w:r>
      <w:r>
        <w:rPr>
          <w:rFonts w:ascii="Arial" w:cs="Arial" w:eastAsia="Arial" w:hAnsi="Arial"/>
          <w:sz w:val="16"/>
          <w:szCs w:val="16"/>
          <w:u w:val="single" w:color="auto"/>
          <w:color w:val="auto"/>
        </w:rPr>
        <w:t>clauses (8)</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(solely with respect to cash deposits) of the definition of “Permitted Liens”),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(solely to the extent relating to a lien of the type allowed pursuant to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the definition of “Permitted Liens” and securing obligations under Indebtedness of the type allowed pursuant to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(solely to the extent the Lien of the Notes Collateral Agent on such property is not, pursuant to such agreements, permitted to be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Liens),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(solely with respect to cash deposits),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560" w:hanging="344"/>
        <w:spacing w:after="0"/>
        <w:tabs>
          <w:tab w:leader="none" w:pos="560" w:val="left"/>
        </w:tabs>
        <w:numPr>
          <w:ilvl w:val="0"/>
          <w:numId w:val="250"/>
        </w:numPr>
        <w:rPr>
          <w:rFonts w:ascii="Arial" w:cs="Arial" w:eastAsia="Arial" w:hAnsi="Arial"/>
          <w:sz w:val="18"/>
          <w:szCs w:val="18"/>
          <w:u w:val="single" w:color="auto"/>
          <w:color w:val="auto"/>
        </w:rPr>
      </w:pPr>
      <w:r>
        <w:rPr>
          <w:rFonts w:ascii="Arial" w:cs="Arial" w:eastAsia="Arial" w:hAnsi="Arial"/>
          <w:sz w:val="18"/>
          <w:szCs w:val="18"/>
          <w:color w:val="auto"/>
        </w:rPr>
        <w:t xml:space="preserve">(only for so long as required to be secured for such letter of intent or investment) and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of the definition of “Permitted Liens.”</w:t>
      </w:r>
    </w:p>
    <w:p>
      <w:pPr>
        <w:spacing w:after="0" w:line="102" w:lineRule="exact"/>
        <w:rPr>
          <w:rFonts w:ascii="Arial" w:cs="Arial" w:eastAsia="Arial" w:hAnsi="Arial"/>
          <w:sz w:val="18"/>
          <w:szCs w:val="18"/>
          <w:u w:val="single" w:color="auto"/>
          <w:color w:val="auto"/>
        </w:rPr>
      </w:pPr>
    </w:p>
    <w:p>
      <w:pPr>
        <w:ind w:left="220" w:firstLine="1400"/>
        <w:spacing w:after="0" w:line="286" w:lineRule="auto"/>
        <w:tabs>
          <w:tab w:leader="none" w:pos="186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With respect to any release or subordination of Collateral pursuant to this </w:t>
      </w:r>
      <w:r>
        <w:rPr>
          <w:rFonts w:ascii="Arial" w:cs="Arial" w:eastAsia="Arial" w:hAnsi="Arial"/>
          <w:sz w:val="16"/>
          <w:szCs w:val="16"/>
          <w:u w:val="single" w:color="auto"/>
          <w:color w:val="auto"/>
        </w:rPr>
        <w:t>Section 12.04</w:t>
      </w:r>
      <w:r>
        <w:rPr>
          <w:rFonts w:ascii="Arial" w:cs="Arial" w:eastAsia="Arial" w:hAnsi="Arial"/>
          <w:sz w:val="16"/>
          <w:szCs w:val="16"/>
          <w:color w:val="auto"/>
        </w:rPr>
        <w:t>, upon receipt of an Officer’s Certificate and an Opinion of Counsel stating that all conditions precedent under this Indenture and the Notes Security Documents, as applicable, to such release or subordination have been met and that it is permitted for the Trustee and/or a Notes Collateral Agent to execute and deliver the documents requested by the Issuer in connection with such release or subordination, and any necessary or proper instruments of termination, satisfaction, discharge or release prepared by the Issuer, the Trustee shall, or shall cause the Notes Collateral Agent to, execute, deliver or acknowledge (at the Issuer’s expense) such instruments or releases (whether electronically or in writing) to evidence, and shall do or cause to be done all other acts reasonably necessary to effect or evidence, as applicable, in each case as soon as reasonably practicable, the release and discharge or subordination of any Collateral permitted to be released or subordinated pursuant to this Indenture or the Notes Security Documents. Neither the Trustee nor any Notes Collateral Agent shall be liable for any such release or subordination undertaken in reliance upon any such Officer’s Certificate or Opinion of Counsel, and notwithstanding any term hereof or in any Notes Security Document to the contrary, but without limiting any automatic release provided hereunder or under any Notes Security Document, the Trustee and each Notes Collateral Agent shall not be under any obligation to release or subordinate any such Lien and security interest, or execute and deliver any such instrument of release, satisfaction, discharge or termination, unless and until it receives such Officer’s Certificate and Opinion of Counsel.</w:t>
      </w:r>
    </w:p>
    <w:p>
      <w:pPr>
        <w:spacing w:after="0" w:line="174" w:lineRule="exact"/>
        <w:rPr>
          <w:sz w:val="20"/>
          <w:szCs w:val="20"/>
          <w:color w:val="auto"/>
        </w:rPr>
      </w:pPr>
    </w:p>
    <w:p>
      <w:pPr>
        <w:ind w:right="180" w:firstLine="991"/>
        <w:spacing w:after="0" w:line="293"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Powers Exercisable by Receiver or Trustee</w:t>
      </w:r>
      <w:r>
        <w:rPr>
          <w:rFonts w:ascii="Arial" w:cs="Arial" w:eastAsia="Arial" w:hAnsi="Arial"/>
          <w:sz w:val="16"/>
          <w:szCs w:val="16"/>
          <w:color w:val="auto"/>
        </w:rPr>
        <w:t xml:space="preserve">. In case the Collateral shall be in the possession of a receiver or trustee, lawfully appointed, the powers conferred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upon the Issuer or the Guarantors with respect to the release, sale or other disposition of such property may be exercised by such receiver or trustee, and an instrument signed by such receiver or trustee shall be deemed the equivalent of any similar instrument of the Issuer or the Guarantors or of any officer or officers thereof required by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and if the Trustee, Notes Collateral Agent or a nominee of the Trustee or Notes Collateral Agent shall be in the possession of the Collateral under any provision of this Indenture, then such powers may be exercised by the Trustee, Notes Collateral Agent or a nominee of the Trustee or Notes Collateral Agent.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Junior Lien Intercreditor Agreement</w:t>
      </w:r>
      <w:r>
        <w:rPr>
          <w:rFonts w:ascii="Arial" w:cs="Arial" w:eastAsia="Arial" w:hAnsi="Arial"/>
          <w:sz w:val="18"/>
          <w:szCs w:val="18"/>
          <w:color w:val="auto"/>
        </w:rPr>
        <w:t>. In the event that the Issuer or a Guarantor incurs Junior Lien Priority Indebtedness that is not prohibited by this Indenture, the Notes Collateral Agent (and, if applicable, the Trustee) will enter into a senior priority/junior priority intercreditor agreement with (together with other relevant Persons) any collateral agent and/or other authorized representative of any Junior Lien Priority Indebtedness, which intercreditor agreement shall provide for the subordination of Liens on such Junior Lien Priority Indebtedness to the Liens securing the Notes and other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440" w:top="274" w:right="459" w:bottom="1440" w:gutter="0" w:footer="0" w:header="0"/>
        </w:sectPr>
      </w:pPr>
    </w:p>
    <w:bookmarkStart w:id="177" w:name="page178"/>
    <w:bookmarkEnd w:id="17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intercreditor provisions with respect to such Junior Lien Priority Indebtedness, and such intercreditor agreement shall be customary in the good faith determination of the Issuer (for intercreditor agreements providing junior priority liens) as certified to the Trustee in writing by the Issuer, and if the Credit Agreement is then outstanding, shall be in a form approved by the Credit Agreement Collateral Agent (each, a “</w:t>
      </w:r>
      <w:r>
        <w:rPr>
          <w:rFonts w:ascii="Arial" w:cs="Arial" w:eastAsia="Arial" w:hAnsi="Arial"/>
          <w:sz w:val="18"/>
          <w:szCs w:val="18"/>
          <w:u w:val="single" w:color="auto"/>
          <w:color w:val="auto"/>
        </w:rPr>
        <w:t>Junior Lien Intercreditor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Notes Collateral Agent (and, if applicable, the Trustee) shall sign any such Junior Lien Intercreditor Agreement upon delivery of an Officer’s Certificate of the Issuer; it being understood that the First Lien/Second Lien Intercreditor Agreement (as defined in the Credit Agreement) constitutes a customary Junior Lien Intercreditor Agreement.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direction, consent or communication made pursuant to the provisions of this Indenture or the Notes shall be in writing and delivered in person, sent by facsimile, sent by electronic mail in pdf format, delivered by commercial courier service or mailed by first-class mail, postage prepaid, addressed as follows: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Issuer or to any Guarantor: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Lakes, NJ 07417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the Trustee, Notes Collateral Agent, Paying Agent or Registrar, at its corporate trust office, which corporate trust office for purposes of this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is at the date hereof located at: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333 Thornall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Edison, NJ 08837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Mark DiGiacomo</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Issuer, the Trustee, the Notes Collateral Agent, the Paying Agent and the Registrar by written notice to the others may designate additional or different addresses for subsequent notices or communications.</w:t>
      </w:r>
    </w:p>
    <w:p>
      <w:pPr>
        <w:spacing w:after="0" w:line="170"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Any notice or communication shall be deemed to have been given or made as of the date so delivered if personally delivered or if delivered electronically, in pdf format; when receipt is acknowledged, if telecopied; and five (5) calendar days after mailing if sent by registered or certified mail, postage prepaid (except that a notice of change of address shall not be deemed to have been given until actually received by the addressee).</w:t>
      </w:r>
    </w:p>
    <w:p>
      <w:pPr>
        <w:spacing w:after="0" w:line="14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Any notice or communication sent to a Holder shall be electronically delivered or mailed to the Holder at the Holder’s address as it appears in the Notes Register and shall be sufficiently given if so sent or mailed within the time prescribed.</w:t>
      </w:r>
    </w:p>
    <w:p>
      <w:pPr>
        <w:spacing w:after="0" w:line="170"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Failure to mail or deliver electronically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60"/>
          </w:cols>
          <w:pgMar w:left="440" w:top="274" w:right="499" w:bottom="1440" w:gutter="0" w:footer="0" w:header="0"/>
        </w:sectPr>
      </w:pPr>
    </w:p>
    <w:bookmarkStart w:id="178" w:name="page179"/>
    <w:bookmarkEnd w:id="178"/>
    <w:p>
      <w:pPr>
        <w:jc w:val="both"/>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DTC (or its designee) pursuant to the standing instructions from DTC or its designee.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Upon any request or application by the Issuer or any of the Guarantors to the Trustee to take or refrain from taking any action under this Indenture, the Issuer or such Guarantor, as the case may be, shall furnish to the Trustee (except, as to paragraph (2) below, in the case of the initial issuance of the Notes on the date hereof):</w:t>
      </w:r>
    </w:p>
    <w:p>
      <w:pPr>
        <w:spacing w:after="0" w:line="76" w:lineRule="exact"/>
        <w:rPr>
          <w:sz w:val="20"/>
          <w:szCs w:val="20"/>
          <w:color w:val="auto"/>
        </w:rPr>
      </w:pPr>
    </w:p>
    <w:p>
      <w:pPr>
        <w:ind w:left="440" w:right="220" w:firstLine="419"/>
        <w:spacing w:after="0" w:line="263" w:lineRule="auto"/>
        <w:tabs>
          <w:tab w:leader="none" w:pos="111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an Officer’s Certificate in form satisfactory to the Trustee (which shall include the statements set forth in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hereof) stating that, in the opinion of the signers, all conditions precedent, if any, provided for in this Indenture relating to the proposed action have been satisfied; and</w:t>
      </w:r>
    </w:p>
    <w:p>
      <w:pPr>
        <w:spacing w:after="0" w:line="75" w:lineRule="exact"/>
        <w:rPr>
          <w:rFonts w:ascii="Arial" w:cs="Arial" w:eastAsia="Arial" w:hAnsi="Arial"/>
          <w:sz w:val="18"/>
          <w:szCs w:val="18"/>
          <w:color w:val="auto"/>
        </w:rPr>
      </w:pPr>
    </w:p>
    <w:p>
      <w:pPr>
        <w:ind w:left="440" w:right="240" w:firstLine="419"/>
        <w:spacing w:after="0" w:line="308" w:lineRule="auto"/>
        <w:tabs>
          <w:tab w:leader="none" w:pos="111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an Opinion of Counsel in form satisfactory to the Trustee (which shall include the statements set forth in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hereof) stating that, in the opinion of such counsel, all such conditions precedent have been satisfied and all covenants have been complied with.</w:t>
      </w:r>
    </w:p>
    <w:p>
      <w:pPr>
        <w:spacing w:after="0" w:line="14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covenant or condition provided for in this Indenture shall include:</w:t>
      </w:r>
    </w:p>
    <w:p>
      <w:pPr>
        <w:spacing w:after="0" w:line="62" w:lineRule="exact"/>
        <w:rPr>
          <w:sz w:val="20"/>
          <w:szCs w:val="20"/>
          <w:color w:val="auto"/>
        </w:rPr>
      </w:pPr>
    </w:p>
    <w:p>
      <w:pPr>
        <w:ind w:left="1120" w:hanging="261"/>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statement that the individual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120" w:firstLine="419"/>
        <w:spacing w:after="0" w:line="308" w:lineRule="auto"/>
        <w:tabs>
          <w:tab w:leader="none" w:pos="111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 statement that, in the opinion of such individual, such individual has made such examination or investigation as is necessary to enable such individual to express an informed opinion as to whether or not such covenant or condition has been complied with; and</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individual, such covenant or condition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giving such Opinion of Counsel, counsel may rely as to factual matters on an Officer’s Certificate or on certificates of public officials.</w:t>
      </w:r>
    </w:p>
    <w:p>
      <w:pPr>
        <w:spacing w:after="0" w:line="23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When Notes Disregarded</w:t>
      </w:r>
      <w:r>
        <w:rPr>
          <w:rFonts w:ascii="Arial" w:cs="Arial" w:eastAsia="Arial" w:hAnsi="Arial"/>
          <w:sz w:val="18"/>
          <w:szCs w:val="18"/>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440" w:top="274" w:right="459" w:bottom="1440" w:gutter="0" w:footer="0" w:header="0"/>
        </w:sectPr>
      </w:pPr>
    </w:p>
    <w:bookmarkStart w:id="179" w:name="page180"/>
    <w:bookmarkEnd w:id="179"/>
    <w:p>
      <w:pPr>
        <w:jc w:val="both"/>
        <w:ind w:right="4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13.05 </w:t>
      </w:r>
      <w:r>
        <w:rPr>
          <w:rFonts w:ascii="Arial" w:cs="Arial" w:eastAsia="Arial" w:hAnsi="Arial"/>
          <w:sz w:val="16"/>
          <w:szCs w:val="16"/>
          <w:u w:val="single" w:color="auto"/>
          <w:color w:val="auto"/>
        </w:rPr>
        <w:t>Rules by Trustee, Notes Collateral Agent, Paying Agent and Registrar</w:t>
      </w:r>
      <w:r>
        <w:rPr>
          <w:rFonts w:ascii="Arial" w:cs="Arial" w:eastAsia="Arial" w:hAnsi="Arial"/>
          <w:sz w:val="16"/>
          <w:szCs w:val="16"/>
          <w:color w:val="auto"/>
        </w:rPr>
        <w:t>. The Trustee and Notes Collateral Agent may make reasonable rules for action by, or at meetings of, Holders. The Registrar and the Paying Agent may make reasonable rules for their functions.</w:t>
      </w:r>
    </w:p>
    <w:p>
      <w:pPr>
        <w:spacing w:after="0" w:line="124"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SECTION 13.06 </w:t>
      </w:r>
      <w:r>
        <w:rPr>
          <w:rFonts w:ascii="Arial" w:cs="Arial" w:eastAsia="Arial" w:hAnsi="Arial"/>
          <w:sz w:val="17"/>
          <w:szCs w:val="17"/>
          <w:u w:val="single" w:color="auto"/>
          <w:color w:val="auto"/>
        </w:rPr>
        <w:t>Legal Holidays</w:t>
      </w:r>
      <w:r>
        <w:rPr>
          <w:rFonts w:ascii="Arial" w:cs="Arial" w:eastAsia="Arial" w:hAnsi="Arial"/>
          <w:sz w:val="17"/>
          <w:szCs w:val="17"/>
          <w:color w:val="auto"/>
        </w:rPr>
        <w:t>. A “</w:t>
      </w:r>
      <w:r>
        <w:rPr>
          <w:rFonts w:ascii="Arial" w:cs="Arial" w:eastAsia="Arial" w:hAnsi="Arial"/>
          <w:sz w:val="17"/>
          <w:szCs w:val="17"/>
          <w:u w:val="single" w:color="auto"/>
          <w:color w:val="auto"/>
        </w:rPr>
        <w:t>Legal Holiday</w:t>
      </w:r>
      <w:r>
        <w:rPr>
          <w:rFonts w:ascii="Arial" w:cs="Arial" w:eastAsia="Arial" w:hAnsi="Arial"/>
          <w:sz w:val="17"/>
          <w:szCs w:val="17"/>
          <w:color w:val="auto"/>
        </w:rPr>
        <w:t>” is a Saturday, a Sunday or other day on which commercial banking institutions are authorized or required to be closed in New York, New York or the jurisdiction of the place of payment. If a payment date or a Redemption Date is a Legal Holiday, payment shall be made on the next succeeding day that is not a Legal Holiday, and no interest shall accrue on such payment for the intervening period. If a regular record date is a Legal Holiday, the record date shall not be affected.</w:t>
      </w:r>
    </w:p>
    <w:p>
      <w:pPr>
        <w:spacing w:after="0" w:line="17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THE NOTES, THE BD GUARANTEE AND THE NOTE GUARANTEES AND THE RIGHTS OF THE PARTIES HEREUNDER AND THEREUNDER SHALL BE GOVERNED BY, AND CONSTRUED IN ACCORDANCE WITH, THE LAWS OF THE STATE OF NEW YORK.</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hereto agree that any suit, action or proceeding brought by any Holder or the Trustee arising out of or based upon this Indenture, the Guarantee or the Notes may be instituted in any state or Federal court in the Borough of Manhattan, New York, New York, and any appellate court from any thereof, and each of them irrevocably submits to the exclusive jurisdiction of such courts in any suit, action or proceeding. The parties hereto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or that such courts do not have jurisdiction over such party. The parties hereto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81"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THE PARTIES HERETO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TO THE FULLEST EXTENT PERMITTED BY APPLICABLE LAW, ANY AND ALL RIGHT TO TRIAL BY JURY IN ANY LEGAL ACTION OR PROCEEDING ARISING OUT OF OR RELATING TO THIS INDENTURE, THE NOTES OR THE GUARANTEES AND FOR ANY COUNTERCLAIM THEREIN.</w:t>
      </w:r>
    </w:p>
    <w:p>
      <w:pPr>
        <w:spacing w:after="0" w:line="18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u w:val="single" w:color="auto"/>
          <w:color w:val="auto"/>
        </w:rPr>
        <w:t>USA PATRIOT Act</w:t>
      </w:r>
      <w:r>
        <w:rPr>
          <w:rFonts w:ascii="Arial" w:cs="Arial" w:eastAsia="Arial" w:hAnsi="Arial"/>
          <w:sz w:val="17"/>
          <w:szCs w:val="17"/>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parties hereto agree that they will provide the Trustee with such information as it may request in order to satisfy the requirements of the USA PATRIOT Act.</w:t>
      </w:r>
    </w:p>
    <w:p>
      <w:pPr>
        <w:spacing w:after="0" w:line="171"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of the Issuer or any of its Subsidiaries or Affiliates, as such (other than the Issuer and the Guarantors), shall have any liability for any obligations of the Issuer or the Guarantors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00"/>
          </w:cols>
          <w:pgMar w:left="440" w:top="274" w:right="459" w:bottom="1440" w:gutter="0" w:footer="0" w:header="0"/>
        </w:sectPr>
      </w:pPr>
    </w:p>
    <w:bookmarkStart w:id="180" w:name="page181"/>
    <w:bookmarkEnd w:id="180"/>
    <w:p>
      <w:pPr>
        <w:ind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13.12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 and each Guarantor in this Indenture and the Notes shall bind their respective successors. All agreements of the Trustee, the Notes Collateral Agent, the Paying Agent and the Registrar, as applicable, in this Indenture shall bind its successors.</w:t>
      </w:r>
    </w:p>
    <w:p>
      <w:pPr>
        <w:spacing w:after="0" w:line="184"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Multiple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format shall be deemed to be their original signatures for all purposes.</w:t>
      </w:r>
    </w:p>
    <w:p>
      <w:pPr>
        <w:spacing w:after="0" w:line="18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13.14 </w:t>
      </w:r>
      <w:r>
        <w:rPr>
          <w:rFonts w:ascii="Arial" w:cs="Arial" w:eastAsia="Arial" w:hAnsi="Arial"/>
          <w:sz w:val="17"/>
          <w:szCs w:val="17"/>
          <w:u w:val="single" w:color="auto"/>
          <w:color w:val="auto"/>
        </w:rPr>
        <w:t>Electronic Transmission; Electronic Signatures</w:t>
      </w:r>
      <w:r>
        <w:rPr>
          <w:rFonts w:ascii="Arial" w:cs="Arial" w:eastAsia="Arial" w:hAnsi="Arial"/>
          <w:sz w:val="17"/>
          <w:szCs w:val="17"/>
          <w:color w:val="auto"/>
        </w:rPr>
        <w:t>. Neither the Trustee nor the Notes Collateral Agent shall have any duty to confirm that the person sending any notice, instruction or other communication (a “</w:t>
      </w:r>
      <w:r>
        <w:rPr>
          <w:rFonts w:ascii="Arial" w:cs="Arial" w:eastAsia="Arial" w:hAnsi="Arial"/>
          <w:sz w:val="17"/>
          <w:szCs w:val="17"/>
          <w:u w:val="single" w:color="auto"/>
          <w:color w:val="auto"/>
        </w:rPr>
        <w:t>Notice</w:t>
      </w:r>
      <w:r>
        <w:rPr>
          <w:rFonts w:ascii="Arial" w:cs="Arial" w:eastAsia="Arial" w:hAnsi="Arial"/>
          <w:sz w:val="17"/>
          <w:szCs w:val="17"/>
          <w:color w:val="auto"/>
        </w:rPr>
        <w:t>”) by electronic transmission (including by e-mail, facsimile transmission, web portal or other electronic methods) is, in fact, a person authorized to do so. Electronic signatures believed by the Trustee and Notes Collateral Agent to comply with the ESIGN Act of 2000 or other applicable law (including electronic images of handwritten signatures and digital signatures provided by DocuSign, Orbit, Adobe Sign or any other digital signature provider acceptable to the Trustee and Notes Collateral Agent) shall be deemed original signatures for all purposes. Each other party assumes all risks arising out of the use of electronic signatures and electronic methods to send Notices to the Trustee and the Notes Collateral Agent, including without limitation the risk of the Trustee or Notes Collateral Agent acting on an unauthorized Notice, and the risk of interception or misuse by third parties. Notwithstanding the foregoing, each of the Trustee and the Notes Collateral Agent may in any instance and in its sole discretion require that an original document bearing a manual signature be delivered to it in lieu of, or in addition to, any such electronic Notice.</w:t>
      </w:r>
    </w:p>
    <w:p>
      <w:pPr>
        <w:spacing w:after="0" w:line="18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Table of Contents; Headings</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84"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13.16 </w:t>
      </w: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epidemics, pandemics, civil or military disturbances, nuclear or natural catastrophes or acts of God, interruptions, loss or malfunctions of utilities, communications or computer (software and hardware) services, or the unavailability of the Federal Reserve Bank wire or telex or other wire or communication facility, it being understood that the Trustee shall use reasonable best efforts which are consistent with accepted practices in the banking industry to resume performance as soon as practicable under the circumstances.</w:t>
      </w:r>
    </w:p>
    <w:p>
      <w:pPr>
        <w:spacing w:after="0" w:line="17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0"/>
          </w:cols>
          <w:pgMar w:left="440" w:top="274" w:right="459" w:bottom="1440" w:gutter="0" w:footer="0" w:header="0"/>
        </w:sectPr>
      </w:pPr>
    </w:p>
    <w:bookmarkStart w:id="181" w:name="page182"/>
    <w:bookmarkEnd w:id="181"/>
    <w:p>
      <w:pPr>
        <w:ind w:left="1860" w:hanging="240"/>
        <w:spacing w:after="0"/>
        <w:tabs>
          <w:tab w:leader="none" w:pos="18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of this Indenture are subject to the terms of the First Lien Pari Passu Intercreditor Agreement.</w:t>
      </w:r>
    </w:p>
    <w:p>
      <w:pPr>
        <w:spacing w:after="0" w:line="117" w:lineRule="exact"/>
        <w:rPr>
          <w:rFonts w:ascii="Arial" w:cs="Arial" w:eastAsia="Arial" w:hAnsi="Arial"/>
          <w:sz w:val="18"/>
          <w:szCs w:val="18"/>
          <w:color w:val="auto"/>
        </w:rPr>
      </w:pPr>
    </w:p>
    <w:p>
      <w:pPr>
        <w:ind w:left="220" w:right="120" w:firstLine="1400"/>
        <w:spacing w:after="0" w:line="270" w:lineRule="auto"/>
        <w:tabs>
          <w:tab w:leader="none" w:pos="187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If the Issuer or any Guarantor (i) incurs any obligations in respect of First Lien Obligations at any time when no First Lien Pari Passu Intercreditor Agreement is in effect or at any time when Indebtedness constituting First Lien Obligations entitled to the benefit of an existing First Lien Pari Passu Intercreditor Agreement is concurrently retired, or incurs any other obligations permitted hereunder and required to be subject to an intercreditor agreement, and (ii) delivers to the Notes Collateral Agent an Officer’s Certificate so stating and requesting the Notes Collateral Agent to enter into an intercreditor agreement (on substantially the same terms as the First Lien Pari Passu Intercreditor Agreement) in favor of a designated agent or representative for the holders of the First Lien Obligations so incurred, the Notes Collateral Agent and the Trustee (as applicable) shall (and are hereby authorized and directed to) enter into such intercreditor agreement (at the sole expense and cost of the Issuer, including fees (including legal fees) and expenses of the Notes Collateral Agent), bind the Holders on the terms set forth therein and perform and observe its obligations thereunder.</w:t>
      </w:r>
    </w:p>
    <w:p>
      <w:pPr>
        <w:spacing w:after="0" w:line="18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13.19 </w:t>
      </w:r>
      <w:r>
        <w:rPr>
          <w:rFonts w:ascii="Arial" w:cs="Arial" w:eastAsia="Arial" w:hAnsi="Arial"/>
          <w:sz w:val="18"/>
          <w:szCs w:val="18"/>
          <w:u w:val="single" w:color="auto"/>
          <w:color w:val="auto"/>
        </w:rPr>
        <w:t>Waiver of Immunities</w:t>
      </w:r>
      <w:r>
        <w:rPr>
          <w:rFonts w:ascii="Arial" w:cs="Arial" w:eastAsia="Arial" w:hAnsi="Arial"/>
          <w:sz w:val="18"/>
          <w:szCs w:val="18"/>
          <w:color w:val="auto"/>
        </w:rPr>
        <w:t>. To the extent that the Issuer or any Guarantor or any of its properties, assets or revenues may have or may hereafter become entitled to, or have attributed to them,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Indenture, the Notes or the Note Guarantees, the Issuer and each Guarantor hereby irrevocably and unconditionally, to the extent permitted by applicable law, waives and agrees not to plead or claim any such immunity and consents to such relief and enforcement.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on followings pages]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0"/>
          </w:cols>
          <w:pgMar w:left="440" w:top="274"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Indenture to be duly executed all as of the date and year first written above.</w:t>
      </w: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14605</wp:posOffset>
            </wp:positionV>
            <wp:extent cx="26403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Jacob Elguicze</w:t>
      </w:r>
    </w:p>
    <w:p>
      <w:pPr>
        <w:spacing w:after="0" w:line="23" w:lineRule="exact"/>
        <w:rPr>
          <w:sz w:val="20"/>
          <w:szCs w:val="20"/>
          <w:color w:val="auto"/>
        </w:rPr>
      </w:pPr>
    </w:p>
    <w:p>
      <w:pPr>
        <w:jc w:val="right"/>
        <w:spacing w:after="0"/>
        <w:tabs>
          <w:tab w:leader="none" w:pos="3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211"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560"/>
          </w:cols>
          <w:pgMar w:left="880" w:top="274" w:right="459" w:bottom="1440" w:gutter="0" w:footer="0" w:header="0"/>
        </w:sectPr>
      </w:pPr>
    </w:p>
    <w:bookmarkStart w:id="183" w:name="page184"/>
    <w:bookmarkEnd w:id="18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 and as Notes Collateral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DiGiacomo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DiGiacomo</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[Signature Page to Indenture]</w:t>
      </w:r>
    </w:p>
    <w:p>
      <w:pPr>
        <w:sectPr>
          <w:pgSz w:w="11900" w:h="16838" w:orient="portrait"/>
          <w:cols w:equalWidth="0" w:num="1">
            <w:col w:w="9160"/>
          </w:cols>
          <w:pgMar w:left="1440" w:top="274" w:right="1299" w:bottom="1440" w:gutter="0" w:footer="0" w:header="0"/>
        </w:sectPr>
      </w:pPr>
    </w:p>
    <w:bookmarkStart w:id="184" w:name="page185"/>
    <w:bookmarkEnd w:id="184"/>
    <w:tbl>
      <w:tblPr>
        <w:tblLayout w:type="fixed"/>
        <w:tblInd w:w="4"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940" w:type="dxa"/>
            <w:vAlign w:val="bottom"/>
          </w:tcPr>
          <w:p>
            <w:pPr>
              <w:ind w:left="800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2080" w:type="dxa"/>
            <w:vAlign w:val="bottom"/>
          </w:tcPr>
          <w:p>
            <w:pPr>
              <w:spacing w:after="0"/>
              <w:rPr>
                <w:sz w:val="24"/>
                <w:szCs w:val="24"/>
                <w:color w:val="auto"/>
              </w:rPr>
            </w:pPr>
          </w:p>
        </w:tc>
        <w:tc>
          <w:tcPr>
            <w:tcW w:w="8940" w:type="dxa"/>
            <w:vAlign w:val="bottom"/>
          </w:tcPr>
          <w:p>
            <w:pPr>
              <w:jc w:val="center"/>
              <w:ind w:right="1990"/>
              <w:spacing w:after="0"/>
              <w:rPr>
                <w:sz w:val="20"/>
                <w:szCs w:val="20"/>
                <w:color w:val="auto"/>
              </w:rPr>
            </w:pPr>
            <w:r>
              <w:rPr>
                <w:rFonts w:ascii="Arial" w:cs="Arial" w:eastAsia="Arial" w:hAnsi="Arial"/>
                <w:sz w:val="18"/>
                <w:szCs w:val="18"/>
                <w:color w:val="auto"/>
                <w:w w:val="95"/>
              </w:rPr>
              <w:t>[FORM OF FACE OF GLOBAL RESTRICTED NOTE]</w:t>
            </w:r>
          </w:p>
        </w:tc>
      </w:tr>
      <w:tr>
        <w:trPr>
          <w:trHeight w:val="418"/>
        </w:trPr>
        <w:tc>
          <w:tcPr>
            <w:tcW w:w="2080" w:type="dxa"/>
            <w:vAlign w:val="bottom"/>
          </w:tcPr>
          <w:p>
            <w:pPr>
              <w:spacing w:after="0"/>
              <w:rPr>
                <w:sz w:val="24"/>
                <w:szCs w:val="24"/>
                <w:color w:val="auto"/>
              </w:rPr>
            </w:pPr>
          </w:p>
        </w:tc>
        <w:tc>
          <w:tcPr>
            <w:tcW w:w="8940" w:type="dxa"/>
            <w:vAlign w:val="bottom"/>
          </w:tcPr>
          <w:p>
            <w:pPr>
              <w:jc w:val="center"/>
              <w:ind w:right="1990"/>
              <w:spacing w:after="0"/>
              <w:rPr>
                <w:sz w:val="20"/>
                <w:szCs w:val="20"/>
                <w:color w:val="auto"/>
              </w:rPr>
            </w:pPr>
            <w:r>
              <w:rPr>
                <w:rFonts w:ascii="Arial" w:cs="Arial" w:eastAsia="Arial" w:hAnsi="Arial"/>
                <w:sz w:val="18"/>
                <w:szCs w:val="18"/>
                <w:color w:val="auto"/>
                <w:w w:val="92"/>
              </w:rPr>
              <w:t>[Applicable Restricted Notes Legend]</w:t>
            </w:r>
          </w:p>
        </w:tc>
      </w:tr>
      <w:tr>
        <w:trPr>
          <w:trHeight w:val="216"/>
        </w:trPr>
        <w:tc>
          <w:tcPr>
            <w:tcW w:w="2080" w:type="dxa"/>
            <w:vAlign w:val="bottom"/>
          </w:tcPr>
          <w:p>
            <w:pPr>
              <w:spacing w:after="0"/>
              <w:rPr>
                <w:sz w:val="18"/>
                <w:szCs w:val="18"/>
                <w:color w:val="auto"/>
              </w:rPr>
            </w:pPr>
          </w:p>
        </w:tc>
        <w:tc>
          <w:tcPr>
            <w:tcW w:w="8940" w:type="dxa"/>
            <w:vAlign w:val="bottom"/>
          </w:tcPr>
          <w:p>
            <w:pPr>
              <w:jc w:val="center"/>
              <w:ind w:right="2010"/>
              <w:spacing w:after="0"/>
              <w:rPr>
                <w:sz w:val="20"/>
                <w:szCs w:val="20"/>
                <w:color w:val="auto"/>
              </w:rPr>
            </w:pPr>
            <w:r>
              <w:rPr>
                <w:rFonts w:ascii="Arial" w:cs="Arial" w:eastAsia="Arial" w:hAnsi="Arial"/>
                <w:sz w:val="18"/>
                <w:szCs w:val="18"/>
                <w:color w:val="auto"/>
                <w:w w:val="93"/>
              </w:rPr>
              <w:t>[Depository Legend, if applicable]</w:t>
            </w:r>
            <w:r>
              <w:rPr>
                <w:rFonts w:ascii="Arial" w:cs="Arial" w:eastAsia="Arial" w:hAnsi="Arial"/>
                <w:sz w:val="15"/>
                <w:szCs w:val="15"/>
                <w:color w:val="auto"/>
                <w:w w:val="93"/>
              </w:rPr>
              <w:t>1</w:t>
            </w:r>
          </w:p>
        </w:tc>
      </w:tr>
      <w:tr>
        <w:trPr>
          <w:trHeight w:val="230"/>
        </w:trPr>
        <w:tc>
          <w:tcPr>
            <w:tcW w:w="2080" w:type="dxa"/>
            <w:vAlign w:val="bottom"/>
          </w:tcPr>
          <w:p>
            <w:pPr>
              <w:spacing w:after="0"/>
              <w:rPr>
                <w:sz w:val="20"/>
                <w:szCs w:val="20"/>
                <w:color w:val="auto"/>
              </w:rPr>
            </w:pPr>
          </w:p>
        </w:tc>
        <w:tc>
          <w:tcPr>
            <w:tcW w:w="8940" w:type="dxa"/>
            <w:vAlign w:val="bottom"/>
          </w:tcPr>
          <w:p>
            <w:pPr>
              <w:jc w:val="center"/>
              <w:ind w:right="2010"/>
              <w:spacing w:after="0"/>
              <w:rPr>
                <w:sz w:val="20"/>
                <w:szCs w:val="20"/>
                <w:color w:val="auto"/>
              </w:rPr>
            </w:pPr>
            <w:r>
              <w:rPr>
                <w:rFonts w:ascii="Arial" w:cs="Arial" w:eastAsia="Arial" w:hAnsi="Arial"/>
                <w:sz w:val="18"/>
                <w:szCs w:val="18"/>
                <w:color w:val="auto"/>
                <w:w w:val="94"/>
              </w:rPr>
              <w:t>[OID Legend, if applicable]</w:t>
            </w:r>
          </w:p>
        </w:tc>
      </w:tr>
      <w:tr>
        <w:trPr>
          <w:trHeight w:val="445"/>
        </w:trPr>
        <w:tc>
          <w:tcPr>
            <w:tcW w:w="2080" w:type="dxa"/>
            <w:vAlign w:val="bottom"/>
          </w:tcPr>
          <w:p>
            <w:pPr>
              <w:spacing w:after="0"/>
              <w:rPr>
                <w:sz w:val="20"/>
                <w:szCs w:val="20"/>
                <w:color w:val="auto"/>
              </w:rPr>
            </w:pPr>
            <w:r>
              <w:rPr>
                <w:rFonts w:ascii="Arial" w:cs="Arial" w:eastAsia="Arial" w:hAnsi="Arial"/>
                <w:sz w:val="18"/>
                <w:szCs w:val="18"/>
                <w:color w:val="auto"/>
              </w:rPr>
              <w:t>No. [___]</w:t>
            </w:r>
          </w:p>
        </w:tc>
        <w:tc>
          <w:tcPr>
            <w:tcW w:w="8940" w:type="dxa"/>
            <w:vAlign w:val="bottom"/>
          </w:tcPr>
          <w:p>
            <w:pPr>
              <w:ind w:left="3660"/>
              <w:spacing w:after="0"/>
              <w:rPr>
                <w:sz w:val="20"/>
                <w:szCs w:val="20"/>
                <w:color w:val="auto"/>
              </w:rPr>
            </w:pPr>
            <w:r>
              <w:rPr>
                <w:rFonts w:ascii="Arial" w:cs="Arial" w:eastAsia="Arial" w:hAnsi="Arial"/>
                <w:sz w:val="18"/>
                <w:szCs w:val="18"/>
                <w:color w:val="auto"/>
              </w:rPr>
              <w:t>Principal Amount $[___________] [as revised by the Schedule of</w:t>
            </w:r>
          </w:p>
        </w:tc>
      </w:tr>
      <w:tr>
        <w:trPr>
          <w:trHeight w:val="216"/>
        </w:trPr>
        <w:tc>
          <w:tcPr>
            <w:tcW w:w="2080" w:type="dxa"/>
            <w:vAlign w:val="bottom"/>
          </w:tcPr>
          <w:p>
            <w:pPr>
              <w:spacing w:after="0"/>
              <w:rPr>
                <w:sz w:val="18"/>
                <w:szCs w:val="18"/>
                <w:color w:val="auto"/>
              </w:rPr>
            </w:pPr>
          </w:p>
        </w:tc>
        <w:tc>
          <w:tcPr>
            <w:tcW w:w="8940" w:type="dxa"/>
            <w:vAlign w:val="bottom"/>
          </w:tcPr>
          <w:p>
            <w:pPr>
              <w:ind w:left="3660"/>
              <w:spacing w:after="0"/>
              <w:rPr>
                <w:sz w:val="20"/>
                <w:szCs w:val="20"/>
                <w:color w:val="auto"/>
              </w:rPr>
            </w:pPr>
            <w:r>
              <w:rPr>
                <w:rFonts w:ascii="Arial" w:cs="Arial" w:eastAsia="Arial" w:hAnsi="Arial"/>
                <w:sz w:val="18"/>
                <w:szCs w:val="18"/>
                <w:color w:val="auto"/>
              </w:rPr>
              <w:t>Increases and Decreases in Global Note attached hereto]</w:t>
            </w:r>
            <w:r>
              <w:rPr>
                <w:rFonts w:ascii="Arial" w:cs="Arial" w:eastAsia="Arial" w:hAnsi="Arial"/>
                <w:sz w:val="15"/>
                <w:szCs w:val="15"/>
                <w:color w:val="auto"/>
              </w:rPr>
              <w:t>1</w:t>
            </w:r>
          </w:p>
        </w:tc>
      </w:tr>
      <w:tr>
        <w:trPr>
          <w:trHeight w:val="230"/>
        </w:trPr>
        <w:tc>
          <w:tcPr>
            <w:tcW w:w="2080" w:type="dxa"/>
            <w:vAlign w:val="bottom"/>
          </w:tcPr>
          <w:p>
            <w:pPr>
              <w:spacing w:after="0"/>
              <w:rPr>
                <w:sz w:val="20"/>
                <w:szCs w:val="20"/>
                <w:color w:val="auto"/>
              </w:rPr>
            </w:pPr>
          </w:p>
        </w:tc>
        <w:tc>
          <w:tcPr>
            <w:tcW w:w="8940" w:type="dxa"/>
            <w:vAlign w:val="bottom"/>
          </w:tcPr>
          <w:p>
            <w:pPr>
              <w:ind w:left="3660"/>
              <w:spacing w:after="0"/>
              <w:rPr>
                <w:sz w:val="20"/>
                <w:szCs w:val="20"/>
                <w:color w:val="auto"/>
              </w:rPr>
            </w:pPr>
            <w:r>
              <w:rPr>
                <w:rFonts w:ascii="Arial" w:cs="Arial" w:eastAsia="Arial" w:hAnsi="Arial"/>
                <w:sz w:val="18"/>
                <w:szCs w:val="18"/>
                <w:color w:val="auto"/>
              </w:rPr>
              <w:t>CUSIP NO. _________________________</w:t>
            </w:r>
          </w:p>
        </w:tc>
      </w:tr>
      <w:tr>
        <w:trPr>
          <w:trHeight w:val="459"/>
        </w:trPr>
        <w:tc>
          <w:tcPr>
            <w:tcW w:w="2080" w:type="dxa"/>
            <w:vAlign w:val="bottom"/>
          </w:tcPr>
          <w:p>
            <w:pPr>
              <w:spacing w:after="0"/>
              <w:rPr>
                <w:sz w:val="24"/>
                <w:szCs w:val="24"/>
                <w:color w:val="auto"/>
              </w:rPr>
            </w:pPr>
          </w:p>
        </w:tc>
        <w:tc>
          <w:tcPr>
            <w:tcW w:w="8940" w:type="dxa"/>
            <w:vAlign w:val="bottom"/>
          </w:tcPr>
          <w:p>
            <w:pPr>
              <w:ind w:left="3660"/>
              <w:spacing w:after="0"/>
              <w:rPr>
                <w:sz w:val="20"/>
                <w:szCs w:val="20"/>
                <w:color w:val="auto"/>
              </w:rPr>
            </w:pPr>
            <w:r>
              <w:rPr>
                <w:rFonts w:ascii="Arial" w:cs="Arial" w:eastAsia="Arial" w:hAnsi="Arial"/>
                <w:sz w:val="18"/>
                <w:szCs w:val="18"/>
                <w:color w:val="auto"/>
              </w:rPr>
              <w:t>ISIN NO. _________________________</w:t>
            </w:r>
          </w:p>
        </w:tc>
      </w:tr>
      <w:tr>
        <w:trPr>
          <w:trHeight w:val="445"/>
        </w:trPr>
        <w:tc>
          <w:tcPr>
            <w:tcW w:w="2080" w:type="dxa"/>
            <w:vAlign w:val="bottom"/>
          </w:tcPr>
          <w:p>
            <w:pPr>
              <w:spacing w:after="0"/>
              <w:rPr>
                <w:sz w:val="24"/>
                <w:szCs w:val="24"/>
                <w:color w:val="auto"/>
              </w:rPr>
            </w:pPr>
          </w:p>
        </w:tc>
        <w:tc>
          <w:tcPr>
            <w:tcW w:w="8940" w:type="dxa"/>
            <w:vAlign w:val="bottom"/>
          </w:tcPr>
          <w:p>
            <w:pPr>
              <w:jc w:val="center"/>
              <w:ind w:right="2010"/>
              <w:spacing w:after="0"/>
              <w:rPr>
                <w:sz w:val="20"/>
                <w:szCs w:val="20"/>
                <w:color w:val="auto"/>
              </w:rPr>
            </w:pPr>
            <w:r>
              <w:rPr>
                <w:rFonts w:ascii="Arial" w:cs="Arial" w:eastAsia="Arial" w:hAnsi="Arial"/>
                <w:sz w:val="18"/>
                <w:szCs w:val="18"/>
                <w:color w:val="auto"/>
                <w:w w:val="89"/>
              </w:rPr>
              <w:t>Embecta Corp.</w:t>
            </w:r>
          </w:p>
        </w:tc>
      </w:tr>
      <w:tr>
        <w:trPr>
          <w:trHeight w:val="432"/>
        </w:trPr>
        <w:tc>
          <w:tcPr>
            <w:tcW w:w="2080" w:type="dxa"/>
            <w:vAlign w:val="bottom"/>
          </w:tcPr>
          <w:p>
            <w:pPr>
              <w:spacing w:after="0"/>
              <w:rPr>
                <w:sz w:val="24"/>
                <w:szCs w:val="24"/>
                <w:color w:val="auto"/>
              </w:rPr>
            </w:pPr>
          </w:p>
        </w:tc>
        <w:tc>
          <w:tcPr>
            <w:tcW w:w="8940" w:type="dxa"/>
            <w:vAlign w:val="bottom"/>
          </w:tcPr>
          <w:p>
            <w:pPr>
              <w:jc w:val="center"/>
              <w:ind w:right="2010"/>
              <w:spacing w:after="0"/>
              <w:rPr>
                <w:sz w:val="20"/>
                <w:szCs w:val="20"/>
                <w:color w:val="auto"/>
              </w:rPr>
            </w:pPr>
            <w:r>
              <w:rPr>
                <w:rFonts w:ascii="Arial" w:cs="Arial" w:eastAsia="Arial" w:hAnsi="Arial"/>
                <w:sz w:val="18"/>
                <w:szCs w:val="18"/>
                <w:color w:val="auto"/>
                <w:w w:val="89"/>
              </w:rPr>
              <w:t>5.000% Senior Secured Notes due 2030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spacing w:after="0"/>
        <w:rPr>
          <w:sz w:val="20"/>
          <w:szCs w:val="20"/>
          <w:color w:val="auto"/>
        </w:rPr>
      </w:pPr>
      <w:r>
        <w:rPr>
          <w:rFonts w:ascii="Arial" w:cs="Arial" w:eastAsia="Arial" w:hAnsi="Arial"/>
          <w:sz w:val="17"/>
          <w:szCs w:val="17"/>
          <w:color w:val="auto"/>
        </w:rPr>
        <w:t>Embecta Corp.,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promises to pay to [Cede &amp; Co.],</w:t>
      </w:r>
      <w:r>
        <w:rPr>
          <w:rFonts w:ascii="Arial" w:cs="Arial" w:eastAsia="Arial" w:hAnsi="Arial"/>
          <w:sz w:val="14"/>
          <w:szCs w:val="14"/>
          <w:color w:val="auto"/>
        </w:rPr>
        <w:t>2</w:t>
      </w:r>
      <w:r>
        <w:rPr>
          <w:rFonts w:ascii="Arial" w:cs="Arial" w:eastAsia="Arial" w:hAnsi="Arial"/>
          <w:sz w:val="17"/>
          <w:szCs w:val="17"/>
          <w:color w:val="auto"/>
        </w:rPr>
        <w:t xml:space="preserve"> or its registered assigns, the principal sum of</w:t>
      </w:r>
    </w:p>
    <w:p>
      <w:pPr>
        <w:spacing w:after="0" w:line="35" w:lineRule="exact"/>
        <w:rPr>
          <w:sz w:val="20"/>
          <w:szCs w:val="20"/>
          <w:color w:val="auto"/>
        </w:rPr>
      </w:pPr>
    </w:p>
    <w:p>
      <w:pPr>
        <w:ind w:left="1404"/>
        <w:spacing w:after="0"/>
        <w:rPr>
          <w:sz w:val="20"/>
          <w:szCs w:val="20"/>
          <w:color w:val="auto"/>
        </w:rPr>
      </w:pPr>
      <w:r>
        <w:rPr>
          <w:rFonts w:ascii="Arial" w:cs="Arial" w:eastAsia="Arial" w:hAnsi="Arial"/>
          <w:sz w:val="17"/>
          <w:szCs w:val="17"/>
          <w:color w:val="auto"/>
        </w:rPr>
        <w:t>U. S. dollars, [as revised by the Schedule of Increases and Decreases in Global Note attached hereto],</w:t>
      </w:r>
      <w:r>
        <w:rPr>
          <w:rFonts w:ascii="Arial" w:cs="Arial" w:eastAsia="Arial" w:hAnsi="Arial"/>
          <w:sz w:val="14"/>
          <w:szCs w:val="14"/>
          <w:color w:val="auto"/>
        </w:rPr>
        <w:t>3</w:t>
      </w:r>
      <w:r>
        <w:rPr>
          <w:rFonts w:ascii="Arial" w:cs="Arial" w:eastAsia="Arial" w:hAnsi="Arial"/>
          <w:sz w:val="17"/>
          <w:szCs w:val="17"/>
          <w:color w:val="auto"/>
        </w:rPr>
        <w:t xml:space="preserve"> on February 15, 2030.</w:t>
      </w:r>
    </w:p>
    <w:p>
      <w:pPr>
        <w:spacing w:after="0" w:line="2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Interest Payment Dates: February 15 and August 15, commencing on August 15, 2022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Record Dates: February 1 and August 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5"/>
          <w:szCs w:val="15"/>
          <w:color w:val="auto"/>
        </w:rPr>
      </w:pPr>
      <w:r>
        <w:rPr>
          <w:rFonts w:ascii="Arial" w:cs="Arial" w:eastAsia="Arial" w:hAnsi="Arial"/>
          <w:sz w:val="18"/>
          <w:szCs w:val="18"/>
          <w:color w:val="auto"/>
        </w:rPr>
        <w:t>Insert in Global Notes only.</w:t>
      </w:r>
    </w:p>
    <w:p>
      <w:pPr>
        <w:spacing w:after="0" w:line="22"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5"/>
          <w:szCs w:val="15"/>
          <w:color w:val="auto"/>
        </w:rPr>
      </w:pPr>
      <w:r>
        <w:rPr>
          <w:rFonts w:ascii="Arial" w:cs="Arial" w:eastAsia="Arial" w:hAnsi="Arial"/>
          <w:sz w:val="18"/>
          <w:szCs w:val="18"/>
          <w:color w:val="auto"/>
        </w:rPr>
        <w:t>Insert in Global Notes only.</w:t>
      </w:r>
    </w:p>
    <w:p>
      <w:pPr>
        <w:spacing w:after="0" w:line="9" w:lineRule="exact"/>
        <w:rPr>
          <w:sz w:val="20"/>
          <w:szCs w:val="20"/>
          <w:color w:val="auto"/>
        </w:rPr>
      </w:pPr>
    </w:p>
    <w:p>
      <w:pPr>
        <w:ind w:left="424" w:hanging="424"/>
        <w:spacing w:after="0"/>
        <w:tabs>
          <w:tab w:leader="none" w:pos="424" w:val="left"/>
        </w:tabs>
        <w:numPr>
          <w:ilvl w:val="0"/>
          <w:numId w:val="256"/>
        </w:numPr>
        <w:rPr>
          <w:rFonts w:ascii="Arial" w:cs="Arial" w:eastAsia="Arial" w:hAnsi="Arial"/>
          <w:sz w:val="15"/>
          <w:szCs w:val="15"/>
          <w:color w:val="auto"/>
        </w:rPr>
      </w:pPr>
      <w:r>
        <w:rPr>
          <w:rFonts w:ascii="Arial" w:cs="Arial" w:eastAsia="Arial" w:hAnsi="Arial"/>
          <w:sz w:val="18"/>
          <w:szCs w:val="18"/>
          <w:color w:val="auto"/>
        </w:rPr>
        <w:t>Insert in Global Notes only.</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0" w:right="4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instrument to be duly executed.</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Embecta Corp.</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579"/>
          </w:cols>
          <w:pgMar w:left="880" w:top="274" w:right="1440" w:bottom="1440" w:gutter="0" w:footer="0" w:header="0"/>
        </w:sectPr>
      </w:pPr>
    </w:p>
    <w:bookmarkStart w:id="186" w:name="page187"/>
    <w:bookmarkEnd w:id="186"/>
    <w:p>
      <w:pPr>
        <w:ind w:left="3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is one of the 5.000% Senior Secured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U.S. Bank Trust Company, National Association,</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0280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160"/>
          </w:cols>
          <w:pgMar w:left="440" w:top="274" w:right="1299" w:bottom="1440" w:gutter="0" w:footer="0" w:header="0"/>
        </w:sectPr>
      </w:pPr>
    </w:p>
    <w:bookmarkStart w:id="187" w:name="page188"/>
    <w:bookmarkEnd w:id="18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NOTE]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Embecta Corp.</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5.000% Senior Secured Notes due 2030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Capitalized terms used herein and not defined herein have the meanings ascribed thereto in the Indenture.</w:t>
      </w:r>
    </w:p>
    <w:p>
      <w:pPr>
        <w:spacing w:after="0" w:line="252"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11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The Issuer promises to pay interest on the principal amount of this Note at 5.000% per annum from February 10, 2022 until maturity. The Issuer will pay interest semi-annually in arrears every February 15 and August 15 of each year, or if any such day is not a Business Day, on the next succeeding Business Day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to Holders of record on the immediately preceding February 1 and August 1 of each year, respectively. Interest on the Notes shall accrue from the most recent date to which interest has been paid or, if no interest has been paid, from the date of issuance to, but excluding, the relevant Interest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first Interest Payment Date shall be August 15, 2022. The Issuer shall pay interest on overdue principal at the rate specified herein, and it shall pay interest (including post-petition interest in any proceeding under any Bankruptcy Law) on overdue installments of interest (without regard to any applicable grace period) at the same rate to the extent lawful. Interest on the Notes will be computed on the basis of a 360-day year comprised of twelve 30-day months.</w:t>
      </w:r>
    </w:p>
    <w:p>
      <w:pPr>
        <w:spacing w:after="0" w:line="205"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 xml:space="preserve">By no later than 11:00 a.m. (New York City time) on the date on which any principal of, premium, if any, or interest, on any Note is due and payable, the Issuer shall deposit with the Paying Agent a sum sufficient in immediately available funds to pay such principal, premium, if any, and interest then due. Interest on any Note which is payable, and is timely paid or duly provided for, on any Interest Payment Date shall be paid to the Person in whose name such Note (or one or more Predecessor Notes) is registered at the close of business on the preceding February 1 and August 1 at the office or agency of the Issuer maintained for such purpose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 Indenture. The principal of, premium, if any, and interest on the Notes shall be payable at the office or agency of Paying Agent or Registrar designated by the Issuer maintained for such purpose (which shall initially be the office of the Trustee maintained for such purpose), or at such other office or agency of the Issuer as may be maintained for such purpose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Paying Agent, each payment of interest, if any, may be paid by</w:t>
      </w:r>
    </w:p>
    <w:p>
      <w:pPr>
        <w:spacing w:after="0" w:line="1" w:lineRule="exact"/>
        <w:rPr>
          <w:sz w:val="20"/>
          <w:szCs w:val="20"/>
          <w:color w:val="auto"/>
        </w:rPr>
      </w:pPr>
    </w:p>
    <w:p>
      <w:pPr>
        <w:ind w:left="4" w:right="60" w:hanging="4"/>
        <w:spacing w:after="0" w:line="267" w:lineRule="auto"/>
        <w:tabs>
          <w:tab w:leader="none" w:pos="21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check mailed to addresses of the Persons entitled thereto as such addresses shall appear on the Notes Register or (ii) wire transfer to an account located in the United States maintained by the payee, subject to the third to the last sentence of this paragraph. Payments in respect of Notes represented by a Global Note (including principal, premium, if any, and interest) will be made by wire transfer of immediately available funds to the accounts specified by The Depository Trust Company or any successor depository.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or Paying Agent, as applicable, may accept in its discretion). If an Interest Payment Date or a Redemption Date is a Legal Holiday, payment shall be made on the next succeeding day that is not a Legal Holiday, and no interest shall accrue on such payment for the intervening period. If a regular record date is a Legal Holiday, the record date shall not be affected.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188" w:name="page189"/>
    <w:bookmarkEnd w:id="188"/>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Paying Agent and Registrar</w:t>
      </w:r>
    </w:p>
    <w:p>
      <w:pPr>
        <w:spacing w:after="0" w:line="117"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The Issuer initially appoints U.S. Bank Trust Company,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and as notes collateral agent (the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 Agent</w:t>
      </w:r>
      <w:r>
        <w:rPr>
          <w:rFonts w:ascii="Arial" w:cs="Arial" w:eastAsia="Arial" w:hAnsi="Arial"/>
          <w:sz w:val="18"/>
          <w:szCs w:val="18"/>
          <w:color w:val="auto"/>
        </w:rPr>
        <w:t>”) as Registrar and Paying Agent for the Notes. The Issuer may change any Registrar or Paying Agent without prior notice to the Holders. The Issuer or any Guarantor may act as Paying Agent, Registrar or transfer agent.</w:t>
      </w:r>
    </w:p>
    <w:p>
      <w:pPr>
        <w:spacing w:after="0" w:line="211"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Indenture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Issuer issued the Notes under an Indenture dated as of February 10, 2022, among the Issuer, the Guarantors party thereto from time to time,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Trustee and the Notes Collateral Agent (as it may be amended or supplemented from time to time in accordance with the terms thereof,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to be supplemented by the Supplemental Indenture, dated as of the Spin-Off Date, among the Issuer, the Subsidiary Guarantors,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Trustee and the Notes Collateral Agent. The terms of the Notes include those stated in the Indenture. The Notes are subject to all terms and provisions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Indenture, and Holders are referred to the Indenture for a statement of those terms. In the event of a conflict between the terms of the Notes and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terms of the Indenture, the terms of the Indenture shall control.</w:t>
      </w:r>
    </w:p>
    <w:p>
      <w:pPr>
        <w:spacing w:after="0" w:line="21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The Notes are senior obligations of the Issuer. The aggregate principal amount of Notes that may be authenticated and delivered under the Indenture is unlimited. This Note is one of the 5.000% Senior Secured Notes due 2030 referred to in the Indenture. The Notes include (i) $500,000,000 principal amount of the Issuer’s 5.000% Senior Secured Notes due 2030 issued under the Indenture on February 10, 2022 (the “</w:t>
      </w:r>
      <w:r>
        <w:rPr>
          <w:rFonts w:ascii="Arial" w:cs="Arial" w:eastAsia="Arial" w:hAnsi="Arial"/>
          <w:sz w:val="17"/>
          <w:szCs w:val="17"/>
          <w:u w:val="single" w:color="auto"/>
          <w:color w:val="auto"/>
        </w:rPr>
        <w:t>Initial Notes</w:t>
      </w:r>
      <w:r>
        <w:rPr>
          <w:rFonts w:ascii="Arial" w:cs="Arial" w:eastAsia="Arial" w:hAnsi="Arial"/>
          <w:sz w:val="17"/>
          <w:szCs w:val="17"/>
          <w:color w:val="auto"/>
        </w:rPr>
        <w:t>”) and (ii) if and when issued, additional Notes that may be issued from time to time under the Indenture subsequent to February 10, 2022 (the “</w:t>
      </w:r>
      <w:r>
        <w:rPr>
          <w:rFonts w:ascii="Arial" w:cs="Arial" w:eastAsia="Arial" w:hAnsi="Arial"/>
          <w:sz w:val="17"/>
          <w:szCs w:val="17"/>
          <w:u w:val="single" w:color="auto"/>
          <w:color w:val="auto"/>
        </w:rPr>
        <w:t>Additional Notes</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of the Indenture. The Initial Notes and the Additional Notes shall be considered collectively as a single class for all purposes of the Indenture, including with respect to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Additional Notes will not be issued with the same CUSIP as the existing Notes if such Additional Notes are not fungible with the Initial Notes for U.S. federal income tax purposes or if the Issuer otherwise determines that any such Additional Notes should be differentiated from any other Notes. The Indenture imposes certain limitations on the incurrence of indebtedness, the making of restricted payments, the sale of assets, the incurrence of certain liens, the making of payments for consents, the entering into of agreements that restrict distribution from guarantors and the consummation of mergers and consolidations. The Indenture also imposes requirements with respect to the provision of financial information to the Trustee and the provision of guarantees of the Notes by certain subsidiaries.</w:t>
      </w:r>
    </w:p>
    <w:p>
      <w:pPr>
        <w:spacing w:after="0" w:line="206"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Guarantees; Collateral.</w:t>
      </w:r>
    </w:p>
    <w:p>
      <w:pPr>
        <w:spacing w:after="0" w:line="11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On the Issue Date, BD shall execute and deliver to the Trustee the Parent Guaranty Agreement, pursuant to which, the Notes will initially be guaranteed on an unsecured, unsubordinated basis by BD. Pursuant to the BD Guarantee as set forth in the Parent Guaranty Agreement, BD will unconditionally guarantee on an unsecured, unsubordinated basis, the full and punctual payment when due, whether at stated maturity, by acceleration or otherwise, of principal of, premium, if any, and interest on the Notes and the other Obligations of the Issuer under this Indenture and the Notes. Pursuant to the Parent Guaranty Agreement, the BD Guarantee will be automatically and unconditionally terminated and released, without any action on the part of the Trustee, any Holder of the Notes or any other Person, upon the satisfaction of the BD Guarantee Release Condition.</w:t>
      </w:r>
    </w:p>
    <w:p>
      <w:pPr>
        <w:spacing w:after="0" w:line="56" w:lineRule="exact"/>
        <w:rPr>
          <w:sz w:val="20"/>
          <w:szCs w:val="20"/>
          <w:color w:val="auto"/>
        </w:rPr>
      </w:pPr>
    </w:p>
    <w:p>
      <w:pPr>
        <w:ind w:left="4" w:firstLine="436"/>
        <w:spacing w:after="0" w:line="257" w:lineRule="auto"/>
        <w:tabs>
          <w:tab w:leader="none" w:pos="69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On the Spin-Off Date, each of the Subsidiaries of the Issuer that is required to guarantee the obligations under the Credit Agreement on or in connection with the Spin-Off Date shall execute and deliver to the Trustee the Supplemental Indenture and (y) subject to the provisions of Article X of the Indenture, from and after the Spin-Off Date, each Subsidiary of the Issuer that executes a supplemental indenture pursuant to which it agrees to become a Guarantor under the Indenture will, in each case, fully, unconditionally and irrevocably guarantee on a senior secured basis, as primary obligor and not merely as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189" w:name="page190"/>
    <w:bookmarkEnd w:id="189"/>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surety, jointly and severally with each other Guarantor, to each Holder, and the Trustee and the Notes Collateral Agent the full and punctual payment when due, whether at maturity, by acceleration, by redemption or otherwise (including the amount that would become due but for the operation of the automatic stay under Section 362(a) of the Bankruptcy Law), of the principal of, premium, if any, and interest on the Notes and all other Obligations and liabilities of the Issuer under the Indenture and the Notes when and as the same shall be due and payable.</w:t>
      </w:r>
    </w:p>
    <w:p>
      <w:pPr>
        <w:spacing w:after="0" w:line="17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Prior to the Spin-Off Date, the Notes and the BD Guarantee will be unsecured obligations. On and following the Spin-Off Date, subject to the provisions of the Indenture, the Notes and the Subsidiary Guarantees shall be secured by a first-priority security interest (subject to Permitted Liens) in the Collateral owned by the Issuer and such Guarantor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other First Lien Obligations pursuant to the terms of the Notes Security Documents and the First Lien Pari Passu Intercreditor Agreement.</w:t>
      </w:r>
    </w:p>
    <w:p>
      <w:pPr>
        <w:spacing w:after="0" w:line="214"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Redemption</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At any time on or prior to February 15, 2027, the Issuer may not redeem the Notes at its option.</w:t>
      </w:r>
    </w:p>
    <w:p>
      <w:pPr>
        <w:spacing w:after="0" w:line="117" w:lineRule="exact"/>
        <w:rPr>
          <w:rFonts w:ascii="Arial" w:cs="Arial" w:eastAsia="Arial" w:hAnsi="Arial"/>
          <w:sz w:val="18"/>
          <w:szCs w:val="18"/>
          <w:color w:val="auto"/>
        </w:rPr>
      </w:pPr>
    </w:p>
    <w:p>
      <w:pPr>
        <w:ind w:left="4" w:right="60" w:firstLine="436"/>
        <w:spacing w:after="0" w:line="255" w:lineRule="auto"/>
        <w:tabs>
          <w:tab w:leader="none" w:pos="699"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At any time and from time to time after February 15, 2027, the Issuer may redeem the Notes, in whole or in part, upon at least 10 but not more than 60 days’ prior notice, with a copy to the Trustee, to each Holder of Notes to the address of such Holder appearing in the Notes Register at a redemption price equal to the percentage of the principal amount of the Notes to be redeemed as set forth in the table below, plus accrued and unpaid interest thereon, if any, to, but excluding the applicable Redemption Date, subject to the right of Holders of record of the Notes on the relevant record date to receive interest due on the relevant interest payment date, if redeemed during the twelve-month period beginning on February 15 of each of the years indicated in the table below:</w:t>
      </w:r>
    </w:p>
    <w:p>
      <w:pPr>
        <w:spacing w:after="0" w:line="215"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2027</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6"/>
              </w:rPr>
              <w:t>101.250%</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2028 and thereafter</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20" w:firstLine="436"/>
        <w:spacing w:after="0" w:line="269" w:lineRule="auto"/>
        <w:tabs>
          <w:tab w:leader="none" w:pos="68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Notwithstanding the foregoing, in connection with any tender offer for the Notes, including a Change of Control Offer or Asset Disposition Offer, if Holders of not less than 90.0% in aggregate principal amount of the outstanding Notes validly tender and do not validly withdraw such Notes in such tender offer and the Issuer, or any third party making such tender offer in lieu of the Issuer, purchases all of the Notes validly tendered and not validly withdrawn by such Holders, the Issuer or such third party shall have the right upon at least 10 but not more than 60 days’ prior notice, with a copy to the Trustee, to each Holder of Notes to the address of such Holder appearing in the Notes Register,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 of the aggregate principal amount of the outstanding Notes have validly tendered and not validly withdrawn such Notes in a tender offer, including a Change of Control Offer or Asset Disposition Offer, Notes owned by the Issuer or its Affiliates or by funds controlled or managed by any Affiliate of the Issuer, or any successor thereof, shall be deemed to be outstanding for the purposes of such tender offer.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4"/>
          </w:cols>
          <w:pgMar w:left="436" w:top="274" w:right="459" w:bottom="1440" w:gutter="0" w:footer="0" w:header="0"/>
        </w:sectPr>
      </w:pPr>
    </w:p>
    <w:bookmarkStart w:id="190" w:name="page191"/>
    <w:bookmarkEnd w:id="190"/>
    <w:p>
      <w:pPr>
        <w:ind w:left="4" w:right="480" w:firstLine="436"/>
        <w:spacing w:after="0" w:line="277" w:lineRule="auto"/>
        <w:tabs>
          <w:tab w:leader="none" w:pos="699"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Issuer defaults in the payment of the redemption price, interest will cease to accrue on the Notes or portions thereof called for redemption on the applicable Redemption Date.</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Any redemption pursuant to this paragraph 6 shall be made pursuant to the provisions of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of the Indenture.</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Except as set forth in paragraph 7, the Issuer is not required to make mandatory redemption or sinking fund payments with respect to the Notes.</w:t>
      </w:r>
    </w:p>
    <w:p>
      <w:pPr>
        <w:spacing w:after="0" w:line="275" w:lineRule="exact"/>
        <w:rPr>
          <w:sz w:val="20"/>
          <w:szCs w:val="20"/>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Special Mandatory Redemption</w:t>
      </w:r>
    </w:p>
    <w:p>
      <w:pPr>
        <w:spacing w:after="0" w:line="117" w:lineRule="exact"/>
        <w:rPr>
          <w:rFonts w:ascii="Arial" w:cs="Arial" w:eastAsia="Arial" w:hAnsi="Arial"/>
          <w:sz w:val="18"/>
          <w:szCs w:val="18"/>
          <w:color w:val="auto"/>
        </w:rPr>
      </w:pPr>
    </w:p>
    <w:p>
      <w:pPr>
        <w:ind w:left="4" w:right="60" w:firstLine="987"/>
        <w:spacing w:after="0" w:line="271" w:lineRule="auto"/>
        <w:tabs>
          <w:tab w:leader="none" w:pos="124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If (x) the Spin-Off is not consummated on or prior to 11:59 p.m. on August 5, 2022 (such date and time, the “</w:t>
      </w:r>
      <w:r>
        <w:rPr>
          <w:rFonts w:ascii="Arial" w:cs="Arial" w:eastAsia="Arial" w:hAnsi="Arial"/>
          <w:sz w:val="17"/>
          <w:szCs w:val="17"/>
          <w:u w:val="single" w:color="auto"/>
          <w:color w:val="auto"/>
        </w:rPr>
        <w:t>Outside Date</w:t>
      </w:r>
      <w:r>
        <w:rPr>
          <w:rFonts w:ascii="Arial" w:cs="Arial" w:eastAsia="Arial" w:hAnsi="Arial"/>
          <w:sz w:val="17"/>
          <w:szCs w:val="17"/>
          <w:color w:val="auto"/>
        </w:rPr>
        <w:t>”), (y) prior to the date of the consummation of the Spin-Off (the “</w:t>
      </w:r>
      <w:r>
        <w:rPr>
          <w:rFonts w:ascii="Arial" w:cs="Arial" w:eastAsia="Arial" w:hAnsi="Arial"/>
          <w:sz w:val="17"/>
          <w:szCs w:val="17"/>
          <w:u w:val="single" w:color="auto"/>
          <w:color w:val="auto"/>
        </w:rPr>
        <w:t>Spin-Off Date</w:t>
      </w:r>
      <w:r>
        <w:rPr>
          <w:rFonts w:ascii="Arial" w:cs="Arial" w:eastAsia="Arial" w:hAnsi="Arial"/>
          <w:sz w:val="17"/>
          <w:szCs w:val="17"/>
          <w:color w:val="auto"/>
        </w:rPr>
        <w:t xml:space="preserve">”), the Issuer notifies the Trustee in writing that BD does not expect to consummate the Spin-Off by the Outside Date, or (z) prior to the Spin-Off Date, BD has made a public announcement that it has determined not to proceed with the Spin-Off (the earliest date of any such event described in the foregoing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(z)</w:t>
      </w:r>
      <w:r>
        <w:rPr>
          <w:rFonts w:ascii="Arial" w:cs="Arial" w:eastAsia="Arial" w:hAnsi="Arial"/>
          <w:sz w:val="17"/>
          <w:szCs w:val="17"/>
          <w:color w:val="auto"/>
        </w:rPr>
        <w:t xml:space="preserve"> being the “</w:t>
      </w:r>
      <w:r>
        <w:rPr>
          <w:rFonts w:ascii="Arial" w:cs="Arial" w:eastAsia="Arial" w:hAnsi="Arial"/>
          <w:sz w:val="17"/>
          <w:szCs w:val="17"/>
          <w:u w:val="single" w:color="auto"/>
          <w:color w:val="auto"/>
        </w:rPr>
        <w:t>Special Termination Date</w:t>
      </w:r>
      <w:r>
        <w:rPr>
          <w:rFonts w:ascii="Arial" w:cs="Arial" w:eastAsia="Arial" w:hAnsi="Arial"/>
          <w:sz w:val="17"/>
          <w:szCs w:val="17"/>
          <w:color w:val="auto"/>
        </w:rPr>
        <w:t>”), then the Issuer shall redeem all of the Notes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at a special mandatory redemption price (the “</w:t>
      </w:r>
      <w:r>
        <w:rPr>
          <w:rFonts w:ascii="Arial" w:cs="Arial" w:eastAsia="Arial" w:hAnsi="Arial"/>
          <w:sz w:val="17"/>
          <w:szCs w:val="17"/>
          <w:u w:val="single" w:color="auto"/>
          <w:color w:val="auto"/>
        </w:rPr>
        <w:t>Special Mandatory Redemption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equal to 100% of the aggregate principal amount of the Notes, plus accrued and unpaid interest on the Notes, if any, from the Issue Date to, but excluding, the Special Mandatory Redemption Date (as defined below), subject to the right of Holders of record on the relevant record date to receive interest due on the relevant interest payment date.</w:t>
      </w:r>
    </w:p>
    <w:p>
      <w:pPr>
        <w:spacing w:after="0" w:line="70" w:lineRule="exact"/>
        <w:rPr>
          <w:rFonts w:ascii="Arial" w:cs="Arial" w:eastAsia="Arial" w:hAnsi="Arial"/>
          <w:sz w:val="17"/>
          <w:szCs w:val="17"/>
          <w:color w:val="auto"/>
        </w:rPr>
      </w:pPr>
    </w:p>
    <w:p>
      <w:pPr>
        <w:ind w:left="4" w:firstLine="987"/>
        <w:spacing w:after="0" w:line="253" w:lineRule="auto"/>
        <w:tabs>
          <w:tab w:leader="none" w:pos="125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Notice of a Special Mandatory Redemption shall be delivered by the Issuer electronically or, at the Issuer’s option, mailed by first-class mail by the Issuer substantially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no later than two (2) Business Days following the applicable Special Termination Date, to the Trustee and the Holders, and will provide that the Notes shall be redeemed at the Special Mandatory Redemption Price on the third Business Day after such notice is given by the Issuer (such date, the “</w:t>
      </w:r>
      <w:r>
        <w:rPr>
          <w:rFonts w:ascii="Arial" w:cs="Arial" w:eastAsia="Arial" w:hAnsi="Arial"/>
          <w:sz w:val="18"/>
          <w:szCs w:val="18"/>
          <w:u w:val="single" w:color="auto"/>
          <w:color w:val="auto"/>
        </w:rPr>
        <w:t>Special Mandatory Redemption Date</w:t>
      </w:r>
      <w:r>
        <w:rPr>
          <w:rFonts w:ascii="Arial" w:cs="Arial" w:eastAsia="Arial" w:hAnsi="Arial"/>
          <w:sz w:val="18"/>
          <w:szCs w:val="18"/>
          <w:color w:val="auto"/>
        </w:rPr>
        <w:t>”) in accordance with the terms of this Indenture or otherwise in accordance with the applicable procedures of DTC. If funds sufficient to pay the applicable Special Mandatory Redemption Price in respect of the Notes to be redeemed on the Special Mandatory Redemption Date are deposited with the Trustee on or before such Special Mandatory Redemption Date, then the Notes to be redeemed will cease to bear interest on and after the Special Mandatory Redemption Date. For the avoidance of doubt, the Issuer shall not be required to effect any Special Mandatory Redemption following the time of the consummation of the Spin-Off.</w:t>
      </w:r>
    </w:p>
    <w:p>
      <w:pPr>
        <w:spacing w:after="0" w:line="223" w:lineRule="exact"/>
        <w:rPr>
          <w:rFonts w:ascii="Arial" w:cs="Arial" w:eastAsia="Arial" w:hAnsi="Arial"/>
          <w:sz w:val="18"/>
          <w:szCs w:val="18"/>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Repurchase Provisions</w:t>
      </w:r>
    </w:p>
    <w:p>
      <w:pPr>
        <w:spacing w:after="0" w:line="117"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If a Change of Control occurs, except as provided in the Indenture, the Issuer shall make an offer to purchase all of the Notes at a price in cash equal to 101.0% of the aggregate principal amount thereof plus accrued and unpaid interest, to, but excluding the applicable date of purchase;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repurchase date is on or after the record date and on or before the corresponding interest payment date, then Holders in whose names the Notes are registered at the close of business on such record date will receive the interest due on the repurchase date, as provided in, and subject to the terms of, the Indenture.</w:t>
      </w:r>
    </w:p>
    <w:p>
      <w:pPr>
        <w:spacing w:after="0" w:line="188"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Upon certain Asset Dispositions, the Issuer may be required to use the Excess Proceeds from such Asset Dispositions to offer to purchase Notes and, at the Issuer’s option, Pari Passu Indebtedness out of the Excess Proceeds in accordance with the procedures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the Indenture.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4"/>
          </w:cols>
          <w:pgMar w:left="436" w:top="274" w:right="459" w:bottom="1440" w:gutter="0" w:footer="0" w:header="0"/>
        </w:sectPr>
      </w:pPr>
    </w:p>
    <w:bookmarkStart w:id="191" w:name="page192"/>
    <w:bookmarkEnd w:id="191"/>
    <w:p>
      <w:pPr>
        <w:ind w:left="424" w:hanging="424"/>
        <w:spacing w:after="0"/>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p>
    <w:p>
      <w:pPr>
        <w:spacing w:after="0" w:line="11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The Notes shall be issuable only in fully registered form in minimum denominations of principal amount of $2,000 and any integral multiple of $1,000 in excess thereof. A Holder may transfer or exchange Notes in accordance with the Indenture. The Registrar may require a Holder, among other things, to furnish appropriate endorsements or transfer documents and to pay a sum sufficient to cover any tax and fees required by law or permitted by the Indenture. The Registrar need not register the transfer of or exchange of any Note (A) for a period beginning (1) fifteen (15) calendar days before the mailing of a notice (or electronic delivery) of a notice of an offer to repurchase or redeem Notes and ending at the close of business on the day of such mailing (or electronic delivery) or (2) fifteen (15) calendar days before an Interest Payment Date and ending on such Interest Payment Date or (B) called for redemption, except the unredeemed portion of any Note being redeemed in part.</w:t>
      </w:r>
    </w:p>
    <w:p>
      <w:pPr>
        <w:spacing w:after="0" w:line="204" w:lineRule="exact"/>
        <w:rPr>
          <w:sz w:val="20"/>
          <w:szCs w:val="20"/>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registered Holder of this Note may be treated as the owner of it for all purposes.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Unclaimed Money</w:t>
      </w:r>
    </w:p>
    <w:p>
      <w:pPr>
        <w:spacing w:after="0" w:line="117"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If money for the payment of principal, premium, if any, or interest remains unclaimed for two years, the Trustee or Paying Agent shall pay the money back to the Issuer at its written request unless an abandoned property law designates another Person to receive such money. After any such payment, Holders entitled to the money must look only to the Issuer and not to the Trustee for payment as general creditors unless an abandoned property law designates another person for payment.</w:t>
      </w:r>
    </w:p>
    <w:p>
      <w:pPr>
        <w:spacing w:after="0" w:line="214"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Discharge and Defeasance</w:t>
      </w:r>
    </w:p>
    <w:p>
      <w:pPr>
        <w:spacing w:after="0" w:line="117"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Subject to certain exceptions and conditions set forth in the Indenture, the Issuer at any time may terminate some or all of its obligations under the Notes and the Indenture if the Issuer deposits with the Trustee money or U.S. Government Obligations for the payment of principal, premium, if any and interest on the Notes to redemption or maturity, as the case may be.</w:t>
      </w:r>
    </w:p>
    <w:p>
      <w:pPr>
        <w:spacing w:after="0" w:line="211"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Amendment, Supplement, Waiver</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Subject to certain exceptions contained in the Indenture, the Indenture, the Notes and the other Note Documents may be amended, or a Default thereunder may be waived, with the consent of the Holders of a majority in aggregate principal amount of the outstanding Notes. Without notice to or the consent of any Holder, the Issuer, the Guarantors, the Trustee and the Notes Collateral Agent, as applicable, may amend or supplement the Indenture, the Notes and the other Note Documents as provided in the Indenture.</w:t>
      </w:r>
    </w:p>
    <w:p>
      <w:pPr>
        <w:spacing w:after="0" w:line="214"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p>
    <w:p>
      <w:pPr>
        <w:spacing w:after="0" w:line="117"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If an Event of Default (other than an Event of Default relating to certain events of bankruptcy, insolvency or reorganization of the Issuer or certain Guarantors) occurs and is continuing, the Trustee by written notice to the Issuer, or the Holders of at least 30.0% in aggregate principal amount of the outstanding Notes by written notice to the Issuer and the Trustee, may declare the principal of and accrued and unpaid interest, if any, and any other monetary obligations on all the Notes to be due and payable immediately. Upon the effectiveness of such declaration, such principal, unpaid interest, if any, and other monetary obligations will be due and payable immediately. If a bankruptcy, insolvency or reorganization of the Issuer or a Material Subsidiary (or any group of Restricted Subsidiaries, that taken together as of the latest audited consolidated financial statements for the Issuer and its Restricted Subsidiaries, would constitute a Material Subsidiary) occurs and is continuing, the principal of and accrued and unpaid interest, if any, and any other monetary obligations on all the Notes will become and be immediately due and payable without any declaration or other act on the part of the Trustee or any Holders. Under certain circumstances, the Holders of a majority in aggregate principal amount of the outstanding Notes may rescind any such acceleration with respect to the Notes and its consequences.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4"/>
          </w:cols>
          <w:pgMar w:left="436" w:top="274" w:right="459" w:bottom="1440" w:gutter="0" w:footer="0" w:header="0"/>
        </w:sectPr>
      </w:pPr>
    </w:p>
    <w:bookmarkStart w:id="192" w:name="page193"/>
    <w:bookmarkEnd w:id="192"/>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Dealings with the Issuer</w:t>
      </w:r>
    </w:p>
    <w:p>
      <w:pPr>
        <w:spacing w:after="0" w:line="117"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Subject to certain limitations set forth in the Indenture, the Trustee in its individual or any other capacity may become the owner or pledgee of Notes and may otherwise deal with the Issuer, Guarantors or their Affiliates with the same rights it would have if it were not Trustee. In addition, the Trustee shall be permitted to engage in transactions with the Issuer and its Affiliates and Subsidiaries.</w:t>
      </w:r>
    </w:p>
    <w:p>
      <w:pPr>
        <w:spacing w:after="0" w:line="211"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p>
    <w:p>
      <w:pPr>
        <w:spacing w:after="0" w:line="117"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No director, officer, employee, incorporator or shareholder of the Issuer or any of its Subsidiaries or Affiliates, as such (other than the Issuer and the Guarantors), shall have any liability for any obligations of the Issuer or the Guarantors under the Notes, the Guarantees or the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203" w:lineRule="exact"/>
        <w:rPr>
          <w:sz w:val="20"/>
          <w:szCs w:val="20"/>
          <w:color w:val="auto"/>
        </w:rPr>
      </w:pPr>
    </w:p>
    <w:p>
      <w:pPr>
        <w:ind w:left="424" w:hanging="424"/>
        <w:spacing w:after="0"/>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Authentication</w:t>
      </w:r>
    </w:p>
    <w:p>
      <w:pPr>
        <w:spacing w:after="0" w:line="117"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This Note shall not be valid until an authorized signatory of the Trustee (or an authenticating agent acting on its behalf) manually signs the certificate of authentication on the other side of this Note.</w:t>
      </w:r>
    </w:p>
    <w:p>
      <w:pPr>
        <w:spacing w:after="0" w:line="197"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Abbreviations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entirety), JT TEN (= joint tenants with rights of survivorship and not as tenants in common), CUST (= custodian) and U/G/M/A (= Uniform Gift to Minors Act).</w:t>
      </w:r>
    </w:p>
    <w:p>
      <w:pPr>
        <w:spacing w:after="0" w:line="211"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CUSIP and ISIN Numbers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Issuer has caused CUSIP and ISIN numbers, if applicable, to be printed on the Notes and has directed the Trustee to use CUSIP and ISIN numbers, if applicable, in notices of redemption or purchase as a convenience to Holders. No representation is made as to the accuracy of such numbers either as printed on the Notes or as contained in any notice of redemption or purchase and reliance may be placed only on the other identification numbers placed thereon.</w:t>
      </w:r>
    </w:p>
    <w:p>
      <w:pPr>
        <w:spacing w:after="0" w:line="214"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Note shall be governed by, and construed in accordance with, the laws of the State of New York.</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Issuer will furnish to any Holder upon written request and without charge to the Holder a copy of the Indenture. Requests may be made to:</w:t>
      </w:r>
    </w:p>
    <w:p>
      <w:pPr>
        <w:spacing w:after="0" w:line="14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Embecta Corp.</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 Becton Drive</w:t>
      </w:r>
    </w:p>
    <w:p>
      <w:pPr>
        <w:spacing w:after="0" w:line="9" w:lineRule="exact"/>
        <w:rPr>
          <w:rFonts w:ascii="Arial" w:cs="Arial" w:eastAsia="Arial" w:hAnsi="Arial"/>
          <w:sz w:val="18"/>
          <w:szCs w:val="18"/>
          <w:color w:val="auto"/>
        </w:rPr>
      </w:pPr>
    </w:p>
    <w:p>
      <w:pPr>
        <w:ind w:left="444" w:right="8300"/>
        <w:spacing w:after="0" w:line="323" w:lineRule="auto"/>
        <w:rPr>
          <w:rFonts w:ascii="Arial" w:cs="Arial" w:eastAsia="Arial" w:hAnsi="Arial"/>
          <w:sz w:val="18"/>
          <w:szCs w:val="18"/>
          <w:color w:val="auto"/>
        </w:rPr>
      </w:pPr>
      <w:r>
        <w:rPr>
          <w:rFonts w:ascii="Arial" w:cs="Arial" w:eastAsia="Arial" w:hAnsi="Arial"/>
          <w:sz w:val="16"/>
          <w:szCs w:val="16"/>
          <w:color w:val="auto"/>
        </w:rPr>
        <w:t>Franklin Lakes, NJ 07417 Attention: Corporate Secretary</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64"/>
          </w:cols>
          <w:pgMar w:left="436" w:top="274" w:right="499" w:bottom="1440" w:gutter="0" w:footer="0" w:header="0"/>
        </w:sectPr>
      </w:pPr>
    </w:p>
    <w:bookmarkStart w:id="193" w:name="page194"/>
    <w:bookmarkEnd w:id="19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(Insert assignee’s social security or tax I.D. No.)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 ___________ agent to transfer this Note on the books of the Issuer. The agent may substitute another to act for him.</w:t>
      </w:r>
    </w:p>
    <w:p>
      <w:pPr>
        <w:spacing w:after="0" w:line="264"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-10160</wp:posOffset>
            </wp:positionV>
            <wp:extent cx="9709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6421120</wp:posOffset>
            </wp:positionH>
            <wp:positionV relativeFrom="paragraph">
              <wp:posOffset>-10160</wp:posOffset>
            </wp:positionV>
            <wp:extent cx="571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38" w:lineRule="exact"/>
        <w:rPr>
          <w:sz w:val="20"/>
          <w:szCs w:val="20"/>
          <w:color w:val="auto"/>
        </w:rPr>
      </w:pPr>
    </w:p>
    <w:p>
      <w:pPr>
        <w:ind w:right="200"/>
        <w:spacing w:after="0" w:line="239" w:lineRule="exact"/>
        <w:rPr>
          <w:sz w:val="20"/>
          <w:szCs w:val="20"/>
          <w:color w:val="auto"/>
        </w:rPr>
      </w:pPr>
      <w:r>
        <w:rPr>
          <w:rFonts w:ascii="Arial" w:cs="Arial" w:eastAsia="Arial" w:hAnsi="Arial"/>
          <w:sz w:val="18"/>
          <w:szCs w:val="18"/>
          <w:color w:val="auto"/>
        </w:rPr>
        <w:t xml:space="preserve">The undersigned hereby certifies that it </w:t>
      </w:r>
      <w:r>
        <w:rPr>
          <w:rFonts w:ascii="MS PGothic" w:cs="MS PGothic" w:eastAsia="MS PGothic" w:hAnsi="MS PGothic"/>
          <w:sz w:val="18"/>
          <w:szCs w:val="18"/>
          <w:color w:val="auto"/>
        </w:rPr>
        <w:t>☐</w:t>
      </w:r>
      <w:r>
        <w:rPr>
          <w:rFonts w:ascii="Arial" w:cs="Arial" w:eastAsia="Arial" w:hAnsi="Arial"/>
          <w:sz w:val="18"/>
          <w:szCs w:val="18"/>
          <w:color w:val="auto"/>
        </w:rPr>
        <w:t xml:space="preserve"> is /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an Affiliate of the Issuer and that, to its knowledge, the proposed transferee </w:t>
      </w:r>
      <w:r>
        <w:rPr>
          <w:rFonts w:ascii="MS PGothic" w:cs="MS PGothic" w:eastAsia="MS PGothic" w:hAnsi="MS PGothic"/>
          <w:sz w:val="18"/>
          <w:szCs w:val="18"/>
          <w:color w:val="auto"/>
        </w:rPr>
        <w:t>☐</w:t>
      </w:r>
      <w:r>
        <w:rPr>
          <w:rFonts w:ascii="Arial" w:cs="Arial" w:eastAsia="Arial" w:hAnsi="Arial"/>
          <w:sz w:val="18"/>
          <w:szCs w:val="18"/>
          <w:color w:val="auto"/>
        </w:rPr>
        <w:t xml:space="preserve"> is /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an Affiliate of the Issuer.</w:t>
      </w:r>
    </w:p>
    <w:p>
      <w:pPr>
        <w:spacing w:after="0" w:line="20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connection with any transfer or exchange of any of the Notes evidenced by this certificate occurring prior to the date that is one year after the later of the date of original issuance of such Notes and the last date, if any, on which such Notes were owned by the Issuer or any Affiliate of the Issuer, the undersigned confirms that such Notes are being: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84" w:lineRule="exact"/>
        <w:rPr>
          <w:sz w:val="20"/>
          <w:szCs w:val="20"/>
          <w:color w:val="auto"/>
        </w:rPr>
      </w:pPr>
    </w:p>
    <w:p>
      <w:pPr>
        <w:ind w:left="680" w:hanging="347"/>
        <w:spacing w:after="0" w:line="207" w:lineRule="exact"/>
        <w:tabs>
          <w:tab w:leader="none" w:pos="680" w:val="left"/>
        </w:tabs>
        <w:numPr>
          <w:ilvl w:val="0"/>
          <w:numId w:val="2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acquired for the undersigned’s own account, without transfer; or</w:t>
      </w:r>
    </w:p>
    <w:p>
      <w:pPr>
        <w:spacing w:after="0" w:line="117" w:lineRule="exact"/>
        <w:rPr>
          <w:rFonts w:ascii="Arial" w:cs="Arial" w:eastAsia="Arial" w:hAnsi="Arial"/>
          <w:sz w:val="18"/>
          <w:szCs w:val="18"/>
          <w:color w:val="auto"/>
        </w:rPr>
      </w:pPr>
    </w:p>
    <w:p>
      <w:pPr>
        <w:ind w:left="680" w:hanging="347"/>
        <w:spacing w:after="0" w:line="207" w:lineRule="exact"/>
        <w:tabs>
          <w:tab w:leader="none" w:pos="680" w:val="left"/>
        </w:tabs>
        <w:numPr>
          <w:ilvl w:val="0"/>
          <w:numId w:val="2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to the Issuer; or</w:t>
      </w:r>
    </w:p>
    <w:p>
      <w:pPr>
        <w:spacing w:after="0" w:line="117" w:lineRule="exact"/>
        <w:rPr>
          <w:rFonts w:ascii="Arial" w:cs="Arial" w:eastAsia="Arial" w:hAnsi="Arial"/>
          <w:sz w:val="18"/>
          <w:szCs w:val="18"/>
          <w:color w:val="auto"/>
        </w:rPr>
      </w:pPr>
    </w:p>
    <w:p>
      <w:pPr>
        <w:ind w:left="680" w:hanging="347"/>
        <w:spacing w:after="0" w:line="196" w:lineRule="exact"/>
        <w:tabs>
          <w:tab w:leader="none" w:pos="680" w:val="left"/>
        </w:tabs>
        <w:numPr>
          <w:ilvl w:val="0"/>
          <w:numId w:val="27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transferred pursuant to and in compliance with Rule 144A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680" w:hanging="347"/>
        <w:spacing w:after="0" w:line="207" w:lineRule="exact"/>
        <w:tabs>
          <w:tab w:leader="none" w:pos="680" w:val="left"/>
        </w:tabs>
        <w:numPr>
          <w:ilvl w:val="0"/>
          <w:numId w:val="27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transferred pursuant to an effective registration statement under the Securities Act; or</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20"/>
          </w:cols>
          <w:pgMar w:left="440" w:top="274" w:right="539" w:bottom="1440" w:gutter="0" w:footer="0" w:header="0"/>
        </w:sectPr>
      </w:pPr>
    </w:p>
    <w:bookmarkStart w:id="194" w:name="page195"/>
    <w:bookmarkEnd w:id="194"/>
    <w:p>
      <w:pPr>
        <w:ind w:left="680" w:hanging="347"/>
        <w:spacing w:after="0" w:line="207" w:lineRule="exact"/>
        <w:tabs>
          <w:tab w:leader="none" w:pos="680" w:val="left"/>
        </w:tabs>
        <w:numPr>
          <w:ilvl w:val="0"/>
          <w:numId w:val="28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color w:val="auto"/>
        </w:rPr>
        <w:t xml:space="preserve"> transferred pursuant to and in compliance with Regulation S under the Securities Act; or</w:t>
      </w:r>
    </w:p>
    <w:p>
      <w:pPr>
        <w:spacing w:after="0" w:line="117" w:lineRule="exact"/>
        <w:rPr>
          <w:rFonts w:ascii="Arial" w:cs="Arial" w:eastAsia="Arial" w:hAnsi="Arial"/>
          <w:sz w:val="18"/>
          <w:szCs w:val="18"/>
          <w:color w:val="auto"/>
        </w:rPr>
      </w:pPr>
    </w:p>
    <w:p>
      <w:pPr>
        <w:ind w:left="980" w:right="80" w:hanging="647"/>
        <w:spacing w:after="0" w:line="232" w:lineRule="exact"/>
        <w:tabs>
          <w:tab w:leader="none" w:pos="670" w:val="left"/>
        </w:tabs>
        <w:numPr>
          <w:ilvl w:val="0"/>
          <w:numId w:val="28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transferred to an institutional “accredited investor” (as defined in Rule 501(a)(1), (2), (3) or (7) under the Securities Act) or an “accredited investor” (as defined in Rule 501(a)(4) under the Securities Act), that has furnished to the Trustee a signed letter containing certain representations and agreements (the form of which letter appears as Section 2.08 or 2.10 of the Indenture, respectively); or</w:t>
      </w:r>
    </w:p>
    <w:p>
      <w:pPr>
        <w:spacing w:after="0" w:line="61" w:lineRule="exact"/>
        <w:rPr>
          <w:rFonts w:ascii="Arial" w:cs="Arial" w:eastAsia="Arial" w:hAnsi="Arial"/>
          <w:sz w:val="16"/>
          <w:szCs w:val="16"/>
          <w:color w:val="auto"/>
        </w:rPr>
      </w:pPr>
    </w:p>
    <w:p>
      <w:pPr>
        <w:ind w:left="680" w:hanging="347"/>
        <w:spacing w:after="0" w:line="196" w:lineRule="exact"/>
        <w:tabs>
          <w:tab w:leader="none" w:pos="680" w:val="left"/>
        </w:tabs>
        <w:numPr>
          <w:ilvl w:val="0"/>
          <w:numId w:val="28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transferred pursuant to another available exemption from the registration requirements of the Securities Act of 1933, as amended.</w:t>
      </w:r>
    </w:p>
    <w:p>
      <w:pPr>
        <w:spacing w:after="0" w:line="2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of 1933, as amended, such as the exemption provided by Rule 144 under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282575</wp:posOffset>
            </wp:positionV>
            <wp:extent cx="32143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BOX (1) OR (3) ABOVE IS CHECKED.</w:t>
      </w:r>
    </w:p>
    <w:p>
      <w:pPr>
        <w:spacing w:after="0" w:line="225"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266065</wp:posOffset>
            </wp:positionV>
            <wp:extent cx="27946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440" w:top="349" w:right="45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ATTACHED TO GLOBAL NOTES]</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SCHEDULE OF INCREASES OR DECREASES IN GLOBAL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Principal Amount</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25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Amount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of this Global Note</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decrease in</w:t>
            </w:r>
          </w:p>
        </w:tc>
        <w:tc>
          <w:tcPr>
            <w:tcW w:w="25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increase in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49"/>
        </w:trPr>
        <w:tc>
          <w:tcPr>
            <w:tcW w:w="2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Date of</w:t>
            </w: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Principal Amount</w:t>
            </w:r>
          </w:p>
        </w:tc>
        <w:tc>
          <w:tcPr>
            <w:tcW w:w="25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Principal Amount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decrease or</w:t>
            </w: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2"/>
              </w:rPr>
              <w:t>Trustee or Notes</w:t>
            </w:r>
          </w:p>
        </w:tc>
      </w:tr>
      <w:tr>
        <w:trPr>
          <w:trHeight w:val="181"/>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Exchange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3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r>
        <w:trPr>
          <w:trHeight w:val="358"/>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ind w:left="280"/>
              <w:spacing w:after="0"/>
              <w:rPr>
                <w:sz w:val="20"/>
                <w:szCs w:val="20"/>
                <w:color w:val="auto"/>
              </w:rPr>
            </w:pPr>
            <w:r>
              <w:rPr>
                <w:rFonts w:ascii="Arial" w:cs="Arial" w:eastAsia="Arial" w:hAnsi="Arial"/>
                <w:sz w:val="18"/>
                <w:szCs w:val="18"/>
                <w:color w:val="auto"/>
              </w:rPr>
              <w:t>A-12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If you elect to have this Note purchased by the Issuer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of the Indenture, check either box:</w:t>
      </w:r>
    </w:p>
    <w:p>
      <w:pPr>
        <w:spacing w:after="0" w:line="199" w:lineRule="exact"/>
        <w:rPr>
          <w:sz w:val="20"/>
          <w:szCs w:val="20"/>
          <w:color w:val="auto"/>
        </w:rPr>
      </w:pPr>
    </w:p>
    <w:p>
      <w:pPr>
        <w:ind w:left="4380"/>
        <w:spacing w:after="0" w:line="207" w:lineRule="exact"/>
        <w:rPr>
          <w:sz w:val="20"/>
          <w:szCs w:val="20"/>
          <w:color w:val="auto"/>
        </w:rPr>
      </w:pPr>
      <w:r>
        <w:rPr>
          <w:rFonts w:ascii="Arial" w:cs="Arial" w:eastAsia="Arial" w:hAnsi="Arial"/>
          <w:sz w:val="18"/>
          <w:szCs w:val="18"/>
          <w:color w:val="auto"/>
        </w:rPr>
        <w:t xml:space="preserve">Section 3.05 </w:t>
      </w:r>
      <w:r>
        <w:rPr>
          <w:rFonts w:ascii="MS PGothic" w:cs="MS PGothic" w:eastAsia="MS PGothic" w:hAnsi="MS PGothic"/>
          <w:sz w:val="18"/>
          <w:szCs w:val="18"/>
          <w:color w:val="auto"/>
        </w:rPr>
        <w:t>☐</w:t>
      </w:r>
      <w:r>
        <w:rPr>
          <w:rFonts w:ascii="Arial" w:cs="Arial" w:eastAsia="Arial" w:hAnsi="Arial"/>
          <w:sz w:val="18"/>
          <w:szCs w:val="18"/>
          <w:color w:val="auto"/>
        </w:rPr>
        <w:t xml:space="preserve"> Section 3.09 </w:t>
      </w:r>
      <w:r>
        <w:rPr>
          <w:rFonts w:ascii="MS PGothic" w:cs="MS PGothic" w:eastAsia="MS PGothic" w:hAnsi="MS PGothic"/>
          <w:sz w:val="18"/>
          <w:szCs w:val="18"/>
          <w:color w:val="auto"/>
        </w:rPr>
        <w:t>☐</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If you want to elect to have only part of this Note purchased by the Issuer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of the Indenture, state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(must be in minimum denominations of $2,000 or an integral multiple of $1,000 in excess thereof):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 and specify the denomination or denominations (which shall not be less than the minimum authorized</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denomination) of the Notes to be issued to the Holder for the portion of the within Note not being repurchased (in the absence of any such specification, one such Note will be issued for the portion not being repurchased): 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Your Signature ____________________________________________________</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 exactly as your name appears on the other side of the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_______________________________________________________________</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(Signature must be guaranteed)</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40"/>
          </w:cols>
          <w:pgMar w:left="440" w:top="274" w:right="519" w:bottom="1440" w:gutter="0" w:footer="0" w:header="0"/>
        </w:sectPr>
      </w:pPr>
    </w:p>
    <w:bookmarkStart w:id="197" w:name="page198"/>
    <w:bookmarkEnd w:id="197"/>
    <w:tbl>
      <w:tblPr>
        <w:tblLayout w:type="fixed"/>
        <w:tblInd w:w="4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80" w:type="dxa"/>
            <w:vAlign w:val="bottom"/>
          </w:tcPr>
          <w:p>
            <w:pPr>
              <w:ind w:left="2340"/>
              <w:spacing w:after="0"/>
              <w:rPr>
                <w:sz w:val="20"/>
                <w:szCs w:val="20"/>
                <w:color w:val="auto"/>
              </w:rPr>
            </w:pPr>
            <w:r>
              <w:rPr>
                <w:rFonts w:ascii="Arial" w:cs="Arial" w:eastAsia="Arial" w:hAnsi="Arial"/>
                <w:sz w:val="18"/>
                <w:szCs w:val="18"/>
                <w:b w:val="1"/>
                <w:bCs w:val="1"/>
                <w:color w:val="auto"/>
              </w:rPr>
              <w:t>EXHIBIT B</w:t>
            </w:r>
          </w:p>
        </w:tc>
      </w:tr>
      <w:tr>
        <w:trPr>
          <w:trHeight w:val="648"/>
        </w:trPr>
        <w:tc>
          <w:tcPr>
            <w:tcW w:w="420" w:type="dxa"/>
            <w:vAlign w:val="bottom"/>
          </w:tcPr>
          <w:p>
            <w:pPr>
              <w:spacing w:after="0"/>
              <w:rPr>
                <w:sz w:val="24"/>
                <w:szCs w:val="24"/>
                <w:color w:val="auto"/>
              </w:rPr>
            </w:pPr>
          </w:p>
        </w:tc>
        <w:tc>
          <w:tcPr>
            <w:tcW w:w="10160" w:type="dxa"/>
            <w:vAlign w:val="bottom"/>
            <w:gridSpan w:val="4"/>
          </w:tcPr>
          <w:p>
            <w:pPr>
              <w:ind w:left="2620"/>
              <w:spacing w:after="0"/>
              <w:rPr>
                <w:sz w:val="20"/>
                <w:szCs w:val="20"/>
                <w:color w:val="auto"/>
              </w:rPr>
            </w:pPr>
            <w:r>
              <w:rPr>
                <w:rFonts w:ascii="Arial" w:cs="Arial" w:eastAsia="Arial" w:hAnsi="Arial"/>
                <w:sz w:val="18"/>
                <w:szCs w:val="18"/>
                <w:b w:val="1"/>
                <w:bCs w:val="1"/>
                <w:color w:val="auto"/>
              </w:rPr>
              <w:t>Form of Supplemental Indenture to Add Guarantors</w:t>
            </w:r>
          </w:p>
        </w:tc>
      </w:tr>
      <w:tr>
        <w:trPr>
          <w:trHeight w:val="391"/>
        </w:trPr>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4260" w:type="dxa"/>
            <w:vAlign w:val="bottom"/>
          </w:tcPr>
          <w:p>
            <w:pPr>
              <w:ind w:left="360"/>
              <w:spacing w:after="0"/>
              <w:rPr>
                <w:sz w:val="20"/>
                <w:szCs w:val="20"/>
                <w:color w:val="auto"/>
              </w:rPr>
            </w:pPr>
            <w:r>
              <w:rPr>
                <w:rFonts w:ascii="Arial" w:cs="Arial" w:eastAsia="Arial" w:hAnsi="Arial"/>
                <w:sz w:val="18"/>
                <w:szCs w:val="18"/>
                <w:color w:val="auto"/>
              </w:rPr>
              <w:t>] SUPPLEMENTAL INDENTURE, dated as of [</w:t>
            </w:r>
          </w:p>
        </w:tc>
        <w:tc>
          <w:tcPr>
            <w:tcW w:w="5900" w:type="dxa"/>
            <w:vAlign w:val="bottom"/>
            <w:gridSpan w:val="3"/>
          </w:tcPr>
          <w:p>
            <w:pPr>
              <w:ind w:left="360"/>
              <w:spacing w:after="0"/>
              <w:rPr>
                <w:sz w:val="20"/>
                <w:szCs w:val="20"/>
                <w:color w:val="auto"/>
              </w:rPr>
            </w:pPr>
            <w:r>
              <w:rPr>
                <w:rFonts w:ascii="Arial" w:cs="Arial" w:eastAsia="Arial" w:hAnsi="Arial"/>
                <w:sz w:val="18"/>
                <w:szCs w:val="18"/>
                <w:color w:val="auto"/>
              </w:rPr>
              <w:t>] (this “Supplemental Indenture”), by and among the parties that are</w:t>
            </w:r>
          </w:p>
        </w:tc>
      </w:tr>
      <w:tr>
        <w:trPr>
          <w:trHeight w:val="20"/>
        </w:trPr>
        <w:tc>
          <w:tcPr>
            <w:tcW w:w="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80"/>
        <w:spacing w:after="0" w:line="286" w:lineRule="auto"/>
        <w:rPr>
          <w:sz w:val="20"/>
          <w:szCs w:val="20"/>
          <w:color w:val="auto"/>
        </w:rPr>
      </w:pPr>
      <w:r>
        <w:rPr>
          <w:rFonts w:ascii="Arial" w:cs="Arial" w:eastAsia="Arial" w:hAnsi="Arial"/>
          <w:sz w:val="17"/>
          <w:szCs w:val="17"/>
          <w:color w:val="auto"/>
        </w:rPr>
        <w:t>signatories hereto as Guarantors (each, a “</w:t>
      </w:r>
      <w:r>
        <w:rPr>
          <w:rFonts w:ascii="Arial" w:cs="Arial" w:eastAsia="Arial" w:hAnsi="Arial"/>
          <w:sz w:val="17"/>
          <w:szCs w:val="17"/>
          <w:u w:val="single" w:color="auto"/>
          <w:color w:val="auto"/>
        </w:rPr>
        <w:t>Guaranteeing Subsidiary</w:t>
      </w:r>
      <w:r>
        <w:rPr>
          <w:rFonts w:ascii="Arial" w:cs="Arial" w:eastAsia="Arial" w:hAnsi="Arial"/>
          <w:sz w:val="17"/>
          <w:szCs w:val="17"/>
          <w:color w:val="auto"/>
        </w:rPr>
        <w:t>” and together, the “</w:t>
      </w:r>
      <w:r>
        <w:rPr>
          <w:rFonts w:ascii="Arial" w:cs="Arial" w:eastAsia="Arial" w:hAnsi="Arial"/>
          <w:sz w:val="17"/>
          <w:szCs w:val="17"/>
          <w:u w:val="single" w:color="auto"/>
          <w:color w:val="auto"/>
        </w:rPr>
        <w:t>Guaranteeing Subsidiaries</w:t>
      </w:r>
      <w:r>
        <w:rPr>
          <w:rFonts w:ascii="Arial" w:cs="Arial" w:eastAsia="Arial" w:hAnsi="Arial"/>
          <w:sz w:val="17"/>
          <w:szCs w:val="17"/>
          <w:color w:val="auto"/>
        </w:rPr>
        <w:t>”), Embecta Corp.,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and U.S. Bank Trust Company, National Association, as trustee under the Indenture referred to below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as notes collateral agent under the Indenture referred to below (in such capacity, the “</w:t>
      </w:r>
      <w:r>
        <w:rPr>
          <w:rFonts w:ascii="Arial" w:cs="Arial" w:eastAsia="Arial" w:hAnsi="Arial"/>
          <w:sz w:val="17"/>
          <w:szCs w:val="17"/>
          <w:u w:val="single" w:color="auto"/>
          <w:color w:val="auto"/>
        </w:rPr>
        <w:t>Notes Collateral Agent</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Issuer, the Trustee and the Notes Collateral Agent have heretofore executed and delivered an indenture, dated as of February 10,</w:t>
      </w:r>
    </w:p>
    <w:p>
      <w:pPr>
        <w:spacing w:after="0" w:line="46"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2022 (as it may be amended or supplemented from time to time in accordance with the terms thereof,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$500,000,000 aggregate principal amount of 5.000% Senior Secured Notes due 2030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on a joint and several basis with the other Guaranteeing Subsidiaries and the other Guarantors,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Guarantee</w:t>
      </w:r>
      <w:r>
        <w:rPr>
          <w:rFonts w:ascii="Arial" w:cs="Arial" w:eastAsia="Arial" w:hAnsi="Arial"/>
          <w:sz w:val="18"/>
          <w:szCs w:val="18"/>
          <w:color w:val="auto"/>
        </w:rPr>
        <w:t>”); and</w:t>
      </w:r>
    </w:p>
    <w:p>
      <w:pPr>
        <w:spacing w:after="0" w:line="18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of the Indenture, the Issuer, any Guarantor, the Trustee and the Notes Collateral Agent are authorized to execute and deliver this Supplemental Indenture without the consent of any Holder of the Notes;</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the Issuer, the other Guarantors, the Trustee and the Notes Collateral Agent mutually covenant and agree for the equal and ratable benefit of the Holders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Defined Terms</w:t>
      </w:r>
      <w:r>
        <w:rPr>
          <w:rFonts w:ascii="Arial" w:cs="Arial" w:eastAsia="Arial" w:hAnsi="Arial"/>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TO BE BOUND; GUARANTEE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Agreement to be Bound</w:t>
      </w:r>
      <w:r>
        <w:rPr>
          <w:rFonts w:ascii="Arial" w:cs="Arial" w:eastAsia="Arial" w:hAnsi="Arial"/>
          <w:sz w:val="18"/>
          <w:szCs w:val="18"/>
          <w:color w:val="auto"/>
        </w:rPr>
        <w:t>. Each Guaranteeing Subsidiary hereby becomes a party to the Indenture as a Guarantor and as such will have all of the rights and be subject to all of the obligations and agreements of a Guarantor under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198" w:name="page199"/>
    <w:bookmarkEnd w:id="198"/>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Each Guaranteeing Subsidiary agrees, on a joint and several basis with all the existing Guarantors [and the other Guaranteeing Subsidiaries], to fully, unconditionally and irrevocably Guarantee to each Holder of the Notes and the Trustee the Guaranteed Obligations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Indenture on a senior basis.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to the Issuer and the Guaranteeing Subsidiaries shall be given as provided in the Indenture to such Guaranteeing Subsidiaries, at their addresses set forth below, with a copy to the Issuer as provided in the Indenture for notices to the Issuer.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ADDRESS]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3.2.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Release of Guarantee</w:t>
      </w:r>
      <w:r>
        <w:rPr>
          <w:rFonts w:ascii="Arial" w:cs="Arial" w:eastAsia="Arial" w:hAnsi="Arial"/>
          <w:sz w:val="18"/>
          <w:szCs w:val="18"/>
          <w:color w:val="auto"/>
        </w:rPr>
        <w:t xml:space="preserve">. This Guarantee shall be released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of the Indenture.</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Parties</w:t>
      </w:r>
      <w:r>
        <w:rPr>
          <w:rFonts w:ascii="Arial" w:cs="Arial" w:eastAsia="Arial" w:hAnsi="Arial"/>
          <w:sz w:val="18"/>
          <w:szCs w:val="18"/>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Governing Law</w:t>
      </w:r>
      <w:r>
        <w:rPr>
          <w:rFonts w:ascii="Arial" w:cs="Arial" w:eastAsia="Arial" w:hAnsi="Arial"/>
          <w:sz w:val="16"/>
          <w:szCs w:val="16"/>
          <w:color w:val="auto"/>
        </w:rPr>
        <w:t>. This Supplemental Indenture shall be governed by, and construed in accordance with, the laws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Benefits Acknowledged</w:t>
      </w:r>
      <w:r>
        <w:rPr>
          <w:rFonts w:ascii="Arial" w:cs="Arial" w:eastAsia="Arial" w:hAnsi="Arial"/>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The Trustee and the Notes Collateral Agent</w:t>
      </w:r>
      <w:r>
        <w:rPr>
          <w:rFonts w:ascii="Arial" w:cs="Arial" w:eastAsia="Arial" w:hAnsi="Arial"/>
          <w:sz w:val="18"/>
          <w:szCs w:val="18"/>
          <w:color w:val="auto"/>
        </w:rPr>
        <w:t>. Neither the Trustee nor the Notes Collateral Agent make any representation or warranty as to the validity or sufficiency of this Supplemental Indenture or with respect to the recitals contained herein, all of which recitals are made solely by the other parties hereto.</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440" w:top="274" w:right="519" w:bottom="1440" w:gutter="0" w:footer="0" w:header="0"/>
        </w:sectPr>
      </w:pPr>
    </w:p>
    <w:bookmarkStart w:id="199" w:name="page200"/>
    <w:bookmarkEnd w:id="199"/>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Arial" w:cs="Arial" w:eastAsia="Arial" w:hAnsi="Arial"/>
          <w:sz w:val="17"/>
          <w:szCs w:val="17"/>
          <w:i w:val="1"/>
          <w:iCs w:val="1"/>
          <w:color w:val="auto"/>
        </w:rPr>
        <w:t>Counterparts</w:t>
      </w:r>
      <w:r>
        <w:rPr>
          <w:rFonts w:ascii="Arial" w:cs="Arial" w:eastAsia="Arial" w:hAnsi="Arial"/>
          <w:sz w:val="17"/>
          <w:szCs w:val="17"/>
          <w:color w:val="auto"/>
        </w:rPr>
        <w:t>. The parties hereto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Execution and Delivery</w:t>
      </w:r>
      <w:r>
        <w:rPr>
          <w:rFonts w:ascii="Arial" w:cs="Arial" w:eastAsia="Arial" w:hAnsi="Arial"/>
          <w:sz w:val="18"/>
          <w:szCs w:val="18"/>
          <w:color w:val="auto"/>
        </w:rPr>
        <w:t>. Each Guaranteeing Subsidiary agrees that its Guarantee shall remain in full force and effect notwithstanding any failure to endorse on each Note a notation of any such Guarantee.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Headings</w:t>
      </w:r>
      <w:r>
        <w:rPr>
          <w:rFonts w:ascii="Arial" w:cs="Arial" w:eastAsia="Arial" w:hAnsi="Arial"/>
          <w:sz w:val="18"/>
          <w:szCs w:val="18"/>
          <w:color w:val="auto"/>
        </w:rPr>
        <w:t>. The headings of the Articles and the Sections in this Supplemental Indenture are for convenience of reference only and shall not be deemed to alter or affect the meaning or interpretation of any provisions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0"/>
          </w:cols>
          <w:pgMar w:left="440" w:top="274" w:right="45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[GUARANTEEING SUBSIDIARY],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a Guarantor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EMBECTA CORP., as Issuer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00"/>
          </w:cols>
          <w:pgMar w:left="880" w:top="274" w:right="919" w:bottom="1440" w:gutter="0" w:footer="0" w:header="0"/>
        </w:sectPr>
      </w:pPr>
    </w:p>
    <w:bookmarkStart w:id="201" w:name="page202"/>
    <w:bookmarkEnd w:id="20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 and as Notes Collateral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9160"/>
          </w:cols>
          <w:pgMar w:left="1440" w:top="274" w:right="129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Special Mandatory Redemption Notice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 Senior Secured Notes due 2030</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NOTICE IS HEREBY GIVEN that Embecta Corp.,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pursuant to the Indenture, dated as of February 10,</w:t>
      </w:r>
    </w:p>
    <w:p>
      <w:pPr>
        <w:spacing w:after="0" w:line="3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2022 (the “</w:t>
      </w:r>
      <w:r>
        <w:rPr>
          <w:rFonts w:ascii="Arial" w:cs="Arial" w:eastAsia="Arial" w:hAnsi="Arial"/>
          <w:sz w:val="16"/>
          <w:szCs w:val="16"/>
          <w:b w:val="1"/>
          <w:bCs w:val="1"/>
          <w:color w:val="auto"/>
        </w:rPr>
        <w:t>Indenture</w:t>
      </w:r>
      <w:r>
        <w:rPr>
          <w:rFonts w:ascii="Arial" w:cs="Arial" w:eastAsia="Arial" w:hAnsi="Arial"/>
          <w:sz w:val="16"/>
          <w:szCs w:val="16"/>
          <w:color w:val="auto"/>
        </w:rPr>
        <w:t>”), among the Issuer and U.S. Bank Trust Company,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as notes collateral agent, will redeem all of its outstanding 5.000% Senior Secured Notes due 2030 (the “</w:t>
      </w:r>
      <w:r>
        <w:rPr>
          <w:rFonts w:ascii="Arial" w:cs="Arial" w:eastAsia="Arial" w:hAnsi="Arial"/>
          <w:sz w:val="16"/>
          <w:szCs w:val="16"/>
          <w:b w:val="1"/>
          <w:bCs w:val="1"/>
          <w:color w:val="auto"/>
        </w:rPr>
        <w:t>Notes</w:t>
      </w:r>
      <w:r>
        <w:rPr>
          <w:rFonts w:ascii="Arial" w:cs="Arial" w:eastAsia="Arial" w:hAnsi="Arial"/>
          <w:sz w:val="16"/>
          <w:szCs w:val="16"/>
          <w:color w:val="auto"/>
        </w:rPr>
        <w:t>”) on [___________], 2022 (the “</w:t>
      </w:r>
      <w:r>
        <w:rPr>
          <w:rFonts w:ascii="Arial" w:cs="Arial" w:eastAsia="Arial" w:hAnsi="Arial"/>
          <w:sz w:val="16"/>
          <w:szCs w:val="16"/>
          <w:b w:val="1"/>
          <w:bCs w:val="1"/>
          <w:color w:val="auto"/>
        </w:rPr>
        <w:t>Redemption Date</w:t>
      </w:r>
      <w:r>
        <w:rPr>
          <w:rFonts w:ascii="Arial" w:cs="Arial" w:eastAsia="Arial" w:hAnsi="Arial"/>
          <w:sz w:val="16"/>
          <w:szCs w:val="16"/>
          <w:color w:val="auto"/>
        </w:rPr>
        <w:t>”) pursuant to</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Section 5.09(a) of the Indenture and paragraph 7 of the Notes. The redemption price for each Note will be $1,000 per $1,000 principal amount thereof, plus accrued and unpaid interest thereon from [February 10, 2022][[•][•] (the last date on which interest was paid on the Notes)] to, but excluding, the Redemption Date (the “</w:t>
      </w:r>
      <w:r>
        <w:rPr>
          <w:rFonts w:ascii="Arial" w:cs="Arial" w:eastAsia="Arial" w:hAnsi="Arial"/>
          <w:sz w:val="18"/>
          <w:szCs w:val="18"/>
          <w:b w:val="1"/>
          <w:bCs w:val="1"/>
          <w:color w:val="auto"/>
        </w:rPr>
        <w:t>Redemption Price</w:t>
      </w:r>
      <w:r>
        <w:rPr>
          <w:rFonts w:ascii="Arial" w:cs="Arial" w:eastAsia="Arial" w:hAnsi="Arial"/>
          <w:sz w:val="18"/>
          <w:szCs w:val="18"/>
          <w:color w:val="auto"/>
        </w:rPr>
        <w:t>”). Capitalized terms used herein (but otherwise not defined) shall have such meanings as set forth in the Indenture.</w:t>
      </w:r>
    </w:p>
    <w:p>
      <w:pPr>
        <w:spacing w:after="0" w:line="193"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interest on the Notes called for redemption shall cease to accrue on and after the Redemption Date.</w:t>
      </w:r>
    </w:p>
    <w:p>
      <w:pPr>
        <w:spacing w:after="0" w:line="170"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In order to receive the redemption payment, the Notes called for redemption must be surrendered for payment at the following location of U.S. Bank Trust Company, National Association, the Trustee and Paying Agent. Notes to be redeemed must be surrendered for payment: (a) in book-entry form by transferring the Notes to be redeemed to the Trustee’s account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in accordance with DTC’s procedures; or (b) by delivering the Notes to be redeemed to the Trustee 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Thornall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Edison, NJ 08837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DiGiacomo</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method of delivery of the Notes is at the election and risk of the Holder. If delivered by mail, certified or registered mail, properly insured, is recommended.</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 representation is being made as to the correctness of the CUSIP numbers either as printed on the Notes or as contained in this notice. Holders should rely only on the other identification numbers printed on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For holders of Notes who have not established an exemption, payments made upon the redemption of the Notes may be subject to U.S. federal withholding of 24% of the payments to be made, as and to the extent required by the provisions of the U.S. Internal Revenue Code. To establish an exemption from such withholding, holders of Notes should submit a completed and signed Internal Revenue Service Form W-9 (or applicable Internal Revenue Service Form W-8) when surrendering their Notes for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20[_]</w:t>
      </w:r>
    </w:p>
    <w:p>
      <w:pPr>
        <w:spacing w:after="0" w:line="248"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b w:val="1"/>
          <w:bCs w:val="1"/>
          <w:color w:val="auto"/>
        </w:rPr>
        <w:t>By:</w:t>
        <w:tab/>
        <w:t>EMBECTA CORP.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80"/>
          </w:cols>
          <w:pgMar w:left="440" w:top="270" w:right="47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71525" cy="3003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Becton, Dickinson and Company (“BD”) Shareholder:</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May 2021, BD announced its plan to separate its diabetes care business into an independent public company. The separation will occur through a distribution by BD of all of the outstanding shares of a newly formed company, Embecta Corp. (“Embecta”), which will hold BD’s diabetes care business.</w:t>
      </w:r>
    </w:p>
    <w:p>
      <w:pPr>
        <w:spacing w:after="0" w:line="184"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The separation will better position the diabetes care business and BD’s remaining businesses for long-term growth and success. The diabetes care business and BD’s remaining businesses have distinct business profiles, and the separation will allow Embecta and BD to better allocate resources and deploy capital in line with the distinct growth and cash flow profiles of these businesses. BD’s decision to pursue the separation demonstrates its strong ongoing commitment to the BD 2025 strategy, which includes its three strategic pillars of Grow, Simplify and Empower. We expect the separation will allow BD to strengthen its growth profile, enables a greater investment focus on its other core businesses and high-growth opportunities, and make a greater impact for its customers and patients.</w:t>
      </w:r>
    </w:p>
    <w:p>
      <w:pPr>
        <w:spacing w:after="0" w:line="17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Upon completion of the separation, each BD shareholder as of March 22, 2022, the record date for the distribution, will receive one share of Embecta common stock for every five shares of BD common stock held as of the close of business on the record date. Embecta common stock will be issued in book-entry form only, which means that no physical share certificates will be issued. For U.S. federal income tax purposes, the distribution is intended to be tax-free to BD shareholders (other than any cash that BD shareholders receive in lieu of fractional shares).</w:t>
      </w:r>
    </w:p>
    <w:p>
      <w:pPr>
        <w:spacing w:after="0" w:line="15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You do not need to take any action to receive shares of Embecta common stock to which you are entitled as a BD shareholder, and you do not need to pay any consideration or surrender or exchange your BD common stock or take any other action to receive your shares of Embecta common stock.</w:t>
      </w:r>
    </w:p>
    <w:p>
      <w:pPr>
        <w:spacing w:after="0" w:line="184"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Embecta’s common stock has been approved for listing subject to official notice of issuance on the Nasdaq Global Select Market under the symbol “EMBC.” Following the distribution, BD common stock will continue to trade on the New York Stock Exchange under the symbol “BDX.”</w:t>
      </w:r>
    </w:p>
    <w:p>
      <w:pPr>
        <w:spacing w:after="0" w:line="146"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We encourage you to read the attached information statement, which is being made available to BD shareholders as of the record date for the distribution. The information statement describes the distribution in detail and contains important business and financial information about Embecta.</w:t>
      </w:r>
    </w:p>
    <w:p>
      <w:pPr>
        <w:spacing w:after="0" w:line="12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We believe the separation provides tremendous opportunities for our businesses, as we work to continue to build long-term value. We appreciate your continuing support of BD and look forward to your future support of BD and Embecta.</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805815"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05815" cy="2400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ectPr>
          <w:pgSz w:w="11900" w:h="16838" w:orient="portrait"/>
          <w:cols w:equalWidth="0" w:num="1">
            <w:col w:w="11020"/>
          </w:cols>
          <w:pgMar w:left="440" w:top="121" w:right="4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54380" cy="3086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54380" cy="308610"/>
                    </a:xfrm>
                    <a:prstGeom prst="rect">
                      <a:avLst/>
                    </a:prstGeom>
                    <a:noFill/>
                  </pic:spPr>
                </pic:pic>
              </a:graphicData>
            </a:graphic>
          </wp:anchor>
        </w:drawing>
        <w:t>February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Shareholder of Embecta Corp. (“Embecta”):</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 am excited to welcome you as a future shareholder of Embecta. Embecta will hold BD’s diabetes care business, which includes the manufacturing and sale of syringes, pen needles and other products related to the injection or infusion of insulin and other drugs used in the treatment and management of diabetes.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pure-play diabetes care company, we believe we will be attractively positioned to:</w:t>
      </w:r>
    </w:p>
    <w:p>
      <w:pPr>
        <w:spacing w:after="0" w:line="131" w:lineRule="exact"/>
        <w:rPr>
          <w:sz w:val="20"/>
          <w:szCs w:val="20"/>
          <w:color w:val="auto"/>
        </w:rPr>
      </w:pPr>
    </w:p>
    <w:p>
      <w:pPr>
        <w:ind w:left="960" w:right="580" w:hanging="424"/>
        <w:spacing w:after="0" w:line="308" w:lineRule="auto"/>
        <w:tabs>
          <w:tab w:leader="none" w:pos="96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continue our proven success and global reach as one of the most well-known franchises in pen needles, insulin syringes and insulin injection safety products among people with diabetes and healthcare professionals around the world;</w:t>
      </w:r>
    </w:p>
    <w:p>
      <w:pPr>
        <w:spacing w:after="0" w:line="51" w:lineRule="exact"/>
        <w:rPr>
          <w:rFonts w:ascii="Arial" w:cs="Arial" w:eastAsia="Arial" w:hAnsi="Arial"/>
          <w:sz w:val="17"/>
          <w:szCs w:val="17"/>
          <w:color w:val="auto"/>
        </w:rPr>
      </w:pPr>
    </w:p>
    <w:p>
      <w:pPr>
        <w:ind w:left="960" w:right="460" w:hanging="424"/>
        <w:spacing w:after="0" w:line="277" w:lineRule="auto"/>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use our manufacturing proficiency, distribution network and global commercial team to provide reliable and consistent supply of our products to our end-user customers, including in high-growth regions;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invest in next-generation products to be used in the treatment and management of diabetes;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pursue strategic innovation and acquisition opportunities that will enable us to accelerate our growth;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attract and retain key talent and create a strong culture focused on best serving the needs of people with diabetes globally.</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Although Embecta will be a new, publicly traded company, its diabetes care business has an over 95-year history, starting when BD introduced the world’s first specialized insulin syringe in 1924. Since then, the diabetes care business has played a significant role in driving the adoption of insulin syringes and insulin pens combined with pen needles as the leading modality for insulin administration. Today, the diabetes care business is the leading producer of diabetes injection devices, producing approximately 7.6 billion units of injection devices annually and serving an estimated 30 million patients worldwide—more than any other company in the world.</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Our vision for the future is clear. We intend to build innovative solutions and focus on improving care for people with diabetes. We plan to generate strong cash flow and maintain a capital structure that would allow for organic and inorganic growth opportunities, providing the best outcomes for our shareholders. We will strive to attract and retain superior talent to ensure operational excellence and accelerate growth. We look forward to our future as an independent, publicly traded company and to your support as a holder of Embecta common stock.</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968375" cy="300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683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Devdatt (Dev) Kurdikar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ectPr>
          <w:pgSz w:w="11900" w:h="16838" w:orient="portrait"/>
          <w:cols w:equalWidth="0" w:num="1">
            <w:col w:w="10980"/>
          </w:cols>
          <w:pgMar w:left="440" w:top="976" w:right="4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STATEMENT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245745</wp:posOffset>
            </wp:positionV>
            <wp:extent cx="1474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This information statement is being furnished in connection with the distribution by Becton, Dickinson and Company (“BD”) to its shareholders of all of the outstanding shares of common stock of Embecta Corp. (“Embecta”), a wholly owned subsidiary of BD that will hold BD’s diabetes care business. To implement the separation, BD will contribute to Embecta certain of the assets and liabilities associated with BD’s diabetes care business and then distribute all of the shares of Embecta common stock on a pro rata basis to BD shareholders in a distribution that is intended to qualify as tax-free to the BD shareholders for U.S. federal income tax purposes (other than any cash that BD shareholders receive in lieu of fractional shares). Following the distribution, Embecta will be an independent public company.</w:t>
      </w:r>
    </w:p>
    <w:p>
      <w:pPr>
        <w:spacing w:after="0" w:line="17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For every five shares of common stock of BD held of record by you as of the close of business on March 22, 2022, which is the record date for the distribution, you will receive one share of Embecta common stock. You will receive cash in lieu of any fractional shares of Embecta common stock that you would have received after application of the above ratio. As discussed under “The Separation and Distribution—Trading Between the Record Date and Distribution Date,” if you sell your shares of BD common stock in the “regular-way” market after the record date and before the distribution date, you also will be selling your right to receive shares of Embecta common stock in connection with the distribution. We expect the shares of Embecta common stock to be distributed by BD to you at 12:01 a.m., Eastern Time, on April 1, 2022. We refer to the date of the distribution of the Embecta common stock as the “distribution date.”</w:t>
      </w:r>
    </w:p>
    <w:p>
      <w:pPr>
        <w:spacing w:after="0" w:line="19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Until the separation and distribution occur, Embecta will be a wholly owned subsidiary of BD, and consequently, BD will have the sole and absolute discretion to determine and change the terms of the separation (or to terminate the separation).</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Therefore, you are not being asked for a proxy, and you are requested not to send BD a proxy, in connection with the distribution. You do not need to pay any consideration, exchange or surrender your existing shares of BD common stock or take any other action to receive your shares of Embecta common stock.</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There is no current trading market for Embecta common stock, although we expect that a limited market, commonly known as a “when-issued” trading market, will develop on or shortly before the record date for the distribution, and we expect “regular-way” trading of Embecta common stock to begin on the first trading day following the completion of the distribution. Embecta’s common stock has been approved for listing subject to official notice of issuance on the Nasdaq Global Select Market (“Nasdaq”) under the symbol “EMBC.” Following the distribution, BD common stock will continue to trade on the New York Stock Exchange (“NYSE”) under the symbol “BDX.”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In reviewing this information statement, you should carefully consider the matters described under the section entitled “Risk Factors.”</w:t>
      </w:r>
    </w:p>
    <w:p>
      <w:pPr>
        <w:spacing w:after="0" w:line="248" w:lineRule="exact"/>
        <w:rPr>
          <w:sz w:val="20"/>
          <w:szCs w:val="20"/>
          <w:color w:val="auto"/>
        </w:rPr>
      </w:pPr>
    </w:p>
    <w:p>
      <w:pPr>
        <w:ind w:right="18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information statement is February 11, 2022.</w:t>
      </w:r>
    </w:p>
    <w:p>
      <w:pPr>
        <w:spacing w:after="0" w:line="229" w:lineRule="exact"/>
        <w:rPr>
          <w:sz w:val="20"/>
          <w:szCs w:val="20"/>
          <w:color w:val="auto"/>
        </w:rPr>
      </w:pPr>
    </w:p>
    <w:p>
      <w:pPr>
        <w:jc w:val="center"/>
        <w:ind w:left="460" w:right="140"/>
        <w:spacing w:after="0" w:line="277" w:lineRule="auto"/>
        <w:rPr>
          <w:sz w:val="20"/>
          <w:szCs w:val="20"/>
          <w:color w:val="auto"/>
        </w:rPr>
      </w:pPr>
      <w:r>
        <w:rPr>
          <w:rFonts w:ascii="Arial" w:cs="Arial" w:eastAsia="Arial" w:hAnsi="Arial"/>
          <w:sz w:val="18"/>
          <w:szCs w:val="18"/>
          <w:color w:val="auto"/>
        </w:rPr>
        <w:t>This information statement will be made publicly available on or about February 11, 2022. Notice of this information statement’s availability will be first sent to BD shareholders on or about February 11, 2022.</w:t>
      </w:r>
    </w:p>
    <w:p>
      <w:pPr>
        <w:sectPr>
          <w:pgSz w:w="11900" w:h="16838" w:orient="portrait"/>
          <w:cols w:equalWidth="0" w:num="1">
            <w:col w:w="11000"/>
          </w:cols>
          <w:pgMar w:left="440" w:top="270" w:right="459" w:bottom="1440" w:gutter="0" w:footer="0" w:header="0"/>
        </w:sectPr>
      </w:pPr>
    </w:p>
    <w:bookmarkStart w:id="207" w:name="page208"/>
    <w:bookmarkEnd w:id="207"/>
    <w:tbl>
      <w:tblPr>
        <w:tblLayout w:type="fixed"/>
        <w:tblInd w:w="4"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580" w:type="dxa"/>
            <w:vAlign w:val="bottom"/>
            <w:gridSpan w:val="23"/>
            <w:vMerge w:val="restart"/>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Questions and Answers About the Separation and Distribution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0580" w:type="dxa"/>
            <w:vAlign w:val="bottom"/>
            <w:gridSpan w:val="23"/>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Information Statement Summary</w:t>
              </w:r>
            </w:hyperlink>
          </w:p>
        </w:tc>
        <w:tc>
          <w:tcPr>
            <w:tcW w:w="610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Risk Factors</w:t>
              </w:r>
            </w:hyperlink>
          </w:p>
        </w:tc>
        <w:tc>
          <w:tcPr>
            <w:tcW w:w="822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Cautionary Note Regarding 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The Separation and Distribution</w:t>
              </w:r>
            </w:hyperlink>
          </w:p>
        </w:tc>
        <w:tc>
          <w:tcPr>
            <w:tcW w:w="64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261">
              <w:r>
                <w:rPr>
                  <w:rFonts w:ascii="Arial" w:cs="Arial" w:eastAsia="Arial" w:hAnsi="Arial"/>
                  <w:sz w:val="18"/>
                  <w:szCs w:val="18"/>
                  <w:color w:val="0000EE"/>
                  <w:w w:val="94"/>
                </w:rPr>
                <w:t>Dividend Policy</w:t>
              </w:r>
            </w:hyperlink>
          </w:p>
        </w:tc>
        <w:tc>
          <w:tcPr>
            <w:tcW w:w="1120" w:type="dxa"/>
            <w:vAlign w:val="bottom"/>
            <w:tcBorders>
              <w:top w:val="single" w:sz="8" w:color="0000EE"/>
            </w:tcBorders>
            <w:gridSpan w:val="2"/>
          </w:tcPr>
          <w:p>
            <w:pPr>
              <w:spacing w:after="0"/>
              <w:rPr>
                <w:sz w:val="17"/>
                <w:szCs w:val="17"/>
                <w:color w:val="auto"/>
              </w:rPr>
            </w:pPr>
          </w:p>
        </w:tc>
        <w:tc>
          <w:tcPr>
            <w:tcW w:w="82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263">
              <w:r>
                <w:rPr>
                  <w:rFonts w:ascii="Arial" w:cs="Arial" w:eastAsia="Arial" w:hAnsi="Arial"/>
                  <w:sz w:val="18"/>
                  <w:szCs w:val="18"/>
                  <w:color w:val="0000EE"/>
                  <w:w w:val="90"/>
                </w:rPr>
                <w:t>Selected Historical Combined Financial Data of the Diabetes Care Business</w:t>
              </w:r>
            </w:hyperlink>
          </w:p>
        </w:tc>
        <w:tc>
          <w:tcPr>
            <w:tcW w:w="51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64">
              <w:r>
                <w:rPr>
                  <w:rFonts w:ascii="Arial" w:cs="Arial" w:eastAsia="Arial" w:hAnsi="Arial"/>
                  <w:sz w:val="18"/>
                  <w:szCs w:val="18"/>
                  <w:color w:val="0000EE"/>
                  <w:w w:val="90"/>
                </w:rPr>
                <w:t>Unaudited Pro Forma Condensed Combined Financial Information</w:t>
              </w:r>
            </w:hyperlink>
          </w:p>
        </w:tc>
        <w:tc>
          <w:tcPr>
            <w:tcW w:w="576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Our Business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86">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96">
              <w:r>
                <w:rPr>
                  <w:rFonts w:ascii="Arial" w:cs="Arial" w:eastAsia="Arial" w:hAnsi="Arial"/>
                  <w:sz w:val="18"/>
                  <w:szCs w:val="18"/>
                  <w:color w:val="0000EE"/>
                  <w:w w:val="87"/>
                </w:rPr>
                <w:t>Management</w:t>
              </w:r>
            </w:hyperlink>
          </w:p>
        </w:tc>
        <w:tc>
          <w:tcPr>
            <w:tcW w:w="9620" w:type="dxa"/>
            <w:vAlign w:val="bottom"/>
            <w:gridSpan w:val="2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299">
              <w:r>
                <w:rPr>
                  <w:rFonts w:ascii="Arial" w:cs="Arial" w:eastAsia="Arial" w:hAnsi="Arial"/>
                  <w:sz w:val="18"/>
                  <w:szCs w:val="18"/>
                  <w:color w:val="0000EE"/>
                </w:rPr>
                <w:t>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310">
              <w:r>
                <w:rPr>
                  <w:rFonts w:ascii="Arial" w:cs="Arial" w:eastAsia="Arial" w:hAnsi="Arial"/>
                  <w:sz w:val="18"/>
                  <w:szCs w:val="18"/>
                  <w:color w:val="0000EE"/>
                </w:rPr>
                <w:t>Compensation Discussion and Analysis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21">
              <w:r>
                <w:rPr>
                  <w:rFonts w:ascii="Arial" w:cs="Arial" w:eastAsia="Arial" w:hAnsi="Arial"/>
                  <w:sz w:val="18"/>
                  <w:szCs w:val="18"/>
                  <w:color w:val="0000EE"/>
                  <w:w w:val="91"/>
                </w:rPr>
                <w:t>Compensation of Named Executive Officers</w:t>
              </w:r>
            </w:hyperlink>
          </w:p>
        </w:tc>
        <w:tc>
          <w:tcPr>
            <w:tcW w:w="738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31">
              <w:r>
                <w:rPr>
                  <w:rFonts w:ascii="Arial" w:cs="Arial" w:eastAsia="Arial" w:hAnsi="Arial"/>
                  <w:sz w:val="18"/>
                  <w:szCs w:val="18"/>
                  <w:color w:val="0000EE"/>
                  <w:w w:val="90"/>
                </w:rPr>
                <w:t>Director Compensation</w:t>
              </w:r>
            </w:hyperlink>
          </w:p>
        </w:tc>
        <w:tc>
          <w:tcPr>
            <w:tcW w:w="890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Embecta 2022 Employee and Director Equity-Based Compensation Plan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38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335">
              <w:r>
                <w:rPr>
                  <w:rFonts w:ascii="Arial" w:cs="Arial" w:eastAsia="Arial" w:hAnsi="Arial"/>
                  <w:sz w:val="18"/>
                  <w:szCs w:val="18"/>
                  <w:color w:val="0000EE"/>
                  <w:w w:val="89"/>
                </w:rPr>
                <w:t>Certain Relationships and Related Party Transactions</w:t>
              </w:r>
            </w:hyperlink>
          </w:p>
        </w:tc>
        <w:tc>
          <w:tcPr>
            <w:tcW w:w="1380" w:type="dxa"/>
            <w:vAlign w:val="bottom"/>
            <w:tcBorders>
              <w:top w:val="single" w:sz="8" w:color="0000EE"/>
            </w:tcBorders>
            <w:gridSpan w:val="5"/>
          </w:tcPr>
          <w:p>
            <w:pPr>
              <w:spacing w:after="0"/>
              <w:rPr>
                <w:sz w:val="17"/>
                <w:szCs w:val="17"/>
                <w:color w:val="auto"/>
              </w:rPr>
            </w:pPr>
          </w:p>
        </w:tc>
        <w:tc>
          <w:tcPr>
            <w:tcW w:w="536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Material U.S. Federal Income Tax Consequences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Description of Material Indebtedness</w:t>
              </w:r>
            </w:hyperlink>
          </w:p>
        </w:tc>
        <w:tc>
          <w:tcPr>
            <w:tcW w:w="706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66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349">
              <w:r>
                <w:rPr>
                  <w:rFonts w:ascii="Arial" w:cs="Arial" w:eastAsia="Arial" w:hAnsi="Arial"/>
                  <w:sz w:val="18"/>
                  <w:szCs w:val="18"/>
                  <w:color w:val="0000EE"/>
                  <w:w w:val="90"/>
                </w:rPr>
                <w:t>Security Ownership of Certain Beneficial Owners and Management</w:t>
              </w:r>
            </w:hyperlink>
          </w:p>
        </w:tc>
        <w:tc>
          <w:tcPr>
            <w:tcW w:w="57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Description of Embecta Capital Stock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720" w:type="dxa"/>
            <w:vAlign w:val="bottom"/>
            <w:gridSpan w:val="9"/>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3"/>
          </w:tcPr>
          <w:p>
            <w:pPr>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Where You Can Find More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86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56">
              <w:r>
                <w:rPr>
                  <w:rFonts w:ascii="Arial" w:cs="Arial" w:eastAsia="Arial" w:hAnsi="Arial"/>
                  <w:sz w:val="18"/>
                  <w:szCs w:val="18"/>
                  <w:color w:val="0000EE"/>
                  <w:w w:val="90"/>
                </w:rPr>
                <w:t>Index to Combined Financial Statements</w:t>
              </w:r>
            </w:hyperlink>
          </w:p>
        </w:tc>
        <w:tc>
          <w:tcPr>
            <w:tcW w:w="764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41"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424" w:right="120" w:hanging="424"/>
        <w:spacing w:after="0" w:line="286" w:lineRule="auto"/>
        <w:tabs>
          <w:tab w:leader="none" w:pos="42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information included in this information statement about Embecta, including the Combined Financial Statements of the Diabetes Care Business (as defined in the historical combined financial statements included in this information statement), assumes the completion of all of the transactions referred to in this information statement in connection with the separation and distribution.</w:t>
      </w:r>
    </w:p>
    <w:p>
      <w:pPr>
        <w:spacing w:after="0" w:line="70"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References in this information statement to “Embecta,” “we,” “us,” “our,” “our company” and “the company” refer to Embecta Corp., a Delaware corporation, and its subsidiaries.</w:t>
      </w:r>
    </w:p>
    <w:p>
      <w:pPr>
        <w:spacing w:after="0" w:line="75"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References in this information statement to “BD” refer to Becton, Dickinson and Company, a New Jersey corporation, and its consolidated subsidiaries, including the diabetes care business prior to completion of the separation, unless the context otherwise requires or unless otherwise specified.</w:t>
      </w:r>
    </w:p>
    <w:p>
      <w:pPr>
        <w:spacing w:after="0" w:line="89"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“diabetes care business” refer to the diabetes care business of BD that will be contributed to Embecta in connection with the separation.</w:t>
      </w:r>
    </w:p>
    <w:p>
      <w:pPr>
        <w:spacing w:after="0" w:line="75" w:lineRule="exact"/>
        <w:rPr>
          <w:rFonts w:ascii="Arial" w:cs="Arial" w:eastAsia="Arial" w:hAnsi="Arial"/>
          <w:sz w:val="18"/>
          <w:szCs w:val="18"/>
          <w:color w:val="auto"/>
        </w:rPr>
      </w:pPr>
    </w:p>
    <w:p>
      <w:pPr>
        <w:ind w:left="424" w:right="120" w:hanging="424"/>
        <w:spacing w:after="0" w:line="311" w:lineRule="auto"/>
        <w:tabs>
          <w:tab w:leader="none" w:pos="42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References in this information statement to the “BD Business” refer to BD’s businesses other than the diabetes care business, which includes the development, manufacture and sale of a broad range of medical supplies, devices, laboratory equipment and diagnostic products used by healthcare institutions, physicians, life science researchers, clinical laboratories, the pharmaceutical industry and the general public.</w:t>
      </w:r>
    </w:p>
    <w:p>
      <w:pPr>
        <w:spacing w:after="0" w:line="54" w:lineRule="exact"/>
        <w:rPr>
          <w:rFonts w:ascii="Arial" w:cs="Arial" w:eastAsia="Arial" w:hAnsi="Arial"/>
          <w:sz w:val="16"/>
          <w:szCs w:val="16"/>
          <w:color w:val="auto"/>
        </w:rPr>
      </w:pPr>
    </w:p>
    <w:p>
      <w:pPr>
        <w:ind w:left="424" w:right="80" w:hanging="424"/>
        <w:spacing w:after="0" w:line="263"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diabetes care business from BD’s other businesses and the creation, as a result of the distribution, of an independent, publicly traded company, Embecta, to hold the assets and liabilities associated with the diabetes care business after the distribution.</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4"/>
          </w:cols>
          <w:pgMar w:left="436" w:top="270" w:right="499" w:bottom="1440" w:gutter="0" w:footer="0" w:header="0"/>
        </w:sectPr>
      </w:pPr>
    </w:p>
    <w:bookmarkStart w:id="208" w:name="page209"/>
    <w:bookmarkEnd w:id="208"/>
    <w:p>
      <w:pPr>
        <w:ind w:left="424" w:right="140" w:hanging="424"/>
        <w:spacing w:after="0" w:line="308" w:lineRule="auto"/>
        <w:tabs>
          <w:tab w:leader="none" w:pos="424" w:val="left"/>
        </w:tabs>
        <w:numPr>
          <w:ilvl w:val="0"/>
          <w:numId w:val="2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in this information statement to the “distribution” refer to the distribution by BD of all of Embecta’s issued and outstanding shares of common stock to BD shareholders as of the close of business on March 22, 2022, which is the record date for the distribution.</w:t>
      </w:r>
    </w:p>
    <w:p>
      <w:pPr>
        <w:spacing w:after="0" w:line="51" w:lineRule="exact"/>
        <w:rPr>
          <w:rFonts w:ascii="Arial" w:cs="Arial" w:eastAsia="Arial" w:hAnsi="Arial"/>
          <w:sz w:val="17"/>
          <w:szCs w:val="17"/>
          <w:color w:val="auto"/>
        </w:rPr>
      </w:pPr>
    </w:p>
    <w:p>
      <w:pPr>
        <w:ind w:left="424" w:right="60" w:hanging="424"/>
        <w:spacing w:after="0" w:line="277"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References in this information statement to Embecta’s per share data assume a distribution ratio of one share of Embecta common stock for every five shares of BD common stock.</w:t>
      </w:r>
    </w:p>
    <w:p>
      <w:pPr>
        <w:spacing w:after="0" w:line="75"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References in this information statement to Embecta’s historical assets, liabilities, products, businesses or activities generally refer to the historical assets, liabilities, products, businesses or activities of the diabetes care business as conducted by BD prior to the completion of the separation.</w:t>
      </w:r>
    </w:p>
    <w:p>
      <w:pPr>
        <w:spacing w:after="0" w:line="33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Industry Information</w:t>
      </w:r>
    </w:p>
    <w:p>
      <w:pPr>
        <w:spacing w:after="0" w:line="229" w:lineRule="exact"/>
        <w:rPr>
          <w:sz w:val="20"/>
          <w:szCs w:val="20"/>
          <w:color w:val="auto"/>
        </w:rPr>
      </w:pPr>
    </w:p>
    <w:p>
      <w:pPr>
        <w:ind w:left="4" w:right="140" w:firstLine="440"/>
        <w:spacing w:after="0" w:line="272" w:lineRule="auto"/>
        <w:rPr>
          <w:sz w:val="20"/>
          <w:szCs w:val="20"/>
          <w:color w:val="auto"/>
        </w:rPr>
      </w:pPr>
      <w:r>
        <w:rPr>
          <w:rFonts w:ascii="Arial" w:cs="Arial" w:eastAsia="Arial" w:hAnsi="Arial"/>
          <w:sz w:val="17"/>
          <w:szCs w:val="17"/>
          <w:color w:val="auto"/>
        </w:rPr>
        <w:t>Unless indicated otherwise, the information concerning the industries in which Embecta participates contained in this information statement is based on Embecta’s general knowledge of and expectations concerning the industry. Embecta’s competitive position and industry size are based on estimates using Embecta’s internal data and estimates, data from various industry analyses, our internal research and adjustments and assumptions that we believe to be reasonable. In addition, Embecta believes that data regarding industry size and its competitive position within such industry provide general guidance but are inherently imprecise. Further, Embecta’s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4"/>
          </w:cols>
          <w:pgMar w:left="436" w:top="274" w:right="47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QUESTIONS AND ANSWERS ABOUT THE SEPARATION AND DISTRIBUTION</w:t>
      </w:r>
    </w:p>
    <w:p>
      <w:pPr>
        <w:sectPr>
          <w:pgSz w:w="11900" w:h="16838" w:orient="portrait"/>
          <w:cols w:equalWidth="0" w:num="1">
            <w:col w:w="10980"/>
          </w:cols>
          <w:pgMar w:left="440" w:top="270" w:right="479" w:bottom="1440" w:gutter="0" w:footer="0" w:header="0"/>
        </w:sect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What is Embecta and why is BD separating the diabetes care business and distributing Embecta common stock?</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Embecta, which is currently a wholly owned subsidiary of BD, was formed to hold the diabetes care business. BD intends to separate its diabetes care business from the rest of BD by distributing all of the outstanding Embecta common stock to BD shareholders as of the record date for the distribution. The separation of the diabetes care business from BD is intended, among other things, to enable the management of the two companies to pursue opportunities for long-term growth and profitability unique to each company’s businesses and to allow each company to more effectively implement the distinct capital allocation strategies of these businesses. BD expects that the separation will result in enhanced long-term performance of the businesses held by both BD and Embecta for the reasons discussed in the section entitled “The Separation and Distribution— Reasons for the Separation.”</w:t>
      </w:r>
    </w:p>
    <w:p>
      <w:pPr>
        <w:spacing w:after="0" w:line="185" w:lineRule="exact"/>
        <w:rPr>
          <w:sz w:val="20"/>
          <w:szCs w:val="20"/>
          <w:color w:val="auto"/>
        </w:rPr>
      </w:pPr>
    </w:p>
    <w:p>
      <w:pPr>
        <w:sectPr>
          <w:pgSz w:w="11900" w:h="16838" w:orient="portrait"/>
          <w:cols w:equalWidth="0" w:num="2">
            <w:col w:w="3560" w:space="300"/>
            <w:col w:w="7120"/>
          </w:cols>
          <w:pgMar w:left="44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BD is delivering this document to you because you are a holder of shares of BD common stock. If you are a holder of shares of BD common stock as of the close of business on March 22, 2022, the record date of the distribution, you will be entitled to receive one share of Embecta common stock for every five shares of BD common stock that you hold at the close of business on such date. This document will help you understand how the separation and distribution will affect your post-separation ownership in BD and Embecta.</w:t>
      </w:r>
    </w:p>
    <w:p>
      <w:pPr>
        <w:spacing w:after="0" w:line="192"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line="308" w:lineRule="auto"/>
        <w:rPr>
          <w:sz w:val="20"/>
          <w:szCs w:val="20"/>
          <w:color w:val="auto"/>
        </w:rPr>
      </w:pPr>
      <w:r>
        <w:rPr>
          <w:rFonts w:ascii="Arial" w:cs="Arial" w:eastAsia="Arial" w:hAnsi="Arial"/>
          <w:sz w:val="17"/>
          <w:szCs w:val="17"/>
          <w:b w:val="1"/>
          <w:bCs w:val="1"/>
          <w:i w:val="1"/>
          <w:iCs w:val="1"/>
          <w:color w:val="auto"/>
        </w:rPr>
        <w:t>How will the separation of the diabetes care business from BD work?</w:t>
      </w:r>
    </w:p>
    <w:p>
      <w:pPr>
        <w:spacing w:after="0" w:line="20" w:lineRule="exact"/>
        <w:rPr>
          <w:sz w:val="20"/>
          <w:szCs w:val="20"/>
          <w:color w:val="auto"/>
        </w:rPr>
      </w:pPr>
      <w:r>
        <w:rPr>
          <w:sz w:val="20"/>
          <w:szCs w:val="20"/>
          <w:color w:val="auto"/>
        </w:rPr>
        <w:br w:type="column"/>
      </w:r>
    </w:p>
    <w:p>
      <w:pPr>
        <w:ind w:right="40"/>
        <w:spacing w:after="0" w:line="271" w:lineRule="auto"/>
        <w:rPr>
          <w:sz w:val="20"/>
          <w:szCs w:val="20"/>
          <w:color w:val="auto"/>
        </w:rPr>
      </w:pPr>
      <w:r>
        <w:rPr>
          <w:rFonts w:ascii="Arial" w:cs="Arial" w:eastAsia="Arial" w:hAnsi="Arial"/>
          <w:sz w:val="17"/>
          <w:szCs w:val="17"/>
          <w:color w:val="auto"/>
        </w:rPr>
        <w:t>As part of the separation, BD and its subsidiaries expect to conduct an internal reorganization (which this information statement refers to as the “internal reorganization”) in order to transfer BD’s diabetes care business to Embecta. BD will then distribute all of the outstanding shares of Embecta common stock to BD shareholders as of the record date on a pro rata basis. The distribution is intended to be tax-free to BD and BD shareholders for U.S. federal income tax purposes (other than any cash that BD shareholders receive in lieu of fractional shares). Following the separation, the number of shares of BD common stock you own will not change as a result of the separation.</w:t>
      </w:r>
    </w:p>
    <w:p>
      <w:pPr>
        <w:spacing w:after="0" w:line="178" w:lineRule="exact"/>
        <w:rPr>
          <w:sz w:val="20"/>
          <w:szCs w:val="20"/>
          <w:color w:val="auto"/>
        </w:rPr>
      </w:pPr>
    </w:p>
    <w:p>
      <w:pPr>
        <w:sectPr>
          <w:pgSz w:w="11900" w:h="16838" w:orient="portrait"/>
          <w:cols w:equalWidth="0" w:num="2">
            <w:col w:w="3240" w:space="620"/>
            <w:col w:w="7120"/>
          </w:cols>
          <w:pgMar w:left="440" w:top="27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b w:val="1"/>
          <w:bCs w:val="1"/>
          <w:i w:val="1"/>
          <w:iCs w:val="1"/>
          <w:color w:val="auto"/>
        </w:rPr>
        <w:t>Why is the separation of Embecta structured as a distribution?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record date for the distribution?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ind w:right="360"/>
        <w:spacing w:after="0" w:line="286" w:lineRule="auto"/>
        <w:rPr>
          <w:sz w:val="20"/>
          <w:szCs w:val="20"/>
          <w:color w:val="auto"/>
        </w:rPr>
      </w:pPr>
      <w:r>
        <w:rPr>
          <w:rFonts w:ascii="Arial" w:cs="Arial" w:eastAsia="Arial" w:hAnsi="Arial"/>
          <w:sz w:val="17"/>
          <w:szCs w:val="17"/>
          <w:color w:val="auto"/>
        </w:rPr>
        <w:t>BD believes that a distribution of shares of Embecta common stock to BD shareholders that is tax-free for U.S. federal income tax purposes is an efficient way to separate the diabetes care business in a manner that will create long-term value for BD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will be the close of business on March 22, 2022.</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distribution is subject to a number of conditions, but subject to the satisfaction or waiver of such conditions, it is expected that the distribution will occur at 12:01 a.m., Eastern Time, on April 1, 2022, to holders of record of shares of BD common stock at the close of business on March 22, 2022, the record date for the distribution.</w:t>
      </w:r>
    </w:p>
    <w:p>
      <w:pPr>
        <w:spacing w:after="0" w:line="11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3640" w:space="220"/>
            <w:col w:w="7120"/>
          </w:cols>
          <w:pgMar w:left="440" w:top="270" w:right="479" w:bottom="1440" w:gutter="0" w:footer="0" w:header="0"/>
          <w:type w:val="continuous"/>
        </w:sectPr>
      </w:pPr>
    </w:p>
    <w:bookmarkStart w:id="210" w:name="page211"/>
    <w:bookmarkEnd w:id="210"/>
    <w:p>
      <w:pPr>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distribution?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Shareholders of BD as of the record date for the distribution are not required to take any action to receive Embecta common stock in the distribution, but you are urged to read this entire information statement carefully. No BD shareholder approval is required for the distribution, and you are not being asked for a proxy. You do not need to pay any consideration, exchange or surrender your existing shares of BD common stock or take any other action to receive your shares of Embecta common stock. Please do not send in your BD stock certificates. The distribution will not affect the number of outstanding shares of BD common stock or any rights of BD shareholders, although it will affect the market value of each outstanding share of BD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-1214120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3440" w:space="420"/>
            <w:col w:w="7160"/>
          </w:cols>
          <w:pgMar w:left="440" w:top="274" w:right="439" w:bottom="1440" w:gutter="0" w:footer="0" w:header="0"/>
        </w:sect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How will shares of Embecta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How many shares of Embecta common stock will I receive in the distribution?</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You will receive shares of Embecta common stock through the same channels that you currently use to hold or trade shares of BD common stock, whether through a brokerage account, 401(k) plan or other channels. Receipt of Embecta shares will be documented for you in the same manner that you typically receive shareholder updates, such as monthly broker statements and 401(k) statements.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you own shares of BD common stock as of the close of business on the record date for the distribution, including shares owned in certificate form, BD, with the assistance of Computershare Trust Company, N.A., the distribution agent for the distribution (the “distribution agent” or “Computershare”), will electronically distribute shares of Embecta common stock to you or to your brokerage firm on your behalf in book-entry form. Computershare will mail you a book-entry account statement that reflects your shares of Embecta common stock, or your bank or brokerage firm will credit your account for the shares.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You are entitled to receive one share of Embecta common stock for every five shares of BD common stock held by you as of close of business on the record date for the distribution. Based on 284,023,582 shares of BD common stock outstanding as of October 31, 2021, a total of approximately 56,804,716 shares of Embecta common stock will be distributed to BD’s shareholders. For additional information on the distribution, see “The Separation and Distribution.”</w:t>
      </w:r>
    </w:p>
    <w:p>
      <w:pPr>
        <w:spacing w:after="0" w:line="192" w:lineRule="exact"/>
        <w:rPr>
          <w:sz w:val="20"/>
          <w:szCs w:val="20"/>
          <w:color w:val="auto"/>
        </w:rPr>
      </w:pPr>
    </w:p>
    <w:p>
      <w:pPr>
        <w:sectPr>
          <w:pgSz w:w="11900" w:h="16838" w:orient="portrait"/>
          <w:cols w:equalWidth="0" w:num="2">
            <w:col w:w="3640" w:space="220"/>
            <w:col w:w="7160"/>
          </w:cols>
          <w:pgMar w:left="440" w:top="274" w:right="439" w:bottom="1440" w:gutter="0" w:footer="0" w:header="0"/>
          <w:type w:val="continuous"/>
        </w:sect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Will Embecta issue fractional shares of its common stock in the distribution?</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No. Embecta will not issue fractional shares of its common stock in the distribution. Fractional shares that BD shareholders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paid in lieu of fractional shares. A U.S. holder that receives cash in lieu of a fractional share of Embecta common stock in the distribution will generally be treated as having received such fractional share pursuant to the distribution and then as having sold such fractional share for cash. See “Material U.S. Federal Income Tax Consequences—Distribution”.</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140" w:space="720"/>
            <w:col w:w="7160"/>
          </w:cols>
          <w:pgMar w:left="440" w:top="274" w:right="43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5"/>
          <w:szCs w:val="15"/>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distribution is subject to the satisfaction (or waiver by BD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-338455</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116" w:lineRule="exact"/>
        <w:rPr>
          <w:sz w:val="20"/>
          <w:szCs w:val="20"/>
          <w:color w:val="auto"/>
        </w:rPr>
      </w:pPr>
    </w:p>
    <w:p>
      <w:pPr>
        <w:ind w:left="360" w:right="20" w:hanging="273"/>
        <w:spacing w:after="0" w:line="301"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U.S. Securities and Exchange Commission (the “SEC”) shall have declared effective the registration statement of which this information statement forms a part; there shall be no order suspending the effectiveness of the registration statement in effect; and there shall be no proceedings for such purposes having been instituted or threatened by the SEC;</w:t>
      </w:r>
    </w:p>
    <w:p>
      <w:pPr>
        <w:spacing w:after="0" w:line="62" w:lineRule="exact"/>
        <w:rPr>
          <w:rFonts w:ascii="Arial" w:cs="Arial" w:eastAsia="Arial" w:hAnsi="Arial"/>
          <w:sz w:val="16"/>
          <w:szCs w:val="16"/>
          <w:color w:val="auto"/>
        </w:rPr>
      </w:pPr>
    </w:p>
    <w:p>
      <w:pPr>
        <w:ind w:left="360" w:right="40" w:hanging="273"/>
        <w:spacing w:after="0" w:line="263" w:lineRule="auto"/>
        <w:tabs>
          <w:tab w:leader="none" w:pos="34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holders of record of shares of BD common stock at the close of business on March 22, 2022, the record date for the distribution;</w:t>
      </w:r>
    </w:p>
    <w:p>
      <w:pPr>
        <w:spacing w:after="0" w:line="89" w:lineRule="exact"/>
        <w:rPr>
          <w:rFonts w:ascii="Arial" w:cs="Arial" w:eastAsia="Arial" w:hAnsi="Arial"/>
          <w:sz w:val="18"/>
          <w:szCs w:val="18"/>
          <w:color w:val="auto"/>
        </w:rPr>
      </w:pPr>
    </w:p>
    <w:p>
      <w:pPr>
        <w:ind w:left="360" w:right="60" w:hanging="273"/>
        <w:spacing w:after="0" w:line="291"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BD shall have received (i) a private letter ruling from the Internal Revenue Service (the “IRS”), satisfactory to the BD Board of Directors, regarding certain U.S.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Internal Revenue Code of 1986, as amended (the “Code”) and such opinion shall not have been withdrawn or rescinded;</w:t>
      </w:r>
    </w:p>
    <w:p>
      <w:pPr>
        <w:spacing w:after="0" w:line="71" w:lineRule="exact"/>
        <w:rPr>
          <w:rFonts w:ascii="Arial" w:cs="Arial" w:eastAsia="Arial" w:hAnsi="Arial"/>
          <w:sz w:val="16"/>
          <w:szCs w:val="16"/>
          <w:color w:val="auto"/>
        </w:rPr>
      </w:pPr>
    </w:p>
    <w:p>
      <w:pPr>
        <w:ind w:left="360" w:right="160" w:hanging="273"/>
        <w:spacing w:after="0" w:line="273" w:lineRule="auto"/>
        <w:tabs>
          <w:tab w:leader="none" w:pos="34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shall have occurred in accordance with the separation and distribution agreement;</w:t>
      </w:r>
    </w:p>
    <w:p>
      <w:pPr>
        <w:spacing w:after="0" w:line="83" w:lineRule="exact"/>
        <w:rPr>
          <w:rFonts w:ascii="Arial" w:cs="Arial" w:eastAsia="Arial" w:hAnsi="Arial"/>
          <w:sz w:val="17"/>
          <w:szCs w:val="17"/>
          <w:color w:val="auto"/>
        </w:rPr>
      </w:pPr>
    </w:p>
    <w:p>
      <w:pPr>
        <w:ind w:left="360" w:hanging="273"/>
        <w:spacing w:after="0" w:line="257" w:lineRule="auto"/>
        <w:tabs>
          <w:tab w:leader="none" w:pos="34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BD Board of Directors shall have received one or more opinions from an independent appraisal firm acceptable to BD as to the solvency and financial viability of BD and Embecta after the completion of the distribution, in each case, in a form and substance acceptable to the BD Board of Directors in its sole and absolute discretion and such opinions shall not have been withdrawn or rescinded;</w:t>
      </w:r>
    </w:p>
    <w:p>
      <w:pPr>
        <w:spacing w:after="0" w:line="93" w:lineRule="exact"/>
        <w:rPr>
          <w:rFonts w:ascii="Arial" w:cs="Arial" w:eastAsia="Arial" w:hAnsi="Arial"/>
          <w:sz w:val="18"/>
          <w:szCs w:val="18"/>
          <w:color w:val="auto"/>
        </w:rPr>
      </w:pPr>
    </w:p>
    <w:p>
      <w:pPr>
        <w:ind w:left="360" w:right="340" w:hanging="273"/>
        <w:spacing w:after="0" w:line="259" w:lineRule="auto"/>
        <w:tabs>
          <w:tab w:leader="none" w:pos="34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shall have become effective or been accepted by the applicable government authority;</w:t>
      </w:r>
    </w:p>
    <w:p>
      <w:pPr>
        <w:spacing w:after="0" w:line="92" w:lineRule="exact"/>
        <w:rPr>
          <w:rFonts w:ascii="Arial" w:cs="Arial" w:eastAsia="Arial" w:hAnsi="Arial"/>
          <w:sz w:val="18"/>
          <w:szCs w:val="18"/>
          <w:color w:val="auto"/>
        </w:rPr>
      </w:pPr>
    </w:p>
    <w:p>
      <w:pPr>
        <w:ind w:left="360" w:right="40" w:hanging="273"/>
        <w:spacing w:after="0" w:line="277" w:lineRule="auto"/>
        <w:tabs>
          <w:tab w:leader="none" w:pos="34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75" w:lineRule="exact"/>
        <w:rPr>
          <w:rFonts w:ascii="Arial" w:cs="Arial" w:eastAsia="Arial" w:hAnsi="Arial"/>
          <w:sz w:val="18"/>
          <w:szCs w:val="18"/>
          <w:color w:val="auto"/>
        </w:rPr>
      </w:pPr>
    </w:p>
    <w:p>
      <w:pPr>
        <w:ind w:left="360" w:right="80" w:hanging="273"/>
        <w:spacing w:after="0" w:line="342"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there shall be no order, injunction or decree issued by any government authority of competent jurisdiction or other legal restraint or prohibition preventing the consummation of the</w:t>
      </w:r>
    </w:p>
    <w:p>
      <w:pPr>
        <w:spacing w:after="0" w:line="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220" w:space="640"/>
            <w:col w:w="7160"/>
          </w:cols>
          <w:pgMar w:left="440" w:top="490" w:right="4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What is the expected date of completion of the 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separation, the distribution or any of the related transactions pending or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-215900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1" w:lineRule="exact"/>
        <w:rPr>
          <w:sz w:val="20"/>
          <w:szCs w:val="20"/>
          <w:color w:val="auto"/>
        </w:rPr>
      </w:pPr>
    </w:p>
    <w:p>
      <w:pPr>
        <w:ind w:left="360" w:right="80" w:hanging="273"/>
        <w:spacing w:after="0" w:line="277" w:lineRule="auto"/>
        <w:tabs>
          <w:tab w:leader="none" w:pos="3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shares of Embecta common stock to be distributed shall have been accepted for listing on Nasdaq, subject to official notice of distribution;</w:t>
      </w:r>
    </w:p>
    <w:p>
      <w:pPr>
        <w:spacing w:after="0" w:line="75" w:lineRule="exact"/>
        <w:rPr>
          <w:rFonts w:ascii="Arial" w:cs="Arial" w:eastAsia="Arial" w:hAnsi="Arial"/>
          <w:sz w:val="18"/>
          <w:szCs w:val="18"/>
          <w:color w:val="auto"/>
        </w:rPr>
      </w:pPr>
    </w:p>
    <w:p>
      <w:pPr>
        <w:ind w:left="360" w:right="20" w:hanging="273"/>
        <w:spacing w:after="0" w:line="259" w:lineRule="auto"/>
        <w:tabs>
          <w:tab w:leader="none" w:pos="3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92" w:lineRule="exact"/>
        <w:rPr>
          <w:rFonts w:ascii="Arial" w:cs="Arial" w:eastAsia="Arial" w:hAnsi="Arial"/>
          <w:sz w:val="18"/>
          <w:szCs w:val="18"/>
          <w:color w:val="auto"/>
        </w:rPr>
      </w:pPr>
    </w:p>
    <w:p>
      <w:pPr>
        <w:jc w:val="both"/>
        <w:ind w:left="360" w:right="400" w:hanging="273"/>
        <w:spacing w:after="0" w:line="342" w:lineRule="auto"/>
        <w:tabs>
          <w:tab w:leader="none" w:pos="3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Embecta shall have completed Embecta-to-BD Distribution Transaction described under “Description of Material Indebtedness—Embecta-to-BD Distribution Transaction”; and</w:t>
      </w:r>
    </w:p>
    <w:p>
      <w:pPr>
        <w:spacing w:after="0" w:line="150" w:lineRule="exact"/>
        <w:rPr>
          <w:rFonts w:ascii="Arial" w:cs="Arial" w:eastAsia="Arial" w:hAnsi="Arial"/>
          <w:sz w:val="16"/>
          <w:szCs w:val="16"/>
          <w:color w:val="auto"/>
        </w:rPr>
      </w:pPr>
    </w:p>
    <w:p>
      <w:pPr>
        <w:ind w:left="360" w:right="40" w:hanging="273"/>
        <w:spacing w:after="0" w:line="286" w:lineRule="auto"/>
        <w:tabs>
          <w:tab w:leader="none" w:pos="34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there shall be no other events or developments existing or having occurred that, in the judgment of BD’s Board of Directors, in its sole and absolute discretion, makes it inadvisable to effect the separation, the distribution and the other related transactions.</w:t>
      </w:r>
    </w:p>
    <w:p>
      <w:pPr>
        <w:spacing w:after="0" w:line="19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BD and Embecta cannot assure you that any or all of these conditions will be met, or that the separation or distribution will be consummated even if all of the conditions are met. BD can decline at any time to go forward with the separation or distribution. In addition, BD may waive any of the conditions to the distribution. For a complete discussion of all of the conditions to the distribution, see “The Separation and Distribution—Conditions to the Distribution.”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completion and timing of the distribution are dependent upon a number of conditions. It is currently expected that the shares of Embecta common stock will be distributed by BD at 12:01 a.m., Eastern Time, on April 1, 2022, to the holders of record of shares of BD common stock at the close of business on March 22, 2022, the record date for the distribution. However, no assurance can be provided as to the timing of the distribution or that all conditions to the distribution will be met.</w:t>
      </w:r>
    </w:p>
    <w:p>
      <w:pPr>
        <w:spacing w:after="0" w:line="192" w:lineRule="exact"/>
        <w:rPr>
          <w:sz w:val="20"/>
          <w:szCs w:val="20"/>
          <w:color w:val="auto"/>
        </w:rPr>
      </w:pPr>
    </w:p>
    <w:p>
      <w:pPr>
        <w:sectPr>
          <w:pgSz w:w="11900" w:h="16838" w:orient="portrait"/>
          <w:cols w:equalWidth="0" w:num="2">
            <w:col w:w="3400" w:space="460"/>
            <w:col w:w="7120"/>
          </w:cols>
          <w:pgMar w:left="440" w:top="274" w:right="479" w:bottom="1440" w:gutter="0" w:footer="0" w:header="0"/>
        </w:sectPr>
      </w:pPr>
    </w:p>
    <w:p>
      <w:pPr>
        <w:spacing w:after="0" w:line="263" w:lineRule="auto"/>
        <w:rPr>
          <w:sz w:val="20"/>
          <w:szCs w:val="20"/>
          <w:color w:val="auto"/>
        </w:rPr>
      </w:pPr>
      <w:r>
        <w:rPr>
          <w:rFonts w:ascii="Arial" w:cs="Arial" w:eastAsia="Arial" w:hAnsi="Arial"/>
          <w:sz w:val="18"/>
          <w:szCs w:val="18"/>
          <w:b w:val="1"/>
          <w:bCs w:val="1"/>
          <w:i w:val="1"/>
          <w:iCs w:val="1"/>
          <w:color w:val="auto"/>
        </w:rPr>
        <w:t>Can BD decide to cancel the distribution of Embecta common stock even if all the conditions have been met?</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What if I want to sell my BD common stock or my Embecta common stock?</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Yes. Until the distribution has occurred, the BD Board of Directors has the right to terminate the distribution, even if all of the conditions described in the section entitled “The Separation and Distribution—Conditions to the Distribution” are satisfied.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consult with your financial advisors, such as your stock broker, bank or tax advisor. If you sell your shares of BD common stock in the “regular-way” market after the record date and before the distribution date, you also will be selling your right to receive shares of Embecta common stock in connection with the distribution.</w:t>
      </w:r>
    </w:p>
    <w:p>
      <w:pPr>
        <w:spacing w:after="0" w:line="187" w:lineRule="exact"/>
        <w:rPr>
          <w:sz w:val="20"/>
          <w:szCs w:val="20"/>
          <w:color w:val="auto"/>
        </w:rPr>
      </w:pPr>
    </w:p>
    <w:p>
      <w:pPr>
        <w:sectPr>
          <w:pgSz w:w="11900" w:h="16838" w:orient="portrait"/>
          <w:cols w:equalWidth="0" w:num="2">
            <w:col w:w="3620" w:space="240"/>
            <w:col w:w="7120"/>
          </w:cols>
          <w:pgMar w:left="440" w:top="274" w:right="479" w:bottom="1440" w:gutter="0" w:footer="0" w:header="0"/>
          <w:type w:val="continuous"/>
        </w:sectPr>
      </w:pPr>
    </w:p>
    <w:p>
      <w:pPr>
        <w:spacing w:after="0" w:line="342" w:lineRule="auto"/>
        <w:rPr>
          <w:sz w:val="20"/>
          <w:szCs w:val="20"/>
          <w:color w:val="auto"/>
        </w:rPr>
      </w:pPr>
      <w:r>
        <w:rPr>
          <w:rFonts w:ascii="Arial" w:cs="Arial" w:eastAsia="Arial" w:hAnsi="Arial"/>
          <w:sz w:val="16"/>
          <w:szCs w:val="16"/>
          <w:b w:val="1"/>
          <w:bCs w:val="1"/>
          <w:i w:val="1"/>
          <w:iCs w:val="1"/>
          <w:color w:val="auto"/>
        </w:rPr>
        <w:t>What is “regular-way” and “ex-distribution” trading of BD common stock?</w:t>
      </w:r>
    </w:p>
    <w:p>
      <w:pPr>
        <w:spacing w:after="0" w:line="20" w:lineRule="exact"/>
        <w:rPr>
          <w:sz w:val="20"/>
          <w:szCs w:val="20"/>
          <w:color w:val="auto"/>
        </w:rPr>
      </w:pPr>
      <w:r>
        <w:rPr>
          <w:sz w:val="20"/>
          <w:szCs w:val="20"/>
          <w:color w:val="auto"/>
        </w:rPr>
        <w:br w:type="column"/>
      </w:r>
    </w:p>
    <w:p>
      <w:pPr>
        <w:ind w:right="220"/>
        <w:spacing w:after="0" w:line="279" w:lineRule="auto"/>
        <w:rPr>
          <w:sz w:val="20"/>
          <w:szCs w:val="20"/>
          <w:color w:val="auto"/>
        </w:rPr>
      </w:pPr>
      <w:r>
        <w:rPr>
          <w:rFonts w:ascii="Arial" w:cs="Arial" w:eastAsia="Arial" w:hAnsi="Arial"/>
          <w:sz w:val="17"/>
          <w:szCs w:val="17"/>
          <w:color w:val="auto"/>
        </w:rPr>
        <w:t>Beginning on or shortly before the record date for the distribution and continuing up to and through the distribution date, Embecta expects that there will be two markets in BD common stock: a “regular-way” market and an “ex-distribution” market. BD common stock that trades in the “regular-way” market will trade with an entitlement to shares of</w:t>
      </w:r>
    </w:p>
    <w:p>
      <w:pPr>
        <w:spacing w:after="0" w:line="10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320" w:space="540"/>
            <w:col w:w="7120"/>
          </w:cols>
          <w:pgMar w:left="440" w:top="274" w:right="479" w:bottom="1440" w:gutter="0" w:footer="0" w:header="0"/>
          <w:type w:val="continuous"/>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Where will I be able to trade shares of Embecta common stock?</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Embecta common stock distributed pursuant to the distribution. Shares that trade in the “ex-distribution” market will trade without an entitlement to Embecta common stock distributed pursuant to the distribution. If you are the registered holder of your shares and want to sell your shares, you should determine whether you want to sell your shares with or without an entitlement to shares of Embecta common stock in the distribution, and make any trades in the “regular way” or “ex-distribution” market accordingly. If you decide to sell any shares of BD common stock before the distribution date and hold your shares in “street name,” you should make sure your stockbroker, bank or other nominee understands whether you want to sell your BD common stock with or without your entitlement to Embecta common stock pursuant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-1350645</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Embecta’s common stock has been approved for listing subject to official notice of issuance on Nasdaq under the symbol “EMBC.” It is anticipated that trading in shares of Embecta common stock will begin on a “when-issued” basis on or shortly before the record date for the distribution and will continue up to and through the distribution date, and that “regular-way” trading in Embecta common stock will begin on the first trading day following the completion of the distribution. If trading begins on a “when-issued” basis, you may purchase or sell Embecta common stock up to and through the distribution date, but your transaction will not settle until after the distribution date. Embecta cannot predict the trading prices for its common stock before, on or after the distribution date.</w:t>
      </w:r>
    </w:p>
    <w:p>
      <w:pPr>
        <w:spacing w:after="0" w:line="181" w:lineRule="exact"/>
        <w:rPr>
          <w:sz w:val="20"/>
          <w:szCs w:val="20"/>
          <w:color w:val="auto"/>
        </w:rPr>
      </w:pPr>
    </w:p>
    <w:p>
      <w:pPr>
        <w:sectPr>
          <w:pgSz w:w="11900" w:h="16838" w:orient="portrait"/>
          <w:cols w:equalWidth="0" w:num="2">
            <w:col w:w="3500" w:space="360"/>
            <w:col w:w="7100"/>
          </w:cols>
          <w:pgMar w:left="440" w:top="274" w:right="499" w:bottom="1440" w:gutter="0" w:footer="0" w:header="0"/>
        </w:sect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What will happen to the listing of BD common stock?</w:t>
      </w:r>
    </w:p>
    <w:p>
      <w:pPr>
        <w:spacing w:after="0" w:line="170"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Will the number of shares of BD common stock that I own change as a result of the distribution?</w:t>
      </w:r>
    </w:p>
    <w:p>
      <w:pPr>
        <w:spacing w:after="0" w:line="1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Will the distribution affect the market price of my BD common stock?</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BD common stock will continue to trade on the NYSE after the distribution under the symbol “BDX.”</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The number of shares of BD common stock that you own will not change as a result of the distribution.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Yes. As a result of the distribution, it is expected that the trading price of shares of BD common stock immediately following the distribution will be different from the “regular-way” trading price of such shares immediately prior to the distribution because the trading price of BD common stock will no longer reflect the value of the diabetes care business. There can be no assurance whether the sum of the market value of the BD common stock and the Embecta common stock following the separation will be higher or lower than the market value of BD common stock if the separation did not occur. This means, for example, that the combined trading prices of five shares of BD common stock and one share of Embecta common stock after the distribution may be equal to, greater than or less than the trading price of five shares of BD common stock before the distribution.</w:t>
      </w:r>
    </w:p>
    <w:p>
      <w:pPr>
        <w:spacing w:after="0" w:line="1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620" w:space="240"/>
            <w:col w:w="7100"/>
          </w:cols>
          <w:pgMar w:left="440" w:top="274" w:right="499" w:bottom="1440" w:gutter="0" w:footer="0" w:header="0"/>
          <w:type w:val="continuous"/>
        </w:sectPr>
      </w:pPr>
    </w:p>
    <w:bookmarkStart w:id="214" w:name="page215"/>
    <w:bookmarkEnd w:id="214"/>
    <w:p>
      <w:pPr>
        <w:ind w:right="180"/>
        <w:spacing w:after="0" w:line="263" w:lineRule="auto"/>
        <w:rPr>
          <w:sz w:val="20"/>
          <w:szCs w:val="20"/>
          <w:color w:val="auto"/>
        </w:rPr>
      </w:pPr>
      <w:r>
        <w:rPr>
          <w:rFonts w:ascii="Arial" w:cs="Arial" w:eastAsia="Arial" w:hAnsi="Arial"/>
          <w:sz w:val="18"/>
          <w:szCs w:val="18"/>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What will Embecta’s relationship be with BD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will manage Embecta after the separation?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Embecta common stock?</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It is a condition to the distribution that BD receive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-1058545</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Assuming that the distribution, together with certain related transactions, so qualifies, you will not recognize gain or loss or otherwise include any amount in income for U.S. federal income tax purposes upon your receipt of Embecta common stock in the distribution. You will, however, recognize gain or loss for U.S. federal income tax purposes with respect to cash received in lieu of a fractional share of Embecta common stock.</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more information regarding the U.S. federal income tax consequences of the distribution, see the section entitled “Material U.S. Federal Income Tax Consequences.” You should consult your own tax advisor as to the particular tax consequences of the distribution to you, including the applicability and effect of any U.S. federal, state and local tax laws, as well as any non-U.S. tax laws.</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After the distribution, BD and Embecta will be separate companies with separate management teams and separate boards of directors. BD and Embecta will enter into a separation and distribution agreement to effect the separation and to provide a framework for Embecta’s relationship with BD after the separation, and they will enter 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Embecta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18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Embecta’s management team will be led by Devdatt (Dev) Kurdikar, who will be Embecta’s President and Chief Executive Officer. For more information regarding Embecta’s management and directors, see “Management” and “Directors.”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Yes. Ownership of Embecta common stock is subject to both general and specific risks relating to its business, the industry in which it operates, its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580" w:space="280"/>
            <w:col w:w="7100"/>
          </w:cols>
          <w:pgMar w:left="440" w:top="274" w:right="49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Does Embecta plan to pay dividends and does BD plan to change its dividend policy following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Will Embecta incur any indebtedness prior to or at the time of the distribution?</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ongoing contractual relationships with BD and its status as a separate, publicly traded company. Ownership of Embecta common stock is also subject to risks relating to the separation. Certain of these risks are described in the “Risk Factors” section of this information statement. We encourage you to read that section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-652145</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Prior to the completion of the separation and distribution, Embecta’s Board of Directors will adopt a policy with respect to the payment of dividends on Embecta common stock following the separation and distribution. Embecta currently expects that it will initially pay a regular cash dividend following the separation and distribution. Embecta expects that its targeted dividend payout will be approximately 20% as a percentage of post-separation net income. However, the timing, declaration, amount of, and payment of any dividends following the separation and the distribution will be within the discretion of Embecta’s Board of Directors and will depend upon many factors, and there can be no assurances that Embecta will continue to pay a dividend in the future. See “Dividend Policy.”</w:t>
      </w:r>
    </w:p>
    <w:p>
      <w:pPr>
        <w:spacing w:after="0" w:line="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BD previously announced that it does not expect the spin-off to affect its current dividend policy. There can also be no assurance that, after the separation and distribution, the combined annual dividends on the common stock of Embecta and BD, if any, will be equal to the annual dividends on BD common stock prior to the separation and distribution.</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Yes. 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However, prior to the completion of the distribution, BD may cause Embecta to issue to BD debt instruments of Embecta on terms and conditions determined by BD (any such debt instruments, the “Exchange Debt”). BD would use any such Exchange Debt to retire some of BD’s existing debt in a debt-for-debt exchange transaction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the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less (b) the aggregate principal amount of any such Exchange Debt. In addition, in the event that BD determines that Embecta shall issue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7"/>
          <w:szCs w:val="17"/>
          <w:i w:val="1"/>
          <w:iCs w:val="1"/>
          <w:color w:val="auto"/>
        </w:rPr>
        <w:t>less</w:t>
      </w:r>
      <w:r>
        <w:rPr>
          <w:rFonts w:ascii="Arial" w:cs="Arial" w:eastAsia="Arial" w:hAnsi="Arial"/>
          <w:sz w:val="17"/>
          <w:szCs w:val="17"/>
          <w:color w:val="auto"/>
        </w:rPr>
        <w:t xml:space="preserve"> (2) the aggregate</w:t>
      </w:r>
    </w:p>
    <w:p>
      <w:pPr>
        <w:spacing w:after="0" w:line="1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560" w:space="300"/>
            <w:col w:w="7160"/>
          </w:cols>
          <w:pgMar w:left="440" w:top="274" w:right="4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Embecta common stock?</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Where can I find more information about BD and Embecta?</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principal amount of any such Exchange Debt. We refer to the cash dividend, taken together with the issuance of the Exchange Debt, if applicable, as the “Embecta-to-BD Distribution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-516890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distribution agent, transfer agent and registrar for the Embecta common stock will be Computershare. For questions relating to the transfer or mechanics of the stock distribution, you should contact Computershare toll free at 877-498-8861 or non-toll free at +1-781-575-2879.</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Before the distribution, if you have any questions relating to BD’s business performance, you should contact: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 Department</w:t>
      </w:r>
    </w:p>
    <w:p>
      <w:pPr>
        <w:spacing w:after="0" w:line="2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After the distribution, Embecta shareholders who have any questions relating to Embecta’s business performance should contact Embecta at: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Embecta investor website (</w:t>
      </w:r>
      <w:r>
        <w:rPr>
          <w:rFonts w:ascii="Arial" w:cs="Arial" w:eastAsia="Arial" w:hAnsi="Arial"/>
          <w:sz w:val="16"/>
          <w:szCs w:val="16"/>
          <w:i w:val="1"/>
          <w:iCs w:val="1"/>
          <w:color w:val="auto"/>
        </w:rPr>
        <w:t>www.embecta.com</w:t>
      </w:r>
      <w:r>
        <w:rPr>
          <w:rFonts w:ascii="Arial" w:cs="Arial" w:eastAsia="Arial" w:hAnsi="Arial"/>
          <w:sz w:val="16"/>
          <w:szCs w:val="16"/>
          <w:color w:val="auto"/>
        </w:rPr>
        <w:t>) will be operational on or around April 1, 2022.</w:t>
      </w:r>
    </w:p>
    <w:p>
      <w:pPr>
        <w:spacing w:after="0" w:line="4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The Embecta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540" w:space="320"/>
            <w:col w:w="7080"/>
          </w:cols>
          <w:pgMar w:left="440" w:top="274" w:right="51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883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6088380"/>
                    </a:xfrm>
                    <a:prstGeom prst="rect">
                      <a:avLst/>
                    </a:prstGeom>
                    <a:noFill/>
                  </pic:spPr>
                </pic:pic>
              </a:graphicData>
            </a:graphic>
          </wp:anchor>
        </w:drawing>
        <w:t>INFORMATION STATEMENT SUMMARY</w:t>
      </w:r>
    </w:p>
    <w:p>
      <w:pPr>
        <w:spacing w:after="0" w:line="229" w:lineRule="exact"/>
        <w:rPr>
          <w:sz w:val="20"/>
          <w:szCs w:val="20"/>
          <w:color w:val="auto"/>
        </w:rPr>
      </w:pPr>
    </w:p>
    <w:p>
      <w:pPr>
        <w:ind w:right="20" w:firstLine="426"/>
        <w:spacing w:after="0" w:line="270"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or other information that may be important to you. To better understand the separation and Embecta’s business and financial position, you should carefully review this entire information statement. Unless the context otherwise requires, the information included in this information statement about Embecta, including the Combined Financial Statements of the Diabetes Care Business, assumes the completion of all of the transactions referred to in this information statement in connection with the separation and distribution. Unless the context otherwise requires, or when otherwise specified, references in this information statement to “Embecta,” “we,” “us,” “our,” “our company” and “the company” refer to Embecta Corp., a Delaware corporation, and its subsidiaries. Unless the context otherwise requires, references in this information statement to “BD” refer to Becton, Dickinson and Company, a New Jersey corporation, and its consolidated subsidiaries, including the diabetes care business prior to completion of the separation.</w:t>
      </w:r>
    </w:p>
    <w:p>
      <w:pPr>
        <w:spacing w:after="0" w:line="181" w:lineRule="exact"/>
        <w:rPr>
          <w:sz w:val="20"/>
          <w:szCs w:val="20"/>
          <w:color w:val="auto"/>
        </w:rPr>
      </w:pPr>
    </w:p>
    <w:p>
      <w:pPr>
        <w:jc w:val="both"/>
        <w:ind w:right="240" w:firstLine="426"/>
        <w:spacing w:after="0" w:line="311" w:lineRule="auto"/>
        <w:rPr>
          <w:sz w:val="20"/>
          <w:szCs w:val="20"/>
          <w:color w:val="auto"/>
        </w:rPr>
      </w:pPr>
      <w:r>
        <w:rPr>
          <w:rFonts w:ascii="Arial" w:cs="Arial" w:eastAsia="Arial" w:hAnsi="Arial"/>
          <w:sz w:val="16"/>
          <w:szCs w:val="16"/>
          <w:i w:val="1"/>
          <w:iCs w:val="1"/>
          <w:color w:val="auto"/>
        </w:rPr>
        <w:t>Unless the context otherwise requires, or when otherwise specified, references in this information statement to Embecta’s historical assets, liabilities, products, businesses or activities of Embecta’s businesses are generally intended to refer to the historical assets, liabilities, products, businesses or activities of the diabetes care business of BD as it was conducted as part of BD prior to completion of the separation.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color w:val="auto"/>
        </w:rPr>
        <w:t>Embecta is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right="20" w:firstLine="426"/>
        <w:spacing w:after="0" w:line="254" w:lineRule="auto"/>
        <w:rPr>
          <w:sz w:val="20"/>
          <w:szCs w:val="20"/>
          <w:color w:val="auto"/>
        </w:rPr>
      </w:pPr>
      <w:r>
        <w:rPr>
          <w:rFonts w:ascii="Arial" w:cs="Arial" w:eastAsia="Arial" w:hAnsi="Arial"/>
          <w:sz w:val="18"/>
          <w:szCs w:val="18"/>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92" w:lineRule="exact"/>
        <w:rPr>
          <w:sz w:val="20"/>
          <w:szCs w:val="20"/>
          <w:color w:val="auto"/>
        </w:rPr>
      </w:pPr>
    </w:p>
    <w:p>
      <w:pPr>
        <w:ind w:right="60" w:firstLine="426"/>
        <w:spacing w:after="0" w:line="254" w:lineRule="auto"/>
        <w:rPr>
          <w:sz w:val="20"/>
          <w:szCs w:val="20"/>
          <w:color w:val="auto"/>
        </w:rPr>
      </w:pPr>
      <w:r>
        <w:rPr>
          <w:rFonts w:ascii="Arial" w:cs="Arial" w:eastAsia="Arial" w:hAnsi="Arial"/>
          <w:sz w:val="18"/>
          <w:szCs w:val="18"/>
          <w:color w:val="auto"/>
        </w:rPr>
        <w:t>In addition to selling pen needles, syringes and safety devices, we seek to promote advances in diabetes care through thought leadership and engagement with people with diabetes, healthcare providers and other stakeholders. To foster connection with and offer support to people with diabetes, we launched our diabetes care app (the “diabetes care app”) in 2018. The diabetes care app serves as a channel for our support, education of and engagement with this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for healthcare professionals and people with diabetes globally. FITTER seeks to</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20"/>
          </w:cols>
          <w:pgMar w:left="620" w:top="459" w:right="659" w:bottom="1440" w:gutter="0" w:footer="0" w:header="0"/>
        </w:sectPr>
      </w:pPr>
    </w:p>
    <w:bookmarkStart w:id="218" w:name="page219"/>
    <w:bookmarkEnd w:id="21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055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6105525"/>
                    </a:xfrm>
                    <a:prstGeom prst="rect">
                      <a:avLst/>
                    </a:prstGeom>
                    <a:noFill/>
                  </pic:spPr>
                </pic:pic>
              </a:graphicData>
            </a:graphic>
          </wp:anchor>
        </w:drawing>
        <w:t>promote evidence-based clinical best practice, safety and self-care of diabetes injectable and infusion therapies for improved health outcomes, well-being, lower healthcare costs and reduced burden on care providers and the wider society.</w:t>
      </w:r>
    </w:p>
    <w:p>
      <w:pPr>
        <w:spacing w:after="0" w:line="170" w:lineRule="exact"/>
        <w:rPr>
          <w:sz w:val="20"/>
          <w:szCs w:val="20"/>
          <w:color w:val="auto"/>
        </w:rPr>
      </w:pPr>
    </w:p>
    <w:p>
      <w:pPr>
        <w:ind w:right="20" w:firstLine="426"/>
        <w:spacing w:after="0" w:line="269" w:lineRule="auto"/>
        <w:rPr>
          <w:sz w:val="20"/>
          <w:szCs w:val="20"/>
          <w:color w:val="auto"/>
        </w:rPr>
      </w:pPr>
      <w:r>
        <w:rPr>
          <w:rFonts w:ascii="Arial" w:cs="Arial" w:eastAsia="Arial" w:hAnsi="Arial"/>
          <w:sz w:val="17"/>
          <w:szCs w:val="17"/>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9" w:lineRule="exact"/>
        <w:rPr>
          <w:sz w:val="20"/>
          <w:szCs w:val="20"/>
          <w:color w:val="auto"/>
        </w:rPr>
      </w:pPr>
    </w:p>
    <w:p>
      <w:pPr>
        <w:ind w:right="20" w:firstLine="426"/>
        <w:spacing w:after="0" w:line="254" w:lineRule="auto"/>
        <w:rPr>
          <w:sz w:val="20"/>
          <w:szCs w:val="20"/>
          <w:color w:val="auto"/>
        </w:rPr>
      </w:pPr>
      <w:r>
        <w:rPr>
          <w:rFonts w:ascii="Arial" w:cs="Arial" w:eastAsia="Arial" w:hAnsi="Arial"/>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940" w:hanging="415"/>
        <w:spacing w:after="0" w:line="291" w:lineRule="auto"/>
        <w:tabs>
          <w:tab w:leader="none" w:pos="940" w:val="left"/>
        </w:tabs>
        <w:numPr>
          <w:ilvl w:val="0"/>
          <w:numId w:val="286"/>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940" w:right="20" w:hanging="415"/>
        <w:spacing w:after="0" w:line="255" w:lineRule="auto"/>
        <w:tabs>
          <w:tab w:leader="none" w:pos="940" w:val="left"/>
        </w:tabs>
        <w:numPr>
          <w:ilvl w:val="0"/>
          <w:numId w:val="286"/>
        </w:numPr>
        <w:rPr>
          <w:rFonts w:ascii="Arial" w:cs="Arial" w:eastAsia="Arial" w:hAnsi="Arial"/>
          <w:sz w:val="18"/>
          <w:szCs w:val="18"/>
          <w:color w:val="auto"/>
        </w:rPr>
      </w:pPr>
      <w:r>
        <w:rPr>
          <w:rFonts w:ascii="Arial" w:cs="Arial" w:eastAsia="Arial" w:hAnsi="Arial"/>
          <w:sz w:val="18"/>
          <w:szCs w:val="18"/>
          <w:b w:val="1"/>
          <w:bCs w:val="1"/>
          <w:i w:val="1"/>
          <w:iCs w:val="1"/>
          <w:color w:val="auto"/>
        </w:rPr>
        <w:t>Globally recognized franchise with 95-year history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we have a reputation among people with diabetes and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40"/>
          </w:cols>
          <w:pgMar w:left="620" w:top="463" w:right="639" w:bottom="1440" w:gutter="0" w:footer="0" w:header="0"/>
        </w:sectPr>
      </w:pPr>
    </w:p>
    <w:bookmarkStart w:id="219" w:name="page220"/>
    <w:bookmarkEnd w:id="219"/>
    <w:p>
      <w:pPr>
        <w:ind w:left="42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71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771515"/>
                    </a:xfrm>
                    <a:prstGeom prst="rect">
                      <a:avLst/>
                    </a:prstGeom>
                    <a:noFill/>
                  </pic:spPr>
                </pic:pic>
              </a:graphicData>
            </a:graphic>
          </wp:anchor>
        </w:drawing>
        <w:t>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86" w:lineRule="exact"/>
        <w:rPr>
          <w:sz w:val="20"/>
          <w:szCs w:val="20"/>
          <w:color w:val="auto"/>
        </w:rPr>
      </w:pPr>
    </w:p>
    <w:p>
      <w:pPr>
        <w:ind w:left="420" w:right="20" w:hanging="415"/>
        <w:spacing w:after="0" w:line="269" w:lineRule="auto"/>
        <w:tabs>
          <w:tab w:leader="none" w:pos="420" w:val="left"/>
        </w:tabs>
        <w:numPr>
          <w:ilvl w:val="0"/>
          <w:numId w:val="287"/>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420" w:hanging="415"/>
        <w:spacing w:after="0" w:line="288" w:lineRule="auto"/>
        <w:tabs>
          <w:tab w:leader="none" w:pos="420" w:val="left"/>
        </w:tabs>
        <w:numPr>
          <w:ilvl w:val="0"/>
          <w:numId w:val="287"/>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800,000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420" w:right="20" w:hanging="415"/>
        <w:spacing w:after="0" w:line="270" w:lineRule="auto"/>
        <w:tabs>
          <w:tab w:leader="none" w:pos="420" w:val="left"/>
        </w:tabs>
        <w:numPr>
          <w:ilvl w:val="0"/>
          <w:numId w:val="287"/>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devices 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w:t>
      </w:r>
    </w:p>
    <w:p>
      <w:pPr>
        <w:spacing w:after="0" w:line="28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80"/>
          </w:cols>
          <w:pgMar w:left="1140" w:top="463" w:right="679" w:bottom="1440" w:gutter="0" w:footer="0" w:header="0"/>
        </w:sectPr>
      </w:pPr>
    </w:p>
    <w:bookmarkStart w:id="220" w:name="page221"/>
    <w:bookmarkEnd w:id="220"/>
    <w:p>
      <w:pPr>
        <w:ind w:left="940"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48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848350"/>
                    </a:xfrm>
                    <a:prstGeom prst="rect">
                      <a:avLst/>
                    </a:prstGeom>
                    <a:noFill/>
                  </pic:spPr>
                </pic:pic>
              </a:graphicData>
            </a:graphic>
          </wp:anchor>
        </w:drawing>
        <w:t>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63" w:lineRule="exact"/>
        <w:rPr>
          <w:sz w:val="20"/>
          <w:szCs w:val="20"/>
          <w:color w:val="auto"/>
        </w:rPr>
      </w:pPr>
    </w:p>
    <w:p>
      <w:pPr>
        <w:ind w:left="940" w:right="440" w:hanging="415"/>
        <w:spacing w:after="0" w:line="259" w:lineRule="auto"/>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b w:val="1"/>
          <w:bCs w:val="1"/>
          <w:i w:val="1"/>
          <w:iCs w:val="1"/>
          <w:color w:val="auto"/>
        </w:rPr>
        <w:t>Proven executive leadership and a highly motivated workforce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assembled an experienced and accomplished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Our leadership and employees are energized by the prospect of being part of a leading pure-play leader in the diabetes space and are excited at the prospect of driving continued innovation and improvements in the standard of diabetes care globally.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jc w:val="both"/>
        <w:ind w:left="940" w:right="80" w:hanging="415"/>
        <w:spacing w:after="0" w:line="287" w:lineRule="auto"/>
        <w:tabs>
          <w:tab w:leader="none" w:pos="940" w:val="left"/>
        </w:tabs>
        <w:numPr>
          <w:ilvl w:val="0"/>
          <w:numId w:val="289"/>
        </w:numPr>
        <w:rPr>
          <w:rFonts w:ascii="Arial" w:cs="Arial" w:eastAsia="Arial" w:hAnsi="Arial"/>
          <w:sz w:val="16"/>
          <w:szCs w:val="16"/>
          <w:color w:val="auto"/>
        </w:rPr>
      </w:pPr>
      <w:r>
        <w:rPr>
          <w:rFonts w:ascii="Arial" w:cs="Arial" w:eastAsia="Arial" w:hAnsi="Arial"/>
          <w:sz w:val="16"/>
          <w:szCs w:val="16"/>
          <w:b w:val="1"/>
          <w:bCs w:val="1"/>
          <w:i w:val="1"/>
          <w:iCs w:val="1"/>
          <w:color w:val="auto"/>
        </w:rPr>
        <w:t>Increase use of our products through sales and marketing efforts, education and diabetes management solutions</w:t>
      </w:r>
      <w:r>
        <w:rPr>
          <w:rFonts w:ascii="Arial" w:cs="Arial" w:eastAsia="Arial" w:hAnsi="Arial"/>
          <w:sz w:val="16"/>
          <w:szCs w:val="16"/>
          <w:color w:val="auto"/>
        </w:rPr>
        <w:t>. According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Diabetes Federation (the “IDF”), approximately 537 million adults (aged 20-79) worldwide were living with diabetes in 2021, including those who are not yet diagnosed, and the number is projected to increase to 643 million adults by 2030 and</w:t>
      </w:r>
    </w:p>
    <w:p>
      <w:pPr>
        <w:spacing w:after="0" w:line="2" w:lineRule="exact"/>
        <w:rPr>
          <w:rFonts w:ascii="Arial" w:cs="Arial" w:eastAsia="Arial" w:hAnsi="Arial"/>
          <w:sz w:val="16"/>
          <w:szCs w:val="16"/>
          <w:color w:val="auto"/>
        </w:rPr>
      </w:pPr>
    </w:p>
    <w:p>
      <w:pPr>
        <w:ind w:left="940" w:right="20"/>
        <w:spacing w:after="0" w:line="268" w:lineRule="auto"/>
        <w:rPr>
          <w:rFonts w:ascii="Arial" w:cs="Arial" w:eastAsia="Arial" w:hAnsi="Arial"/>
          <w:sz w:val="16"/>
          <w:szCs w:val="16"/>
          <w:color w:val="auto"/>
        </w:rPr>
      </w:pPr>
      <w:r>
        <w:rPr>
          <w:rFonts w:ascii="Arial" w:cs="Arial" w:eastAsia="Arial" w:hAnsi="Arial"/>
          <w:sz w:val="17"/>
          <w:szCs w:val="17"/>
          <w:color w:val="auto"/>
        </w:rPr>
        <w:t>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8" w:lineRule="exact"/>
        <w:rPr>
          <w:rFonts w:ascii="Arial" w:cs="Arial" w:eastAsia="Arial" w:hAnsi="Arial"/>
          <w:sz w:val="16"/>
          <w:szCs w:val="16"/>
          <w:color w:val="auto"/>
        </w:rPr>
      </w:pPr>
    </w:p>
    <w:p>
      <w:pPr>
        <w:ind w:left="940" w:hanging="415"/>
        <w:spacing w:after="0" w:line="290" w:lineRule="auto"/>
        <w:tabs>
          <w:tab w:leader="none" w:pos="940" w:val="left"/>
        </w:tabs>
        <w:numPr>
          <w:ilvl w:val="0"/>
          <w:numId w:val="289"/>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940" w:right="40" w:hanging="415"/>
        <w:spacing w:after="0" w:line="291" w:lineRule="auto"/>
        <w:tabs>
          <w:tab w:leader="none" w:pos="940" w:val="left"/>
        </w:tabs>
        <w:numPr>
          <w:ilvl w:val="0"/>
          <w:numId w:val="289"/>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currently working on developing a redesigned safety pen needle and a new finer gauge pen needle for greater ease and comfort. We are also continuing to further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40"/>
          </w:cols>
          <w:pgMar w:left="620" w:top="463" w:right="639" w:bottom="1440" w:gutter="0" w:footer="0" w:header="0"/>
        </w:sectPr>
      </w:pPr>
    </w:p>
    <w:bookmarkStart w:id="221" w:name="page222"/>
    <w:bookmarkEnd w:id="221"/>
    <w:p>
      <w:pPr>
        <w:ind w:left="9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6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6362700"/>
                    </a:xfrm>
                    <a:prstGeom prst="rect">
                      <a:avLst/>
                    </a:prstGeom>
                    <a:noFill/>
                  </pic:spPr>
                </pic:pic>
              </a:graphicData>
            </a:graphic>
          </wp:anchor>
        </w:drawing>
        <w:t>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93" w:lineRule="exact"/>
        <w:rPr>
          <w:sz w:val="20"/>
          <w:szCs w:val="20"/>
          <w:color w:val="auto"/>
        </w:rPr>
      </w:pPr>
    </w:p>
    <w:p>
      <w:pPr>
        <w:ind w:left="940" w:right="80" w:hanging="415"/>
        <w:spacing w:after="0" w:line="296" w:lineRule="auto"/>
        <w:tabs>
          <w:tab w:leader="none" w:pos="940" w:val="left"/>
        </w:tabs>
        <w:numPr>
          <w:ilvl w:val="0"/>
          <w:numId w:val="290"/>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ind w:left="940" w:right="80" w:hanging="415"/>
        <w:spacing w:after="0" w:line="254" w:lineRule="auto"/>
        <w:tabs>
          <w:tab w:leader="none" w:pos="940" w:val="left"/>
        </w:tabs>
        <w:numPr>
          <w:ilvl w:val="0"/>
          <w:numId w:val="290"/>
        </w:numPr>
        <w:rPr>
          <w:rFonts w:ascii="Arial" w:cs="Arial" w:eastAsia="Arial" w:hAnsi="Arial"/>
          <w:sz w:val="18"/>
          <w:szCs w:val="18"/>
          <w:color w:val="auto"/>
        </w:rPr>
      </w:pPr>
      <w:r>
        <w:rPr>
          <w:rFonts w:ascii="Arial" w:cs="Arial" w:eastAsia="Arial" w:hAnsi="Arial"/>
          <w:sz w:val="18"/>
          <w:szCs w:val="18"/>
          <w:b w:val="1"/>
          <w:bCs w:val="1"/>
          <w:i w:val="1"/>
          <w:iCs w:val="1"/>
          <w:color w:val="auto"/>
        </w:rPr>
        <w:t>Seek to provide other products and services that will be useful for diabetes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independent, pure-play,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20" w:firstLine="426"/>
        <w:spacing w:after="0" w:line="311" w:lineRule="auto"/>
        <w:rPr>
          <w:sz w:val="20"/>
          <w:szCs w:val="20"/>
          <w:color w:val="auto"/>
        </w:rPr>
      </w:pPr>
      <w:r>
        <w:rPr>
          <w:rFonts w:ascii="Arial" w:cs="Arial" w:eastAsia="Arial" w:hAnsi="Arial"/>
          <w:sz w:val="16"/>
          <w:szCs w:val="16"/>
          <w:color w:val="auto"/>
        </w:rPr>
        <w:t>An investment in Embecta is subject to a number of risks, including risks relating to its business, risks related to Embecta’s separation from BD, and risks related to Embecta common stock. Set forth below is a high-level summary of some, but not all, of these risks. Please read the information in the section entitled “Risk Factors” of this information statement for a more thorough description of these and other risks.</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Risks Related to Embecta’s Business</w:t>
      </w:r>
    </w:p>
    <w:p>
      <w:pPr>
        <w:spacing w:after="0" w:line="131" w:lineRule="exact"/>
        <w:rPr>
          <w:sz w:val="20"/>
          <w:szCs w:val="20"/>
          <w:color w:val="auto"/>
        </w:rPr>
      </w:pPr>
    </w:p>
    <w:p>
      <w:pPr>
        <w:ind w:left="940" w:hanging="415"/>
        <w:spacing w:after="0"/>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medical technology industry is very competitive.</w:t>
      </w:r>
    </w:p>
    <w:p>
      <w:pPr>
        <w:spacing w:after="0" w:line="130" w:lineRule="exact"/>
        <w:rPr>
          <w:rFonts w:ascii="Arial" w:cs="Arial" w:eastAsia="Arial" w:hAnsi="Arial"/>
          <w:sz w:val="18"/>
          <w:szCs w:val="18"/>
          <w:color w:val="auto"/>
        </w:rPr>
      </w:pPr>
    </w:p>
    <w:p>
      <w:pPr>
        <w:ind w:left="940" w:right="140" w:hanging="415"/>
        <w:spacing w:after="0" w:line="342" w:lineRule="auto"/>
        <w:tabs>
          <w:tab w:leader="none" w:pos="9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Embecta generates a significant amount of its products and cash flows from a few key products, and any events that adversely affect the sale or profitability of these products could have an adverse impact on Embecta’s sales, results of operations and cash flows.</w:t>
      </w:r>
    </w:p>
    <w:p>
      <w:pPr>
        <w:spacing w:after="0" w:line="29" w:lineRule="exact"/>
        <w:rPr>
          <w:rFonts w:ascii="Arial" w:cs="Arial" w:eastAsia="Arial" w:hAnsi="Arial"/>
          <w:sz w:val="16"/>
          <w:szCs w:val="16"/>
          <w:color w:val="auto"/>
        </w:rPr>
      </w:pPr>
    </w:p>
    <w:p>
      <w:pPr>
        <w:ind w:left="940" w:hanging="415"/>
        <w:spacing w:after="0"/>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Technological breakthroughs in diabetes treatment or prevention may reduce demand for Embecta’s products.</w:t>
      </w:r>
    </w:p>
    <w:p>
      <w:pPr>
        <w:spacing w:after="0" w:line="130" w:lineRule="exact"/>
        <w:rPr>
          <w:rFonts w:ascii="Arial" w:cs="Arial" w:eastAsia="Arial" w:hAnsi="Arial"/>
          <w:sz w:val="18"/>
          <w:szCs w:val="18"/>
          <w:color w:val="auto"/>
        </w:rPr>
      </w:pPr>
    </w:p>
    <w:p>
      <w:pPr>
        <w:ind w:left="940" w:right="200" w:hanging="415"/>
        <w:spacing w:after="0" w:line="259" w:lineRule="auto"/>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92" w:lineRule="exact"/>
        <w:rPr>
          <w:rFonts w:ascii="Arial" w:cs="Arial" w:eastAsia="Arial" w:hAnsi="Arial"/>
          <w:sz w:val="18"/>
          <w:szCs w:val="18"/>
          <w:color w:val="auto"/>
        </w:rPr>
      </w:pPr>
    </w:p>
    <w:p>
      <w:pPr>
        <w:ind w:left="940" w:right="680" w:hanging="415"/>
        <w:spacing w:after="0" w:line="277" w:lineRule="auto"/>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Embecta may experience difficulties and delays in the manufacturing of its products or sterilization operations, and any such difficulties and delays could adversely affect Embecta’s business.</w:t>
      </w:r>
    </w:p>
    <w:p>
      <w:pPr>
        <w:spacing w:after="0" w:line="75" w:lineRule="exact"/>
        <w:rPr>
          <w:rFonts w:ascii="Arial" w:cs="Arial" w:eastAsia="Arial" w:hAnsi="Arial"/>
          <w:sz w:val="18"/>
          <w:szCs w:val="18"/>
          <w:color w:val="auto"/>
        </w:rPr>
      </w:pPr>
    </w:p>
    <w:p>
      <w:pPr>
        <w:ind w:left="940" w:hanging="415"/>
        <w:spacing w:after="0" w:line="259" w:lineRule="auto"/>
        <w:tabs>
          <w:tab w:leader="none" w:pos="9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620" w:top="463" w:right="699" w:bottom="1440" w:gutter="0" w:footer="0" w:header="0"/>
        </w:sectPr>
      </w:pPr>
    </w:p>
    <w:bookmarkStart w:id="222" w:name="page223"/>
    <w:bookmarkEnd w:id="222"/>
    <w:p>
      <w:pPr>
        <w:ind w:left="720" w:right="320" w:hanging="415"/>
        <w:spacing w:after="0" w:line="277"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083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6208395"/>
                    </a:xfrm>
                    <a:prstGeom prst="rect">
                      <a:avLst/>
                    </a:prstGeom>
                    <a:noFill/>
                  </pic:spPr>
                </pic:pic>
              </a:graphicData>
            </a:graphic>
          </wp:anchor>
        </w:drawing>
        <w:t>Embecta may enter into strategic collaborations, in-licensing arrangements or alliances with third parties that may not result in the development of commercially viable products or the generation of revenue.</w:t>
      </w:r>
    </w:p>
    <w:p>
      <w:pPr>
        <w:spacing w:after="0" w:line="75" w:lineRule="exact"/>
        <w:rPr>
          <w:rFonts w:ascii="Arial" w:cs="Arial" w:eastAsia="Arial" w:hAnsi="Arial"/>
          <w:sz w:val="18"/>
          <w:szCs w:val="18"/>
          <w:color w:val="auto"/>
        </w:rPr>
      </w:pPr>
    </w:p>
    <w:p>
      <w:pPr>
        <w:ind w:left="720" w:right="20" w:hanging="415"/>
        <w:spacing w:after="0" w:line="263"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89" w:lineRule="exact"/>
        <w:rPr>
          <w:rFonts w:ascii="Arial" w:cs="Arial" w:eastAsia="Arial" w:hAnsi="Arial"/>
          <w:sz w:val="18"/>
          <w:szCs w:val="18"/>
          <w:color w:val="auto"/>
        </w:rPr>
      </w:pPr>
    </w:p>
    <w:p>
      <w:pPr>
        <w:ind w:left="720" w:right="20" w:hanging="415"/>
        <w:spacing w:after="0" w:line="277"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Embecta’s future growth is dependent in part upon the development of new products, and there can be no assurance that such products will be developed or be successful.</w:t>
      </w:r>
    </w:p>
    <w:p>
      <w:pPr>
        <w:spacing w:after="0" w:line="75" w:lineRule="exact"/>
        <w:rPr>
          <w:rFonts w:ascii="Arial" w:cs="Arial" w:eastAsia="Arial" w:hAnsi="Arial"/>
          <w:sz w:val="18"/>
          <w:szCs w:val="18"/>
          <w:color w:val="auto"/>
        </w:rPr>
      </w:pPr>
    </w:p>
    <w:p>
      <w:pPr>
        <w:jc w:val="both"/>
        <w:ind w:left="720" w:hanging="415"/>
        <w:spacing w:after="0" w:line="263"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89" w:lineRule="exact"/>
        <w:rPr>
          <w:rFonts w:ascii="Arial" w:cs="Arial" w:eastAsia="Arial" w:hAnsi="Arial"/>
          <w:sz w:val="18"/>
          <w:szCs w:val="18"/>
          <w:color w:val="auto"/>
        </w:rPr>
      </w:pPr>
    </w:p>
    <w:p>
      <w:pPr>
        <w:ind w:left="720" w:right="600" w:hanging="415"/>
        <w:spacing w:after="0" w:line="277"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Embecta’s failure to maintain strong relationships with physicians and other healthcare professionals could adversely affect its business.</w:t>
      </w:r>
    </w:p>
    <w:p>
      <w:pPr>
        <w:spacing w:after="0" w:line="75" w:lineRule="exact"/>
        <w:rPr>
          <w:rFonts w:ascii="Arial" w:cs="Arial" w:eastAsia="Arial" w:hAnsi="Arial"/>
          <w:sz w:val="18"/>
          <w:szCs w:val="18"/>
          <w:color w:val="auto"/>
        </w:rPr>
      </w:pPr>
    </w:p>
    <w:p>
      <w:pPr>
        <w:ind w:left="720" w:hanging="415"/>
        <w:spacing w:after="0"/>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Embecta’s international operations subject it to certain business risks.</w:t>
      </w:r>
    </w:p>
    <w:p>
      <w:pPr>
        <w:spacing w:after="0" w:line="130" w:lineRule="exact"/>
        <w:rPr>
          <w:rFonts w:ascii="Arial" w:cs="Arial" w:eastAsia="Arial" w:hAnsi="Arial"/>
          <w:sz w:val="18"/>
          <w:szCs w:val="18"/>
          <w:color w:val="auto"/>
        </w:rPr>
      </w:pPr>
    </w:p>
    <w:p>
      <w:pPr>
        <w:ind w:left="720" w:right="480" w:hanging="415"/>
        <w:spacing w:after="0" w:line="277" w:lineRule="auto"/>
        <w:tabs>
          <w:tab w:leader="none" w:pos="7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Embecta fails to protect its intellectual property or proprietary technology, such failure could adversely affect its business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31" w:lineRule="exact"/>
        <w:rPr>
          <w:sz w:val="20"/>
          <w:szCs w:val="20"/>
          <w:color w:val="auto"/>
        </w:rPr>
      </w:pPr>
    </w:p>
    <w:p>
      <w:pPr>
        <w:ind w:left="720" w:right="140" w:hanging="415"/>
        <w:spacing w:after="0" w:line="263" w:lineRule="auto"/>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89" w:lineRule="exact"/>
        <w:rPr>
          <w:rFonts w:ascii="Arial" w:cs="Arial" w:eastAsia="Arial" w:hAnsi="Arial"/>
          <w:sz w:val="18"/>
          <w:szCs w:val="18"/>
          <w:color w:val="auto"/>
        </w:rPr>
      </w:pPr>
    </w:p>
    <w:p>
      <w:pPr>
        <w:ind w:left="720" w:right="140" w:hanging="415"/>
        <w:spacing w:after="0" w:line="277" w:lineRule="auto"/>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Following the separation, Embecta’s financial profile will change, and it will be a smaller, less diversified company than BD prior to the separation.</w:t>
      </w:r>
    </w:p>
    <w:p>
      <w:pPr>
        <w:spacing w:after="0" w:line="75" w:lineRule="exact"/>
        <w:rPr>
          <w:rFonts w:ascii="Arial" w:cs="Arial" w:eastAsia="Arial" w:hAnsi="Arial"/>
          <w:sz w:val="18"/>
          <w:szCs w:val="18"/>
          <w:color w:val="auto"/>
        </w:rPr>
      </w:pPr>
    </w:p>
    <w:p>
      <w:pPr>
        <w:ind w:left="720" w:hanging="415"/>
        <w:spacing w:after="0"/>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Embecta may not achieve some or all of the expected benefits of the separation.</w:t>
      </w:r>
    </w:p>
    <w:p>
      <w:pPr>
        <w:spacing w:after="0" w:line="130" w:lineRule="exact"/>
        <w:rPr>
          <w:rFonts w:ascii="Arial" w:cs="Arial" w:eastAsia="Arial" w:hAnsi="Arial"/>
          <w:sz w:val="18"/>
          <w:szCs w:val="18"/>
          <w:color w:val="auto"/>
        </w:rPr>
      </w:pPr>
    </w:p>
    <w:p>
      <w:pPr>
        <w:ind w:left="720" w:right="240" w:hanging="415"/>
        <w:spacing w:after="0" w:line="342" w:lineRule="auto"/>
        <w:tabs>
          <w:tab w:leader="none" w:pos="7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29" w:lineRule="exact"/>
        <w:rPr>
          <w:rFonts w:ascii="Arial" w:cs="Arial" w:eastAsia="Arial" w:hAnsi="Arial"/>
          <w:sz w:val="16"/>
          <w:szCs w:val="16"/>
          <w:color w:val="auto"/>
        </w:rPr>
      </w:pPr>
    </w:p>
    <w:p>
      <w:pPr>
        <w:ind w:left="720" w:right="220" w:hanging="415"/>
        <w:spacing w:after="0" w:line="308" w:lineRule="auto"/>
        <w:tabs>
          <w:tab w:leader="none" w:pos="72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51" w:lineRule="exact"/>
        <w:rPr>
          <w:rFonts w:ascii="Arial" w:cs="Arial" w:eastAsia="Arial" w:hAnsi="Arial"/>
          <w:sz w:val="17"/>
          <w:szCs w:val="17"/>
          <w:color w:val="auto"/>
        </w:rPr>
      </w:pPr>
    </w:p>
    <w:p>
      <w:pPr>
        <w:ind w:left="720" w:right="200" w:hanging="415"/>
        <w:spacing w:after="0" w:line="277" w:lineRule="auto"/>
        <w:tabs>
          <w:tab w:leader="none" w:pos="7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Following the separation, Embecta will be required to rebrand its products to remove the BD name, which could adversely affect its ability to attract and maintain end users.</w:t>
      </w:r>
    </w:p>
    <w:p>
      <w:pPr>
        <w:spacing w:after="0" w:line="75" w:lineRule="exact"/>
        <w:rPr>
          <w:rFonts w:ascii="Arial" w:cs="Arial" w:eastAsia="Arial" w:hAnsi="Arial"/>
          <w:sz w:val="18"/>
          <w:szCs w:val="18"/>
          <w:color w:val="auto"/>
        </w:rPr>
      </w:pPr>
    </w:p>
    <w:p>
      <w:pPr>
        <w:ind w:left="720" w:hanging="415"/>
        <w:spacing w:after="0"/>
        <w:tabs>
          <w:tab w:leader="none" w:pos="7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Embecta will incur debt obligations that could adversely affect its business and profitability and its ability to meet other obligations.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Embecta Common Stock</w:t>
      </w:r>
    </w:p>
    <w:p>
      <w:pPr>
        <w:spacing w:after="0" w:line="131" w:lineRule="exact"/>
        <w:rPr>
          <w:sz w:val="20"/>
          <w:szCs w:val="20"/>
          <w:color w:val="auto"/>
        </w:rPr>
      </w:pPr>
    </w:p>
    <w:p>
      <w:pPr>
        <w:ind w:left="720" w:right="80" w:hanging="415"/>
        <w:spacing w:after="0" w:line="277" w:lineRule="auto"/>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00"/>
          </w:cols>
          <w:pgMar w:left="840" w:top="463" w:right="659" w:bottom="1440" w:gutter="0" w:footer="0" w:header="0"/>
        </w:sectPr>
      </w:pPr>
    </w:p>
    <w:bookmarkStart w:id="223" w:name="page224"/>
    <w:bookmarkEnd w:id="223"/>
    <w:p>
      <w:pPr>
        <w:ind w:left="940" w:right="40" w:hanging="415"/>
        <w:spacing w:after="0" w:line="277" w:lineRule="auto"/>
        <w:tabs>
          <w:tab w:leader="none" w:pos="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969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6396990"/>
                    </a:xfrm>
                    <a:prstGeom prst="rect">
                      <a:avLst/>
                    </a:prstGeom>
                    <a:noFill/>
                  </pic:spPr>
                </pic:pic>
              </a:graphicData>
            </a:graphic>
          </wp:anchor>
        </w:drawing>
        <w:t>A significant number of shares of Embecta common stock may be sold following the distribution, which may cause the Embecta stock price to decline.</w:t>
      </w:r>
    </w:p>
    <w:p>
      <w:pPr>
        <w:spacing w:after="0" w:line="75" w:lineRule="exact"/>
        <w:rPr>
          <w:rFonts w:ascii="Arial" w:cs="Arial" w:eastAsia="Arial" w:hAnsi="Arial"/>
          <w:sz w:val="18"/>
          <w:szCs w:val="18"/>
          <w:color w:val="auto"/>
        </w:rPr>
      </w:pPr>
    </w:p>
    <w:p>
      <w:pPr>
        <w:ind w:left="940" w:hanging="415"/>
        <w:spacing w:after="0"/>
        <w:tabs>
          <w:tab w:leader="none" w:pos="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Your percentage of ownership in Embecta may be diluted in the future.</w:t>
      </w:r>
    </w:p>
    <w:p>
      <w:pPr>
        <w:spacing w:after="0" w:line="130" w:lineRule="exact"/>
        <w:rPr>
          <w:rFonts w:ascii="Arial" w:cs="Arial" w:eastAsia="Arial" w:hAnsi="Arial"/>
          <w:sz w:val="18"/>
          <w:szCs w:val="18"/>
          <w:color w:val="auto"/>
        </w:rPr>
      </w:pPr>
    </w:p>
    <w:p>
      <w:pPr>
        <w:ind w:left="940" w:hanging="415"/>
        <w:spacing w:after="0"/>
        <w:tabs>
          <w:tab w:leader="none" w:pos="9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Embecta cannot guarantee the timing, amount or payment of dividends on its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right="60" w:firstLine="426"/>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with the separation to occur through a pro rata distribution to the BD shareholders of 100% of the shares of common stock of a company formed to hold the diabetes care business.</w:t>
      </w:r>
    </w:p>
    <w:p>
      <w:pPr>
        <w:spacing w:after="0" w:line="184" w:lineRule="exact"/>
        <w:rPr>
          <w:sz w:val="20"/>
          <w:szCs w:val="20"/>
          <w:color w:val="auto"/>
        </w:rPr>
      </w:pPr>
    </w:p>
    <w:p>
      <w:pPr>
        <w:ind w:right="80" w:firstLine="426"/>
        <w:spacing w:after="0" w:line="263" w:lineRule="auto"/>
        <w:rPr>
          <w:sz w:val="20"/>
          <w:szCs w:val="20"/>
          <w:color w:val="auto"/>
        </w:rPr>
      </w:pPr>
      <w:r>
        <w:rPr>
          <w:rFonts w:ascii="Arial" w:cs="Arial" w:eastAsia="Arial" w:hAnsi="Arial"/>
          <w:sz w:val="18"/>
          <w:szCs w:val="18"/>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Embecta’s Post-Separation Relationship with BD</w:t>
      </w:r>
    </w:p>
    <w:p>
      <w:pPr>
        <w:spacing w:after="0" w:line="117" w:lineRule="exact"/>
        <w:rPr>
          <w:sz w:val="20"/>
          <w:szCs w:val="20"/>
          <w:color w:val="auto"/>
        </w:rPr>
      </w:pPr>
    </w:p>
    <w:p>
      <w:pPr>
        <w:ind w:firstLine="426"/>
        <w:spacing w:after="0" w:line="287" w:lineRule="auto"/>
        <w:rPr>
          <w:sz w:val="20"/>
          <w:szCs w:val="20"/>
          <w:color w:val="auto"/>
        </w:rPr>
      </w:pPr>
      <w:r>
        <w:rPr>
          <w:rFonts w:ascii="Arial" w:cs="Arial" w:eastAsia="Arial" w:hAnsi="Arial"/>
          <w:sz w:val="16"/>
          <w:szCs w:val="16"/>
          <w:color w:val="auto"/>
        </w:rPr>
        <w:t>After the distribution, BD and Embecta will each be separate companies with separate management teams and separate boards of directors. Prior to the distribution, BD and Embecta will enter into the separation and distribution agreement. In connection with the separation, Embecta will also enter into various other agreements to effect the separation and to provide a framework for Embecta’s relationship with BD after the separation,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us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17" w:lineRule="exact"/>
        <w:rPr>
          <w:sz w:val="20"/>
          <w:szCs w:val="20"/>
          <w:color w:val="auto"/>
        </w:rPr>
      </w:pPr>
    </w:p>
    <w:p>
      <w:pPr>
        <w:ind w:right="120" w:firstLine="426"/>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940" w:right="100" w:hanging="415"/>
        <w:spacing w:after="0" w:line="259" w:lineRule="auto"/>
        <w:tabs>
          <w:tab w:leader="none" w:pos="940"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w:t>
      </w:r>
      <w:r>
        <w:rPr>
          <w:rFonts w:ascii="Arial" w:cs="Arial" w:eastAsia="Arial" w:hAnsi="Arial"/>
          <w:sz w:val="18"/>
          <w:szCs w:val="18"/>
          <w:i w:val="1"/>
          <w:iCs w:val="1"/>
          <w:color w:val="auto"/>
        </w:rPr>
        <w:t xml:space="preserve"> </w:t>
      </w:r>
      <w:r>
        <w:rPr>
          <w:rFonts w:ascii="Arial" w:cs="Arial" w:eastAsia="Arial" w:hAnsi="Arial"/>
          <w:sz w:val="18"/>
          <w:szCs w:val="18"/>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940" w:right="40" w:hanging="415"/>
        <w:spacing w:after="0" w:line="257" w:lineRule="auto"/>
        <w:tabs>
          <w:tab w:leader="none" w:pos="940"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Resource and Capital Allocation to Pursue Each Company’s Strategic Goals. </w:t>
      </w:r>
      <w:r>
        <w:rPr>
          <w:rFonts w:ascii="Arial" w:cs="Arial" w:eastAsia="Arial" w:hAnsi="Arial"/>
          <w:sz w:val="18"/>
          <w:szCs w:val="18"/>
          <w:color w:val="auto"/>
        </w:rPr>
        <w:t>The separation will permit each of BD</w:t>
      </w:r>
      <w:r>
        <w:rPr>
          <w:rFonts w:ascii="Arial" w:cs="Arial" w:eastAsia="Arial" w:hAnsi="Arial"/>
          <w:sz w:val="18"/>
          <w:szCs w:val="18"/>
          <w:i w:val="1"/>
          <w:iCs w:val="1"/>
          <w:color w:val="auto"/>
        </w:rPr>
        <w:t xml:space="preserve"> </w:t>
      </w:r>
      <w:r>
        <w:rPr>
          <w:rFonts w:ascii="Arial" w:cs="Arial" w:eastAsia="Arial" w:hAnsi="Arial"/>
          <w:sz w:val="18"/>
          <w:szCs w:val="18"/>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40"/>
          </w:cols>
          <w:pgMar w:left="620" w:top="463" w:right="639" w:bottom="1440" w:gutter="0" w:footer="0" w:header="0"/>
        </w:sectPr>
      </w:pPr>
    </w:p>
    <w:bookmarkStart w:id="224" w:name="page225"/>
    <w:bookmarkEnd w:id="224"/>
    <w:p>
      <w:pPr>
        <w:ind w:left="9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458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6045835"/>
                    </a:xfrm>
                    <a:prstGeom prst="rect">
                      <a:avLst/>
                    </a:prstGeom>
                    <a:noFill/>
                  </pic:spPr>
                </pic:pic>
              </a:graphicData>
            </a:graphic>
          </wp:anchor>
        </w:drawing>
        <w:t>other corporate resources. As an independent entity, Embecta will be free to invest its strong capital generation for its own organic and inorganic opportunities in order to accelerate growth and expand its leadership for the benefit of patients and to drive shareholder value.</w:t>
      </w:r>
    </w:p>
    <w:p>
      <w:pPr>
        <w:spacing w:after="0" w:line="89" w:lineRule="exact"/>
        <w:rPr>
          <w:sz w:val="20"/>
          <w:szCs w:val="20"/>
          <w:color w:val="auto"/>
        </w:rPr>
      </w:pPr>
    </w:p>
    <w:p>
      <w:pPr>
        <w:ind w:left="940" w:right="60" w:hanging="415"/>
        <w:spacing w:after="0" w:line="263" w:lineRule="auto"/>
        <w:tabs>
          <w:tab w:leader="none" w:pos="94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940" w:right="120" w:hanging="415"/>
        <w:spacing w:after="0" w:line="311" w:lineRule="auto"/>
        <w:tabs>
          <w:tab w:leader="none" w:pos="940"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940" w:right="180" w:hanging="415"/>
        <w:spacing w:after="0" w:line="293" w:lineRule="auto"/>
        <w:tabs>
          <w:tab w:leader="none" w:pos="940"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right="100" w:firstLine="426"/>
        <w:spacing w:after="0" w:line="255" w:lineRule="auto"/>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 that (1) the anticipated benefits of the separation may not be achieved for a variety of reasons; and (2) after the separation, as a standalone company, Embecta may be unable to obtain the goods and services that the diabetes care business previously obtained as part of BD at prices or on terms as favorable as those currently obtained by BD. In determining to pursue the separation, the BD Board of Directors concluded the potential benefits of the separation outweighed the foregoing factors. See the sections entitled “The Separation and Distribution—Reasons for the Separation” and “Risk Factors” included elsewhere in this information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26"/>
        <w:spacing w:after="0" w:line="254" w:lineRule="auto"/>
        <w:rPr>
          <w:sz w:val="20"/>
          <w:szCs w:val="20"/>
          <w:color w:val="auto"/>
        </w:rPr>
      </w:pPr>
      <w:r>
        <w:rPr>
          <w:rFonts w:ascii="Arial" w:cs="Arial" w:eastAsia="Arial" w:hAnsi="Arial"/>
          <w:sz w:val="18"/>
          <w:szCs w:val="18"/>
          <w:color w:val="auto"/>
        </w:rPr>
        <w:t xml:space="preserve">Embecta was incorporated in Delaware for the purpose of holding BD’s diabetes care business in connection with the separation and distribution described in this information statement. Prior to the transfer of the diabetes care business to Embecta by BD, which will occur prior to the distribution, Embecta will have no operations other than those incidental to the separation. The address of Embecta’s principal executive offices will be 1 Becton Drive, Franklin Lakes, NJ 07417. Its telephone number after the distribution will be (201) 847-6800. Embecta will maintain an Internet site at </w:t>
      </w:r>
      <w:r>
        <w:rPr>
          <w:rFonts w:ascii="Arial" w:cs="Arial" w:eastAsia="Arial" w:hAnsi="Arial"/>
          <w:sz w:val="18"/>
          <w:szCs w:val="18"/>
          <w:i w:val="1"/>
          <w:iCs w:val="1"/>
          <w:color w:val="auto"/>
        </w:rPr>
        <w:t>www.embecta.com</w:t>
      </w:r>
      <w:r>
        <w:rPr>
          <w:rFonts w:ascii="Arial" w:cs="Arial" w:eastAsia="Arial" w:hAnsi="Arial"/>
          <w:sz w:val="18"/>
          <w:szCs w:val="18"/>
          <w:color w:val="auto"/>
        </w:rPr>
        <w:t>. This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right="40" w:firstLine="426"/>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BD shareholders who will receive shares of Embecta common stock in the distribution. It is not to be construed as an inducement or encouragement to buy or sell any of Embecta’s securities. The information contained in this information statement is believed by Embecta to be accurate as of the date set forth on its cover. Changes may occur after that date, and neither BD nor Embecta will update the information except as may be required in the normal course of their respective disclosure obligations and practices.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20"/>
          </w:cols>
          <w:pgMar w:left="620" w:top="463" w:right="659" w:bottom="1440" w:gutter="0" w:footer="0" w:header="0"/>
        </w:sectPr>
      </w:pPr>
    </w:p>
    <w:bookmarkStart w:id="225" w:name="page226"/>
    <w:bookmarkEnd w:id="225"/>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541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6654165"/>
                    </a:xfrm>
                    <a:prstGeom prst="rect">
                      <a:avLst/>
                    </a:prstGeom>
                    <a:noFill/>
                  </pic:spPr>
                </pic:pic>
              </a:graphicData>
            </a:graphic>
          </wp:anchor>
        </w:drawing>
        <w:t>Summary Historical and Unaudited Pro Forma Financial Information</w:t>
      </w:r>
    </w:p>
    <w:p>
      <w:pPr>
        <w:spacing w:after="0" w:line="121" w:lineRule="exact"/>
        <w:rPr>
          <w:sz w:val="20"/>
          <w:szCs w:val="20"/>
          <w:color w:val="auto"/>
        </w:rPr>
      </w:pPr>
    </w:p>
    <w:p>
      <w:pPr>
        <w:ind w:left="180" w:right="260" w:firstLine="426"/>
        <w:spacing w:after="0" w:line="301" w:lineRule="auto"/>
        <w:rPr>
          <w:sz w:val="20"/>
          <w:szCs w:val="20"/>
          <w:color w:val="auto"/>
        </w:rPr>
      </w:pPr>
      <w:r>
        <w:rPr>
          <w:rFonts w:ascii="Arial" w:cs="Arial" w:eastAsia="Arial" w:hAnsi="Arial"/>
          <w:sz w:val="16"/>
          <w:szCs w:val="16"/>
          <w:color w:val="auto"/>
        </w:rPr>
        <w:t>The following tables set forth summary historical combined and unaudited pro forma financial information. You should read this information in conjunction with the information under “Selected Historical Combined Financial Data of the Diabetes Care Business,” “Unaudited Pro Forma Condensed Combined Financial Information,” “Management’s Discussion and Analysis of Financial Condition and Results of Operations,” our audited annual combined financial statements and the related notes included elsewhere in this information statement.</w:t>
      </w:r>
    </w:p>
    <w:p>
      <w:pPr>
        <w:spacing w:after="0" w:line="157" w:lineRule="exact"/>
        <w:rPr>
          <w:sz w:val="20"/>
          <w:szCs w:val="20"/>
          <w:color w:val="auto"/>
        </w:rPr>
      </w:pPr>
    </w:p>
    <w:p>
      <w:pPr>
        <w:ind w:left="180" w:right="440" w:firstLine="426"/>
        <w:spacing w:after="0" w:line="277" w:lineRule="auto"/>
        <w:rPr>
          <w:sz w:val="20"/>
          <w:szCs w:val="20"/>
          <w:color w:val="auto"/>
        </w:rPr>
      </w:pPr>
      <w:r>
        <w:rPr>
          <w:rFonts w:ascii="Arial" w:cs="Arial" w:eastAsia="Arial" w:hAnsi="Arial"/>
          <w:sz w:val="18"/>
          <w:szCs w:val="18"/>
          <w:color w:val="auto"/>
        </w:rPr>
        <w:t>We derived the selected historical combined financial information for each of the fiscal years in the three-year period ended September 30, 2021 from our audited annual combined financial statements included elsewhere in this information statement.</w:t>
      </w:r>
    </w:p>
    <w:p>
      <w:pPr>
        <w:spacing w:after="0" w:line="170" w:lineRule="exact"/>
        <w:rPr>
          <w:sz w:val="20"/>
          <w:szCs w:val="20"/>
          <w:color w:val="auto"/>
        </w:rPr>
      </w:pPr>
    </w:p>
    <w:p>
      <w:pPr>
        <w:ind w:left="180" w:right="420" w:firstLine="426"/>
        <w:spacing w:after="0" w:line="277" w:lineRule="auto"/>
        <w:rPr>
          <w:sz w:val="20"/>
          <w:szCs w:val="20"/>
          <w:color w:val="auto"/>
        </w:rPr>
      </w:pPr>
      <w:r>
        <w:rPr>
          <w:rFonts w:ascii="Arial" w:cs="Arial" w:eastAsia="Arial" w:hAnsi="Arial"/>
          <w:sz w:val="18"/>
          <w:szCs w:val="18"/>
          <w:color w:val="auto"/>
        </w:rPr>
        <w:t>The selected unaudited pro forma financial information as of and for the year ended September 30, 2021 is unaudited and has been derived from our unaudited pro forma financial information included elsewhere in this information statement.</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Combined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Pro Forma as of</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As of 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80" w:type="dxa"/>
            <w:vAlign w:val="bottom"/>
          </w:tcPr>
          <w:p>
            <w:pPr>
              <w:spacing w:after="0"/>
              <w:rPr>
                <w:sz w:val="6"/>
                <w:szCs w:val="6"/>
                <w:color w:val="auto"/>
              </w:rPr>
            </w:pPr>
          </w:p>
        </w:tc>
        <w:tc>
          <w:tcPr>
            <w:tcW w:w="5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4"/>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4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Trade receivables,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 and Parent’s Equity</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Salaries, wages and related items</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Income Taxes and Other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Common stock, $0.01 par value, 250,000,000 shares authorized;</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57,857,600 shares issued and outstanding on a pro forma basis</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(632)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00" w:type="dxa"/>
            <w:vAlign w:val="bottom"/>
          </w:tcPr>
          <w:p>
            <w:pPr>
              <w:ind w:left="1080"/>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6080" w:type="dxa"/>
            <w:vAlign w:val="bottom"/>
            <w:gridSpan w:val="2"/>
          </w:tcPr>
          <w:p>
            <w:pPr>
              <w:jc w:val="right"/>
              <w:ind w:right="39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9" w:right="439" w:bottom="1440" w:gutter="0" w:footer="0" w:header="0"/>
        </w:sectPr>
      </w:pPr>
    </w:p>
    <w:bookmarkStart w:id="226" w:name="page227"/>
    <w:bookmarkEnd w:id="226"/>
    <w:p>
      <w:pPr>
        <w:ind w:left="2"/>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20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6320155"/>
                    </a:xfrm>
                    <a:prstGeom prst="rect">
                      <a:avLst/>
                    </a:prstGeom>
                    <a:noFill/>
                  </pic:spPr>
                </pic:pic>
              </a:graphicData>
            </a:graphic>
          </wp:anchor>
        </w:drawing>
        <w:t>Combined Statement of Income</w:t>
      </w:r>
    </w:p>
    <w:p>
      <w:pPr>
        <w:spacing w:after="0" w:line="231"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8"/>
            <w:vMerge w:val="restart"/>
          </w:tcPr>
          <w:p>
            <w:pPr>
              <w:jc w:val="right"/>
              <w:ind w:right="67"/>
              <w:spacing w:after="0"/>
              <w:rPr>
                <w:sz w:val="20"/>
                <w:szCs w:val="20"/>
                <w:color w:val="auto"/>
              </w:rPr>
            </w:pPr>
            <w:r>
              <w:rPr>
                <w:rFonts w:ascii="Arial" w:cs="Arial" w:eastAsia="Arial" w:hAnsi="Arial"/>
                <w:sz w:val="14"/>
                <w:szCs w:val="14"/>
                <w:b w:val="1"/>
                <w:bCs w:val="1"/>
                <w:color w:val="auto"/>
              </w:rPr>
              <w:t>For the Year Ended 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8"/>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000" w:type="dxa"/>
            <w:vAlign w:val="bottom"/>
          </w:tcPr>
          <w:p>
            <w:pPr>
              <w:spacing w:after="0"/>
              <w:rPr>
                <w:sz w:val="10"/>
                <w:szCs w:val="10"/>
                <w:color w:val="auto"/>
              </w:rPr>
            </w:pPr>
          </w:p>
        </w:tc>
        <w:tc>
          <w:tcPr>
            <w:tcW w:w="12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57,857,600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57,889,097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Other data</w:t>
            </w:r>
            <w:r>
              <w:rPr>
                <w:rFonts w:ascii="Arial" w:cs="Arial" w:eastAsia="Arial" w:hAnsi="Arial"/>
                <w:sz w:val="15"/>
                <w:szCs w:val="15"/>
                <w:b w:val="1"/>
                <w:bCs w:val="1"/>
                <w:color w:val="auto"/>
              </w:rPr>
              <w:t>(2)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EBITDA</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521</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20"/>
                <w:szCs w:val="20"/>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22" w:hanging="422"/>
        <w:spacing w:after="0"/>
        <w:tabs>
          <w:tab w:leader="none" w:pos="42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3" w:lineRule="exact"/>
        <w:rPr>
          <w:rFonts w:ascii="Arial" w:cs="Arial" w:eastAsia="Arial" w:hAnsi="Arial"/>
          <w:sz w:val="18"/>
          <w:szCs w:val="18"/>
          <w:color w:val="auto"/>
        </w:rPr>
      </w:pPr>
    </w:p>
    <w:p>
      <w:pPr>
        <w:ind w:left="422" w:right="20" w:hanging="422"/>
        <w:spacing w:after="0" w:line="284" w:lineRule="auto"/>
        <w:tabs>
          <w:tab w:leader="none" w:pos="42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 addition to our operating results, as calculated in accordance with U.S. generally accepted accounting principles (GAAP), we use, and plan to continue using, EBITDA and Adjusted EBITDA when monitoring and evaluating operating performance. EBITDA means earnings attributable to the Diabetes Care business before interest, taxes, depreciation and amortization. Adjusted EBITDA means EBITDA adjusted for certain items that we believe are outside of underlying operational results or that affect period-to-period comparability. We believe that these non-GAAP measures better enable an understanding of our performance year-over-year and provide additional insight and transparency as to how we evaluate our business and make operational decisions. Additionally, EBITDA and Adjusted EBITDA are important metrics for debt investors who utilize debt-to-EBITDA ratios. Because EBITDA and Adjusted EBITDA are not measures determined in accordance with GAAP, they have no standardized meaning prescribed by GAAP. Therefore, the EBITDA and Adjusted EBITDA measures presented below may differ from similar measures used by other companies, even when similar terms are used to identify such measures. These metrics should be considered in addition to, but not as a substitute for or superior to, information prepared in accordance with GAAP. EBITDA and Adjusted EBITDA are not calculated or presented in accordance with U.S. GAAP, and other companies in our industry may calculate EBITDA and Adjusted EBITDA differently than we do, limiting their usefulness as comparative measures. Our combined balance sheet and statement of income do not include an allocation of third-party debt or interest expense from BD because we were not the legal obligor of the debt and because BD’s borrowings were not directly attributable to our business.</w:t>
      </w:r>
    </w:p>
    <w:p>
      <w:pPr>
        <w:spacing w:after="0" w:line="299"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42"/>
          </w:cols>
          <w:pgMar w:left="618" w:top="463" w:right="639" w:bottom="1440" w:gutter="0" w:footer="0" w:header="0"/>
        </w:sectPr>
      </w:pPr>
    </w:p>
    <w:bookmarkStart w:id="227" w:name="page228"/>
    <w:bookmarkEnd w:id="227"/>
    <w:p>
      <w:pPr>
        <w:ind w:left="42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5598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559810"/>
                    </a:xfrm>
                    <a:prstGeom prst="rect">
                      <a:avLst/>
                    </a:prstGeom>
                    <a:noFill/>
                  </pic:spPr>
                </pic:pic>
              </a:graphicData>
            </a:graphic>
          </wp:anchor>
        </w:drawing>
        <w:t>However, in connection with the spin-off, we expect to incur debt and such indebtedness would cause us to record additional interest expense in future periods. See “Description of Material Indebtedness.”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between GAAP financial measures, EBITDA and Adjusted EBITDA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w w:val="92"/>
              </w:rPr>
              <w:t>For the Year Ended September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5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26"/>
        <w:spacing w:after="0" w:line="263" w:lineRule="auto"/>
        <w:rPr>
          <w:sz w:val="20"/>
          <w:szCs w:val="20"/>
          <w:color w:val="auto"/>
        </w:rPr>
      </w:pPr>
      <w:r>
        <w:rPr>
          <w:rFonts w:ascii="Arial" w:cs="Arial" w:eastAsia="Arial" w:hAnsi="Arial"/>
          <w:sz w:val="18"/>
          <w:szCs w:val="18"/>
          <w:color w:val="auto"/>
        </w:rPr>
        <w:t>Items excluded from Adjusted EBITDA are evaluated on an individual basis and consist of items that are outside of underlying operational results or that affect period-to-period comparability. Excluded from Adjusted EBITDA is share-based compensation (see Note 8 to our annual combined financial statements).</w:t>
      </w:r>
    </w:p>
    <w:p>
      <w:pPr>
        <w:spacing w:after="0" w:line="184" w:lineRule="exact"/>
        <w:rPr>
          <w:sz w:val="20"/>
          <w:szCs w:val="20"/>
          <w:color w:val="auto"/>
        </w:rPr>
      </w:pPr>
    </w:p>
    <w:p>
      <w:pPr>
        <w:ind w:right="340" w:firstLine="426"/>
        <w:spacing w:after="0" w:line="311" w:lineRule="auto"/>
        <w:rPr>
          <w:sz w:val="20"/>
          <w:szCs w:val="20"/>
          <w:color w:val="auto"/>
        </w:rPr>
      </w:pPr>
      <w:r>
        <w:rPr>
          <w:rFonts w:ascii="Arial" w:cs="Arial" w:eastAsia="Arial" w:hAnsi="Arial"/>
          <w:sz w:val="16"/>
          <w:szCs w:val="16"/>
          <w:color w:val="auto"/>
        </w:rPr>
        <w:t>Pro forma EBITDA and pro forma Adjusted EBITDA presented above have been prepared to provide certain non-GAAP information for Embecta, giving effect to the pro forma adjustments to our historical results of operations to arrive at our pro forma results of operations. The unaudited pro forma non-GAAP measures assume that the separation and related transactions occurred as of October 1, 2020.</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40"/>
          </w:cols>
          <w:pgMar w:left="620" w:top="463" w:right="6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Embecta and Embecta common stock. Any of the following risks and uncertainties could materially adversely affect Embecta’s business, financial condition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Embecta’s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medical technology industry is very competitive.</w:t>
      </w:r>
    </w:p>
    <w:p>
      <w:pPr>
        <w:spacing w:after="0" w:line="117" w:lineRule="exact"/>
        <w:rPr>
          <w:sz w:val="20"/>
          <w:szCs w:val="20"/>
          <w:color w:val="auto"/>
        </w:rPr>
      </w:pPr>
    </w:p>
    <w:p>
      <w:pPr>
        <w:ind w:right="580" w:firstLine="440"/>
        <w:spacing w:after="0" w:line="286" w:lineRule="auto"/>
        <w:rPr>
          <w:sz w:val="20"/>
          <w:szCs w:val="20"/>
          <w:color w:val="auto"/>
        </w:rPr>
      </w:pPr>
      <w:r>
        <w:rPr>
          <w:rFonts w:ascii="Arial" w:cs="Arial" w:eastAsia="Arial" w:hAnsi="Arial"/>
          <w:sz w:val="17"/>
          <w:szCs w:val="17"/>
          <w:color w:val="auto"/>
        </w:rPr>
        <w:t>Embecta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Embecta in the United States or other markets, as well as smaller, more specialized companies.</w:t>
      </w:r>
    </w:p>
    <w:p>
      <w:pPr>
        <w:spacing w:after="0" w:line="16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17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177" w:lineRule="exact"/>
        <w:rPr>
          <w:sz w:val="20"/>
          <w:szCs w:val="20"/>
          <w:color w:val="auto"/>
        </w:rPr>
      </w:pPr>
    </w:p>
    <w:p>
      <w:pPr>
        <w:ind w:right="420" w:firstLine="440"/>
        <w:spacing w:after="0" w:line="279" w:lineRule="auto"/>
        <w:rPr>
          <w:sz w:val="20"/>
          <w:szCs w:val="20"/>
          <w:color w:val="auto"/>
        </w:rPr>
      </w:pPr>
      <w:r>
        <w:rPr>
          <w:rFonts w:ascii="Arial" w:cs="Arial" w:eastAsia="Arial" w:hAnsi="Arial"/>
          <w:sz w:val="17"/>
          <w:szCs w:val="17"/>
          <w:color w:val="auto"/>
        </w:rPr>
        <w:t>Consolidation among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2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Embecta generates a significant amount of its products and cash flows from a few key products, and any events that adversely affect the sale or profitability of these products could have an adverse impact on Embecta’s sales, results of operations and cash flows.</w:t>
      </w:r>
    </w:p>
    <w:p>
      <w:pPr>
        <w:spacing w:after="0" w:line="1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Embecta’s ability to generate profits and operating cash flow depends largely upon the continued profitability of its key products, such as its pen needles and syringes. For example, for the fiscal year ended September 30, 2021, sales of pen needles (including both conventional and safety pen needles) accounted for $941 million, or 81%, of its total sales.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breakthroughs in diabetes treatment or prevention may reduce demand for Embecta’s products.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diabetes treatment industry is subject to technological change and product innovation. A number of companies and medical researchers are pursuing new ways to deliver insulin to patients, including insulin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29" w:name="page230"/>
    <w:bookmarkEnd w:id="22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technologies that do not require the use of a needle, or to treat diabetes without the use of insulin or by delaying the use of insulin. If they are successful in developing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2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79"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Embecta will rely on a number of third parties to supply and manufacture the components and raw materials for its products. For example, in connection with the separation and prior to the distribution, Embecta and BD will enter into a cannula supply agreement, whereby BD will sell to Embecta cannulas for incorporation into Embecta’s products for sale within the diabetes care sector. Cannulas are a component part of a wide variety of medical devices that use needles to deliver fluid into, or through which blood is drawn from, the body. After the separation, BD will retain ownership of all cannula production activities and all intellectual property rights of BD and its subsidiaries relating to cannula, the manufacture thereof and other critical cannula-related technology. The cannula supply agreement will be terminable by BD without cause by providing at least 36 months’ written notice; however, such termination can be effective no earlier than ten years from the distribution date. In the event of a change of control of Embecta, BD will also have the right to terminate the cannula supply agreement. The cannula supply agreement will also terminate automatically, subject to a</w:t>
      </w:r>
    </w:p>
    <w:p>
      <w:pPr>
        <w:spacing w:after="0" w:line="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178"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Embecta also obtains other component parts and raw materials from other third parties. In many cases, Embecta will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161"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Certain raw materials and components used in the manufacture of pen needles and syringes, including cannulas, certain oil-based resins and rubber stoppers, are not always available from multiple sources.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30" w:name="page231"/>
    <w:bookmarkEnd w:id="230"/>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Embecta may experience difficulties and delays inherent in manufacturing its products, such as failure of Embecta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natural disasters. Manufacturing difficulties can also result in product shortages, leading to lost sales and reputational harm to us.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regulatory requirements or otherwise, Embecta may be unable to transition sterilization to other sites or modalities in a timely or cost effective manner, or at all, which could have an adverse impact on Embecta’s business.</w:t>
      </w:r>
    </w:p>
    <w:p>
      <w:pPr>
        <w:spacing w:after="0" w:line="2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76"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 substantial portion of Embecta’s revenues is derived from sales to a few customers. For example, for the fiscal year ended September 30, 2021, sales to McKesson Corporation, Cardinal Health and AmerisourceBergen Drug Corporation, Embecta’s three largest distributors, together represented approximately 39% of Embecta’s worldwide sales. The costs changed by these and other distributors to distribute Embecta’s products is also subject to negotiation, and such distributors may propose increases in such charges from time to time. In addition, for the fiscal year ended September 30, 2021, direct sales to the five largest retail pharmacies for Embecta’s products together represented approximately 14% of Embecta’s worldwide sales. If any of Embecta’s largest customers reduce the amount of product that they purchase from Embecta, decrease the price that they pay for such products or increase the charges to distribute such products, each could have a material adverse effect on Embecta’s business, financial condition and results of operations.</w:t>
      </w:r>
    </w:p>
    <w:p>
      <w:pPr>
        <w:spacing w:after="0" w:line="286"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r>
        <w:rPr>
          <w:rFonts w:ascii="Arial" w:cs="Arial" w:eastAsia="Arial" w:hAnsi="Arial"/>
          <w:sz w:val="15"/>
          <w:szCs w:val="15"/>
          <w:b w:val="1"/>
          <w:bCs w:val="1"/>
          <w:color w:val="auto"/>
        </w:rPr>
        <w:t>.</w:t>
      </w:r>
    </w:p>
    <w:p>
      <w:pPr>
        <w:spacing w:after="0" w:line="23"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1" w:name="page232"/>
    <w:bookmarkEnd w:id="231"/>
    <w:p>
      <w:pPr>
        <w:ind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192"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19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GPOs, with potential significant price erosions and cost containment within the healthcare landscape. These continued pricing pressures could adversely affect Embecta’s financial condition and results of operations.</w:t>
      </w:r>
    </w:p>
    <w:p>
      <w:pPr>
        <w:spacing w:after="0" w:line="3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62"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9" w:lineRule="exact"/>
        <w:rPr>
          <w:sz w:val="20"/>
          <w:szCs w:val="20"/>
          <w:color w:val="auto"/>
        </w:rPr>
      </w:pPr>
    </w:p>
    <w:p>
      <w:pPr>
        <w:ind w:left="5420" w:right="160" w:hanging="4331"/>
        <w:spacing w:after="0" w:line="449" w:lineRule="auto"/>
        <w:tabs>
          <w:tab w:leader="none" w:pos="141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Embecta may not identify or secure these collaborations in a timely manner, on a cost-effective basis, on acceptable terms or at all; 23</w:t>
      </w:r>
    </w:p>
    <w:p>
      <w:pPr>
        <w:sectPr>
          <w:pgSz w:w="11900" w:h="16838" w:orient="portrait"/>
          <w:cols w:equalWidth="0" w:num="1">
            <w:col w:w="11000"/>
          </w:cols>
          <w:pgMar w:left="440" w:top="274" w:right="459" w:bottom="1440" w:gutter="0" w:footer="0" w:header="0"/>
        </w:sectPr>
      </w:pPr>
    </w:p>
    <w:bookmarkStart w:id="232" w:name="page233"/>
    <w:bookmarkEnd w:id="232"/>
    <w:p>
      <w:pPr>
        <w:ind w:left="1420" w:right="480" w:hanging="331"/>
        <w:spacing w:after="0" w:line="277" w:lineRule="auto"/>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collaborations may not result in the development of products that achieve commercial success or result in any revenue to Embecta;</w:t>
      </w:r>
    </w:p>
    <w:p>
      <w:pPr>
        <w:spacing w:after="0" w:line="75" w:lineRule="exact"/>
        <w:rPr>
          <w:rFonts w:ascii="Arial" w:cs="Arial" w:eastAsia="Arial" w:hAnsi="Arial"/>
          <w:sz w:val="18"/>
          <w:szCs w:val="18"/>
          <w:color w:val="auto"/>
        </w:rPr>
      </w:pPr>
    </w:p>
    <w:p>
      <w:pPr>
        <w:ind w:left="1420" w:right="100" w:hanging="331"/>
        <w:spacing w:after="0" w:line="263" w:lineRule="auto"/>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Embecta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89" w:lineRule="exact"/>
        <w:rPr>
          <w:rFonts w:ascii="Arial" w:cs="Arial" w:eastAsia="Arial" w:hAnsi="Arial"/>
          <w:sz w:val="18"/>
          <w:szCs w:val="18"/>
          <w:color w:val="auto"/>
        </w:rPr>
      </w:pPr>
    </w:p>
    <w:p>
      <w:pPr>
        <w:ind w:left="1420" w:right="120" w:hanging="331"/>
        <w:spacing w:after="0" w:line="277" w:lineRule="auto"/>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Embecta may have limited control over the amount and timing of resources that its current collaborators or any future collaborators devote to its collaborators’ or its future products;</w:t>
      </w:r>
    </w:p>
    <w:p>
      <w:pPr>
        <w:spacing w:after="0" w:line="75" w:lineRule="exact"/>
        <w:rPr>
          <w:rFonts w:ascii="Arial" w:cs="Arial" w:eastAsia="Arial" w:hAnsi="Arial"/>
          <w:sz w:val="18"/>
          <w:szCs w:val="18"/>
          <w:color w:val="auto"/>
        </w:rPr>
      </w:pPr>
    </w:p>
    <w:p>
      <w:pPr>
        <w:ind w:left="1420" w:right="260" w:hanging="331"/>
        <w:spacing w:after="0" w:line="277" w:lineRule="auto"/>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disputes between Embecta and its collaborators may result in litigation or arbitration that would increase Embecta’s expenses and divert the attention of its management; and</w:t>
      </w:r>
    </w:p>
    <w:p>
      <w:pPr>
        <w:spacing w:after="0" w:line="75" w:lineRule="exact"/>
        <w:rPr>
          <w:rFonts w:ascii="Arial" w:cs="Arial" w:eastAsia="Arial" w:hAnsi="Arial"/>
          <w:sz w:val="18"/>
          <w:szCs w:val="18"/>
          <w:color w:val="auto"/>
        </w:rPr>
      </w:pPr>
    </w:p>
    <w:p>
      <w:pPr>
        <w:ind w:left="1420" w:right="640" w:hanging="331"/>
        <w:spacing w:after="0" w:line="277" w:lineRule="auto"/>
        <w:tabs>
          <w:tab w:leader="none" w:pos="14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these collaborations may be terminated or dissolved in accordance with their terms prior to the development of any Embecta products or any realization by Embecta of any other benefits.</w:t>
      </w:r>
    </w:p>
    <w:p>
      <w:pPr>
        <w:spacing w:after="0" w:line="278"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Embecta believes that a significant portion of its sales will continue to be to independent distributors for the foreseeable future, and it is possible that the percentage of its sales to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2021, McKesson Corporation, Cardinal Health and AmerisourceBergen Drug Corporation, Embecta’s three largest distributors, together represented approximately 39% of Embecta’s worldwide sales. If any of its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6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 significant element of Embecta’s strategy is to increase revenue growth by focusing on innovation and new product development. For example, Embecta is currently working on developing an insulin patch pump focused on serving the needs of people with Type 2 diabetes. Embecta is also currently working on developing a redesigned safety pen needle and a new finer gauge pen needle for ease and comfort. However, these potential products are still in the product development phase, and Embecta has not yet submitted an application to the FDA seeking clearance for any of these products. In addition,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and obtain reimbursement for such products. There can be no assurance that Embecta will be able to successfully develop or commercialize any products now in development or that Embecta may seek to develop or commercialize in the future.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33" w:name="page234"/>
    <w:bookmarkEnd w:id="233"/>
    <w:p>
      <w:pPr>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76"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Embecta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Embecta’s clinical protocols or regulatory requirements or for other reasons, Embecta’s pre-clinical development activities or clinical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Embecta’s third-party clinical trial investigators may be delayed in conducting such clinical trials for reasons outside of their control.</w:t>
      </w:r>
    </w:p>
    <w:p>
      <w:pPr>
        <w:spacing w:after="0" w:line="17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addition, if future clinical trials fail to support the efficacy or safety of Embecta’s current or future products, Embecta’s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insulin patch pump, redesigned safety pen needle and/or finer gauged pen needle in development or that any such product is not as effective as Embecta claims. Any of these events may negatively affect Embecta’s sales efforts and result in decreased revenue.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Embecta’s failure to maintain strong relationships with physicians and other healthcare professionals could adversely affect its business.</w:t>
      </w:r>
    </w:p>
    <w:p>
      <w:pPr>
        <w:spacing w:after="0" w:line="140"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26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Embecta may not be able to successfully execute its acquisition strategy, which could adversely affect its financial condition and results of operations.</w:t>
      </w:r>
    </w:p>
    <w:p>
      <w:pPr>
        <w:spacing w:after="0" w:line="62"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Embecta’s international operations subject it to certain business risks.</w:t>
      </w:r>
    </w:p>
    <w:p>
      <w:pPr>
        <w:spacing w:after="0" w:line="117"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34" w:name="page235"/>
    <w:bookmarkEnd w:id="234"/>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trade protectionism, U.S.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risks discussed elsewhere, other risks associated with doing business internationally, include, but are not limited to:</w:t>
      </w:r>
    </w:p>
    <w:p>
      <w:pPr>
        <w:spacing w:after="0" w:line="131" w:lineRule="exact"/>
        <w:rPr>
          <w:sz w:val="20"/>
          <w:szCs w:val="20"/>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trade protection measures, such as tariffs, and import and export licensing and control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negative consequences from changes in or interpretations of tax laws;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difficulty in establishing, staffing and managing international operations;</w:t>
      </w:r>
    </w:p>
    <w:p>
      <w:pPr>
        <w:spacing w:after="0" w:line="130" w:lineRule="exact"/>
        <w:rPr>
          <w:rFonts w:ascii="Arial" w:cs="Arial" w:eastAsia="Arial" w:hAnsi="Arial"/>
          <w:sz w:val="18"/>
          <w:szCs w:val="18"/>
          <w:color w:val="auto"/>
        </w:rPr>
      </w:pPr>
    </w:p>
    <w:p>
      <w:pPr>
        <w:ind w:left="1420" w:right="440" w:hanging="331"/>
        <w:spacing w:after="0" w:line="277" w:lineRule="auto"/>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difficulties associated with foreign legal systems, including increased costs associated with enforcing contractual obligations in foreign jurisdictions;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adapting to the differing laws and regulations, business and clinical practices, and consumer preferences in foreign markets;</w:t>
      </w:r>
    </w:p>
    <w:p>
      <w:pPr>
        <w:spacing w:after="0" w:line="142" w:lineRule="exact"/>
        <w:rPr>
          <w:rFonts w:ascii="Arial" w:cs="Arial" w:eastAsia="Arial" w:hAnsi="Arial"/>
          <w:sz w:val="17"/>
          <w:szCs w:val="17"/>
          <w:color w:val="auto"/>
        </w:rPr>
      </w:pPr>
    </w:p>
    <w:p>
      <w:pPr>
        <w:ind w:left="1420" w:right="360" w:hanging="331"/>
        <w:spacing w:after="0" w:line="277" w:lineRule="auto"/>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partners, distributors or sales or marketing agents;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difficulty in collecting accounts receivable and longer collection periods.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In addition, Embecta’s international operations are governed by the U.S. Foreign Corrupt Practices Act and similar anti-corruption laws outside the United States. Global enforcement of anti-corruption laws has increased substantially in recent years, with more enforcement proceedings by U.S. and foreign governmental agencies and the imposition of significant fines and penalties. Embecta’s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Embecta to government investigations and significant criminal or civil sanctions and other liabilities, and negatively affect its reputation.</w:t>
      </w:r>
    </w:p>
    <w:p>
      <w:pPr>
        <w:spacing w:after="0" w:line="17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Changes in U.S. policy regarding international trade, including import and export regulation and international trade agreements, could also negatively impact Embecta’s business. The United States has imposed tariffs on certain goods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166"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The departure of the United Kingdom from the European Union (“EU”) (commonly known as “Brexit”) on January 31, 2020 has created uncertainties affecting business operations in the United Kingdom, the EU and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35" w:name="page236"/>
    <w:bookmarkEnd w:id="235"/>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other countries, including with respect to compliance with the regulatory regimes regarding the labeling and registration of the products Embecta sells in these markets. Embecta could face increased costs, volatility in exchange rates, market instability and other risks as a result of Brexit.</w:t>
      </w: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Foreign currency exchange rate, inflation, commodity price and interest rate fluctuations may adversely affect Embecta’s financial condition and results of operations.</w:t>
      </w:r>
    </w:p>
    <w:p>
      <w:pPr>
        <w:spacing w:after="0" w:line="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Embecta is exposed to a variety of market risks, including the effects of changes in foreign currency exchange rates, commodity prices and interest rates. Products manufactured in, and sold into, regions outside of the United States represent a significant portion of Embecta’s operations. The combined financial statements of the diabetes care business reflect translation of financial statements denominated in non-U.S. currencies to U.S. dollars as well as the foreign currency exchange gains and losses resulting from the re-measurement of assets and liabilities. A strengthening or weakening of the U.S. dollar in relation to the foreign currencies of the countries in which Embecta sells or manufacture its products, such as the euro, will affect its U.S. dollar-reported revenue and income. Changes in the relative values of currencies may, in some instances, have a significant effect on its results of operations.</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Embecta’s effective tax rate and changes to tax laws may adversely affect it.</w:t>
      </w:r>
    </w:p>
    <w:p>
      <w:pPr>
        <w:spacing w:after="0" w:line="11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Embecta’s effective tax rate may, however, differ from the estimated amount due to numerous factors, including a change in the mix of its profitability from country to country and changes in tax laws, including potential tax legislation sponsored by the Biden Administration. If these proposals are ultimately enacted into legislation,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28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62"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236" w:name="page237"/>
    <w:bookmarkEnd w:id="236"/>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Embecta cannot be certain that its products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Embecta is found liable for infringement, it may be required to enter into licensing agreements (which may not be available on acceptable terms or at all) or to pay damages or cease making or selling certain products. Embecta may also need to redesign some of Embecta’s products or processes to avoid future infringement liability.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Embecta’s information systems could have a material adverse effect on its operations.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Embecta relies on information systems to process, transmit, and store electronic information in its day-to-day operations, including sensitive personal or proprietary information. In addition, some of its products include information systems that collect data regarding patients and patient therapy on behalf of Embecta’s customers and some connect to Embecta’s systems for maintenance and management purposes. These information systems are subject to attack via malicious code execution, and cyber- or phishing- attacks. Cyberattacks could result in unauthorized access to Embecta’s systems and products that could also affect its compliance with privacy and other laws and regulations, and result in actions by regulatory bodies or litigation, which in turn could have a material adverse impact on Embecta’s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needs to attract and retain key employees to be competitive.</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Embecta’s business may be adversely affected by work stoppages, union negotiations and labor disputes.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As of today, only certain employees, all outside of the United States and representing approximately 33% of our headcount, are represented by various collective bargaining groups.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18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 significant portion of Embecta’s unionized employees have collective bargaining agreements. Any inability to negotiate acceptable new contracts under these collective bargaining arrangements could cause strikes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237" w:name="page238"/>
    <w:bookmarkEnd w:id="23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work stoppages, and new contracts could result in increased operating costs for Embecta. If any such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is subject to extensive regulation.</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Embecta’s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are also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Food and Drug Administration (the “FDA”) and other liability to Embecta. The enactment of additional laws or changes in existing laws may increase compliance costs or otherwise adversely impact Embecta’s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may have a material adverse effect on Embecta’s financial condition and results of operations.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U.S. pharmaceutical and medical device industries. Among other things, the Affordable Care Act:</w:t>
      </w:r>
    </w:p>
    <w:p>
      <w:pPr>
        <w:spacing w:after="0" w:line="92" w:lineRule="exact"/>
        <w:rPr>
          <w:sz w:val="20"/>
          <w:szCs w:val="20"/>
          <w:color w:val="auto"/>
        </w:rPr>
      </w:pPr>
    </w:p>
    <w:p>
      <w:pPr>
        <w:ind w:left="1420" w:right="220" w:hanging="331"/>
        <w:spacing w:after="0" w:line="277" w:lineRule="auto"/>
        <w:tabs>
          <w:tab w:leader="none" w:pos="14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w:t>
      </w:r>
    </w:p>
    <w:p>
      <w:pPr>
        <w:spacing w:after="0" w:line="75" w:lineRule="exact"/>
        <w:rPr>
          <w:rFonts w:ascii="Arial" w:cs="Arial" w:eastAsia="Arial" w:hAnsi="Arial"/>
          <w:sz w:val="18"/>
          <w:szCs w:val="18"/>
          <w:color w:val="auto"/>
        </w:rPr>
      </w:pPr>
    </w:p>
    <w:p>
      <w:pPr>
        <w:ind w:left="1420" w:right="160" w:hanging="331"/>
        <w:spacing w:after="0" w:line="342" w:lineRule="auto"/>
        <w:tabs>
          <w:tab w:leader="none" w:pos="14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29" w:lineRule="exact"/>
        <w:rPr>
          <w:rFonts w:ascii="Arial" w:cs="Arial" w:eastAsia="Arial" w:hAnsi="Arial"/>
          <w:sz w:val="16"/>
          <w:szCs w:val="16"/>
          <w:color w:val="auto"/>
        </w:rPr>
      </w:pPr>
    </w:p>
    <w:p>
      <w:pPr>
        <w:ind w:left="1420" w:right="640" w:hanging="331"/>
        <w:spacing w:after="0" w:line="277" w:lineRule="auto"/>
        <w:tabs>
          <w:tab w:leader="none" w:pos="14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created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cannot predict at this time the full impact of the Affordable Care Act or other healthcare reform measures that may be adopted in the future on Embecta’s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Embecta’s financial condition, results of operations or cash flows.</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6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38" w:name="page239"/>
    <w:bookmarkEnd w:id="238"/>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may be subject to enforcement actions if it engages in improper marketing or promotion of its products.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Embecta’s promotional materials and training methods must comply with applicable laws and regulations, including of the FDA and the Federal Trade Commission (the “FTC”). If the FDA or the FTC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28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7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Embecta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will apply to personal data involved in Embecta’s operations in the EU or products and services that Embecta offers to EU users involving personal data. The GDPR creates a range of new compliance obligations that could require Embecta to change its existing business practices policies, and significantly increases financial penalties for noncompliance.</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18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39" w:name="page240"/>
    <w:bookmarkEnd w:id="239"/>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is subject to risks associated with public health threats, including the ongoing COVID-19 pandemic.</w:t>
      </w:r>
    </w:p>
    <w:p>
      <w:pPr>
        <w:spacing w:after="0" w:line="11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Embecta is subject to risks associated with public health threats, including the COVID-19 pandemic. The COVID-19 pandemic has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17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Embecta’s manufacturing sites in China, Ireland and the United States, where Embecta manufactures a significant amount of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Embecta’s manufacturing sites in China, Ireland and/or the United States or in the surrounding communities, could lead to delays in the manufacturing of Embecta’s products, which could have a material adverse effect on Embecta’s business and results of operations.</w:t>
      </w:r>
    </w:p>
    <w:p>
      <w:pPr>
        <w:spacing w:after="0" w:line="17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Embecta’s operations or those of distributors or suppliers in Embecta’s supply chain.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76"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historical information about Embecta in this information statement refers to the diabetes care business as operated by and integrated with BD. The historical and pro forma financial information of Embecta included in this information statement is derived from the Consolidated Financial Statements and accounting records of BD.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Embecta will achieve in the future primarily as a result of the factors described below:</w:t>
      </w:r>
    </w:p>
    <w:p>
      <w:pPr>
        <w:spacing w:after="0" w:line="67" w:lineRule="exact"/>
        <w:rPr>
          <w:sz w:val="20"/>
          <w:szCs w:val="20"/>
          <w:color w:val="auto"/>
        </w:rPr>
      </w:pPr>
    </w:p>
    <w:p>
      <w:pPr>
        <w:ind w:left="1420" w:right="20" w:hanging="331"/>
        <w:spacing w:after="0" w:line="275" w:lineRule="auto"/>
        <w:tabs>
          <w:tab w:leader="none" w:pos="14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Generally, Embecta’s working capital requirements and capital for its general corporate purposes, including capital expenditures and acquisitions, have historically been satisfied as part of the corporate-wide cash management policies of BD. Following the completion of the distribution,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81" w:lineRule="exact"/>
        <w:rPr>
          <w:rFonts w:ascii="Arial" w:cs="Arial" w:eastAsia="Arial" w:hAnsi="Arial"/>
          <w:sz w:val="17"/>
          <w:szCs w:val="17"/>
          <w:color w:val="auto"/>
        </w:rPr>
      </w:pPr>
    </w:p>
    <w:p>
      <w:pPr>
        <w:ind w:left="1420" w:right="80" w:hanging="331"/>
        <w:spacing w:after="0" w:line="277" w:lineRule="auto"/>
        <w:tabs>
          <w:tab w:leader="none" w:pos="14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Prior to the distribution, Embecta’s business has been operated by BD as part of its broader corporate organization, rather than as an independent company. BD or one of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240" w:name="page241"/>
    <w:bookmarkEnd w:id="240"/>
    <w:p>
      <w:pPr>
        <w:ind w:left="1420"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performed various corporate functions for us, such as legal, treasury, accounting, auditing, human resources, investor relations, and finance. The Diabetes Care Business (as defined in the historical combined financial statements included in this information statement) historical and pro forma financial results reflect allocations of corporate expenses from BD for such functions, which are likely to be less than the expenses we would have incurred had we operated as a separate publicly traded company.</w:t>
      </w:r>
    </w:p>
    <w:p>
      <w:pPr>
        <w:spacing w:after="0" w:line="63" w:lineRule="exact"/>
        <w:rPr>
          <w:sz w:val="20"/>
          <w:szCs w:val="20"/>
          <w:color w:val="auto"/>
        </w:rPr>
      </w:pPr>
    </w:p>
    <w:p>
      <w:pPr>
        <w:ind w:left="1420" w:right="60" w:hanging="331"/>
        <w:spacing w:after="0" w:line="259" w:lineRule="auto"/>
        <w:tabs>
          <w:tab w:leader="none" w:pos="14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Currently, Embecta’s business is integrated with the other businesses of BD. Historically, Embecta’s business shared economies of scope and scale in costs, employees, vendor relationships and customer relationships. While we have sought to minimize the impact on Embecta when separating these arrangements, there is no guarantee these arrangements will continue to capture these benefits in the future.</w:t>
      </w:r>
    </w:p>
    <w:p>
      <w:pPr>
        <w:spacing w:after="0" w:line="92" w:lineRule="exact"/>
        <w:rPr>
          <w:rFonts w:ascii="Arial" w:cs="Arial" w:eastAsia="Arial" w:hAnsi="Arial"/>
          <w:sz w:val="18"/>
          <w:szCs w:val="18"/>
          <w:color w:val="auto"/>
        </w:rPr>
      </w:pPr>
    </w:p>
    <w:p>
      <w:pPr>
        <w:ind w:left="1420" w:right="40" w:hanging="331"/>
        <w:spacing w:after="0" w:line="311" w:lineRule="auto"/>
        <w:tabs>
          <w:tab w:leader="none" w:pos="14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As a current part of BD, Embecta’s business currently takes advantage of BD’s overall size and scope to procure more advantageous arrangements. After the distribution, as a standalone company, Embecta may be unable to obtain similar arrangements to the same extent as BD did, or on terms as favorable as those BD obtained, prior to completion of the distribution.</w:t>
      </w:r>
    </w:p>
    <w:p>
      <w:pPr>
        <w:spacing w:after="0" w:line="54" w:lineRule="exact"/>
        <w:rPr>
          <w:rFonts w:ascii="Arial" w:cs="Arial" w:eastAsia="Arial" w:hAnsi="Arial"/>
          <w:sz w:val="16"/>
          <w:szCs w:val="16"/>
          <w:color w:val="auto"/>
        </w:rPr>
      </w:pPr>
    </w:p>
    <w:p>
      <w:pPr>
        <w:ind w:left="1420" w:right="180" w:hanging="331"/>
        <w:spacing w:after="0" w:line="277" w:lineRule="auto"/>
        <w:tabs>
          <w:tab w:leader="none" w:pos="14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After the completion of the distribution, the cost of capital for Embecta’s business may be higher than BD’s cost of capital prior to the distribution.</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Embecta’s historical financial information does not reflect the debt that we will incur as part of the distribution.</w:t>
      </w:r>
    </w:p>
    <w:p>
      <w:pPr>
        <w:spacing w:after="0" w:line="130" w:lineRule="exact"/>
        <w:rPr>
          <w:rFonts w:ascii="Arial" w:cs="Arial" w:eastAsia="Arial" w:hAnsi="Arial"/>
          <w:sz w:val="18"/>
          <w:szCs w:val="18"/>
          <w:color w:val="auto"/>
        </w:rPr>
      </w:pPr>
    </w:p>
    <w:p>
      <w:pPr>
        <w:ind w:left="1420" w:right="20" w:hanging="331"/>
        <w:spacing w:after="0" w:line="269" w:lineRule="auto"/>
        <w:tabs>
          <w:tab w:leader="none" w:pos="14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As an independent public company, Embecta will separately become subject to the reporting requirements of the Securities Exchange Act of 1934, as amended (the “Exchange Act”), the Sarbanes-Oxley Act and the Dodd-Frank Wall Street Reform and Consumer Protection Act and will be required to prepare its standalone financial statements according to the rules and regulations required by the SEC. These reporting and other obligations will place significant demands on Embecta’s management and administrative and operational resources. Moreover, to comply with these requirements, we anticipate that Embecta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financial reporting requirements and other rules that apply to reporting companies under the Securities Exchange Act of 1934, as amended, could be impaired.</w:t>
      </w:r>
    </w:p>
    <w:p>
      <w:pPr>
        <w:spacing w:after="0" w:line="18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Other significant changes may occur in Embecta’s cost structure, management, financing and business operations as a result of operating as a company separate from BD. For additional information about the past financial performance of its business and the basis of presentation of the historical combined financial statements and the Unaudited Pro Forma Condensed Combined Financial Statements of its business, see “Unaudited Pro Forma Condensed Combined Financial Information,” “Selected Historical Combined Financial Data of the Diabetes Care Business,” “Management’s Discussion and Analysis of Financial Condition and Results of Operations” and the historical combined financial statements and accompanying notes included elsewhere in this information statement.</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separation, Embecta’s financial profile will change, and it will be a smaller, less diversified company than BD prior to the separation.</w:t>
      </w:r>
    </w:p>
    <w:p>
      <w:pPr>
        <w:spacing w:after="0" w:line="152"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separation will result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41" w:name="page242"/>
    <w:bookmarkEnd w:id="24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Following the separation we may also lose capital allocation efficiency and flexibility, as Embecta will no longer have access to cash flow from BD to fund Embecta’s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may not achieve some or all of the expected benefits of the separation.</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BD and Embecta to more effectively pursue the distinct operating priorities and strategies of their respective businesses; (2) permitting BD and Embecta to allocate financial resources to meet the unique needs of their respective businesses, which will allow them to intensify their focus on distinct strategic priorities and to more effectively pursue their own distinct capital structures and capital allocation strategies; (3) allowing BD and Embecta to more effectively articulate a clear investment thesis to attract a long-term investor base suited to their businesses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Embecta may not achieve these and other anticipated benefits for a variety of reasons, including, among others: (1) the separation will demand significant management resources and require significant amounts of management’s time and effort, which may divert management’s attention from operating and growing Embecta’s business; (2) following the separation, Embecta may be more susceptible to market fluctuations, and other adverse events than if it were still a part of BD because Embecta’s business will be less diversified than BD’s businesses prior to the completion of the separation; (3) after the separation, as a standalone company, Embecta may be unable to obtain certain goods, services and technologies at prices or on terms as favorable as those BD obtained prior to completion of the separation; (4) the separation may require Embecta to pay costs that could be substantial and material to its financial resources, including accounting, tax, legal and other professional services costs, recruiting and relocation costs associated with hiring key senior management and personnel new to Embecta, tax costs and costs to separate information systems; (5) under the terms of the tax matters agreement that Embecta will enter into with BD, it will be restricted from taking certain actions that could cause the distribution or certain related transactions to fail to qualify as tax-free to BD and BD shareholders, or could result in certain other taxes to BD, and these restrictions may limit us for a period of time from pursuing certain strategic transactions and equity issuances or engaging in other transactions that might increase the value of its business; and (6) the contractual arrangements between Embecta and BD may be on less favorable terms than the existing intercompany arrangements from which Embecta benefits,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38"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Embecta will engage in the process of creating its own, or engaging third parties separate from BD to provide, systems and services to replace many of the systems and services that BD currently provides to Embecta, including, for example, information technology infrastructure and systems and accounting and reporting systems. Embecta may incur temporary interruptions in business operations if it cannot transition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42" w:name="page243"/>
    <w:bookmarkEnd w:id="24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effectively from BD’s existing operating systems, databases and programming languages that support these functions to its own systems. The failure to implement the new systems and transition data successfully and cost-effectively could disrupt Embecta’s business operations and have a material adverse effect on its profitability. In addition, Embecta’s costs for the operation of these systems may be higher than the amounts reflected in its historical combined financial statements.</w:t>
      </w:r>
    </w:p>
    <w:p>
      <w:pPr>
        <w:spacing w:after="0" w:line="29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3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Embecta’s financial results previously were included within the consolidated results of BD. Embecta was not directly subject to the reporting and other requirements of the Exchange Act. As a result of the distribution, Embecta will be directly subject to reporting and other obligations under the Exchange Act, including the requirements of Section 404 of Sarbanes-Oxley Act, which will require annual management assessments of the effectiveness of its internal control over financial reporting and a report by its independent registered public accounting firm addressing these assessments. These reporting and other obligations will place significant demands on Embecta’s management and administrative and operational resources, including accounting resources.</w:t>
      </w:r>
    </w:p>
    <w:p>
      <w:pPr>
        <w:spacing w:after="0" w:line="192" w:lineRule="exact"/>
        <w:rPr>
          <w:sz w:val="20"/>
          <w:szCs w:val="20"/>
          <w:color w:val="auto"/>
        </w:rPr>
      </w:pPr>
    </w:p>
    <w:p>
      <w:pPr>
        <w:ind w:right="220" w:firstLine="440"/>
        <w:spacing w:after="0" w:line="254" w:lineRule="auto"/>
        <w:rPr>
          <w:sz w:val="20"/>
          <w:szCs w:val="20"/>
          <w:color w:val="auto"/>
        </w:rPr>
      </w:pPr>
      <w:r>
        <w:rPr>
          <w:rFonts w:ascii="Arial" w:cs="Arial" w:eastAsia="Arial" w:hAnsi="Arial"/>
          <w:sz w:val="18"/>
          <w:szCs w:val="18"/>
          <w:color w:val="auto"/>
        </w:rPr>
        <w:t>Moreover, to comply with these requirements, Embecta anticipates that it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its financial reporting requirements and other rules that apply to reporting companies under the Securities Exchange Act of 1934, as amended, could be impaired. Any failure to achieve and maintain effective internal controls could have a material adverse effect on its business, financial condition, results of operations and cash flows.</w:t>
      </w:r>
    </w:p>
    <w:p>
      <w:pPr>
        <w:spacing w:after="0" w:line="3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Following the separation, Embecta will be required to rebrand its products to remove the BD name, which could adversely affect its ability to attract and maintain end users.</w:t>
      </w:r>
    </w:p>
    <w:p>
      <w:pPr>
        <w:spacing w:after="0" w:line="62"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Embecta has historically marketed its products using the “BD” name and logo, which is a globally recognized brand with a strong reputation for high-quality products among people with diabetes and Embecta’s distributors. Under the terms of the agreements to be entered into with BD in connection with the separation and distribution, Embecta will obtain a temporary license to use the “BD” and “Becton Dickinson” name and logo on its products, certain legal entities and relevant regulatory registrations. Following the expiration of this license, Embecta will be required to rebrand and update, as applicable, its products and regulatory registrations using the “Embecta” name or other names and marks and remove the “BD” name and logo on its products. These new names and brands may not benefit from the same recognition and association with product quality as the BD name, which could adversely affect Embecta’s ability to attract and maintain its customers, who may prefer to use products with a stronger brand identity.</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Embecta will incur debt obligations that could adversely affect its business and profitability and its ability to meet other obligations.</w:t>
      </w:r>
    </w:p>
    <w:p>
      <w:pPr>
        <w:spacing w:after="0" w:line="1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43" w:name="page244"/>
    <w:bookmarkEnd w:id="243"/>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However, prior to the completion of the distribution, BD may cause Embecta to issue the Exchange Debt. BD would use any such Exchange Debt to retire some of BD’s existing debt in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the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aggregate principal amount of any such Exchange Debt. In addition, in the event that BD determines that Embecta shall issue the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6"/>
          <w:szCs w:val="16"/>
          <w:i w:val="1"/>
          <w:iCs w:val="1"/>
          <w:color w:val="auto"/>
        </w:rPr>
        <w:t>less</w:t>
      </w:r>
      <w:r>
        <w:rPr>
          <w:rFonts w:ascii="Arial" w:cs="Arial" w:eastAsia="Arial" w:hAnsi="Arial"/>
          <w:sz w:val="16"/>
          <w:szCs w:val="16"/>
          <w:color w:val="auto"/>
        </w:rPr>
        <w:t xml:space="preserve"> (2) the aggregate principal amount of any such Exchange Debt. We refer to the cash dividend, taken together with the issuance of the Exchange Debt, if applicable, as the “Embecta-to-BD Distribution Transaction” As a result of such transactions, Embecta anticipates having approximately $1,650 million in aggregate principal amount of indebtedness outstanding upon completion of the distribution (not including undrawn commitments of $500 million under its revolving credit facility). Embecta may also incur additional indebtedness in the future.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significant amount of debt could potentially have important consequences to Embecta and its debt and equity investors, including:</w:t>
      </w:r>
    </w:p>
    <w:p>
      <w:pPr>
        <w:spacing w:after="0" w:line="142" w:lineRule="exact"/>
        <w:rPr>
          <w:sz w:val="20"/>
          <w:szCs w:val="20"/>
          <w:color w:val="auto"/>
        </w:rPr>
      </w:pPr>
    </w:p>
    <w:p>
      <w:pPr>
        <w:ind w:left="1420" w:hanging="331"/>
        <w:spacing w:after="0"/>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requiring a substantial portion of its cash flow from operations to make interest payments;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30" w:lineRule="exact"/>
        <w:rPr>
          <w:rFonts w:ascii="Arial" w:cs="Arial" w:eastAsia="Arial" w:hAnsi="Arial"/>
          <w:sz w:val="18"/>
          <w:szCs w:val="18"/>
          <w:color w:val="auto"/>
        </w:rPr>
      </w:pPr>
    </w:p>
    <w:p>
      <w:pPr>
        <w:ind w:left="1420" w:right="580" w:hanging="331"/>
        <w:spacing w:after="0" w:line="277" w:lineRule="auto"/>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its debt, which could increase future debt costs and limit the future availability of debt financing;</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its business;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limiting Embecta’s flexibility in planning for, or reacting to, changes in its business and the industry;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placing Embecta at a competitive disadvantage relative to its competitors that may not be as highly leveraged with debt; and</w:t>
      </w:r>
    </w:p>
    <w:p>
      <w:pPr>
        <w:spacing w:after="0" w:line="142" w:lineRule="exact"/>
        <w:rPr>
          <w:rFonts w:ascii="Arial" w:cs="Arial" w:eastAsia="Arial" w:hAnsi="Arial"/>
          <w:sz w:val="17"/>
          <w:szCs w:val="17"/>
          <w:color w:val="auto"/>
        </w:rPr>
      </w:pPr>
    </w:p>
    <w:p>
      <w:pPr>
        <w:ind w:left="1420" w:right="180" w:hanging="331"/>
        <w:spacing w:after="0" w:line="277" w:lineRule="auto"/>
        <w:tabs>
          <w:tab w:leader="none" w:pos="14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limiting Embecta’s ability to borrow additional funds as needed or take advantage of business opportunities as they arise, pay cash dividends or repurchase ordinary shares.</w:t>
      </w:r>
    </w:p>
    <w:p>
      <w:pPr>
        <w:spacing w:after="0" w:line="170"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25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Embecta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Under current U.S. federal income tax law, a spin-off that otherwise qualifies for tax-free treatment can be rendered taxable to the parent corporation and its shareholders as a result of certain post-spin-off transactions, including certain acquisitions of shares or assets of the spun-off corporation. Under the tax matters agreement that Embecta will enter into with BD, Embecta will be restricted from taking certain actions that could prevent the distribution and certain related transactions from being tax-free for U.S. federal income tax purposes, or could result in certain other taxes to BD. In particular, under the tax matters agreement, for the two-year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244" w:name="page245"/>
    <w:bookmarkEnd w:id="24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distribution, as described in the section entitled “Certain Relationships and Related Party Transactions—Agreements with BD—Tax Matters Agreement,” Embecta will be subject to specific restrictions on its ability to pursue or enter into acquisition, merger, sale and redemption transactions with respect to Embecta stock. These restrictions may limit Embecta’s ability to pursue certain strategic transactions or other transactions that it may believe to be in the best interests of its stockholders or that might increase the value of its business.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“Certain Relationships and Related Party Transactions—Agreements with BD —Tax Matters Agreement.”</w:t>
      </w:r>
    </w:p>
    <w:p>
      <w:pPr>
        <w:spacing w:after="0" w:line="2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62"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In connection with the separation, Embecta and BD will enter various agreements, 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 services periods under the transition services agreement, Embecta’s management and employees may be required to divert their attention away from its business in order to provide services to BD, which could adversely affect Embecta’s business.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Embecta’s agreements with BD may be on terms that are less beneficial to Embecta than the terms may have otherwise been from unaffiliated third parties.</w:t>
      </w:r>
    </w:p>
    <w:p>
      <w:pPr>
        <w:spacing w:after="0" w:line="6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agreements that Embecta will enter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2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there is a determination that the distribution or certain related transactions are taxable for U.S. federal income tax purposes, BD and its shareholders could incur significant tax liabilities, and Embecta could incur significant liabilities pursuant to its indemnification obligations under the tax matters agreement.</w:t>
      </w:r>
    </w:p>
    <w:p>
      <w:pPr>
        <w:spacing w:after="0" w:line="7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BD has received a private letter ruling from the IRS to the effect that, among other things, the separation and the distribution will qualify as a transaction that is tax-free for U.S. federal income tax purposes under Sections 368(a)(1)(D), 355, and 361 of the Code. It is a condition to the distribution that BD receive (i) a private letter ruling from the IRS, satisfactory to the BD Board of Directors, regarding certain U.S.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will be,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45" w:name="page246"/>
    <w:bookmarkEnd w:id="24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private letter ruling is,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Notwithstanding BD’s receipt of a private letter ruling from the IRS and the opinion of its outside tax counsel, the IRS could determine on audit that the distribution or certain related transactions are taxable for U.S.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Accordingly, notwithstanding BD’s receipt of a private letter ruling from the IRS and the opinion of its outside tax counsel,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BD and BD’s shareholders could incur significant tax liabilities. For a discussion of the U.S. federal income tax consequences of the distribution, see “Material U.S. Federal Income Tax Consequences.”</w:t>
      </w:r>
    </w:p>
    <w:p>
      <w:pPr>
        <w:spacing w:after="0" w:line="17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Under the tax matters agreement that Embecta will enter into with BD, Embecta generally will be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U.S. federal income tax purposes or result in certain other taxes to BD. Any such indemnification could materially adversely affect Embecta’s financial condition, results of operations and cash flows. For a more detailed discussion, see “Certain Relationships and Related Party Transactions—Agreements with BD—Tax Matters Agreement.”</w:t>
      </w:r>
    </w:p>
    <w:p>
      <w:pPr>
        <w:spacing w:after="0" w:line="272"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23"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The separation and distribution agreement will provide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17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closing of the separation may be delayed in certain jurisdictions, or not occur at all, due to local regulatory requirements, which may adversely affect Embecta’s business, financial condition and results of operations.</w:t>
      </w:r>
    </w:p>
    <w:p>
      <w:pPr>
        <w:spacing w:after="0" w:line="6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closing of the transfer of certain assets related to the diabetes care business in certain jurisdictions, including China, Mexico, and Italy, as contemplated by the separation and distribution agreement may not occur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46" w:name="page247"/>
    <w:bookmarkEnd w:id="246"/>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or prior to the distribution, if at all,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The failure to timely complete the transfer or these local assets could negatively affect Embecta’s business, financial condition, results of operations and cash flows.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BD Board of Directors has sole and absolute discretion to change the terms of the separation in ways which may be unfavorable to Embecta, including to determine not to effect the distribution at all.</w:t>
      </w:r>
    </w:p>
    <w:p>
      <w:pPr>
        <w:spacing w:after="0" w:line="62"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 The distribution is subject to the satisfaction of certain conditions (or waiver by BD in its sole and absolute discretion), including that there shall be no other events or developments existing or having occurred that, in the judgment of BD’s Board of Directors, in its sole and absolute discretion, makes it inadvisable to effect the separation, the distribution and the other related transactions. See “The Separation and Distribution—Conditions to the Distribution.” The separation is complex in nature, and unanticipated developments or changes, including changes in the law, the macroeconomic environment, competitive conditions of BD’s markets, regulatory approvals or clearances, the uncertainty of the financial markets and challenges in executing the separation and distribution, could delay or prevent the completion of the proposed separation or distribution, or cause the separation and distribution to occur on terms or conditions that are different or less favorable than expected. Additionally, the BD Board of Directors, in its sole and absolute discretion, may decide not to proceed with the distribution at any time prior to the distribution date.</w:t>
      </w:r>
    </w:p>
    <w:p>
      <w:pPr>
        <w:spacing w:after="0" w:line="276" w:lineRule="exact"/>
        <w:rPr>
          <w:sz w:val="20"/>
          <w:szCs w:val="20"/>
          <w:color w:val="auto"/>
        </w:rPr>
      </w:pPr>
    </w:p>
    <w:p>
      <w:pPr>
        <w:jc w:val="both"/>
        <w:ind w:right="400"/>
        <w:spacing w:after="0" w:line="375" w:lineRule="auto"/>
        <w:rPr>
          <w:sz w:val="20"/>
          <w:szCs w:val="20"/>
          <w:color w:val="auto"/>
        </w:rPr>
      </w:pPr>
      <w:r>
        <w:rPr>
          <w:rFonts w:ascii="Arial" w:cs="Arial" w:eastAsia="Arial" w:hAnsi="Arial"/>
          <w:sz w:val="15"/>
          <w:szCs w:val="15"/>
          <w:b w:val="1"/>
          <w:bCs w:val="1"/>
          <w:i w:val="1"/>
          <w:iCs w:val="1"/>
          <w:color w:val="auto"/>
        </w:rPr>
        <w:t>No vote of BD shareholders is required in connection with the distribution. As a result, if the distribution occurs and you do not want to receive Embecta common stock in the distribution, your sole recourse will be to divest yourself of your BD common stock prior to the distribution date.</w:t>
      </w:r>
    </w:p>
    <w:p>
      <w:pPr>
        <w:spacing w:after="0" w:line="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No vote of BD shareholders is required in connection with the distribution. Accordingly, if the distribution occurs and you do not want to receive Embecta common stock in the distribution, your only recourse will be to divest your BD common stock prior to the record date for the distribution or, following the record date, in the “regular way” market for BD common stock before the distribution date.</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Satisfaction of indemnification obligations following the distribution could have a material adverse effect on Embecta’s financial condition, results of operations and cash flows.</w:t>
      </w:r>
    </w:p>
    <w:p>
      <w:pPr>
        <w:spacing w:after="0" w:line="62" w:lineRule="exact"/>
        <w:rPr>
          <w:sz w:val="20"/>
          <w:szCs w:val="20"/>
          <w:color w:val="auto"/>
        </w:rPr>
      </w:pPr>
    </w:p>
    <w:p>
      <w:pPr>
        <w:jc w:val="both"/>
        <w:ind w:right="100" w:firstLine="440"/>
        <w:spacing w:after="0" w:line="279" w:lineRule="auto"/>
        <w:rPr>
          <w:sz w:val="20"/>
          <w:szCs w:val="20"/>
          <w:color w:val="auto"/>
        </w:rPr>
      </w:pPr>
      <w:r>
        <w:rPr>
          <w:rFonts w:ascii="Arial" w:cs="Arial" w:eastAsia="Arial" w:hAnsi="Arial"/>
          <w:sz w:val="17"/>
          <w:szCs w:val="17"/>
          <w:color w:val="auto"/>
        </w:rPr>
        <w:t>Pursuant to the separation and distribution agreement and certain other agreements Embecta expects to enter into with BD in connection with the separation and distribution, BD will agree to indemnify Embecta for certain liabilities, and Embecta will agree to indemnify BD for certain liabilities as discussed further in “Certain Relationships and Related Party Transactions.” Indemnities that Embecta will be required to provide BD could negatively affect Embecta’s business, particularly with respect to indemnities provided in the tax matters agreement.</w:t>
      </w:r>
    </w:p>
    <w:p>
      <w:pPr>
        <w:spacing w:after="0" w:line="17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Embecta Common Stock</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6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 public market for Embecta common stock does not currently exist. We anticipate that on or prior to the record date for the distribution, trading of shares of Embecta common stock will begin on a “when-issued” basis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47" w:name="page248"/>
    <w:bookmarkEnd w:id="24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will continue through the distribution date. However, we cannot guarantee that an active trading market will develop or be sustained for Embecta common stock after the distribution, nor can we predict the prices at which shares of Embecta common stock may trade after the distribution. Similarly, we cannot predict the effect of the distribution on the trading prices of Embecta common stock or whether the combined market value of one share of Embecta common stock and five shares of BD common stock will be less than, equal to or greater than the market value of five shares of BD common stock prior to the distribution.</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prices at which shares of Embecta common stock trade may fluctuate more significantly than might otherwise be typical, even with other market conditions, including general volatility, held constant. The market price of Embecta common stock may fluctuate significantly due to a number of factors, some of which may be beyond our control, including:</w:t>
      </w:r>
    </w:p>
    <w:p>
      <w:pPr>
        <w:spacing w:after="0" w:line="89" w:lineRule="exact"/>
        <w:rPr>
          <w:sz w:val="20"/>
          <w:szCs w:val="20"/>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actual or anticipated fluctuations in Embecta’s operating results;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Embecta’s ability to meet those estimates;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Embecta operates;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analyst research reports, recommendation and changes in recommendations, price targets, and withdrawals of coverage;</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whether Embecta common stock is included in stock market indices;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3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significant number of shares of Embecta common stock may be sold following the distribution, which may cause the Embecta stock price to decline.</w:t>
      </w:r>
    </w:p>
    <w:p>
      <w:pPr>
        <w:spacing w:after="0" w:line="62"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Any sales of substantial amounts of Embecta common stock in the public market or the perception that such sales might occur, in connection with the distribution or otherwise, may cause the market price of Embecta common stock to decline. Upon completion of the distribution, we expect that Embecta will have an aggregate of approximately 57 million shares of common stock issued and outstanding. Shares distributed to BD shareholders in the separation will generally be freely tradeable without restriction or further registration under the U.S. Securities Act of 1933, as amended (the “Securities Act”), except for shares owned by Embecta’s “affiliates,” as that term is defined in Rule 405 under the Securities Act.</w:t>
      </w:r>
    </w:p>
    <w:p>
      <w:pPr>
        <w:spacing w:after="0" w:line="16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cannot predict whether large amounts of Embecta common stock will be sold in the open market following the distribution. We are also unable to predict whether a sufficient number of buyers of Embecta common stock to meet the demand to sell shares of Embecta common stock at attractive prices would exist at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Embecta may be diluted in the future.</w:t>
      </w:r>
    </w:p>
    <w:p>
      <w:pPr>
        <w:spacing w:after="0" w:line="11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that correspond to shares of Embecta common stock after the distribution as a result of conversion of their BD stock-based awards. Such awards will have a dilutive effect on Embecta’s earnings per share, which could adversely affect the market price of Embecta common stock. From time to time, Embecta will issue additional stock-based awards to its employees under its employee benefits plans.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cannot guarantee the timing, amount or payment of dividends on its common stock.</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Embecta currently expects that it will pay a regular cash dividend of approximately 20% as a percentage of post-separation net income. The timing, declaration, amount and payment of any dividends following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48" w:name="page249"/>
    <w:bookmarkEnd w:id="248"/>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and distribution, however,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 For more information, see the section entitled “Dividend Policy.”</w:t>
      </w:r>
    </w:p>
    <w:p>
      <w:pPr>
        <w:spacing w:after="0" w:line="26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Anti-takeover provisions could enable Embecta’s Board of Directors to resist a takeover attempt by a third-party and limit the power of its shareholders.</w:t>
      </w:r>
    </w:p>
    <w:p>
      <w:pPr>
        <w:spacing w:after="0" w:line="6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Embecta’s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are expected to include, among others:</w:t>
      </w:r>
    </w:p>
    <w:p>
      <w:pPr>
        <w:spacing w:after="0" w:line="92" w:lineRule="exact"/>
        <w:rPr>
          <w:sz w:val="20"/>
          <w:szCs w:val="20"/>
          <w:color w:val="auto"/>
        </w:rPr>
      </w:pPr>
    </w:p>
    <w:p>
      <w:pPr>
        <w:ind w:left="1420" w:right="380" w:hanging="331"/>
        <w:spacing w:after="0" w:line="263" w:lineRule="auto"/>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as long as the Board of Directors is classified, Embecta directors can be removed by stockholders only for cause;</w:t>
      </w:r>
    </w:p>
    <w:p>
      <w:pPr>
        <w:spacing w:after="0" w:line="130" w:lineRule="exact"/>
        <w:rPr>
          <w:rFonts w:ascii="Arial" w:cs="Arial" w:eastAsia="Arial" w:hAnsi="Arial"/>
          <w:sz w:val="18"/>
          <w:szCs w:val="18"/>
          <w:color w:val="auto"/>
        </w:rPr>
      </w:pPr>
    </w:p>
    <w:p>
      <w:pPr>
        <w:ind w:left="1420" w:right="360" w:hanging="331"/>
        <w:spacing w:after="0" w:line="277" w:lineRule="auto"/>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vacancies occurring on the Board of Directors can only be filled by a majority of the remaining members of Embecta’s Board of Directors or by a sole remaining director;</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stockholders do not have the right to call a special meeting or act by written consent;</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Embecta’s Board of Directors have the power to designate and issue, without any further vote or action by the Embecta stockholders, shares of preferred stock from time to time in one or more series; and</w:t>
      </w:r>
    </w:p>
    <w:p>
      <w:pPr>
        <w:spacing w:after="0" w:line="75" w:lineRule="exact"/>
        <w:rPr>
          <w:rFonts w:ascii="Arial" w:cs="Arial" w:eastAsia="Arial" w:hAnsi="Arial"/>
          <w:sz w:val="18"/>
          <w:szCs w:val="18"/>
          <w:color w:val="auto"/>
        </w:rPr>
      </w:pPr>
    </w:p>
    <w:p>
      <w:pPr>
        <w:ind w:left="1420" w:right="240" w:hanging="331"/>
        <w:spacing w:after="0" w:line="277" w:lineRule="auto"/>
        <w:tabs>
          <w:tab w:leader="none" w:pos="14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stockholders have to follow certain procedures and notice requirements in order to present certain proposals or nominate directors for election at stockholder meetings.</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7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We believe these provisions will protect Embecta shareholders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shareholders and could delay or prevent an acquisition that Embecta’s Board of Directors determines is not in the best interests of Embecta and its shareholders. These provisions may also prevent or discourage attempts to remove and replace incumbent directors. See “Description of Embecta Capital Stock—Anti-Takeover Effects of Governance Provisions.”</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addition, an acquisition or further issuance of Embecta common stock could trigger the application of Section 355(e) of the Code, causing the distribution to be taxable to BD. For a discussion of Section 355(e)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49" w:name="page250"/>
    <w:bookmarkEnd w:id="249"/>
    <w:p>
      <w:pPr>
        <w:ind w:left="4"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Code, see “Material U.S. Federal Income Tax Consequences.” Under the tax matters agreement, Embecta would be required to indemnify BD for the resulting tax, and this indemnity obligation might discourage, delay or prevent a change of control that Embecta shareholders may consider favorable.</w:t>
      </w:r>
    </w:p>
    <w:p>
      <w:pPr>
        <w:spacing w:after="0" w:line="232"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b w:val="1"/>
          <w:bCs w:val="1"/>
          <w:i w:val="1"/>
          <w:iCs w:val="1"/>
          <w:color w:val="auto"/>
        </w:rPr>
        <w:t>Embecta’s amended and restated certificate of incorporation will designate the state courts within the State of Delaware as the sole and exclusive forum for certain types of actions and proceedings that may be initiated by Embecta shareholders, which could discourage lawsuits against Embecta and its directors and officers.</w:t>
      </w:r>
    </w:p>
    <w:p>
      <w:pPr>
        <w:spacing w:after="0" w:line="76"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Embecta’s amended and restated certificate of incorporation will provide that, unless Embecta (through approval of the Board of Directors) consents in writing to the selection of an alternative forum, the Court of Chancery of the State of Delaware shall be the sole and exclusive forum for</w:t>
      </w:r>
    </w:p>
    <w:p>
      <w:pPr>
        <w:ind w:left="4" w:hanging="4"/>
        <w:spacing w:after="0" w:line="266" w:lineRule="auto"/>
        <w:tabs>
          <w:tab w:leader="none" w:pos="259" w:val="left"/>
        </w:tabs>
        <w:numPr>
          <w:ilvl w:val="0"/>
          <w:numId w:val="308"/>
        </w:numPr>
        <w:rPr>
          <w:rFonts w:ascii="Arial" w:cs="Arial" w:eastAsia="Arial" w:hAnsi="Arial"/>
          <w:sz w:val="17"/>
          <w:szCs w:val="17"/>
          <w:color w:val="auto"/>
        </w:rPr>
      </w:pPr>
      <w:r>
        <w:rPr>
          <w:rFonts w:ascii="Arial" w:cs="Arial" w:eastAsia="Arial" w:hAnsi="Arial"/>
          <w:sz w:val="17"/>
          <w:szCs w:val="17"/>
          <w:color w:val="auto"/>
        </w:rPr>
        <w:t>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19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Although Embecta’s amended and restated certificate of incorporation will include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265"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five shares of BD common stock and one share of Embecta common stock may not equal or exceed the pre-distribution value of five shares of BD common stock.</w:t>
      </w:r>
    </w:p>
    <w:p>
      <w:pPr>
        <w:spacing w:after="0" w:line="62"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As a result of the separation, the trading price of shares of BD common stock immediately following the separation may be different from the “regular-way” trading price of such shares immediately prior to the separation because the trading price of BD common stock will no longer reflect the value of the diabetes care business. There can be no assurance that the aggregate market value of five shares of BD common stock and one share of Embecta common stock following the separation will be higher than, lower than or the same as the market value of five shares of BD common stock if the separation did not occur.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This information statement and other materials BD and Embecta have filed or will file with the SEC (and oral communications that BD or Embecta may make) contain or incorporate by reference statements that relate to future events and expectations and, as such, constitute forward-looking statements under the securities laws. Forward-looking statements include those containing such words as “anticipates,” “believes,” “could,” “estimates,” “expects,” “forecasts,” “goal,” “guidance,” “intends,” “may,” “outlook,” “plans,” “projects,” “seeks,” “sees,” “should,” “targets,” “will,” “would,” or other words of similar meaning. All statements that reflect BD’s or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Embecta’s strategy for growth, future product development, regulatory clearances and approvals, competitive position and expenditures. Forward-looking statements are not guarantees of future performance and are subject to risks, uncertainties, and changes in circumstances that are difficult to predict. Although each of BD and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73" w:lineRule="exact"/>
        <w:rPr>
          <w:sz w:val="20"/>
          <w:szCs w:val="20"/>
          <w:color w:val="auto"/>
        </w:rPr>
      </w:pPr>
    </w:p>
    <w:p>
      <w:pPr>
        <w:jc w:val="both"/>
        <w:ind w:left="960" w:right="140" w:hanging="424"/>
        <w:spacing w:after="0" w:line="263"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89"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Embecta’s key products or the revenue delivered from sales to its key customers.</w:t>
      </w:r>
    </w:p>
    <w:p>
      <w:pPr>
        <w:spacing w:after="0" w:line="75" w:lineRule="exact"/>
        <w:rPr>
          <w:rFonts w:ascii="Arial" w:cs="Arial" w:eastAsia="Arial" w:hAnsi="Arial"/>
          <w:sz w:val="18"/>
          <w:szCs w:val="18"/>
          <w:color w:val="auto"/>
        </w:rPr>
      </w:pPr>
    </w:p>
    <w:p>
      <w:pPr>
        <w:ind w:left="960" w:right="760" w:hanging="424"/>
        <w:spacing w:after="0" w:line="277"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failure by BD to perform of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960" w:right="440" w:hanging="424"/>
        <w:spacing w:after="0" w:line="263" w:lineRule="auto"/>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9" w:lineRule="exact"/>
        <w:rPr>
          <w:rFonts w:ascii="Arial" w:cs="Arial" w:eastAsia="Arial" w:hAnsi="Arial"/>
          <w:sz w:val="18"/>
          <w:szCs w:val="18"/>
          <w:color w:val="auto"/>
        </w:rPr>
      </w:pPr>
    </w:p>
    <w:p>
      <w:pPr>
        <w:jc w:val="both"/>
        <w:ind w:left="960" w:right="20" w:hanging="424"/>
        <w:spacing w:after="0" w:line="286" w:lineRule="auto"/>
        <w:tabs>
          <w:tab w:leader="none" w:pos="9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Any impact of the COVID-19 pandemic on Embecta’s business, including disruptions in its operations and supply chains.</w:t>
      </w:r>
    </w:p>
    <w:p>
      <w:pPr>
        <w:spacing w:after="0" w:line="130"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0" w:right="439" w:bottom="1440" w:gutter="0" w:footer="0" w:header="0"/>
        </w:sectPr>
      </w:pPr>
    </w:p>
    <w:bookmarkStart w:id="251" w:name="page252"/>
    <w:bookmarkEnd w:id="251"/>
    <w:p>
      <w:pPr>
        <w:ind w:left="960" w:right="560" w:hanging="424"/>
        <w:spacing w:after="0" w:line="277"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42" w:lineRule="exact"/>
        <w:rPr>
          <w:rFonts w:ascii="Arial" w:cs="Arial" w:eastAsia="Arial" w:hAnsi="Arial"/>
          <w:sz w:val="17"/>
          <w:szCs w:val="17"/>
          <w:color w:val="auto"/>
        </w:rPr>
      </w:pPr>
    </w:p>
    <w:p>
      <w:pPr>
        <w:ind w:left="960" w:right="80" w:hanging="424"/>
        <w:spacing w:after="0" w:line="277"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BD and Embecta assumes no obligation to update or revise such statement, whether as a result of new information, future events or otherwise, except as required by applicable law.</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SEPARATION AND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BD announced that it intended to effect the separation through a pro rata distribution to the BD shareholders of all of the common stock of a new entity formed to hold the assets and liabilities associated with the diabetes care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distribution, it is expected that:</w:t>
      </w:r>
    </w:p>
    <w:p>
      <w:pPr>
        <w:spacing w:after="0" w:line="131" w:lineRule="exact"/>
        <w:rPr>
          <w:sz w:val="20"/>
          <w:szCs w:val="20"/>
          <w:color w:val="auto"/>
        </w:rPr>
      </w:pPr>
    </w:p>
    <w:p>
      <w:pPr>
        <w:ind w:left="1420" w:right="300" w:hanging="331"/>
        <w:spacing w:after="0" w:line="277" w:lineRule="auto"/>
        <w:tabs>
          <w:tab w:leader="none" w:pos="14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BD will complete the internal reorganization as a result of which Embecta will become the parent company of the BD operations comprising, and the entities that will conduct, the diabetes care business;</w:t>
      </w:r>
    </w:p>
    <w:p>
      <w:pPr>
        <w:spacing w:after="0" w:line="75" w:lineRule="exact"/>
        <w:rPr>
          <w:rFonts w:ascii="Arial" w:cs="Arial" w:eastAsia="Arial" w:hAnsi="Arial"/>
          <w:sz w:val="18"/>
          <w:szCs w:val="18"/>
          <w:color w:val="auto"/>
        </w:rPr>
      </w:pPr>
    </w:p>
    <w:p>
      <w:pPr>
        <w:ind w:left="1420" w:right="160" w:hanging="331"/>
        <w:spacing w:after="0" w:line="263" w:lineRule="auto"/>
        <w:tabs>
          <w:tab w:leader="none" w:pos="14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Embecta will incur approximately $1,650 million of indebtedness, consisting of $500 million in senior secured 5.000% notes and a $1,150 million term loan facility, and will enter into a $500 million revolving credit facility (which Embecta anticipates will be undrawn as of the completion of the distribution); and</w:t>
      </w:r>
    </w:p>
    <w:p>
      <w:pPr>
        <w:spacing w:after="0" w:line="89" w:lineRule="exact"/>
        <w:rPr>
          <w:rFonts w:ascii="Arial" w:cs="Arial" w:eastAsia="Arial" w:hAnsi="Arial"/>
          <w:sz w:val="18"/>
          <w:szCs w:val="18"/>
          <w:color w:val="auto"/>
        </w:rPr>
      </w:pPr>
    </w:p>
    <w:p>
      <w:pPr>
        <w:ind w:left="1420" w:right="120" w:hanging="331"/>
        <w:spacing w:after="0" w:line="259" w:lineRule="auto"/>
        <w:tabs>
          <w:tab w:leader="none" w:pos="14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using a portion of the proceeds from one or more financing transactions on or prior to the completion of the distribution, Embecta will pay a dividend to BD equal to all Embecta’s cash and cash equivalents in excess of $160 million. BD is expected to receive approximately $1,440 million from such transactions in connection with the separation and distribution (which amount is subject to change).</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Subject to the satisfaction or waiver of the conditions to the distribution (see “—Conditions to the Distribution” below), at 12:01 a.m., Eastern Time, on April 1, 2022, the distribution date, each BD shareholder holding outstanding BD shares as of March 22, 2022 will receive one share of Embecta common stock for every five shares of BD common stock held at the close of business on the record date for the distribution, as described below. BD shareholders will receive cash in lieu of any fractional shares of Embecta common stock that they would have received after application of this ratio. Upon completion of the separation, each BD shareholder as of the record date will continue to own shares of BD common stock and will receive a proportionate share of the outstanding common stock of Embecta to be distributed. You will not be required to make any payment, surrender or exchange your BD common stock or take any other action to receive your shares of Embecta common stock in the distribution. The distribution of Embecta common stock as described in this information statement is subject to the satisfaction or waiver of certain conditions. For a more detailed description of these conditions, see “—Conditions to the Distribution”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420" w:right="360" w:hanging="331"/>
        <w:spacing w:after="0" w:line="279" w:lineRule="auto"/>
        <w:tabs>
          <w:tab w:leader="none" w:pos="1420"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Enhanced Focus on Strategic, Operational Drivers to Accelerate Revenue Growth</w:t>
      </w:r>
      <w:r>
        <w:rPr>
          <w:rFonts w:ascii="Arial" w:cs="Arial" w:eastAsia="Arial" w:hAnsi="Arial"/>
          <w:sz w:val="17"/>
          <w:szCs w:val="17"/>
          <w:color w:val="auto"/>
        </w:rPr>
        <w:t>. The separation will permit each of BD and</w:t>
      </w:r>
      <w:r>
        <w:rPr>
          <w:rFonts w:ascii="Arial" w:cs="Arial" w:eastAsia="Arial" w:hAnsi="Arial"/>
          <w:sz w:val="17"/>
          <w:szCs w:val="17"/>
          <w:i w:val="1"/>
          <w:iCs w:val="1"/>
          <w:color w:val="auto"/>
        </w:rPr>
        <w:t xml:space="preserve"> </w:t>
      </w:r>
      <w:r>
        <w:rPr>
          <w:rFonts w:ascii="Arial" w:cs="Arial" w:eastAsia="Arial" w:hAnsi="Arial"/>
          <w:sz w:val="17"/>
          <w:szCs w:val="17"/>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253" w:name="page254"/>
    <w:bookmarkEnd w:id="253"/>
    <w:p>
      <w:pPr>
        <w:ind w:left="1420" w:right="100" w:hanging="331"/>
        <w:spacing w:after="0" w:line="291" w:lineRule="auto"/>
        <w:tabs>
          <w:tab w:leader="none" w:pos="1420"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More Efficient Resource and Capital Allocation to Pursue Each Company’s Strategic Goals. </w:t>
      </w:r>
      <w:r>
        <w:rPr>
          <w:rFonts w:ascii="Arial" w:cs="Arial" w:eastAsia="Arial" w:hAnsi="Arial"/>
          <w:sz w:val="16"/>
          <w:szCs w:val="16"/>
          <w:color w:val="auto"/>
        </w:rPr>
        <w:t>The separation will permit each of BD</w:t>
      </w:r>
      <w:r>
        <w:rPr>
          <w:rFonts w:ascii="Arial" w:cs="Arial" w:eastAsia="Arial" w:hAnsi="Arial"/>
          <w:sz w:val="16"/>
          <w:szCs w:val="16"/>
          <w:i w:val="1"/>
          <w:iCs w:val="1"/>
          <w:color w:val="auto"/>
        </w:rPr>
        <w:t xml:space="preserve"> </w:t>
      </w:r>
      <w:r>
        <w:rPr>
          <w:rFonts w:ascii="Arial" w:cs="Arial" w:eastAsia="Arial" w:hAnsi="Arial"/>
          <w:sz w:val="16"/>
          <w:szCs w:val="16"/>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 Embecta will be free to invest its strong capital generation for its own organic and inorganic opportunities in order to accelerate growth and expand its leadership for the benefit of patients and to drive shareholder value.</w:t>
      </w:r>
    </w:p>
    <w:p>
      <w:pPr>
        <w:spacing w:after="0" w:line="71" w:lineRule="exact"/>
        <w:rPr>
          <w:rFonts w:ascii="Arial" w:cs="Arial" w:eastAsia="Arial" w:hAnsi="Arial"/>
          <w:sz w:val="16"/>
          <w:szCs w:val="16"/>
          <w:color w:val="auto"/>
        </w:rPr>
      </w:pPr>
    </w:p>
    <w:p>
      <w:pPr>
        <w:ind w:left="1420" w:right="80" w:hanging="331"/>
        <w:spacing w:after="0" w:line="263" w:lineRule="auto"/>
        <w:tabs>
          <w:tab w:leader="none" w:pos="1420"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420" w:hanging="331"/>
        <w:spacing w:after="0" w:line="311" w:lineRule="auto"/>
        <w:tabs>
          <w:tab w:leader="none" w:pos="1420"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1420" w:right="60" w:hanging="331"/>
        <w:spacing w:after="0" w:line="293" w:lineRule="auto"/>
        <w:tabs>
          <w:tab w:leader="none" w:pos="1420"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w:t>
      </w:r>
    </w:p>
    <w:p>
      <w:pPr>
        <w:spacing w:after="0" w:line="131" w:lineRule="exact"/>
        <w:rPr>
          <w:sz w:val="20"/>
          <w:szCs w:val="20"/>
          <w:color w:val="auto"/>
        </w:rPr>
      </w:pPr>
    </w:p>
    <w:p>
      <w:pPr>
        <w:ind w:left="1420" w:right="60" w:hanging="331"/>
        <w:spacing w:after="0" w:line="257" w:lineRule="auto"/>
        <w:tabs>
          <w:tab w:leader="none" w:pos="142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Risk of Failure to Achieve Anticipated Benefits of the Separation. </w:t>
      </w:r>
      <w:r>
        <w:rPr>
          <w:rFonts w:ascii="Arial" w:cs="Arial" w:eastAsia="Arial" w:hAnsi="Arial"/>
          <w:sz w:val="18"/>
          <w:szCs w:val="18"/>
          <w:color w:val="auto"/>
        </w:rPr>
        <w:t>The anticipated benefits of the separation may not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reasons, including, among others: the separation will demand significant management resources and require significant amounts of management’s time and effort; and following the separation, Embecta’s business may be more susceptible to market fluctuations and other adverse events than if it were still a part of BD because Embecta’s business will be less diversified than BD’s businesses prior to the completion of the separation.</w:t>
      </w:r>
    </w:p>
    <w:p>
      <w:pPr>
        <w:spacing w:after="0" w:line="93" w:lineRule="exact"/>
        <w:rPr>
          <w:rFonts w:ascii="Arial" w:cs="Arial" w:eastAsia="Arial" w:hAnsi="Arial"/>
          <w:sz w:val="18"/>
          <w:szCs w:val="18"/>
          <w:color w:val="auto"/>
        </w:rPr>
      </w:pPr>
    </w:p>
    <w:p>
      <w:pPr>
        <w:ind w:left="1420" w:right="100" w:hanging="331"/>
        <w:spacing w:after="0" w:line="271" w:lineRule="auto"/>
        <w:tabs>
          <w:tab w:leader="none" w:pos="1420"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 xml:space="preserve">Loss of Scale and Increased Administrative Costs. </w:t>
      </w:r>
      <w:r>
        <w:rPr>
          <w:rFonts w:ascii="Arial" w:cs="Arial" w:eastAsia="Arial" w:hAnsi="Arial"/>
          <w:sz w:val="17"/>
          <w:szCs w:val="17"/>
          <w:color w:val="auto"/>
        </w:rPr>
        <w:t>As a part of BD, Embecta currently takes advantage of BD’s size and purchasing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in procuring certain goods and services. After the separation, as a standalone company, Embecta may be unable to obtain these goods and services at prices or on terms as favorable as those currently obtained by BD for the diabetes care business. In addition, as part of BD, Embecta benefits from certain functions performed by BD, such as accounting, tax, legal, human resources and other general and administrative functions. After the separation, BD will not perform these functions for Embecta, other than certain functions that will be provided for a limited time pursuant to the transition services agreement, and, because of Embecta’s smaller scale as a standalone company, its cost of performing such functions could be higher than the amounts reflected in its historical combined financial statements.</w:t>
      </w:r>
    </w:p>
    <w:p>
      <w:pPr>
        <w:spacing w:after="0" w:line="17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In determining to pursue the separation, the BD Board of Directors concluded the potential benefits of the separation outweighed the foregoing factors. See the section entitled “Risk Factors” included elsewhere in this information statement.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Formation of Embecta</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Embecta was formed in Delaware on July 8, 2021 for the purpose of holding BD’s diabetes care business. As part of the plan to separate the diabetes care business from the remainder of BD’s businesses, in connection with the internal reorganization, BD plans to transfer the equity interests of certain entities and the assets and liabilities of the diabetes care business to Embecta prior to the distribution.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With the assistance of Computershare, and subject to the satisfaction or waiver of the conditions to the distribution, BD expects to distribute Embecta common stock at 12:01 a.m., Eastern Time, on April 1, 2022, the distribution date, to all holders of outstanding BD common stock as of the close of business on March 22, 2022, the record date for the distribution. Computershare, which currently serves as the transfer agent and registrar for BD common stock, will serve as the settlement and distribution agent in connection with the distribution and the transfer agent and registrar for Embecta common stock.</w:t>
      </w:r>
    </w:p>
    <w:p>
      <w:pPr>
        <w:spacing w:after="0" w:line="18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If you own BD common stock as of the close of business on the record date for the distribution, Embecta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Embecta common stock. If you hold your BD shares through a bank or brokerage firm, your bank or brokerage firm will credit your account for the Embecta shares. Direct registration form refers to a method of recording share ownership when no physical share certificates are issued to shareholders, as is the case in this distribution. If you sell BD common stock in the “regular-way” market up to and including the distribution date, you will be selling your right to receive shares of Embecta common stock in the distribution.</w:t>
      </w:r>
    </w:p>
    <w:p>
      <w:pPr>
        <w:spacing w:after="0" w:line="17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BD common stock and you are the registered holder of the shares represented by those certificates, the distribution agent will mail to you an account statement that indicates the number of shares of Embecta common stock that have been registered in book-entry form in your name.</w:t>
      </w:r>
    </w:p>
    <w:p>
      <w:pPr>
        <w:spacing w:after="0" w:line="184"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Most BD shareholders hold their common stock through a bank or brokerage firm. In such cases, the bank or brokerage firm is said to hold the shares in “street name” and ownership would be recorded on the bank or brokerage firm’s books. If you hold your BD common stock through a bank or brokerage firm, your bank or brokerage firm will credit your account for the Embecta common stock that you are entitled to receive in the distribution. If you have any questions concerning the mechanics of having shares held in “street name,” please contact your bank or brokerage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Shares of Embecta common stock distributed to holders in connection with the distribution will be transferable without registration under the Securities Act, except in certain cases for shares received by persons who may be deemed to be Embecta’s affiliates. Persons who may be deemed to be Embecta’s affiliates after the distribution generally include individuals or entities that control, are controlled by or are under common control with Embecta, which may include certain of its executive officers or directors. Securities held by Embecta’s affiliates will be subject to resale restrictions under the Securities Act. Embecta’s affiliates will be permitted to sell shares of Embecta common stock only pursuant to an effective registration statement or an exemption from the registration requirements of the Securities Act, such as the exemption afforded by Rule 144 under the Securities Act.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Embecta Common Stock You Will Receive</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For every five shares of BD common stock that you own at the close of business on March 22, 2022, the record date for the distribution, you will receive one share of Embecta common stock on the distribution date. No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255" w:name="page256"/>
    <w:bookmarkEnd w:id="25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fractional shares of Embecta common stock will be distributed. Instead, if you are a registered holder, Computershare will 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distribution agent, in its sole discretion, without any influence by BD or Embecta, will determine when, how, and through which broker-dealer and at what price to sell the whole shares. Any broker-dealer used by the distribution agent will not be an affiliate of either BD or Embecta and the distribution agent is not an affiliate of either BD or Embecta. Neither Embecta nor BD will be able to guarantee any minimum sale price in connection with the sale of these shares. Recipients of cash in lieu of fractional shares will not be entitled to any interest on the amounts paid in lieu of fractional shares.</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net cash proceeds of these sales of fractional shares will be taxable for U.S. federal income tax purposes. See “Material U.S. Federal Income Tax Consequences” for an explanation of certain material U.S. federal income tax consequences of the distribution. If you hold physical certificates for shares of BD common stock and are the registered holder, you will receive a check from the distribution agent in an amount equal to your pro rata share of the net cash proceeds of the sales. Embecta estimates that it will take approximately two weeks from the distribution date for the distribution agent to complete the distribution of the net cash proceeds. If you hold your shares of BD common stock through a bank or brokerage firm, your bank or brokerage firm will receive, on your behalf, your pro rata share of the net cash proceeds of the sales and will electronically credit your account for your share of such proceeds.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 connection with the separation, equity-based awards granted by BD that are outstanding immediately prior to the separation will be treated as follows: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i w:val="1"/>
          <w:iCs w:val="1"/>
          <w:color w:val="auto"/>
        </w:rPr>
        <w:t xml:space="preserve">Stock Appreciation Rights Held by Embecta Employees. </w:t>
      </w:r>
      <w:r>
        <w:rPr>
          <w:rFonts w:ascii="Arial" w:cs="Arial" w:eastAsia="Arial" w:hAnsi="Arial"/>
          <w:sz w:val="17"/>
          <w:szCs w:val="17"/>
          <w:color w:val="auto"/>
        </w:rPr>
        <w:t>Each award of BD stock appreciation rights held by an Embecta employee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into an award of stock appreciation rights with respect to Embecta common stock.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17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i w:val="1"/>
          <w:iCs w:val="1"/>
          <w:color w:val="auto"/>
        </w:rPr>
        <w:t>Stock Appreciation Rights Held by BD Employees and Former Employees</w:t>
      </w:r>
      <w:r>
        <w:rPr>
          <w:rFonts w:ascii="Arial" w:cs="Arial" w:eastAsia="Arial" w:hAnsi="Arial"/>
          <w:sz w:val="17"/>
          <w:szCs w:val="17"/>
          <w:color w:val="auto"/>
        </w:rPr>
        <w:t>. Each award of BD stock appreciation rights held by a BD employee or</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who does not transfer to Embecta (a “BD Employee”) will continue to relate to BD common stock, provided that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 Vesting Units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i w:val="1"/>
          <w:iCs w:val="1"/>
          <w:color w:val="auto"/>
        </w:rPr>
        <w:t>Time Vesting Units Held by Embecta Employees and Embecta Non-Employee Directors</w:t>
      </w:r>
      <w:r>
        <w:rPr>
          <w:rFonts w:ascii="Arial" w:cs="Arial" w:eastAsia="Arial" w:hAnsi="Arial"/>
          <w:sz w:val="18"/>
          <w:szCs w:val="18"/>
          <w:color w:val="auto"/>
        </w:rPr>
        <w:t>. Each award of BD time-vesting units held by an Embecta</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will be converted into an 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Each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256" w:name="page257"/>
    <w:bookmarkEnd w:id="256"/>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unvested award of BD time-vesting units held by a BD Non-Employee Director who will become an Embecta Non-Employee Director immediately following the separation will be prorated with respect to the Non-Employee Director’s time served at BD from the grant date through the separation and vested immediately prior to the separation, such that the prorated portion of such award will participate in the distribution.</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i w:val="1"/>
          <w:iCs w:val="1"/>
          <w:color w:val="auto"/>
        </w:rPr>
        <w:t>Time Vesting Units Held by BD Employees and BD Non-Employee Directors</w:t>
      </w:r>
      <w:r>
        <w:rPr>
          <w:rFonts w:ascii="Arial" w:cs="Arial" w:eastAsia="Arial" w:hAnsi="Arial"/>
          <w:sz w:val="17"/>
          <w:szCs w:val="17"/>
          <w:color w:val="auto"/>
        </w:rPr>
        <w:t>. Each award of BD time-vesting units held by a BD Employee or a</w:t>
      </w:r>
      <w:r>
        <w:rPr>
          <w:rFonts w:ascii="Arial" w:cs="Arial" w:eastAsia="Arial" w:hAnsi="Arial"/>
          <w:sz w:val="17"/>
          <w:szCs w:val="17"/>
          <w:i w:val="1"/>
          <w:iCs w:val="1"/>
          <w:color w:val="auto"/>
        </w:rPr>
        <w:t xml:space="preserve"> </w:t>
      </w:r>
      <w:r>
        <w:rPr>
          <w:rFonts w:ascii="Arial" w:cs="Arial" w:eastAsia="Arial" w:hAnsi="Arial"/>
          <w:sz w:val="17"/>
          <w:szCs w:val="17"/>
          <w:color w:val="auto"/>
        </w:rPr>
        <w:t>BD Non-Employee Director (other than a Non-Employee Director transferring to Embecta) will continue to relate to BD common 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Share Units</w:t>
      </w:r>
    </w:p>
    <w:p>
      <w:pPr>
        <w:spacing w:after="0" w:line="11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i w:val="1"/>
          <w:iCs w:val="1"/>
          <w:color w:val="auto"/>
        </w:rPr>
        <w:t>Performance-Based Restricted Share Units Held by Embecta Employees</w:t>
      </w:r>
      <w:r>
        <w:rPr>
          <w:rFonts w:ascii="Arial" w:cs="Arial" w:eastAsia="Arial" w:hAnsi="Arial"/>
          <w:sz w:val="16"/>
          <w:szCs w:val="16"/>
          <w:color w:val="auto"/>
        </w:rPr>
        <w:t>. Prior to the separation, the BD Board of Directors will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level of performance achieved with respect to each BD performance-based restricted share unit award and the number of shares of BD common stock subject to such BD performance-based restricted share unit award, which awards will be treated as follows (and the remaining shares of BD common stock subject to such BD performance-based restricted share unit awards shall be forfeited). Each award of BD performance-based restricted share units held by an Embecta employee will be converted into an 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except that the performance conditions will no longer apply.</w:t>
      </w:r>
    </w:p>
    <w:p>
      <w:pPr>
        <w:spacing w:after="0" w:line="165"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i w:val="1"/>
          <w:iCs w:val="1"/>
          <w:color w:val="auto"/>
        </w:rPr>
        <w:t>Performance-Based Restricted Share Units Held by BD Employees</w:t>
      </w:r>
      <w:r>
        <w:rPr>
          <w:rFonts w:ascii="Arial" w:cs="Arial" w:eastAsia="Arial" w:hAnsi="Arial"/>
          <w:sz w:val="16"/>
          <w:szCs w:val="16"/>
          <w:color w:val="auto"/>
        </w:rPr>
        <w:t>. Each award of BD performance-based restricted share units held by a BD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will continue to relate to BD common 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subject to any adjustment to performance goals that the Compensation and Human Capital Committee of the BD Board of Directors (the “BD Compensation Committee”) may make in order to reflect the impact of the separation.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part of the separation, and prior to the distribution, BD and its subsidiaries expect to complete an internal reorganization in order to transfer to Embecta the diabetes care business. The internal reorganization is expected to include various restructuring transactions pursuant to which (1) the operations, assets and liabilities of BD and its subsidiaries used to conduct the diabetes care business will be separated from the operations, assets and liabilities of BD and its subsidiaries used to conduct the BD Business and (2) such diabetes care business operations, assets and liabilities will be contributed, transferred or otherwise allocated to Embecta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diabetes care business or BD Business in such jurisdictions.</w:t>
      </w:r>
    </w:p>
    <w:p>
      <w:pPr>
        <w:spacing w:after="0" w:line="16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As part of this internal reorganization, BD will contribute to Embecta certain liabilities and certain assets, including equity interests in entities that are expected to conduct the diabetes care business.</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Embecta will be the parent company of the entities that are expected to conduct the diabetes care business, and BD will remain the parent company of the entities that are expected to conduct the BD Business.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the Distribution</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After the distribution, Embecta will be an independent, publicly traded company. The actual number of shares to be distributed will be determined at the close of business on March 22, 2022, the record date for the distribution, and will reflect BD shares issued under BD equity compensation awards and BD share repurchases between the date on which the BD Board of Directors declares the distribution and the record date for the distribution. The distribution will not affect the number of outstanding shares of BD common stock or any rights of BD shareholders. No fractional shares of Embecta common stock will be distributed.</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Embecta will enter into a separation and distribution agreement and other related agreements with BD to effect the separation and to provide a framework for its relationship with BD after the separation, and will enter 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and employee benefits and tax-related assets and liabilities) of BD and its subsidiaries attributable to periods prior to, at and after Embecta’s separation from BD and will govern the relationship between Embecta and BD subsequent to the completion of the separation. For additional information regarding the separation and distribution agreement and other transaction agreements, see the sections entitled “Risk Factors —Risks Related to the Separation and Distribution” and “Certain Relationships and Related Party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Embecta Common Stock</w:t>
      </w:r>
    </w:p>
    <w:p>
      <w:pPr>
        <w:spacing w:after="0" w:line="12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There is currently no public trading market for Embecta common stock. Embecta’s common stock has been approved for listing subject to official notice of issuance on Nasdaq under the symbol “EMBC.” Embecta has not and will not set the initial price of its common stock. The initial price will be established by the public markets.</w:t>
      </w:r>
    </w:p>
    <w:p>
      <w:pPr>
        <w:spacing w:after="0" w:line="18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Embecta cannot predict the price at which its common stock will trade after the distribution. In fact, the combined trading prices, after the distribution, of one share of Embecta common stock and five shares of BD common stock may not equal the “regular-way” trading price of five shares of BD common stock immediately prior to the distribution. The price at which Embecta common stock trades may fluctuate significantly, particularly until an orderly public market develops. Trading prices for Embecta common stock will be determined in the public markets and may be influenced by many factors. See “Risk Factors—Risks Related to Embecta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17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However, prior to the completion of the distribution, BD may cause Embecta to issue the Exchange Debt. BD would use any such Exchange Debt to retire some of BD’s existing debt in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principal amount of any such Exchange Debt. In addition, in the event that BD determines that Embecta shall issue the Exchange Debt to BD, then the amount of the cash dividend from Embecta to BD shall be equal to (1) the amount of the cash dividend from Embecta to BD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258" w:name="page259"/>
    <w:bookmarkEnd w:id="25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would have been made if the Exchange Debt had not been issued, </w:t>
      </w:r>
      <w:r>
        <w:rPr>
          <w:rFonts w:ascii="Arial" w:cs="Arial" w:eastAsia="Arial" w:hAnsi="Arial"/>
          <w:sz w:val="18"/>
          <w:szCs w:val="18"/>
          <w:i w:val="1"/>
          <w:iCs w:val="1"/>
          <w:color w:val="auto"/>
        </w:rPr>
        <w:t>less</w:t>
      </w:r>
      <w:r>
        <w:rPr>
          <w:rFonts w:ascii="Arial" w:cs="Arial" w:eastAsia="Arial" w:hAnsi="Arial"/>
          <w:sz w:val="18"/>
          <w:szCs w:val="18"/>
          <w:color w:val="auto"/>
        </w:rPr>
        <w:t xml:space="preserve"> (2) the principal amount of any such Exchange Debt. We refer to the cash dividend, taken together with the issuance of the Exchange Debt, if applicable, as the “Embecta-to-BD Distribution Transaction.” For more information, see “Description of Material Indebtedness.”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Beginning on or shortly before the record date for the distribution and continuing up to and including through the distribution date, BD expects that there will be two markets in BD common stock: a “regular-way” market and an “ex-distribution” market. BD common stock that trades on the “regular-way” market will trade with an entitlement to Embecta common stock distributed in the distribution. BD common stock that trades on the “ex-distribution” market will trade without an entitlement to Embecta common stock distributed in the distribution. Therefore, if you sell shares of BD common stock in the “regular-way” market up to and including through the distribution date, you will be selling your right to receive shares of Embecta common stock in the distribution. If you own BD common stock at the close of business on the record date and sell those shares on the “ex-distribution” market up to and including through the distribution date, you will receive the shares of Embecta common stock that you are entitled to receive pursuant to your ownership of shares of BD common stock as of the record date.</w:t>
      </w:r>
    </w:p>
    <w:p>
      <w:pPr>
        <w:spacing w:after="0" w:line="17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Furthermore, beginning on or shortly before the record date for the distribution and continuing up to and including the distribution date, Embecta expects that there will be a “when-issued” market in its common stock. “When-issued” trading refers to a sale or purchase made conditionally because the security has been authorized but not yet issued. The “when-issued” trading market will be a market for Embecta common stock that will be distributed to holders of BD common stock on the distribution date. If you owned BD common stock at the close of business on the record date for the distribution, you would be entitled to Embecta common stock distributed pursuant to the distribution. You may trade this entitlement to shares of Embecta common stock, without trading the BD common stock you own, on the “when-issued” market. On the first trading day following the distribution date, “when-issued” trading with respect to Embecta common stock will end, and “regular-way” trading with respect to Embecta common stock will begin.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jc w:val="both"/>
        <w:ind w:right="300" w:firstLine="440"/>
        <w:spacing w:after="0" w:line="342" w:lineRule="auto"/>
        <w:rPr>
          <w:sz w:val="20"/>
          <w:szCs w:val="20"/>
          <w:color w:val="auto"/>
        </w:rPr>
      </w:pPr>
      <w:r>
        <w:rPr>
          <w:rFonts w:ascii="Arial" w:cs="Arial" w:eastAsia="Arial" w:hAnsi="Arial"/>
          <w:sz w:val="16"/>
          <w:szCs w:val="16"/>
          <w:color w:val="auto"/>
        </w:rPr>
        <w:t>The distribution will be effective at 12:01 a.m., Eastern Time, on April 1, 2022, which is the distribution date, provided that the conditions set forth in the separation and distribution agreement have been satisfied (or waived by BD in its sole and absolute discretion), including, among others:</w:t>
      </w:r>
    </w:p>
    <w:p>
      <w:pPr>
        <w:spacing w:after="0" w:line="29" w:lineRule="exact"/>
        <w:rPr>
          <w:sz w:val="20"/>
          <w:szCs w:val="20"/>
          <w:color w:val="auto"/>
        </w:rPr>
      </w:pPr>
    </w:p>
    <w:p>
      <w:pPr>
        <w:ind w:left="960" w:right="380" w:hanging="424"/>
        <w:spacing w:after="0" w:line="263"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SEC shall have declared effective the registration statement of which this information statement forms a part; there being no order suspending the effectiveness of the registration statement in effect; and no proceedings for such purposes having been instituted or threatened by the SEC;</w:t>
      </w:r>
    </w:p>
    <w:p>
      <w:pPr>
        <w:spacing w:after="0" w:line="89"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holders of record of shares of BD common stock at the close of business on March 22, 2022, the record date for the distribution;</w:t>
      </w:r>
    </w:p>
    <w:p>
      <w:pPr>
        <w:spacing w:after="0" w:line="75" w:lineRule="exact"/>
        <w:rPr>
          <w:rFonts w:ascii="Arial" w:cs="Arial" w:eastAsia="Arial" w:hAnsi="Arial"/>
          <w:sz w:val="18"/>
          <w:szCs w:val="18"/>
          <w:color w:val="auto"/>
        </w:rPr>
      </w:pPr>
    </w:p>
    <w:p>
      <w:pPr>
        <w:ind w:left="960" w:right="120" w:hanging="424"/>
        <w:spacing w:after="0" w:line="257"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BD shall have received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not having been withdrawn or rescinded;</w:t>
      </w:r>
    </w:p>
    <w:p>
      <w:pPr>
        <w:spacing w:after="0" w:line="93"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having occurred in accordance with the separation and distribution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259" w:name="page260"/>
    <w:bookmarkEnd w:id="259"/>
    <w:p>
      <w:pPr>
        <w:ind w:left="960" w:right="160" w:hanging="424"/>
        <w:spacing w:after="0" w:line="311" w:lineRule="auto"/>
        <w:tabs>
          <w:tab w:leader="none" w:pos="9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BD Board of Directors shall have received one or more opinions from an independent appraisal firm acceptable to BD to the as to the solvency and financial viability of BD and Embecta after the completion of the distribution, in each case, in a form and substance acceptable to the BD Board of Directors in its sole and absolute discretion and such opinions not having been withdrawn or rescinded;</w:t>
      </w:r>
    </w:p>
    <w:p>
      <w:pPr>
        <w:spacing w:after="0" w:line="54" w:lineRule="exact"/>
        <w:rPr>
          <w:rFonts w:ascii="Arial" w:cs="Arial" w:eastAsia="Arial" w:hAnsi="Arial"/>
          <w:sz w:val="16"/>
          <w:szCs w:val="16"/>
          <w:color w:val="auto"/>
        </w:rPr>
      </w:pPr>
    </w:p>
    <w:p>
      <w:pPr>
        <w:ind w:left="960" w:right="240" w:hanging="424"/>
        <w:spacing w:after="0" w:line="263"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having become effective or been accepted by the applicable government authority;</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130" w:lineRule="exact"/>
        <w:rPr>
          <w:rFonts w:ascii="Arial" w:cs="Arial" w:eastAsia="Arial" w:hAnsi="Arial"/>
          <w:sz w:val="18"/>
          <w:szCs w:val="18"/>
          <w:color w:val="auto"/>
        </w:rPr>
      </w:pPr>
    </w:p>
    <w:p>
      <w:pPr>
        <w:ind w:left="960" w:right="280" w:hanging="424"/>
        <w:spacing w:after="0" w:line="342" w:lineRule="auto"/>
        <w:tabs>
          <w:tab w:leader="none" w:pos="96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there shall be no order, injunction or decree issued by any government authority of competent jurisdiction or other legal restraint or prohibition preventing the consummation of the separation, the distribution or any of the related transactions being pending or in effect;</w:t>
      </w:r>
    </w:p>
    <w:p>
      <w:pPr>
        <w:spacing w:after="0" w:line="29" w:lineRule="exact"/>
        <w:rPr>
          <w:rFonts w:ascii="Arial" w:cs="Arial" w:eastAsia="Arial" w:hAnsi="Arial"/>
          <w:sz w:val="16"/>
          <w:szCs w:val="16"/>
          <w:color w:val="auto"/>
        </w:rPr>
      </w:pPr>
    </w:p>
    <w:p>
      <w:pPr>
        <w:ind w:left="960" w:right="720" w:hanging="424"/>
        <w:spacing w:after="0" w:line="277"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shares of Embecta common stock to be distributed shall have been accepted for listing on Nasdaq, subject to official notice of distribution;</w:t>
      </w:r>
    </w:p>
    <w:p>
      <w:pPr>
        <w:spacing w:after="0" w:line="75"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89"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Embecta shall have completed the Embecta-to-BD Distribution Transaction described under “Description of Material Indebtedness— Embecta-to-BD Distribution Transaction”; and</w:t>
      </w:r>
    </w:p>
    <w:p>
      <w:pPr>
        <w:spacing w:after="0" w:line="75" w:lineRule="exact"/>
        <w:rPr>
          <w:rFonts w:ascii="Arial" w:cs="Arial" w:eastAsia="Arial" w:hAnsi="Arial"/>
          <w:sz w:val="18"/>
          <w:szCs w:val="18"/>
          <w:color w:val="auto"/>
        </w:rPr>
      </w:pPr>
    </w:p>
    <w:p>
      <w:pPr>
        <w:ind w:left="960" w:right="40" w:hanging="424"/>
        <w:spacing w:after="0" w:line="308" w:lineRule="auto"/>
        <w:tabs>
          <w:tab w:leader="none" w:pos="9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there shall be no other events or developments existing or having occurred that, in the judgment of BD’s Board of Directors, in its sole and absolute discretion, makes it inadvisable to effect the separation, the distribution and the other related transactions.</w:t>
      </w:r>
    </w:p>
    <w:p>
      <w:pPr>
        <w:spacing w:after="0" w:line="14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BD will have the sole and absolute discretion to determine (and change) the terms of, and whether to proceed with, the distribution and, to the extent it determines to so proceed, to determine the record date for the distribution, the distribution date and the distribution ratio. BD will also have sole and absolute discretion to waive any of the conditions to the distribution. BD does not intend to notify its shareholders of any modifications to the terms of the separation or distribution that, in the judgment of its Board of Directors, are not material. The BD Board of Directors might consider material such matters as significant changes to the distribution ratio and the assets to be contributed or the liabilities to be assumed in the separation. To the extent that the BD Board of Directors determines that any modifications by BD materially change the material terms of the distribution, BD will notify BD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POLICY</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Embecta currently expects that it will initially pay a regular cash dividend after the separation and distribution. Embecta expects that its targeted dividend payout will be approximately 20% as a percentage of post-separation net income. The timing, declaration, amount of and payment of any dividends following the separation and the distribution will be within the discretion of Embecta’s Board of Directors and will depend upon many factors, including its financial condition, earnings, capital requirements of its operating subsidiaries, covenants associated with certain of its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p>
    <w:p>
      <w:pPr>
        <w:spacing w:after="0" w:line="229"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following sets forth the capitalization of Embecta as of September 30, 2021, on a historical and a pro forma basis, which reflects the adjustments described in more detail in the notes to the unaudited pro forma financial information included elsewhere in this information statement. You should read this information in conjunction with those notes, as well as “Management’s Discussion and Analysis of Financial Condition and Results of Operations” and the audited annual combined financial statements and the related notes included elsewhere in this information statement.</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Deferred income taxes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7"/>
        </w:trPr>
        <w:tc>
          <w:tcPr>
            <w:tcW w:w="6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0"/>
        </w:trPr>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Embecta has not yet finalized its post-distribution capitalization. Pro forma financial information reflecting the Diabetes Care Business (as defined in the historical combined financial statements included in this information statement) post-distribution capitalization will be included in an amendment to this information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262" w:name="page263"/>
    <w:bookmarkEnd w:id="26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HISTORICAL COMBINED FINANCIAL DATA OF THE DIABETES CARE BUSINESS</w:t>
      </w:r>
    </w:p>
    <w:p>
      <w:pPr>
        <w:spacing w:after="0" w:line="22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following table presents the selected historical combined financial data for the Diabetes Care Business as of and for each of the fiscal years in the three-year period ended September 30, 2021. The selected combined statement of income data for the fiscal years ended September 30, 2021, 2020 and 2019, and the selected combined balance sheet data as of September 30, 2021, 2020 and 2019, was derived from the Diabetes Care Business’ audited combined financial statements.</w:t>
      </w:r>
    </w:p>
    <w:p>
      <w:pPr>
        <w:spacing w:after="0" w:line="18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The historical results do not necessarily indicate the results expected for any future period. The selected historical combined financial data presented below should be read in conjunction with “Management’s Discussion and Analysis of Financial Condition and Results of Operations” and the Diabetes Care Business’ audited combined financial statements and accompanying notes, which are included elsewhere in this information statement. Per share data has not been presented since Embecta was wholly owned by BD during the periods presented.</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Selected Combined Financial Data</w:t>
      </w:r>
    </w:p>
    <w:p>
      <w:pPr>
        <w:spacing w:after="0" w:line="24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Combined Statement of Income Data:</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Revenues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1,086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Parent’s Equity</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24" w:right="1320" w:hanging="5424"/>
        <w:spacing w:after="0" w:line="449" w:lineRule="auto"/>
        <w:tabs>
          <w:tab w:leader="none" w:pos="4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 54</w:t>
      </w:r>
    </w:p>
    <w:p>
      <w:pPr>
        <w:sectPr>
          <w:pgSz w:w="11900" w:h="16838" w:orient="portrait"/>
          <w:cols w:equalWidth="0" w:num="1">
            <w:col w:w="10964"/>
          </w:cols>
          <w:pgMar w:left="436" w:top="270" w:right="49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FINANCIAL INFORMATION</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 The following unaudited pro forma condensed combined financial information of Embecta gives effect to the separation and related adjustments in accordance with Article 11 of Regulation S-X under the Exchange Act.</w:t>
      </w:r>
    </w:p>
    <w:p>
      <w:pPr>
        <w:spacing w:after="0" w:line="17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unaudited condensed combined pro forma balance sheet gives effect to the separation and related transactions described below as if they had occurred on September 30, 2021. The unaudited pro forma adjustments to the condensed combined statement of income for the year ended September 30, 2021 assume that the separation and related transactions occurred as of October 1, 2020.</w:t>
      </w:r>
    </w:p>
    <w:p>
      <w:pPr>
        <w:spacing w:after="0" w:line="184"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color w:val="auto"/>
        </w:rPr>
        <w:t>The unaudited pro forma condensed combined statement of income for the year ended September 30, 2021 has been derived from the audited historical combined statement of income for the year ended September 30, 2021. The unaudited pro forma condensed combined balance sheet as of September 30, 2021 has been derived from the audited historical combined balance sheet as of September 30, 2021.</w:t>
      </w:r>
    </w:p>
    <w:p>
      <w:pPr>
        <w:spacing w:after="0" w:line="165"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The unaudited pro forma condensed combined statement of income for the year ended September 30, 2021 and the unaudited pro forma condensed combined balance sheet as of September 30, 2021 have been prepared to reflect adjustments to the Diabetes Care Business’s historical combined financial information for transaction and autonomous entity adjustments.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 accounting adjustments that reflect the effects of Embecta’s legal separation from BD include the following adjustments:</w:t>
      </w:r>
    </w:p>
    <w:p>
      <w:pPr>
        <w:spacing w:after="0" w:line="131" w:lineRule="exact"/>
        <w:rPr>
          <w:sz w:val="20"/>
          <w:szCs w:val="20"/>
          <w:color w:val="auto"/>
        </w:rPr>
      </w:pPr>
    </w:p>
    <w:p>
      <w:pPr>
        <w:ind w:left="1420" w:right="40" w:hanging="331"/>
        <w:spacing w:after="0" w:line="277" w:lineRule="auto"/>
        <w:tabs>
          <w:tab w:leader="none" w:pos="14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Business’s historical combined balance sheet prepared on a carve-out basis and assets and liabilities expected to be contributed by BD to Embecta;</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effect of Embecta’s anticipated post-separation capital structure, including the incurrence of indebtedness of approximately</w:t>
      </w:r>
    </w:p>
    <w:p>
      <w:pPr>
        <w:spacing w:after="0" w:line="34" w:lineRule="exact"/>
        <w:rPr>
          <w:rFonts w:ascii="Arial" w:cs="Arial" w:eastAsia="Arial" w:hAnsi="Arial"/>
          <w:sz w:val="17"/>
          <w:szCs w:val="17"/>
          <w:color w:val="auto"/>
        </w:rPr>
      </w:pPr>
    </w:p>
    <w:p>
      <w:pPr>
        <w:ind w:left="1420" w:right="140"/>
        <w:spacing w:after="0" w:line="260" w:lineRule="auto"/>
        <w:rPr>
          <w:rFonts w:ascii="Arial" w:cs="Arial" w:eastAsia="Arial" w:hAnsi="Arial"/>
          <w:sz w:val="17"/>
          <w:szCs w:val="17"/>
          <w:color w:val="auto"/>
        </w:rPr>
      </w:pPr>
      <w:r>
        <w:rPr>
          <w:rFonts w:ascii="Arial" w:cs="Arial" w:eastAsia="Arial" w:hAnsi="Arial"/>
          <w:sz w:val="18"/>
          <w:szCs w:val="18"/>
          <w:color w:val="auto"/>
        </w:rPr>
        <w:t>$1,650 million in aggregate principal amount and the distribution of approximately $1,440 million of the proceeds thereof to BD in connection with the separation and distribution (which amount is subject to change);</w:t>
      </w:r>
    </w:p>
    <w:p>
      <w:pPr>
        <w:spacing w:after="0" w:line="90" w:lineRule="exact"/>
        <w:rPr>
          <w:rFonts w:ascii="Arial" w:cs="Arial" w:eastAsia="Arial" w:hAnsi="Arial"/>
          <w:sz w:val="17"/>
          <w:szCs w:val="17"/>
          <w:color w:val="auto"/>
        </w:rPr>
      </w:pPr>
    </w:p>
    <w:p>
      <w:pPr>
        <w:ind w:left="1420" w:hanging="331"/>
        <w:spacing w:after="0"/>
        <w:tabs>
          <w:tab w:leader="none" w:pos="14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distribution of 100% of Embecta’s issued and outstanding common stock by BD in connection with the separation; and</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Autonomous entity adjustments, which consist of contractual obligations or other changes necessary to reflect the operations and financial position of Embecta as an autonomous entity, include the following adjustments:</w:t>
      </w:r>
    </w:p>
    <w:p>
      <w:pPr>
        <w:spacing w:after="0" w:line="76" w:lineRule="exact"/>
        <w:rPr>
          <w:sz w:val="20"/>
          <w:szCs w:val="20"/>
          <w:color w:val="auto"/>
        </w:rPr>
      </w:pPr>
    </w:p>
    <w:p>
      <w:pPr>
        <w:ind w:left="1420" w:right="20" w:hanging="331"/>
        <w:spacing w:after="0" w:line="263" w:lineRule="auto"/>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cannula supply agreement, the contract manufacturing agreements, the transition services agreement, the logistics services agreement, distribution agreements and other transaction agreements described under “Certain Relationships and Related Party Transactions”; and</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Management’s adjustments, which consist of reasonably estimated transaction effects expected to occur include the following adjustment:</w:t>
      </w:r>
    </w:p>
    <w:p>
      <w:pPr>
        <w:spacing w:after="0" w:line="142" w:lineRule="exact"/>
        <w:rPr>
          <w:sz w:val="20"/>
          <w:szCs w:val="20"/>
          <w:color w:val="auto"/>
        </w:rPr>
      </w:pPr>
    </w:p>
    <w:p>
      <w:pPr>
        <w:ind w:left="1420" w:hanging="331"/>
        <w:spacing w:after="0"/>
        <w:tabs>
          <w:tab w:leader="none" w:pos="14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and distribution agreement and the employee matters agreement; and</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incremental costs Embecta expects to incur as a standalone entity.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264" w:name="page265"/>
    <w:bookmarkEnd w:id="264"/>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pro forma financial information is for informational purposes only and does not purport to represent what the Diabetes Care Business’s financial position and results of operations actually would have been had the separation and distribution occurred on the dates indicated, or to project the Diabetes Care Business’ financial performance for any future period. The audited annual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78"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Diabetes Care Business’s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265" w:name="page266"/>
    <w:bookmarkEnd w:id="26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 ended September 30, 2021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Transaction</w:t>
            </w:r>
          </w:p>
        </w:tc>
        <w:tc>
          <w:tcPr>
            <w:tcW w:w="860" w:type="dxa"/>
            <w:vAlign w:val="bottom"/>
          </w:tcPr>
          <w:p>
            <w:pPr>
              <w:spacing w:after="0"/>
              <w:rPr>
                <w:sz w:val="10"/>
                <w:szCs w:val="10"/>
                <w:color w:val="auto"/>
              </w:rPr>
            </w:pPr>
          </w:p>
        </w:tc>
        <w:tc>
          <w:tcPr>
            <w:tcW w:w="12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Autonomous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Entity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(f)</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6"/>
              </w:rPr>
              <w:t>(f), (g),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5"/>
              </w:rPr>
              <w:t>(k)</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0"/>
              </w:rPr>
              <w:t>(h)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w w:val="72"/>
              </w:rPr>
              <w:t>(72)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color w:val="auto"/>
                <w:w w:val="72"/>
              </w:rPr>
              <w:t>(54)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(i)</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57,857,600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(j)</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57,899,097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0" w:right="439" w:bottom="1440" w:gutter="0" w:footer="0" w:header="0"/>
        </w:sectPr>
      </w:pPr>
    </w:p>
    <w:bookmarkStart w:id="266" w:name="page267"/>
    <w:bookmarkEnd w:id="26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DIABETES CARE BUSINESS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Transaction</w:t>
            </w:r>
          </w:p>
        </w:tc>
        <w:tc>
          <w:tcPr>
            <w:tcW w:w="86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Autonomous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Entity</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0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Salaries, wages and related items</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860" w:type="dxa"/>
            <w:vAlign w:val="bottom"/>
          </w:tcPr>
          <w:p>
            <w:pPr>
              <w:ind w:left="3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86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$0.01 par value, 250,000,000 shares authorized;</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57,857,600 shares issued and outstanding on a pro forma basis</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86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0" w:right="439" w:bottom="1440" w:gutter="0" w:footer="0" w:header="0"/>
        </w:sectPr>
      </w:pPr>
    </w:p>
    <w:bookmarkStart w:id="267" w:name="page268"/>
    <w:bookmarkEnd w:id="267"/>
    <w:p>
      <w:pPr>
        <w:ind w:left="2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Pro Forma Condensed Combined Financial Information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note should be read in conjunction with other notes in the unaudited pro forma condensed combined financial information.</w:t>
      </w:r>
    </w:p>
    <w:p>
      <w:pPr>
        <w:spacing w:after="0" w:line="131" w:lineRule="exact"/>
        <w:rPr>
          <w:sz w:val="20"/>
          <w:szCs w:val="20"/>
          <w:color w:val="auto"/>
        </w:rPr>
      </w:pPr>
    </w:p>
    <w:p>
      <w:pPr>
        <w:ind w:left="540" w:hanging="532"/>
        <w:spacing w:after="0" w:line="255"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historical combined financial statements of the Diabetes Care Business include operations which are related to other BD businesses that will be retained by BD but which reside in a certain legal entity that will be contributed to Embecta in connection with the spin-off, or, historically owned by BD that will transfer to Embecta in connection with the spin-off. Pro forma adjustments, including income tax, represent the impact of removing the historical results of such retained BD businesses from the Diabetes Care Business’ historical combined financial statements, or, including assets expected to be transferred over that were not historically reflected in the historical combined financial statements.</w:t>
      </w:r>
    </w:p>
    <w:p>
      <w:pPr>
        <w:spacing w:after="0" w:line="97" w:lineRule="exact"/>
        <w:rPr>
          <w:rFonts w:ascii="Arial" w:cs="Arial" w:eastAsia="Arial" w:hAnsi="Arial"/>
          <w:sz w:val="18"/>
          <w:szCs w:val="18"/>
          <w:color w:val="auto"/>
        </w:rPr>
      </w:pPr>
    </w:p>
    <w:p>
      <w:pPr>
        <w:ind w:left="540" w:right="20" w:hanging="532"/>
        <w:spacing w:after="0" w:line="255"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unaudited pro forma condensed combined balance sheet reflects financing transactions of $1,650 million, consisting of a $1,150 million term loan and $500 million senior secured 5.000% notes, and related debt issuance costs of $50 million which are to be incurred in connection with the separation and distribution. Approximately $1,440 million of the proceeds of such financing is expected to be distributed to BD in connection with the separation and distribution (which amount is subject to change). As a result of such transactions, Embecta will have approximately $160 million in cash upon completion of the distribution. The terms of such indebtedness will be finalized prior to the separation and distribution.</w:t>
      </w:r>
    </w:p>
    <w:p>
      <w:pPr>
        <w:spacing w:after="0" w:line="84" w:lineRule="exact"/>
        <w:rPr>
          <w:rFonts w:ascii="Arial" w:cs="Arial" w:eastAsia="Arial" w:hAnsi="Arial"/>
          <w:sz w:val="18"/>
          <w:szCs w:val="18"/>
          <w:color w:val="auto"/>
        </w:rPr>
      </w:pPr>
    </w:p>
    <w:p>
      <w:pPr>
        <w:ind w:left="560" w:right="200"/>
        <w:spacing w:after="0" w:line="257" w:lineRule="auto"/>
        <w:rPr>
          <w:rFonts w:ascii="Arial" w:cs="Arial" w:eastAsia="Arial" w:hAnsi="Arial"/>
          <w:sz w:val="18"/>
          <w:szCs w:val="18"/>
          <w:color w:val="auto"/>
        </w:rPr>
      </w:pPr>
      <w:r>
        <w:rPr>
          <w:rFonts w:ascii="Arial" w:cs="Arial" w:eastAsia="Arial" w:hAnsi="Arial"/>
          <w:sz w:val="18"/>
          <w:szCs w:val="18"/>
          <w:color w:val="auto"/>
        </w:rPr>
        <w:t>Additionally, we expect to complete financing of a $500 million senior secured 5-year revolving credit facility following the separation. The revolving credit facility will be available for immediate working capital needs and for general corporate purposes, but we do not expect to draw upon the revolving credit facility upon consummation of the spin-off, and as a result, we expect there to be $500 million available for borrowings thereafter. As such, impacts related to the credit revolver facility are not reflected in the unaudited pro forma financial information.</w:t>
      </w:r>
    </w:p>
    <w:p>
      <w:pPr>
        <w:spacing w:after="0" w:line="93" w:lineRule="exact"/>
        <w:rPr>
          <w:rFonts w:ascii="Arial" w:cs="Arial" w:eastAsia="Arial" w:hAnsi="Arial"/>
          <w:sz w:val="18"/>
          <w:szCs w:val="18"/>
          <w:color w:val="auto"/>
        </w:rPr>
      </w:pPr>
    </w:p>
    <w:p>
      <w:pPr>
        <w:ind w:left="540" w:right="60" w:hanging="532"/>
        <w:spacing w:after="0" w:line="275" w:lineRule="auto"/>
        <w:tabs>
          <w:tab w:leader="none" w:pos="54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interest rate on the $1,150 million term loan is 300 basis points over the secured overnight financing rate (“SOFR”), with a SOFR floor of 50 basis points. The interest rate on the $500 million senior secured notes is 5.000%. The unaudited pro forma condensed combined statement of income reflects estimated interest expense of $72 million related to the debt and amortization of related deferred issuance costs. Interest expense was calculated assuming constant debt levels throughout the periods. A 1/8% change to these annual rates would change interest expense by approximately $2 million for the year ended September 30, 2021.</w:t>
      </w:r>
    </w:p>
    <w:p>
      <w:pPr>
        <w:spacing w:after="0" w:line="81" w:lineRule="exact"/>
        <w:rPr>
          <w:rFonts w:ascii="Arial" w:cs="Arial" w:eastAsia="Arial" w:hAnsi="Arial"/>
          <w:sz w:val="17"/>
          <w:szCs w:val="17"/>
          <w:color w:val="auto"/>
        </w:rPr>
      </w:pPr>
    </w:p>
    <w:p>
      <w:pPr>
        <w:ind w:left="540" w:right="40" w:hanging="532"/>
        <w:spacing w:after="0" w:line="277"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 and the expected effects of the tax matters agreement.</w:t>
      </w:r>
    </w:p>
    <w:p>
      <w:pPr>
        <w:spacing w:after="0" w:line="75" w:lineRule="exact"/>
        <w:rPr>
          <w:rFonts w:ascii="Arial" w:cs="Arial" w:eastAsia="Arial" w:hAnsi="Arial"/>
          <w:sz w:val="18"/>
          <w:szCs w:val="18"/>
          <w:color w:val="auto"/>
        </w:rPr>
      </w:pPr>
    </w:p>
    <w:p>
      <w:pPr>
        <w:ind w:left="540" w:right="40" w:hanging="532"/>
        <w:spacing w:after="0" w:line="257"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Represents the reclassification of BD’s net investment in Embecta, and other pro forma adjustments, into Retained earnings (Accumulated deficit) and Common stock, par value $0.01 per share, to reflect the number of shares of Embecta common stock expected to be outstanding at the distribution date. The assumed number of outstanding shares of common stock is based on the number of BD common shares of 289,288,000 outstanding as of September 30, 2021 and an assumed pro-rata distribution ratio of one share of Embecta common stock for every five shares of BD common stock.</w:t>
      </w:r>
    </w:p>
    <w:p>
      <w:pPr>
        <w:spacing w:after="0" w:line="93" w:lineRule="exact"/>
        <w:rPr>
          <w:rFonts w:ascii="Arial" w:cs="Arial" w:eastAsia="Arial" w:hAnsi="Arial"/>
          <w:sz w:val="18"/>
          <w:szCs w:val="18"/>
          <w:color w:val="auto"/>
        </w:rPr>
      </w:pPr>
    </w:p>
    <w:p>
      <w:pPr>
        <w:ind w:left="540" w:right="140" w:hanging="532"/>
        <w:spacing w:after="0" w:line="279" w:lineRule="auto"/>
        <w:tabs>
          <w:tab w:leader="none" w:pos="54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Reflects the effect of manufacturing and supply agreements (MSAs) and reverse manufacturing and supply agreements (RMSAs) that Embecta and BD have entered into or will enter into prior to the separation. The historical combined statement of income reflects certain Revenues and Cost of products sold relating to the inventory transfers pursuant to newly entered or pre-existing intercompany arrangements between Embecta and BD during the year ended September 30, 2021.</w:t>
      </w:r>
    </w:p>
    <w:p>
      <w:pPr>
        <w:spacing w:after="0" w:line="63" w:lineRule="exact"/>
        <w:rPr>
          <w:rFonts w:ascii="Arial" w:cs="Arial" w:eastAsia="Arial" w:hAnsi="Arial"/>
          <w:sz w:val="17"/>
          <w:szCs w:val="17"/>
          <w:color w:val="auto"/>
        </w:rPr>
      </w:pPr>
    </w:p>
    <w:p>
      <w:pPr>
        <w:jc w:val="both"/>
        <w:ind w:left="560" w:right="60"/>
        <w:spacing w:after="0" w:line="263" w:lineRule="auto"/>
        <w:rPr>
          <w:rFonts w:ascii="Arial" w:cs="Arial" w:eastAsia="Arial" w:hAnsi="Arial"/>
          <w:sz w:val="17"/>
          <w:szCs w:val="17"/>
          <w:color w:val="auto"/>
        </w:rPr>
      </w:pPr>
      <w:r>
        <w:rPr>
          <w:rFonts w:ascii="Arial" w:cs="Arial" w:eastAsia="Arial" w:hAnsi="Arial"/>
          <w:sz w:val="18"/>
          <w:szCs w:val="18"/>
          <w:color w:val="auto"/>
        </w:rPr>
        <w:t>The net adjustment to Revenues of $23 million reflects sales price adjustments relating to such historical inventory transfers to reflect the pricing terms set forth in the RMSAs, as well as additional revenue for other inventory transfers from Embecta to BD that will commence upon the separation pursuant to the RMSAs.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40"/>
          </w:cols>
          <w:pgMar w:left="860" w:top="270" w:right="499" w:bottom="1440" w:gutter="0" w:footer="0" w:header="0"/>
        </w:sectPr>
      </w:pPr>
    </w:p>
    <w:bookmarkStart w:id="268" w:name="page269"/>
    <w:bookmarkEnd w:id="268"/>
    <w:p>
      <w:pPr>
        <w:ind w:left="560" w:right="4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Cost of products sold adjustment represents $42 million to reflect the approximate cost of products sold by BD to Embecta at the supply price set forth in the MSAs, as well as additional costs incurred for other inventory transfers from BD to Embecta that will commence upon the separation pursuant to the MSAs. Historically, inventory transfers from BD to Embecta were recorded at cost.</w:t>
      </w:r>
    </w:p>
    <w:p>
      <w:pPr>
        <w:spacing w:after="0" w:line="54" w:lineRule="exact"/>
        <w:rPr>
          <w:sz w:val="20"/>
          <w:szCs w:val="20"/>
          <w:color w:val="auto"/>
        </w:rPr>
      </w:pPr>
    </w:p>
    <w:p>
      <w:pPr>
        <w:ind w:left="540" w:hanging="532"/>
        <w:spacing w:after="0"/>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$45 million in Other Assets, $4 million in Accrued expenses and</w:t>
      </w:r>
    </w:p>
    <w:p>
      <w:pPr>
        <w:spacing w:after="0" w:line="46" w:lineRule="exact"/>
        <w:rPr>
          <w:rFonts w:ascii="Arial" w:cs="Arial" w:eastAsia="Arial" w:hAnsi="Arial"/>
          <w:sz w:val="16"/>
          <w:szCs w:val="16"/>
          <w:color w:val="auto"/>
        </w:rPr>
      </w:pPr>
    </w:p>
    <w:p>
      <w:pPr>
        <w:ind w:left="540" w:right="20"/>
        <w:spacing w:after="0" w:line="292" w:lineRule="auto"/>
        <w:rPr>
          <w:rFonts w:ascii="Arial" w:cs="Arial" w:eastAsia="Arial" w:hAnsi="Arial"/>
          <w:sz w:val="16"/>
          <w:szCs w:val="16"/>
          <w:color w:val="auto"/>
        </w:rPr>
      </w:pPr>
      <w:r>
        <w:rPr>
          <w:rFonts w:ascii="Arial" w:cs="Arial" w:eastAsia="Arial" w:hAnsi="Arial"/>
          <w:sz w:val="16"/>
          <w:szCs w:val="16"/>
          <w:color w:val="auto"/>
        </w:rPr>
        <w:t>$41 million in Deferred Income Taxes and Other Liabilities related to additional right-of-use assets and corresponding lease liabilities for real estate leases that Embecta and BD have entered into or will enter into prior to the separation and distribution. In addition, the net adjustment to Cost of products sold on the unaudited pro forma condensed combined statement of income includes a decrease of $2 million to remove lease expense reflected in the historical Cost of products sold amount and an increase of $4 million to record lease expense relating to real estate leases that Embecta and BD have entered into or will enter into prior to the separation and distribution.</w:t>
      </w:r>
    </w:p>
    <w:p>
      <w:pPr>
        <w:spacing w:after="0" w:line="67" w:lineRule="exact"/>
        <w:rPr>
          <w:rFonts w:ascii="Arial" w:cs="Arial" w:eastAsia="Arial" w:hAnsi="Arial"/>
          <w:sz w:val="16"/>
          <w:szCs w:val="16"/>
          <w:color w:val="auto"/>
        </w:rPr>
      </w:pPr>
    </w:p>
    <w:p>
      <w:pPr>
        <w:jc w:val="both"/>
        <w:ind w:left="540" w:right="200" w:hanging="532"/>
        <w:spacing w:after="0" w:line="279" w:lineRule="auto"/>
        <w:tabs>
          <w:tab w:leader="none" w:pos="5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unaudited pro forma condensed combined balance sheet reflects a decrease of $106 million in Trade receivables, net and an increase of $105 million in Cash and cash equivalents estimated in connection with Embecta’s Trade Receivables Factoring Agreement with BD. Embecta owes BD a service fee calculated as 0.1% of annual revenues related to countries subject to the agreement, in exchange for the services provided by BD pursuant to the Trade Receivables Factoring Agreement.</w:t>
      </w:r>
    </w:p>
    <w:p>
      <w:pPr>
        <w:spacing w:after="0" w:line="76" w:lineRule="exact"/>
        <w:rPr>
          <w:rFonts w:ascii="Arial" w:cs="Arial" w:eastAsia="Arial" w:hAnsi="Arial"/>
          <w:sz w:val="17"/>
          <w:szCs w:val="17"/>
          <w:color w:val="auto"/>
        </w:rPr>
      </w:pPr>
    </w:p>
    <w:p>
      <w:pPr>
        <w:ind w:left="540" w:right="80" w:hanging="532"/>
        <w:spacing w:after="0" w:line="279" w:lineRule="auto"/>
        <w:tabs>
          <w:tab w:leader="none" w:pos="5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number of Embecta shares used to compute basic earnings per share for the year ended September 30, 2021 is based on the number of shares of Embecta common stock assumed to be outstanding on September 30, 2021, using the distribution ratio of one share of Embecta common stock for every five shares of BD common stock outstanding. The number of BD shares used to determine the assumed distribution reflects the number of shares of BD common stock outstanding as of the balance sheet date.</w:t>
      </w:r>
    </w:p>
    <w:p>
      <w:pPr>
        <w:spacing w:after="0" w:line="76" w:lineRule="exact"/>
        <w:rPr>
          <w:rFonts w:ascii="Arial" w:cs="Arial" w:eastAsia="Arial" w:hAnsi="Arial"/>
          <w:sz w:val="17"/>
          <w:szCs w:val="17"/>
          <w:color w:val="auto"/>
        </w:rPr>
      </w:pPr>
    </w:p>
    <w:p>
      <w:pPr>
        <w:jc w:val="both"/>
        <w:ind w:left="540" w:right="340" w:hanging="532"/>
        <w:spacing w:after="0" w:line="311"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number of shares used to compute diluted earnings per share is based on the number of basic shares of Embecta common stock as described in Note (i) above, plus incremental shares assuming exercise of dilutive outstanding options and vesting of other outstanding stock awards expected to be issued by Embecta as replacement awards to BD employees transferring to Embecta.</w:t>
      </w:r>
    </w:p>
    <w:p>
      <w:pPr>
        <w:spacing w:after="0" w:line="54"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income reflects an estimated $2 million of incremental costs for services to be provided by BD to Embecta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92"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adjustment shown below include those that management deemed necessary for a fair statement of the pro forma information presented. The adjustment includes forward-looking information.</w:t>
      </w:r>
    </w:p>
    <w:p>
      <w:pPr>
        <w:spacing w:after="0" w:line="62" w:lineRule="exact"/>
        <w:rPr>
          <w:rFonts w:ascii="Arial" w:cs="Arial" w:eastAsia="Arial" w:hAnsi="Arial"/>
          <w:sz w:val="18"/>
          <w:szCs w:val="18"/>
          <w:color w:val="auto"/>
        </w:rPr>
      </w:pPr>
    </w:p>
    <w:p>
      <w:pPr>
        <w:ind w:left="560" w:right="320"/>
        <w:spacing w:after="0" w:line="277" w:lineRule="auto"/>
        <w:rPr>
          <w:rFonts w:ascii="Arial" w:cs="Arial" w:eastAsia="Arial" w:hAnsi="Arial"/>
          <w:sz w:val="18"/>
          <w:szCs w:val="18"/>
          <w:color w:val="auto"/>
        </w:rPr>
      </w:pPr>
      <w:r>
        <w:rPr>
          <w:rFonts w:ascii="Arial" w:cs="Arial" w:eastAsia="Arial" w:hAnsi="Arial"/>
          <w:sz w:val="18"/>
          <w:szCs w:val="18"/>
          <w:color w:val="auto"/>
        </w:rPr>
        <w:t>As a standalone public company, Embecta expects to incur certain costs in addition to those incurred pursuant to the transition services agreement as described in (k) above, including costs resulting from:</w:t>
      </w:r>
    </w:p>
    <w:p>
      <w:pPr>
        <w:spacing w:after="0" w:line="75" w:lineRule="exact"/>
        <w:rPr>
          <w:rFonts w:ascii="Arial" w:cs="Arial" w:eastAsia="Arial" w:hAnsi="Arial"/>
          <w:sz w:val="18"/>
          <w:szCs w:val="18"/>
          <w:color w:val="auto"/>
        </w:rPr>
      </w:pPr>
    </w:p>
    <w:p>
      <w:pPr>
        <w:ind w:left="1000" w:right="1140" w:hanging="331"/>
        <w:spacing w:after="0" w:line="308" w:lineRule="auto"/>
        <w:tabs>
          <w:tab w:leader="none" w:pos="100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separation and establishment of Embecta as a standalone company including incremental costs related to commercial, manufacturing, research and business support functions that were previously shared with BD;</w:t>
      </w:r>
    </w:p>
    <w:p>
      <w:pPr>
        <w:spacing w:after="0" w:line="51" w:lineRule="exact"/>
        <w:rPr>
          <w:rFonts w:ascii="Arial" w:cs="Arial" w:eastAsia="Arial" w:hAnsi="Arial"/>
          <w:sz w:val="17"/>
          <w:szCs w:val="17"/>
          <w:color w:val="auto"/>
        </w:rPr>
      </w:pPr>
    </w:p>
    <w:p>
      <w:pPr>
        <w:jc w:val="both"/>
        <w:ind w:left="1000" w:right="80" w:hanging="331"/>
        <w:spacing w:after="0" w:line="263" w:lineRule="auto"/>
        <w:tabs>
          <w:tab w:leader="none" w:pos="10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000" w:right="60" w:hanging="331"/>
        <w:spacing w:after="0" w:line="263" w:lineRule="auto"/>
        <w:tabs>
          <w:tab w:leader="none" w:pos="10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Embecta’s information systems and facilities, transfers of certain assets to BD, hiring costs associated with increasing Embecta’s workforce, regulatory filings for the transfer of product registrations, development of Embecta’s brand, and other matters;</w:t>
      </w:r>
    </w:p>
    <w:p>
      <w:pPr>
        <w:spacing w:after="0" w:line="89" w:lineRule="exact"/>
        <w:rPr>
          <w:rFonts w:ascii="Arial" w:cs="Arial" w:eastAsia="Arial" w:hAnsi="Arial"/>
          <w:sz w:val="18"/>
          <w:szCs w:val="18"/>
          <w:color w:val="auto"/>
        </w:rPr>
      </w:pPr>
    </w:p>
    <w:p>
      <w:pPr>
        <w:ind w:left="1000" w:hanging="331"/>
        <w:spacing w:after="0"/>
        <w:tabs>
          <w:tab w:leader="none" w:pos="10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600"/>
          </w:cols>
          <w:pgMar w:left="860" w:top="274" w:right="439" w:bottom="1440" w:gutter="0" w:footer="0" w:header="0"/>
        </w:sectPr>
      </w:pPr>
    </w:p>
    <w:bookmarkStart w:id="269" w:name="page270"/>
    <w:bookmarkEnd w:id="269"/>
    <w:p>
      <w:pPr>
        <w:ind w:left="1420" w:hanging="331"/>
        <w:spacing w:after="0"/>
        <w:tabs>
          <w:tab w:leader="none" w:pos="14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premiums;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440"/>
        <w:spacing w:after="0" w:line="289" w:lineRule="auto"/>
        <w:rPr>
          <w:sz w:val="20"/>
          <w:szCs w:val="20"/>
          <w:color w:val="auto"/>
        </w:rPr>
      </w:pPr>
      <w:r>
        <w:rPr>
          <w:rFonts w:ascii="Arial" w:cs="Arial" w:eastAsia="Arial" w:hAnsi="Arial"/>
          <w:sz w:val="16"/>
          <w:szCs w:val="16"/>
          <w:color w:val="auto"/>
        </w:rPr>
        <w:t>Embecta expects to incur approximately $89 million of expenses (including one-time expenses of approximately $56 million expected to be incurred within 12 months following the completion of the separation, as well as $33 million of estimated recurring expenses as a standalone public company), in addition to BD’s corporate and shared costs allocated in the historical combined financial statements and the costs to be incurred pursuant to the transition services agreement that are included as an autonomous entity adjustment. The additional expenses have been estimated based on assumptions that Embecta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Embecta of rights and obligations under existing insurance policies with respect to occurrences prior to the distribution and set forth procedures for the administration of insured claims and related matters.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September 30, 2021</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78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condensed combined net income*</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$ 340</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Management’s adjustments</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Unaudited pro forma condensed combined net income after management’s adjustments</w:t>
            </w:r>
          </w:p>
        </w:tc>
        <w:tc>
          <w:tcPr>
            <w:tcW w:w="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after management’s adjustments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4.51</w:t>
            </w:r>
          </w:p>
        </w:tc>
        <w:tc>
          <w:tcPr>
            <w:tcW w:w="8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Diluted earnings per share after management’s adjustments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20" w:right="4840" w:hanging="5417"/>
        <w:spacing w:after="0" w:line="535" w:lineRule="auto"/>
        <w:rPr>
          <w:sz w:val="20"/>
          <w:szCs w:val="20"/>
          <w:color w:val="auto"/>
        </w:rPr>
      </w:pPr>
      <w:r>
        <w:rPr>
          <w:rFonts w:ascii="Arial" w:cs="Arial" w:eastAsia="Arial" w:hAnsi="Arial"/>
          <w:sz w:val="16"/>
          <w:szCs w:val="16"/>
          <w:color w:val="auto"/>
        </w:rPr>
        <w:t>* As shown in the Unaudited Pro Forma Condensed Combined Statement of Income 61</w:t>
      </w:r>
    </w:p>
    <w:p>
      <w:pPr>
        <w:sectPr>
          <w:pgSz w:w="11900" w:h="16838" w:orient="portrait"/>
          <w:cols w:equalWidth="0" w:num="1">
            <w:col w:w="11000"/>
          </w:cols>
          <w:pgMar w:left="440" w:top="274" w:right="45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BUSINESS</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i w:val="1"/>
          <w:iCs w:val="1"/>
          <w:color w:val="auto"/>
        </w:rPr>
        <w:t>This section discusses Embecta’s business assuming the completion of all of the transactions described in this information statement, including the separation. References to “we,” “us,” and “our” refer to the diabetes care business to be held by Embecta and its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Diabetes is a serious chronic disease for which there is no known cure. According to the International Diabetes Federation (the “IDF”), approximately 537 million adults (aged 20-79) worldwide were living with diabetes in 2021, with the number projected to increase to 643 million adults by 2030. Diabetes can require complex, daily management or otherwise it can result in serious health conditions, including nerve damage, cardiovascular disease, acidosis, amputation, vision loss, kidney disease, seizure and death. The IDF estimates the annual global health expenditure for diabetes care was close to $1,000 billion in 2021 and will exceed this figure by 2030. Insulin therapy is the most common approach to diabetes management, and we estimate that approximately 90-120 million people require insulin therapy, and that 95% of those who are undergoing insulin therapy administer insulin through injection. Our products are primarily used to administer insulin, but they can also be used to administer other classes of injectable diabetes medications, such as GLP-1 agonists. Based on internal estimates, we believe the total addressable market for insulin administration devices is approximately $6 billion to $8 billion per year, based on the number of insulin-dependent individuals worldwide.</w:t>
      </w:r>
    </w:p>
    <w:p>
      <w:pPr>
        <w:spacing w:after="0" w:line="16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66"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over 400,000 times. The diabetes care app serves as a channel for our support, education of and engagement with the diabetes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FITTER seeks to promote evidence-based clinical best practice, safety and self-care of diabetes injectable and infusion therapies for improved health outcomes, well-being, lower healthcare costs and reduced burden on care providers and the wider society.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0" w:right="479" w:bottom="1440" w:gutter="0" w:footer="0" w:header="0"/>
        </w:sectPr>
      </w:pPr>
    </w:p>
    <w:bookmarkStart w:id="271" w:name="page272"/>
    <w:bookmarkEnd w:id="271"/>
    <w:p>
      <w:pPr>
        <w:ind w:right="1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currently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2"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960" w:hanging="424"/>
        <w:spacing w:after="0" w:line="291" w:lineRule="auto"/>
        <w:tabs>
          <w:tab w:leader="none" w:pos="960" w:val="left"/>
        </w:tabs>
        <w:numPr>
          <w:ilvl w:val="0"/>
          <w:numId w:val="324"/>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960" w:right="40" w:hanging="424"/>
        <w:spacing w:after="0" w:line="288" w:lineRule="auto"/>
        <w:tabs>
          <w:tab w:leader="none" w:pos="960" w:val="left"/>
        </w:tabs>
        <w:numPr>
          <w:ilvl w:val="0"/>
          <w:numId w:val="324"/>
        </w:numPr>
        <w:rPr>
          <w:rFonts w:ascii="Arial" w:cs="Arial" w:eastAsia="Arial" w:hAnsi="Arial"/>
          <w:sz w:val="16"/>
          <w:szCs w:val="16"/>
          <w:color w:val="auto"/>
        </w:rPr>
      </w:pPr>
      <w:r>
        <w:rPr>
          <w:rFonts w:ascii="Arial" w:cs="Arial" w:eastAsia="Arial" w:hAnsi="Arial"/>
          <w:sz w:val="16"/>
          <w:szCs w:val="16"/>
          <w:b w:val="1"/>
          <w:bCs w:val="1"/>
          <w:i w:val="1"/>
          <w:iCs w:val="1"/>
          <w:color w:val="auto"/>
        </w:rPr>
        <w:t>Globally recognized franchise with 95-year history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a reputation among people with diabetes and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272" w:name="page273"/>
    <w:bookmarkEnd w:id="272"/>
    <w:p>
      <w:pPr>
        <w:ind w:left="44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92" w:lineRule="exact"/>
        <w:rPr>
          <w:sz w:val="20"/>
          <w:szCs w:val="20"/>
          <w:color w:val="auto"/>
        </w:rPr>
      </w:pPr>
    </w:p>
    <w:p>
      <w:pPr>
        <w:ind w:left="424" w:right="100" w:hanging="424"/>
        <w:spacing w:after="0" w:line="269"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424" w:right="60" w:hanging="424"/>
        <w:spacing w:after="0" w:line="288" w:lineRule="auto"/>
        <w:tabs>
          <w:tab w:leader="none" w:pos="424" w:val="left"/>
        </w:tabs>
        <w:numPr>
          <w:ilvl w:val="0"/>
          <w:numId w:val="325"/>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800,000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424" w:right="20" w:hanging="424"/>
        <w:spacing w:after="0" w:line="287" w:lineRule="auto"/>
        <w:tabs>
          <w:tab w:leader="none" w:pos="424" w:val="left"/>
        </w:tabs>
        <w:numPr>
          <w:ilvl w:val="0"/>
          <w:numId w:val="325"/>
        </w:numPr>
        <w:rPr>
          <w:rFonts w:ascii="Arial" w:cs="Arial" w:eastAsia="Arial" w:hAnsi="Arial"/>
          <w:sz w:val="16"/>
          <w:szCs w:val="16"/>
          <w:color w:val="auto"/>
        </w:rPr>
      </w:pPr>
      <w:r>
        <w:rPr>
          <w:rFonts w:ascii="Arial" w:cs="Arial" w:eastAsia="Arial" w:hAnsi="Arial"/>
          <w:sz w:val="16"/>
          <w:szCs w:val="16"/>
          <w:b w:val="1"/>
          <w:bCs w:val="1"/>
          <w:i w:val="1"/>
          <w:iCs w:val="1"/>
          <w:color w:val="auto"/>
        </w:rPr>
        <w:t>History of innovation and pipeline of new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holistic approach to innovation with a track record of developing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 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73"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b w:val="1"/>
          <w:bCs w:val="1"/>
          <w:i w:val="1"/>
          <w:iCs w:val="1"/>
          <w:color w:val="auto"/>
        </w:rPr>
        <w:t>Proven executive leadership and a highly motivated workforce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assembled an experienced and accomplished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Our leadership and employees are energized by the</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464"/>
          </w:cols>
          <w:pgMar w:left="976" w:top="274" w:right="459" w:bottom="1440" w:gutter="0" w:footer="0" w:header="0"/>
        </w:sectPr>
      </w:pPr>
    </w:p>
    <w:bookmarkStart w:id="273" w:name="page274"/>
    <w:bookmarkEnd w:id="273"/>
    <w:p>
      <w:pPr>
        <w:ind w:left="98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 of being part of a leading pure-play leader in the diabetes space and are excited at the prospect of driving continued innovation and improvements in the standard of diabetes care globally.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960" w:right="20" w:hanging="424"/>
        <w:spacing w:after="0" w:line="269" w:lineRule="auto"/>
        <w:tabs>
          <w:tab w:leader="none" w:pos="960" w:val="left"/>
        </w:tabs>
        <w:numPr>
          <w:ilvl w:val="0"/>
          <w:numId w:val="326"/>
        </w:numPr>
        <w:rPr>
          <w:rFonts w:ascii="Arial" w:cs="Arial" w:eastAsia="Arial" w:hAnsi="Arial"/>
          <w:sz w:val="17"/>
          <w:szCs w:val="17"/>
          <w:color w:val="auto"/>
        </w:rPr>
      </w:pPr>
      <w:r>
        <w:rPr>
          <w:rFonts w:ascii="Arial" w:cs="Arial" w:eastAsia="Arial" w:hAnsi="Arial"/>
          <w:sz w:val="17"/>
          <w:szCs w:val="17"/>
          <w:b w:val="1"/>
          <w:bCs w:val="1"/>
          <w:i w:val="1"/>
          <w:iCs w:val="1"/>
          <w:color w:val="auto"/>
        </w:rPr>
        <w:t>Increase use of our products through sales and marketing efforts, education and diabetes management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the IDF,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537 million adults (aged 20-79) worldwide were living with diabetes in 2021, including those who are not yet diagnosed, and the number is projected to increase to 643 million adults by 2030 and 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7" w:lineRule="exact"/>
        <w:rPr>
          <w:rFonts w:ascii="Arial" w:cs="Arial" w:eastAsia="Arial" w:hAnsi="Arial"/>
          <w:sz w:val="17"/>
          <w:szCs w:val="17"/>
          <w:color w:val="auto"/>
        </w:rPr>
      </w:pPr>
    </w:p>
    <w:p>
      <w:pPr>
        <w:ind w:left="960" w:hanging="424"/>
        <w:spacing w:after="0" w:line="290" w:lineRule="auto"/>
        <w:tabs>
          <w:tab w:leader="none" w:pos="960" w:val="left"/>
        </w:tabs>
        <w:numPr>
          <w:ilvl w:val="0"/>
          <w:numId w:val="326"/>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960" w:right="100" w:hanging="424"/>
        <w:spacing w:after="0" w:line="287" w:lineRule="auto"/>
        <w:tabs>
          <w:tab w:leader="none" w:pos="960" w:val="left"/>
        </w:tabs>
        <w:numPr>
          <w:ilvl w:val="0"/>
          <w:numId w:val="326"/>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currently working on developing a redesigned safety pen needle and a new finer gauge pen needle for greater ease and comfort.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7" w:lineRule="exact"/>
        <w:rPr>
          <w:rFonts w:ascii="Arial" w:cs="Arial" w:eastAsia="Arial" w:hAnsi="Arial"/>
          <w:sz w:val="16"/>
          <w:szCs w:val="16"/>
          <w:color w:val="auto"/>
        </w:rPr>
      </w:pPr>
    </w:p>
    <w:p>
      <w:pPr>
        <w:ind w:left="960" w:right="460" w:hanging="424"/>
        <w:spacing w:after="0" w:line="311" w:lineRule="auto"/>
        <w:tabs>
          <w:tab w:leader="none" w:pos="960" w:val="left"/>
        </w:tabs>
        <w:numPr>
          <w:ilvl w:val="0"/>
          <w:numId w:val="326"/>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40" w:top="274" w:right="479" w:bottom="1440" w:gutter="0" w:footer="0" w:header="0"/>
        </w:sectPr>
      </w:pPr>
    </w:p>
    <w:bookmarkStart w:id="274" w:name="page275"/>
    <w:bookmarkEnd w:id="274"/>
    <w:p>
      <w:pPr>
        <w:ind w:left="980" w:right="5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29" w:lineRule="exact"/>
        <w:rPr>
          <w:sz w:val="20"/>
          <w:szCs w:val="20"/>
          <w:color w:val="auto"/>
        </w:rPr>
      </w:pPr>
    </w:p>
    <w:p>
      <w:pPr>
        <w:ind w:left="960" w:right="20" w:hanging="424"/>
        <w:spacing w:after="0" w:line="293" w:lineRule="auto"/>
        <w:tabs>
          <w:tab w:leader="none" w:pos="960" w:val="left"/>
        </w:tabs>
        <w:numPr>
          <w:ilvl w:val="0"/>
          <w:numId w:val="327"/>
        </w:numPr>
        <w:rPr>
          <w:rFonts w:ascii="Arial" w:cs="Arial" w:eastAsia="Arial" w:hAnsi="Arial"/>
          <w:sz w:val="16"/>
          <w:szCs w:val="16"/>
          <w:color w:val="auto"/>
        </w:rPr>
      </w:pPr>
      <w:r>
        <w:rPr>
          <w:rFonts w:ascii="Arial" w:cs="Arial" w:eastAsia="Arial" w:hAnsi="Arial"/>
          <w:sz w:val="16"/>
          <w:szCs w:val="16"/>
          <w:b w:val="1"/>
          <w:bCs w:val="1"/>
          <w:i w:val="1"/>
          <w:iCs w:val="1"/>
          <w:color w:val="auto"/>
        </w:rPr>
        <w:t>Seek to provide other products and services that will be useful for diabetes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pure-play, diabetes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Diabetes is a serious chronic condition for which there is no known cure. Diabetes is caused either when the pancreas produces insufficient insulin or when the body cannot efficiently use insulin. Insulin is a peptide hormone produced by the pancreas. Insulin enables glucose formed by the breakdown of carbohydrates in food to enter cells to provide energy and regulates the storage of excess glucose in the liver in the form of glycogen. In healthy individuals, insulin levels will vary throughout the day depending, on among other things, activity levels, sleep and meals. This normal modulation of insulin levels helps to manage glucose levels in the bloodstream. The interplay between cellular absorption of glucose for energy and storage and release of stored excess glucose keeps blood glucose levels within a well-regulated range in healthy individuals. A lack of insulin or a body’s insulin resistance causes a harmful dysregulation in blood glucose levels, known as hypo- (low) and hyper- (high) glycemia. Type 1 diabetes causes the body’s immune system to attack cells responsible for producing insulin, reducing or eliminating an individual’s ability to produce insulin. Type 2 diabetes is the most common form of diabetes (representing approximately 90% of cases) and is characterized by insulin resistance, or insufficient insulin production in the later stages of the disease. Left untreated or improperly managed, diabetes can lead to serious health problems, such as nerve damage, cardiovascular disease, acidosis, amputation, vision loss, kidney disease, seizure, and death.</w:t>
      </w:r>
    </w:p>
    <w:p>
      <w:pPr>
        <w:spacing w:after="0" w:line="18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According to the IDF, approximately 537 million adults (aged 20-79) worldwide were living with diabetes in 2021, including those who are not yet diagnosed, and the number is projected to increase to 643 million adults by 2030 and 783 million adults by 2045. The U.S. Centers for Disease Control and Prevention (the “CDC”) estimates that approximately 34 million adults in the United States have diabetes, either diagnosed or undiagnosed. The IDF estimates annual global health expenditures on diabetes management was approximately $966 billion in 2021. There has been a considerable increase in global health expenditure due to diabetes, growing from $232 billion in 2007 to $966 billion in 2021, an increase of 316% over 15 years. The IDF anticipates the direct costs of diabetes will increase to $1.03 trillion by 2030 and $1.05 trillion by 2045. A 2020 study published in the </w:t>
      </w:r>
      <w:r>
        <w:rPr>
          <w:rFonts w:ascii="Arial" w:cs="Arial" w:eastAsia="Arial" w:hAnsi="Arial"/>
          <w:sz w:val="18"/>
          <w:szCs w:val="18"/>
          <w:i w:val="1"/>
          <w:iCs w:val="1"/>
          <w:color w:val="auto"/>
        </w:rPr>
        <w:t>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American Medical Association </w:t>
      </w:r>
      <w:r>
        <w:rPr>
          <w:rFonts w:ascii="Arial" w:cs="Arial" w:eastAsia="Arial" w:hAnsi="Arial"/>
          <w:sz w:val="18"/>
          <w:szCs w:val="18"/>
          <w:color w:val="auto"/>
        </w:rPr>
        <w:t>found that diabetes was the third highest healthcare expenditure in the United States, estimated at approximately $111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2016.</w:t>
      </w:r>
    </w:p>
    <w:p>
      <w:pPr>
        <w:spacing w:after="0" w:line="192"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Individuals with Type 1 diabetes make little or no insulin and therefore all require daily insulin administration to control blood sugar levels. Individuals with Type 2 diabetes still make insulin and, depending on the status of their condition, may be able to control blood glucose levels with lifestyle changes (diet and exercise), oral medications, noninsulin injectable medications (such as glucagon-like peptide GLP-1 receptor agonists), insulin or a combination of these approaches, among others. While the initial care for Type 2 diabetes often does not include insulin therapy, Type 2 diabetes is progressive and people with Type 2 diabetes often eventually require insulin. According to the CDC, approximately 2.9 million adults aged 20 years or older—or 10.9% of all U.S. adults with diagnosed diabetes—start using insulin within a year of their initial diagnosis. Once an individual with Type 2 diabetes progresses to insulin therapy, they will typically use insulin for the remainder of their lifetime.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376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Our products are used to administer diabetes medication. The primary medication administered with our products is insulin; however, our pen needles can also be used for the administration of other classes of injectable diabetes medications such as GLP-1 agonists. The two primary means to administer insulin are injection through pen needles or syringes, and continuous subcutaneous insulin infusion, administered through insulin pumps. We estimate that approximately 95% of people with diabetes undergoing insulin therapy use injection to administer insulin. Of the people with diabetes globally who instead use pumps, a 2018 study published in </w:t>
      </w:r>
      <w:r>
        <w:rPr>
          <w:rFonts w:ascii="Arial" w:cs="Arial" w:eastAsia="Arial" w:hAnsi="Arial"/>
          <w:sz w:val="16"/>
          <w:szCs w:val="16"/>
          <w:i w:val="1"/>
          <w:iCs w:val="1"/>
          <w:color w:val="auto"/>
        </w:rPr>
        <w:t>Diabetes Technology &amp; Therapeutics</w:t>
      </w:r>
      <w:r>
        <w:rPr>
          <w:rFonts w:ascii="Arial" w:cs="Arial" w:eastAsia="Arial" w:hAnsi="Arial"/>
          <w:sz w:val="16"/>
          <w:szCs w:val="16"/>
          <w:color w:val="auto"/>
        </w:rPr>
        <w:t xml:space="preserve"> estimates that a majority are located in the United States or in Western Europe primarily due to the significantly higher price-point of infusion delivery. As a leading producer of diabetes medication injection devices, we produce products for the vast majority of people with diabetes who treat their disease through injection.</w:t>
      </w:r>
    </w:p>
    <w:p>
      <w:pPr>
        <w:spacing w:after="0" w:line="16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Based on internal estimates, we believe the total addressable market for insulin administration devices (including insulin injection and infusion) is approximately $6 billion to $8 billion per year, based on the number of insulin-dependent people with diabetes worldwide. Within the U.S. market, the CDC estimates there are 26.9 million people diagnosed with diabetes, over 1.5 million are diagnosed with Type 1 diabetes and 25.5 million are diagnosed with Type 2 diabetes. According to the CDC, of U.S. adults diagnosed with any type of diabetes, data from 2005-2012 shows that 14.1% treat their disease with insulin only, and 14.9% treat their disease with insulin combined with oral medication. The incidence of diabetes is expected to continue growing, with the Type 1 diabetes population in the United States growing at 5.5% per year, and the Type 2 diabetes diagnosed population in the United States growing at 4.5% per year, from 2000-2018, according to CDC estimates.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develop and manufacture products, devices and systems that promote adherence for people primarily suffering from Type 1 diabetes and Type 2 diabetes who require injections of insulin or other diabetes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1440" w:right="479" w:bottom="1440" w:gutter="0" w:footer="0" w:header="0"/>
        </w:sectPr>
      </w:pPr>
    </w:p>
    <w:bookmarkStart w:id="276" w:name="page277"/>
    <w:bookmarkEnd w:id="27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medications to help control blood glucose variability. We primarily sell our products to wholesalers and distributors, which in turn sell these products to customers through retail and acute care hospitals, clinics and other institutional channels. We have a long history of driving innovation in products used to manage diabetes. In addition to seeking to provide a superior injection experience and increased safety, we strive to provide patients and healthcare providers with sound education and support across the diabetes care journey. Today, we are a leading provider of pen needles, syringes, safety devices and accessories, complemented by our proprietary digital applications. We estimate that our products are used by nearly 30 million people in over 100 countries for insulin administration and to aid with the daily management of diabetes. Our brands of injection products are widely recognized and valued throughout the world for their ease of use, quality, availability and compatibility with widely used insulin pens. We break our operations into two geographies: (1) the United States and (2) International.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sales for each of our regions are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FY 2021</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FY 2020</w:t>
            </w: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FY 2019</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$609.4</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$ 562.5</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$ 569.5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3440" w:type="dxa"/>
            <w:vAlign w:val="bottom"/>
            <w:gridSpan w:val="2"/>
          </w:tcPr>
          <w:p>
            <w:pPr>
              <w:ind w:left="2880"/>
              <w:spacing w:after="0"/>
              <w:rPr>
                <w:sz w:val="20"/>
                <w:szCs w:val="20"/>
                <w:color w:val="auto"/>
              </w:rPr>
            </w:pPr>
            <w:r>
              <w:rPr>
                <w:rFonts w:ascii="Arial" w:cs="Arial" w:eastAsia="Arial" w:hAnsi="Arial"/>
                <w:sz w:val="18"/>
                <w:szCs w:val="18"/>
                <w:color w:val="auto"/>
                <w:w w:val="98"/>
              </w:rPr>
              <w:t>$555.9</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w w:val="86"/>
              </w:rPr>
              <w:t>$ 523.2</w:t>
            </w:r>
          </w:p>
        </w:tc>
        <w:tc>
          <w:tcPr>
            <w:tcW w:w="98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$ 539.0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Pen Needles</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Conventional pen needles are sterile, single-use, medical devices that are designed to be used in conjunction with third-party pen injectors to inject insulin and other diabetes medications. A pen needle is made up of a resin injection-molded hub with an integrated cannula.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119380</wp:posOffset>
            </wp:positionV>
            <wp:extent cx="1808480" cy="14401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08480" cy="144018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693420</wp:posOffset>
            </wp:positionV>
            <wp:extent cx="2143125" cy="283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4312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40"/>
        <w:spacing w:after="0"/>
        <w:tabs>
          <w:tab w:leader="none" w:pos="7880" w:val="left"/>
        </w:tabs>
        <w:rPr>
          <w:sz w:val="20"/>
          <w:szCs w:val="20"/>
          <w:color w:val="auto"/>
        </w:rPr>
      </w:pPr>
      <w:r>
        <w:rPr>
          <w:rFonts w:ascii="Arial" w:cs="Arial" w:eastAsia="Arial" w:hAnsi="Arial"/>
          <w:sz w:val="18"/>
          <w:szCs w:val="18"/>
          <w:b w:val="1"/>
          <w:bCs w:val="1"/>
          <w:color w:val="auto"/>
        </w:rPr>
        <w:t>BD Pen Needle &amp; Shield</w:t>
      </w:r>
      <w:r>
        <w:rPr>
          <w:sz w:val="20"/>
          <w:szCs w:val="20"/>
          <w:color w:val="auto"/>
        </w:rPr>
        <w:tab/>
      </w:r>
      <w:r>
        <w:rPr>
          <w:rFonts w:ascii="Arial" w:cs="Arial" w:eastAsia="Arial" w:hAnsi="Arial"/>
          <w:sz w:val="16"/>
          <w:szCs w:val="16"/>
          <w:b w:val="1"/>
          <w:bCs w:val="1"/>
          <w:color w:val="auto"/>
        </w:rPr>
        <w:t>Insulin Pen</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Since the introduction of the first insulin pen in 1985, insulin pens and pen needles have become the standard of care for insulin delivery. Of those undergoing insulin therapy, we estimate that 95% use injection therapy. We believe that our pen needles, which include BD’s cannula technology, are widely recognized in key regions around the world for their industry-leading comfort and form factor, which allows for reduced pain during injection. Since the introduction of our first pen needle in 1991, our business has led the industry in driving ease of use and comfort through innovations such as shorter needle lengths, thinner needles, wider inner diameters, and contoured hubs.</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2021, conventional pen needle sales accounted for $853 million, or approximately 73%, of our total sales, with approximately 48% of such sales generated outside of the United States.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Insulin Syringes</w:t>
      </w:r>
    </w:p>
    <w:p>
      <w:pPr>
        <w:spacing w:after="0" w:line="117"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We produce insulin syringes that are used to inject insulin. These syringes, which include BD’s cannula technology, are sterile, single-use medical devices that are used to draw insulin from a glass medication vial for administration subcutaneously to an individual. Despite the growing popularity of insulin pens and pen needles, insulin syringes remain important administration tools for individual use and in certain settings such as hospitals and other professional care environments due largely to cost, reimbursement and familiarity.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277" w:name="page278"/>
    <w:bookmarkEnd w:id="277"/>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conventional insulin syringe consists of a graduated barrel, plunger rod, and a cannula/hub assembly. We also manufacture and offer a variety of insulin syringes with differential features and capabilities, including safety syringes that incorporate a manually activated sliding sleeve to help to reduce needlestick exposure and injury during injection and disposal.</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In 2021, insulin syringe sales accounted for $175 million, or approximately 15%, of our total sales, with approximately 54%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134620</wp:posOffset>
            </wp:positionV>
            <wp:extent cx="5040630" cy="18084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406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Injection Devices</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We manufacture safety pen needles and syringes that incorporate sophisticated features designed to minimize the risks of needle stick injury and also include BD’s cannula technology. We have long been an innovator in diabetes administration and our leadership in creating safety injection products is an example of such innovation. We are also currently working on developing a redesigned safety pen needle, as well as a new finer gauge pen needle that combines the design of Nano 2</w:t>
      </w:r>
      <w:r>
        <w:rPr>
          <w:rFonts w:ascii="Arial" w:cs="Arial" w:eastAsia="Arial" w:hAnsi="Arial"/>
          <w:sz w:val="13"/>
          <w:szCs w:val="13"/>
          <w:color w:val="auto"/>
        </w:rPr>
        <w:t>nd</w:t>
      </w:r>
      <w:r>
        <w:rPr>
          <w:rFonts w:ascii="Arial" w:cs="Arial" w:eastAsia="Arial" w:hAnsi="Arial"/>
          <w:sz w:val="16"/>
          <w:szCs w:val="16"/>
          <w:color w:val="auto"/>
        </w:rPr>
        <w:t xml:space="preserve"> Gen with a 4mm 34G Extra-Thin Wall for greater ease and comfort of insulin delivery. We believe that by creating safe, easy-to-use products designed to prevent needlestick injury, our products have a reputation among healthcare professionals and end-users for industry-leading safety and ease of use. We have long served as a pioneer and thought leader in the safety space, helping to provide education, guidance, and promote adherence in diabetes management for patients and healthcare providers around the world.</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In 2021, safety injection device sales accounted for $121 million, or approximately 10%, of our total sales, with approximately 43%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134620</wp:posOffset>
            </wp:positionV>
            <wp:extent cx="1688465" cy="14573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88465" cy="145732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134620</wp:posOffset>
            </wp:positionV>
            <wp:extent cx="1817370" cy="14401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173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tabs>
          <w:tab w:leader="none" w:pos="7040" w:val="left"/>
        </w:tabs>
        <w:rPr>
          <w:sz w:val="20"/>
          <w:szCs w:val="20"/>
          <w:color w:val="auto"/>
        </w:rPr>
      </w:pPr>
      <w:r>
        <w:rPr>
          <w:rFonts w:ascii="Arial" w:cs="Arial" w:eastAsia="Arial" w:hAnsi="Arial"/>
          <w:sz w:val="18"/>
          <w:szCs w:val="18"/>
          <w:b w:val="1"/>
          <w:bCs w:val="1"/>
          <w:color w:val="auto"/>
        </w:rPr>
        <w:t>BD AutoShield Duo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Safety Pen Needle</w:t>
      </w:r>
      <w:r>
        <w:rPr>
          <w:sz w:val="20"/>
          <w:szCs w:val="20"/>
          <w:color w:val="auto"/>
        </w:rPr>
        <w:tab/>
      </w:r>
      <w:r>
        <w:rPr>
          <w:rFonts w:ascii="Arial" w:cs="Arial" w:eastAsia="Arial" w:hAnsi="Arial"/>
          <w:sz w:val="16"/>
          <w:szCs w:val="16"/>
          <w:b w:val="1"/>
          <w:bCs w:val="1"/>
          <w:color w:val="auto"/>
        </w:rPr>
        <w:t>BD SafetyGlide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Insulin Syringe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Accessories</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We sell a variety of accessories used by people with diabetes in conjunction with injection devices when administering insulin. These accessories include sharps disposal by mail containers used for the safe disposal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78" w:name="page279"/>
    <w:bookmarkEnd w:id="278"/>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used injection devices via prepaid box, alcohol swabs for the sterilization of skin at the injection site, and our BD Safe Clip</w:t>
      </w:r>
      <w:r>
        <w:rPr>
          <w:rFonts w:ascii="Arial" w:cs="Arial" w:eastAsia="Arial" w:hAnsi="Arial"/>
          <w:sz w:val="15"/>
          <w:szCs w:val="15"/>
          <w:color w:val="auto"/>
        </w:rPr>
        <w:t>TM</w:t>
      </w:r>
      <w:r>
        <w:rPr>
          <w:rFonts w:ascii="Arial" w:cs="Arial" w:eastAsia="Arial" w:hAnsi="Arial"/>
          <w:sz w:val="18"/>
          <w:szCs w:val="18"/>
          <w:color w:val="auto"/>
        </w:rPr>
        <w:t xml:space="preserve"> system for needle clipping and storage. In 2021, accessory sales accounted for $16 million, or approximately 2%, of our total sales, with approximately 39% of such sales generated outside of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Over its 95-year history, we believe that our business has developed a reputation as an industry leader in innovative insulin delivery solutions. As an independent entity, we expect to continue this tradition of innovation by using our increased flexibility to invest capital to better address the evolving needs of people with diabetes. We have a robust organization to execute on our current and future product development projects, comprised of highly skilled employees whom collectively hold twelve PhDs, Doctorate or MD degrees and 25 employees who hold additional advanced degrees. We expect our product development efforts to focus on three main areas: injection, digital diabetes management and infusion.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w:t>
      </w:r>
    </w:p>
    <w:p>
      <w:pPr>
        <w:spacing w:after="0" w:line="117"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We expect to continue to invest in potential improvements in safe and reliable insulin delivery, improved comfort, ease of use and simplified injection management. We also are currently investing in the development of a next-gen passive dual-ended pen needle with differentiated feature sets and additional functionality. Our goal is to include features that would differentiate this potential product from others, including features that would allow for single handed injection, reduction of environmental waste and reduction of needle stick injury compared to conventional pen needles.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Diabetes Management</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are currently investing in the development of a potential integrated diabetes management system that aims to provide people with beneficial tools and support for diabetes self-management, while providing security, privacy and data management through hosting solutions, tools and components for digital health products. Since its launch in 2018, our diabetes care app is currently available in nine countries and has over 10,000 active users. We believe that this app is a potential predecessor to a larger integrated diabetes management system, and see a potential opportunity to expand our digital offerings, including areas such as integration with continuous glucose monitoring systems, safe and secure data sharing, remote patient monitoring, dosing calculators and food analyzers, among others. As an independent entity, we may pursue investments in these and other digitally enabled diabetes management tools.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We are investing in the potential development of a continuous subcutaneous insulin infusion delivery system to provide the benefits of insulin pump therapy to a broader population, in particular those with Type 2 diabetes. We believe there is a significant unmet need for alternative treatment options for people with Type 2 diabetes who currently administer insulin via injection yet remain unable to effectively control their diabetes. Some third-party research over the last 10 years has demonstrated improved outcomes of subcutaneous insulin infusion devices over conventional injection insulin therapy. For example, a 2017 article published in </w:t>
      </w:r>
      <w:r>
        <w:rPr>
          <w:rFonts w:ascii="Arial" w:cs="Arial" w:eastAsia="Arial" w:hAnsi="Arial"/>
          <w:sz w:val="16"/>
          <w:szCs w:val="16"/>
          <w:i w:val="1"/>
          <w:iCs w:val="1"/>
          <w:color w:val="auto"/>
        </w:rPr>
        <w:t>Diabetes Metabolism Research and Reviews</w:t>
      </w:r>
      <w:r>
        <w:rPr>
          <w:rFonts w:ascii="Arial" w:cs="Arial" w:eastAsia="Arial" w:hAnsi="Arial"/>
          <w:sz w:val="16"/>
          <w:szCs w:val="16"/>
          <w:color w:val="auto"/>
        </w:rPr>
        <w:t xml:space="preserve"> highlighted insulin pump treatment as a more physiologic method to managing insulin therapy, attaining desired glucose levels and reducing the dose requirement of insulin for people with Type 2 diabetes.</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Although insulin pump therapy has the potential to improve glycemic control and quality of life in individuals with Type 2 diabetes, it is not widely used in this population due to the complexity, extensive training requirements, total daily dose limitations and reimbursement issues associated with current insulin pump devices. As a result, we estimate that globally approximately 1% of people with Type 2 diabetes use infusion via a pump to administer insulin. According to the Barclays Medical Supplies and Devices market model, however, the total addressable U.S. market for insulin pump devices for people with Type 2 diabetes could be between approximately $1.5 and $1.7 billion by 2030. We are seeking to develop a potential insulin infusion pump that can be more easily used by people with Type 2 diabetes.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Clinical Evidence and Thought Leadership</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For the millions of people with diabetes who inject insulin every day, correct injection technique is critical for optimal control of diabetes and insulin use safety. We strategically collaborate with leading nonprofit organizations, advocacy groups and foundations to identify and invest in programs and initiatives that address unmet healthcare needs to minimize the burdens and complications associated with diabetes. Our products are inspired and supported by the decades of research collaborations with healthcare providers and opinion leaders around the world, which have resulted in several clinical studies and peer-reviewed publications, ultimately informing the clinical practice guidelines around the world.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Highlights of these clinical practice guidelines and studies include the following:</w:t>
      </w:r>
    </w:p>
    <w:p>
      <w:pPr>
        <w:spacing w:after="0" w:line="131" w:lineRule="exact"/>
        <w:rPr>
          <w:sz w:val="20"/>
          <w:szCs w:val="20"/>
          <w:color w:val="auto"/>
        </w:rPr>
      </w:pPr>
    </w:p>
    <w:p>
      <w:pPr>
        <w:ind w:left="960" w:right="260" w:hanging="424"/>
        <w:spacing w:after="0" w:line="286" w:lineRule="auto"/>
        <w:tabs>
          <w:tab w:leader="none" w:pos="9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American Diabetes Association (the “ADA”) published the 2021 Standards of Medical Care in Diabetes to provide clinicians, researchers and payors with recommendations and therapeutic actions to improve diabetes outcomes. Several publications based on our sponsored or supported studies are referenced by the ADA as a source of information for their recommendations.</w:t>
      </w:r>
    </w:p>
    <w:p>
      <w:pPr>
        <w:spacing w:after="0" w:line="70" w:lineRule="exact"/>
        <w:rPr>
          <w:rFonts w:ascii="Arial" w:cs="Arial" w:eastAsia="Arial" w:hAnsi="Arial"/>
          <w:sz w:val="17"/>
          <w:szCs w:val="17"/>
          <w:color w:val="auto"/>
        </w:rPr>
      </w:pPr>
    </w:p>
    <w:p>
      <w:pPr>
        <w:jc w:val="both"/>
        <w:ind w:left="960" w:hanging="424"/>
        <w:spacing w:after="0" w:line="286" w:lineRule="auto"/>
        <w:tabs>
          <w:tab w:leader="none" w:pos="9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The medical journal, </w:t>
      </w:r>
      <w:r>
        <w:rPr>
          <w:rFonts w:ascii="Arial" w:cs="Arial" w:eastAsia="Arial" w:hAnsi="Arial"/>
          <w:sz w:val="17"/>
          <w:szCs w:val="17"/>
          <w:i w:val="1"/>
          <w:iCs w:val="1"/>
          <w:color w:val="auto"/>
        </w:rPr>
        <w:t>Mayo Clinic Proceedings</w:t>
      </w:r>
      <w:r>
        <w:rPr>
          <w:rFonts w:ascii="Arial" w:cs="Arial" w:eastAsia="Arial" w:hAnsi="Arial"/>
          <w:sz w:val="17"/>
          <w:szCs w:val="17"/>
          <w:color w:val="auto"/>
        </w:rPr>
        <w:t>, published insulin delivery recommendations for healthcare professionals caring for people using insulin, including the results from the largest injection technique survey ever performed for people with diabetes. The analysis of this landmark injection technique survey is the result of an international workshop that we sponsored.</w:t>
      </w:r>
    </w:p>
    <w:p>
      <w:pPr>
        <w:spacing w:after="0" w:line="70" w:lineRule="exact"/>
        <w:rPr>
          <w:rFonts w:ascii="Arial" w:cs="Arial" w:eastAsia="Arial" w:hAnsi="Arial"/>
          <w:sz w:val="17"/>
          <w:szCs w:val="17"/>
          <w:color w:val="auto"/>
        </w:rPr>
      </w:pPr>
    </w:p>
    <w:p>
      <w:pPr>
        <w:ind w:left="960" w:right="60" w:hanging="424"/>
        <w:spacing w:after="0" w:line="259" w:lineRule="auto"/>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Current Medical Research and Opinion</w:t>
      </w:r>
      <w:r>
        <w:rPr>
          <w:rFonts w:ascii="Arial" w:cs="Arial" w:eastAsia="Arial" w:hAnsi="Arial"/>
          <w:sz w:val="18"/>
          <w:szCs w:val="18"/>
          <w:color w:val="auto"/>
        </w:rPr>
        <w:t xml:space="preserve"> journal assessed user experiences of our 4mm pen needle versus other thinner pen needles manufactured by our competitors in a prospective randomized trial. The journal found that our 4mm pen needles with a second-generation extra thin-wall cannula with redesigned hub were associated with less participant-reported injection pain and less perceived dose delivery force compared to the comparators.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We have three manufacturing facilities in Ireland, the United States and China. We believe that the size and location of these facilities allow us to serve a global customer base, reduce lead time and better control costs. Our Ireland manufacturing site, established in 1969, is the world’s largest manufacturer of pen needles, producing 4.7 billion pen needles and over 199 million safety pen needles in fiscal year 2021 in a 295,000 square-foot facility. The U.S. leased manufacturing site in Nebraska, established in 1966, is the world’s largest manufacturer of insulin syringes, producing over</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 billion syringes in fiscal year 2021 in approximately 275,000 square feet of manufacturing space. With over 50 years’ experience at each of these two large sites, we believe our technology and know-how are highly differentiated and distinguish our products in a meaningful way for end users and healthcare providers. In addition, our China manufacturing site, established in 2015, produced over 739 million pen needles in fiscal year 2021, primarily for use in China and adjacent regions in a 200,000 square-foot facility.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We currently employ sales and marketing personnel for the direct sale and marketing of our products throughout the world with teams located around the globe, including North America, EMEA (which includes Europe, the Middle East and Africa), Greater Asia (which includes China, Japan and other countries within Asia Pacific) and Latin America. Our sales and marketing teams focus on healthcare providers and the people with diabetes whom they serve, with an emphasis on endocrinologists or diabetologists, general or primary care physicians, diabetes nurse educators and nurse practitioners across hospitals, clinics, long-term care facilities, and retail pharmacies. Our field-based efforts are complemented by our internal or contract inside sales teams present around the world.</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Upon the separation, we expect to have over 600 employees worldwide focused on commercialization activities, including general management, sales, marketing, digital, market access &amp; development and insights &amp;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280" w:name="page281"/>
    <w:bookmarkEnd w:id="28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analytics. We believe our commercialization capabilities will allow us to execute customer engagement strategies across preferred channels and aimed at healthcare providers, people with diabetes, and payors. We expect that our employees will build and maintain an integrated digital ecosystem, focus on omnichannel marketing experiences, and elevate portfolio-selling capabilities to coordinate engagement for our portfolio across all channels and geographies. Our branded engagement includes direct face-to-face selling, virtual engagement, digital marketing, social media, and our websites. In addition, we believe we have the knowledge, capabilities, and resources to achieve optimal local market access for our portfolio in a changing external environment.</w:t>
      </w:r>
    </w:p>
    <w:p>
      <w:pPr>
        <w:spacing w:after="0" w:line="19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Our sales and marketing efforts are diverse, with revenue generated across both hospital and retail pharmacy, and through both e-commerce and more conventional means. Within retail pharmacy, we have sales and marketing teams focused on larger national chains, local pharmacy chains and independent pharmacies as well as an online retail presence. Our sales efforts focus on self-payers and customers that benefit from reimbursement. Our distribution model varies across regions, but most frequently we distribute our products through retail pharmacies. As a result, select members of our regional sales teams are focused on managing relationships with key pharmacy customers. We also have distribution agreements with regional or national distributors (including wholesalers and medical suppliers) to ensure broad availability of our portfolio. In certain regions, we conduct business through government-related tenders, GPO contracts and business-to-business opportunities that our teams are structured to manage.</w:t>
      </w:r>
    </w:p>
    <w:p>
      <w:pPr>
        <w:spacing w:after="0" w:line="16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the United States, our field-based sales representatives and inside sales team call on healthcare providers and retail pharmacies across all 50 states. We also have a dedicated sales team focused on safety products that call on major integrated delivery networks and long-term care facilities. Our retail account teams support the major national and regional retailers while our wholesale account teams focus on relationships with key distributors such as McKesson Corporation, Cardinal Health and AmerisourceBergen Drug Corporation. We also actively monitor formulary coverage, accessibility and affordability of our products on the health plans.</w:t>
      </w:r>
    </w:p>
    <w:p>
      <w:pPr>
        <w:spacing w:after="0" w:line="188"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In EMEA, our regional commercial team partners with local country teams in select markets to ensure effective promotion of our products in approximately 70 countries where our products are sold and generally reimbursed. Country-specific business leaders and their respective sales and marketing teams are responsible for the day-to-day management of the local business and call on a range of prescribers, pharmacists, and hospital customers. We have dedicated sales representatives in select markets that focus on safety products and driving safety adoption in acute-care hospitals and other long-term care facilities. We rely upon distribution agreements in certain regions of the Middle East and Africa where we do not have a direct sales presence. We continue to seek opportunities for expansion through reimbursement in new markets and partnering with governmental authorities.</w:t>
      </w:r>
    </w:p>
    <w:p>
      <w:pPr>
        <w:spacing w:after="0" w:line="164"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In Greater Asia, our products are sold across 19 countries through a variety of go-to-market models from direct to distributor-led markets. In countries where we have direct presence, country business leaders and their commercial teams call on healthcare providers and key retail pharmacies and work closely with our distribution partners to support the broader hospital / retail base. We rely on distribution partners in some of the emerging economies where we do not have a direct presence. Country teams are supported by a regional commercial team that provides omnichannel marketing expertise, insights &amp; analytics, commercial excellence and market access support, while China has its own country commercial team to support sales execution. Expansion into new markets and omnichannel marketing activities, including direct-to-consumer engagement and e-commerce, are also aspects of the commercial model in Greater Asia.</w:t>
      </w:r>
    </w:p>
    <w:p>
      <w:pPr>
        <w:spacing w:after="0" w:line="17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Latin America, Embecta has a variety of go-to-market models across 16 countries where our products are sold. In the countries where we have local operations, our business is typically generated through retail channels where our field-based representatives focus on marketing, selling and distributing our products across retail pharmacies and private hospitals across the region. The majority of our non-retail business is generated through annual or bi-annual tenders and contracts. In countries where we do not have local operations or a direct presence, we operate through distributors and other intermediaries who distribute our products to our end customers. Our teams in Latin America are also expanding into direct-to-consumer engagement and e-commerce.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281" w:name="page282"/>
    <w:bookmarkEnd w:id="281"/>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the number of people with diabetes continues to expand, we believe our scale, diverse in-market knowledge and world-class injection devices position us to continue growing our global franchises and provide high-quality products. As one of the largest pure-play diabetes companies in the world, our relationships span the continuum of stakeholders in the diabetes market, from partnerships with major insulin producers to deep recognition with prescribers, nurses, payers, and retailers that offer our products to our estimated 30 million users living around the world with diabetes.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diabetes care industry is highly competitive, subject to rapid change and significantly affected by new product introductions and innovation. Although most people who use diabetes medications are on injection therapy,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 For example, GLP-1s, sodium-glucose cotransporter SGLT-2 inhibitors and other novel diabetes therapies do not always require injections (or require fewer injections) using pen needles and insulin syringes and are prescribed to certain people with diabetes to help manage their disease. The impact of these therapies in most cases has been to defer insulin injection therapy for certain people with diabetes, although in many cases the diabetes will progress with time such that insulin injection therapy will ultimately be required.</w:t>
      </w:r>
    </w:p>
    <w:p>
      <w:pPr>
        <w:spacing w:after="0" w:line="16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We currently compete with other providers of diabetes drug injection devices. 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and efficacy, price, service and reputation.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redesigned safety pen needle and finer gauge pen needle currently under development and software we market to end users for managing diabetes are covered by a variety of patents and patent applications. Generally, patent protection for these products and technologies is sought in the United States, Canada, Europe and Japan. We are not aware of any pending third-party claims or challenges that would be expected to materially affect the patent protection of these products or technologies.</w:t>
      </w:r>
    </w:p>
    <w:p>
      <w:pPr>
        <w:spacing w:after="0" w:line="17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After the separation, Embecta will either own, or BD will continue to own and provide Embecta a license to use, intellectual property rights necessary to operate our business as of the separation. BD will grant Embecta a license to use such intellectual property rights on the terms and conditions set forth in an intellectual property matters agreement, which are described under “Certain Relationships and Related Party Transactions— Intellectual Property Matters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Components</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440" w:top="274" w:right="519" w:bottom="1440" w:gutter="0" w:footer="0" w:header="0"/>
        </w:sectPr>
      </w:pPr>
    </w:p>
    <w:bookmarkStart w:id="282" w:name="page283"/>
    <w:bookmarkEnd w:id="282"/>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We purchase some of these and other materials from a single or limited number of sources for reasons for quality assurance, cost-effectiveness and other reasons. In connection with the separation and prior to the distribution, we will enter into a cannula supply agreement with BD, whereby BD will sell to us cannulas for incorporation into our pen needles and syringes for sale within the diabetes care sector, as described in greater detail in “Certain Relationships and Related Party Transactions—Cannula Supply Agreement.” After the separation, BD will retain ownership of all cannula production activities and all intellectual property rights of BD and its subsidiaries relating to cannula, the manufacture thereof and other critical cannula-related technology.</w:t>
      </w:r>
    </w:p>
    <w:p>
      <w:pPr>
        <w:spacing w:after="0" w:line="192"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The design and formulation of certain of these materials and components is proprietary and the intellectual property rights may be owned exclusively by one party. In the case of sole sourced parts, we manage risk through holding inventory ourselves and at the supplier to ensure continuity of supply and low risk of disruption. We expect that, if necessary or appropriate, we will be able to enter into new arrangements with alternative suppliers. We work closely with all suppliers to ensure continuity of supply while maintaining high-quality and reliability, although no assurance can be given that these efforts will be successful. See “Description of Material Indebtedness” and “Risk Factors—Risks Related to Embecta’s Business— 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16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We have written agreements with a variety of suppliers that provide the resins, rubber stoppers, packaging, plungers, barrel rods, hubs and other components used in the manufacture of pen needles and our other products. We rely on sole suppliers for certain of these components, but, subject to pre-qualification of a new supplier as required by applicable law, we expect we would be able to engage another supplier in the event one of our existing supply agreements were terminated.</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distribute our products around the world. Changes in legislation or government policies, including with respect to licensing, health information privacy and data privacy and healthcare costs and access, can have a material impact on our worldwide operations.</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In particular,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our existing markets products, but also our ability to market new products under development.</w:t>
      </w:r>
    </w:p>
    <w:p>
      <w:pPr>
        <w:spacing w:after="0" w:line="192"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For example, we are currently working on designing and developing an insulin patch pump focused on serving the needs of people with Type 2 diabetes. If we decide to pursue commercialization of this product, we currently expect that the product will be classified in the United States as a Class</w:t>
      </w:r>
    </w:p>
    <w:p>
      <w:pPr>
        <w:ind w:left="4" w:hanging="4"/>
        <w:spacing w:after="0" w:line="288" w:lineRule="auto"/>
        <w:tabs>
          <w:tab w:leader="none" w:pos="169" w:val="left"/>
        </w:tabs>
        <w:numPr>
          <w:ilvl w:val="0"/>
          <w:numId w:val="329"/>
        </w:numPr>
        <w:rPr>
          <w:rFonts w:ascii="Arial" w:cs="Arial" w:eastAsia="Arial" w:hAnsi="Arial"/>
          <w:sz w:val="16"/>
          <w:szCs w:val="16"/>
          <w:color w:val="auto"/>
        </w:rPr>
      </w:pPr>
      <w:r>
        <w:rPr>
          <w:rFonts w:ascii="Arial" w:cs="Arial" w:eastAsia="Arial" w:hAnsi="Arial"/>
          <w:sz w:val="16"/>
          <w:szCs w:val="16"/>
          <w:color w:val="auto"/>
        </w:rPr>
        <w:t>medical device and as an alternate controller enabled, or ACE, insulin infusion pump, which must be cleared and/or approved by the FDA and similar regulatory authorities in jurisdictions outside of the United States before we can market and sell this potential product to distributors and end users in the United States and abroad, respectively. We are currently engaging with the FDA about this potential product through the FDA’s pre-submission program. We currently expect that, at a later date, we would submit a 510(k) pre-market notification to the FDA to initiate the review and clearance process to market and sell this potential product in the United States, and may pursue similar clearance, approval and qualification processes in other jurisdictions. We cannot predict how long such process may take, and this process may require, among other things, that we demonstrate that this potential product complies with various regulations of the FDA and other governmental agencies, including quality system</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283" w:name="page284"/>
    <w:bookmarkEnd w:id="28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If we fail to demonstrate compliance, we may not receive the required regulatory clearances to market the product in the United States or other jurisdictions.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Even if we do receive clearance to market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approval from the FDA and counterpart non-U.S. regulatory agencies. Following the introduction of a product, these agencies engage in periodic reviews and inspections of our quality systems, as well as product performance and advertising and promotional materials. These regulatory controls, as well as any changes in agency policies, can affect the time and cost associated with the development, introduction and continued availability of new and existing products. Where possible, we anticipate these factors in our product development and planning processes.</w:t>
      </w:r>
    </w:p>
    <w:p>
      <w:pPr>
        <w:spacing w:after="0" w:line="18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International sales of our products are subject to foreign government regulations, which may vary substantially from country to country. The time required to obtain approval by a foreign regulatory authority may be longer or shorter than that required for FDA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of risks related to government regulations,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Our Business—Legal Proceedings</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distribute a significant portion of our pen needles, syringes and other products through independent distributors. McKesson Corporation, Cardinal Health and AmerisourceBergen Drug Corporation, our three largest distributors, together represented approximately 39% of our worldwide sales in fiscal 2021. These distributors purchase our products on a purchase order basis under standard written agreements. Embecta also makes direct sales to pharmacies and other organizations, which sales are generally done under standard terms and conditions negotiated by our sales representatives. Our direct sales to the five largest retail pharmacies for Embecta’s products together represented approximately 14% of Embecta’s worldwide sales. Outside of the United States, sales are made either directly to end users or through distributors, depending on the region served.</w:t>
      </w:r>
    </w:p>
    <w:p>
      <w:pPr>
        <w:spacing w:after="0" w:line="16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During fiscal 2021, we made sales to approximately 60 independent distributors in the United States, and approximately 600 independent distributors internationally. Our U.S. distributor agreements generally have terms between one and two years, and our international distributor agreements generally have a one-year initial term subject to automatic renewals. After the expiration of the term under our U.S. distributor agreements, the parties generally renew these agreements or enter into new agreements on similar terms. Many of our international distributor agreements contain minimum purchase requirements and annual price escalators, and our practice with our U.S. distributors is to enter into agreements with negotiated wholesale pricing for products which pricing in some cases may contemplate annual price increases based on market conditions, as well as negotiated distributor fees based on volume of products distributed to our customers.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0"/>
          </w:cols>
          <w:pgMar w:left="440" w:top="274" w:right="51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w:t>
      </w:r>
    </w:p>
    <w:p>
      <w:pPr>
        <w:spacing w:after="0" w:line="121"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We expect that upon the separation, we will have approximately 2,029 employees worldwide and that approximately 832 employees will be employed in the United States. As of today, only certain employees, all outside of the United States and representing approximately 33% of our headcount, are represented by various collective bargaining groups.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human resources organization is led by an experienced team that monitors our employee base and sets annual targets for managing our human capital, including employee retention, engagement and training targets. We will develop diversity and inclusion initiatives and will regularly review our strategies and programs for leadership development. We will establish benefit and incentive compensation plans, including comprehensive medical and life insurance coverage, 401(k) matching programs and other incentive compensation programs that we believe align employee incentives directly with our future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The diabetes care business is subject from time to time to claims and litigation arising in the ordinary course of business. These claims and litigation may include, among other things, allegations of violations of U.S. and foreign health regulation and privacy laws and related regulations, as well as claims or litigation relating to product liability, intellectual property, breach of contract and tort. The diabetes care business operates in multiple jurisdictions and, as a result, claims in one jurisdiction may lead to claims or regulatory penalties in other jurisdictions.</w:t>
      </w:r>
    </w:p>
    <w:p>
      <w:pPr>
        <w:spacing w:after="0" w:line="17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Subject to certain specified matters, Embecta generally will assume liability for all pending, threatened and unasserted legal matters related to the diabetes care business and will indemnify BD for any liability to the extent arising out of or resulting from such liabilities.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0" w:right="47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in conjunction with the other sections of this information statement, including “Risk Factors,” “Cautionary Note Regarding Forward-Looking Statements,” “Selected Historical Combined Financial Data of the Diabetes Care Business,” “Unaudited Pro Forma Condensed Combined Financial Information” and the Diabetes Care Business’ historical combined financial information included elsewhere in this information statement. This discussion contains a number of forward-looking statements, all of which are based on our current expectations and could be affected by the uncertainties and other factors described throughout this information statement and particularly in the sections entitled “Risk Factors” and “Cautionary Note Regarding Forward-Looking Statements.”</w:t>
      </w:r>
    </w:p>
    <w:p>
      <w:pPr>
        <w:spacing w:after="0" w:line="17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In May 2021, BD announced its plan to separate its diabetes care business into an independent public company. The separation will occur through a distribution by BD of all of the outstanding shares of a newly formed company named Embecta Corp., which will hold BD’s diabetes care business.</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Completion of the distribution is subject to certain conditions which are described more fully under “The Separation and Distribution—Conditions to the Distribution,” including receipt of (i) a private letter ruling from the IRS, satisfactory to the BD Board of Directors, regarding certain U.S. federal income tax matters relating to the separation and distribution and (ii) an opinion of BD’s outside counsel, satisfactory to the BD Board of Directors, regarding the qualification of the contribution of assets from BD to Embecta and the distribution, taken together, as a “reorganization” within the meaning of Sections 355 and 368(a)(1)(D) of the Code, and such opinion has not been withdrawn or rescinded.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0" w:right="4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of Presentation of Our Financial Information</w:t>
      </w:r>
    </w:p>
    <w:p>
      <w:pPr>
        <w:spacing w:after="0" w:line="121"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The accompanying historical combined financial statements included in this information statement were derived from the consolidated financial statements and accounting records of BD. These combined financial statements reflect the combined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w:t>
      </w:r>
    </w:p>
    <w:p>
      <w:pPr>
        <w:spacing w:after="0" w:line="166"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 xml:space="preserve">The combined financial statements include certain assets and liabilities that have historically been held at the BD corporate level but are specifically identifiable or otherwise allocable to the Diabetes Care Business. Cash has not been assigned to the Diabetes Care Business for any of the periods presented because those cash balances are not directly attributable to the Diabetes Care Business. BD uses a centralized approach to cash management and financing of its operations.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7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such as information technology and infrastructure.</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Subsequent to the completion of the separation, we expect that Embecta will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Percentages presented are calculated from the underlying amounts. References to years throughout this discussion relate to our fiscal years, which end on September 30.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Following the distribution, certain functions that BD provided to the Diabetes Care Business prior to the distribution will either continue to be provided to Embecta by BD under a transition services agreement or will be performed using Embecta’s own resources or third-party service providers. Additionally, under manufacturing and supply agreements, BD will manufacture certain products for and supply raw materials to Embecta and its subsidiaries and Embecta will manufacture certain products for BD and its subsidiaries.</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Concurrent with the distribution, we will enter into certain agreements with BD. See “Certain Relationships and Related Party Transactions— Agreements with BD.”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0" w:right="4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 Trends Affecting Our Results of Operations</w:t>
      </w:r>
    </w:p>
    <w:p>
      <w:pPr>
        <w:spacing w:after="0" w:line="135" w:lineRule="exact"/>
        <w:rPr>
          <w:sz w:val="20"/>
          <w:szCs w:val="20"/>
          <w:color w:val="auto"/>
        </w:rPr>
      </w:pPr>
    </w:p>
    <w:p>
      <w:pPr>
        <w:ind w:left="1420" w:right="120" w:hanging="331"/>
        <w:spacing w:after="0" w:line="296" w:lineRule="auto"/>
        <w:tabs>
          <w:tab w:leader="none" w:pos="1420" w:val="left"/>
        </w:tabs>
        <w:numPr>
          <w:ilvl w:val="0"/>
          <w:numId w:val="330"/>
        </w:numPr>
        <w:rPr>
          <w:rFonts w:ascii="Arial" w:cs="Arial" w:eastAsia="Arial" w:hAnsi="Arial"/>
          <w:sz w:val="16"/>
          <w:szCs w:val="16"/>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regions in which we conduct our business and the medical devices industry in general are highly competitive.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6" w:lineRule="exact"/>
        <w:rPr>
          <w:rFonts w:ascii="Arial" w:cs="Arial" w:eastAsia="Arial" w:hAnsi="Arial"/>
          <w:sz w:val="16"/>
          <w:szCs w:val="16"/>
          <w:color w:val="auto"/>
        </w:rPr>
      </w:pPr>
    </w:p>
    <w:p>
      <w:pPr>
        <w:ind w:left="1420" w:right="180" w:hanging="331"/>
        <w:spacing w:after="0" w:line="279" w:lineRule="auto"/>
        <w:tabs>
          <w:tab w:leader="none" w:pos="1420"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 xml:space="preserve">Pricing Pressures. </w:t>
      </w:r>
      <w:r>
        <w:rPr>
          <w:rFonts w:ascii="Arial" w:cs="Arial" w:eastAsia="Arial" w:hAnsi="Arial"/>
          <w:sz w:val="17"/>
          <w:szCs w:val="17"/>
          <w:color w:val="auto"/>
        </w:rPr>
        <w:t>The increased scrutiny by regulators on healthcare spending, which has accelerated in light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along with a shift towards more tenders and volume based procurement, which generally values lower cost over product quality, have placed significant pressure on Embecta to lower pricing. These trends may reduce our operating margins, which are only partially offset by our ability to differentiate our products and sell at higher prices.</w:t>
      </w:r>
    </w:p>
    <w:p>
      <w:pPr>
        <w:spacing w:after="0" w:line="76" w:lineRule="exact"/>
        <w:rPr>
          <w:rFonts w:ascii="Arial" w:cs="Arial" w:eastAsia="Arial" w:hAnsi="Arial"/>
          <w:sz w:val="17"/>
          <w:szCs w:val="17"/>
          <w:color w:val="auto"/>
        </w:rPr>
      </w:pPr>
    </w:p>
    <w:p>
      <w:pPr>
        <w:ind w:left="1420" w:right="20" w:hanging="331"/>
        <w:spacing w:after="0" w:line="255" w:lineRule="auto"/>
        <w:tabs>
          <w:tab w:leader="none" w:pos="142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Commoditization of Injection Devices</w:t>
      </w:r>
      <w:r>
        <w:rPr>
          <w:rFonts w:ascii="Arial" w:cs="Arial" w:eastAsia="Arial" w:hAnsi="Arial"/>
          <w:sz w:val="18"/>
          <w:szCs w:val="18"/>
          <w:color w:val="auto"/>
        </w:rPr>
        <w:t>. Given the growing demand for medical devices to assist in the treatment of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97" w:lineRule="exact"/>
        <w:rPr>
          <w:rFonts w:ascii="Arial" w:cs="Arial" w:eastAsia="Arial" w:hAnsi="Arial"/>
          <w:sz w:val="18"/>
          <w:szCs w:val="18"/>
          <w:color w:val="auto"/>
        </w:rPr>
      </w:pPr>
    </w:p>
    <w:p>
      <w:pPr>
        <w:ind w:left="1420" w:right="100" w:hanging="331"/>
        <w:spacing w:after="0" w:line="259" w:lineRule="auto"/>
        <w:tabs>
          <w:tab w:leader="none" w:pos="142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Changes in Clinical Practice</w:t>
      </w:r>
      <w:r>
        <w:rPr>
          <w:rFonts w:ascii="Arial" w:cs="Arial" w:eastAsia="Arial" w:hAnsi="Arial"/>
          <w:sz w:val="18"/>
          <w:szCs w:val="18"/>
          <w:color w:val="auto"/>
        </w:rPr>
        <w:t>. Increased penetration of oral anti-diabetic drugs (</w:t>
      </w:r>
      <w:r>
        <w:rPr>
          <w:rFonts w:ascii="Arial" w:cs="Arial" w:eastAsia="Arial" w:hAnsi="Arial"/>
          <w:sz w:val="18"/>
          <w:szCs w:val="18"/>
          <w:i w:val="1"/>
          <w:iCs w:val="1"/>
          <w:color w:val="auto"/>
        </w:rPr>
        <w:t>e.g.</w:t>
      </w:r>
      <w:r>
        <w:rPr>
          <w:rFonts w:ascii="Arial" w:cs="Arial" w:eastAsia="Arial" w:hAnsi="Arial"/>
          <w:sz w:val="18"/>
          <w:szCs w:val="18"/>
          <w:color w:val="auto"/>
        </w:rPr>
        <w:t>, SGLT-2s &amp; DDP-4s) and GLP1s have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insulin therapy and contributed to less demand for our products. This trend had shown signs of reversing as novel therapy growth has slowed and the insulin category has stabilized. As GLP-1 penetration reaches saturation, we expect our net sales to continue to grow in line with increases in the incidence of diabetes.</w:t>
      </w:r>
    </w:p>
    <w:p>
      <w:pPr>
        <w:spacing w:after="0" w:line="92" w:lineRule="exact"/>
        <w:rPr>
          <w:rFonts w:ascii="Arial" w:cs="Arial" w:eastAsia="Arial" w:hAnsi="Arial"/>
          <w:sz w:val="18"/>
          <w:szCs w:val="18"/>
          <w:color w:val="auto"/>
        </w:rPr>
      </w:pPr>
    </w:p>
    <w:p>
      <w:pPr>
        <w:ind w:left="1420" w:right="60" w:hanging="331"/>
        <w:spacing w:after="0" w:line="270" w:lineRule="auto"/>
        <w:tabs>
          <w:tab w:leader="none" w:pos="1420"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COVID-19 impacting delivery and allocation of healthcare</w:t>
      </w:r>
      <w:r>
        <w:rPr>
          <w:rFonts w:ascii="Arial" w:cs="Arial" w:eastAsia="Arial" w:hAnsi="Arial"/>
          <w:sz w:val="17"/>
          <w:szCs w:val="17"/>
          <w:color w:val="auto"/>
        </w:rPr>
        <w:t>. The COVID-19 pandemic has accelerated the adoption of,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the acute COVID-19 crisis and maintaining routine care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6" w:lineRule="exact"/>
        <w:rPr>
          <w:rFonts w:ascii="Arial" w:cs="Arial" w:eastAsia="Arial" w:hAnsi="Arial"/>
          <w:sz w:val="17"/>
          <w:szCs w:val="17"/>
          <w:color w:val="auto"/>
        </w:rPr>
      </w:pPr>
    </w:p>
    <w:p>
      <w:pPr>
        <w:ind w:left="1420" w:right="340" w:hanging="331"/>
        <w:spacing w:after="0" w:line="279" w:lineRule="auto"/>
        <w:tabs>
          <w:tab w:leader="none" w:pos="1420"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Decentralization of Chronic Care</w:t>
      </w:r>
      <w:r>
        <w:rPr>
          <w:rFonts w:ascii="Arial" w:cs="Arial" w:eastAsia="Arial" w:hAnsi="Arial"/>
          <w:sz w:val="17"/>
          <w:szCs w:val="17"/>
          <w:color w:val="auto"/>
        </w:rPr>
        <w:t>. Many countries are facing an aging population and a rapidly growing number of people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rFonts w:ascii="Arial" w:cs="Arial" w:eastAsia="Arial" w:hAnsi="Arial"/>
          <w:sz w:val="17"/>
          <w:szCs w:val="17"/>
          <w:color w:val="auto"/>
        </w:rPr>
      </w:pPr>
    </w:p>
    <w:p>
      <w:pPr>
        <w:ind w:left="1420" w:hanging="331"/>
        <w:spacing w:after="0" w:line="257" w:lineRule="auto"/>
        <w:tabs>
          <w:tab w:leader="none" w:pos="142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Political and Economic Instability in Emerging Markets</w:t>
      </w:r>
      <w:r>
        <w:rPr>
          <w:rFonts w:ascii="Arial" w:cs="Arial" w:eastAsia="Arial" w:hAnsi="Arial"/>
          <w:sz w:val="18"/>
          <w:szCs w:val="18"/>
          <w:color w:val="auto"/>
        </w:rPr>
        <w:t>. We operate in a number of emerging markets, many of which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to significant political and economic disruptions. For example, currency fluctuations or sanctions affecting these markets may adversely affect our results of operations, including our ability to efficiently collect payments and manage our accounts. However, the number of countries we provide products to and our proactive channel management strategies help us manage this variability.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0"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COVID-19 Pandemic Impacts and Response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 in fiscal year 2020 as further described below. While demand for our products showed substantial recovery during fiscal year 2021,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70" w:lineRule="exact"/>
        <w:rPr>
          <w:sz w:val="20"/>
          <w:szCs w:val="20"/>
          <w:color w:val="auto"/>
        </w:rPr>
      </w:pPr>
    </w:p>
    <w:p>
      <w:pPr>
        <w:ind w:left="1420" w:right="300" w:hanging="331"/>
        <w:spacing w:after="0" w:line="342" w:lineRule="auto"/>
        <w:tabs>
          <w:tab w:leader="none" w:pos="14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extent to which resurgences in COVID-19 infections or new strains of the virus result in the imposition of new governmental lockdowns, immunization requirements, quarantine requirements or other restrictions that may disrupt our operations;</w:t>
      </w:r>
    </w:p>
    <w:p>
      <w:pPr>
        <w:spacing w:after="0" w:line="29" w:lineRule="exact"/>
        <w:rPr>
          <w:rFonts w:ascii="Arial" w:cs="Arial" w:eastAsia="Arial" w:hAnsi="Arial"/>
          <w:sz w:val="16"/>
          <w:szCs w:val="16"/>
          <w:color w:val="auto"/>
        </w:rPr>
      </w:pPr>
    </w:p>
    <w:p>
      <w:pPr>
        <w:ind w:left="1420" w:right="1000" w:hanging="331"/>
        <w:spacing w:after="0" w:line="277" w:lineRule="auto"/>
        <w:tabs>
          <w:tab w:leader="none" w:pos="14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continued momentum of the global economy’s recovery from the pandemic and the degree of pressure that a weakened macroeconomic environment would put on the global demand for our products;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11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Worldwide revenues in 2021 of $1,165 million increased 7.3% from the prior year period. This increase reflected favorable impacts from foreign currency translation, price and volume. Increases in volume were attributable to increased end-user consumption of pen needles and safety syringes, as well as category growth. Additionally, revenues in 2021 were favorably impacted by decreases to our rebate reserves, as further discussed below.</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continue to invest in research and development, geographic expansion and new product market programs to drive further revenue and profit growth. Our ability to sustain our long-term growth will depend on a number of factors, including our ability to expand our core business (including geographical expansion), develop innovative new products, and continue to improve operating efficiency and organizational effectiveness. As discussed above, current global economic conditions are relatively volatile due to the COVID-19 pandemic. In addition, an inability to increase or maintain selling prices globally could adversely impact our business.</w:t>
      </w:r>
    </w:p>
    <w:p>
      <w:pPr>
        <w:spacing w:after="0" w:line="18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U.S. dollar at exchange rates that fluctuate from the beginning of such period. A weaker U.S. dollar in 2021, compared with 2020, resulted in a favorable foreign currency translation impact to our revenues during 2021. We evaluate our results of operations on both a reported and a foreign currency-neutral (“FXN”)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FXN basis in addition to reported results helps improve investors’ ability to understand our operating results and evaluate our performance in comparison to prior periods. We calculate FXN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U.S. GAAP. Results on a FXN basis, as we present them, may not be comparable to similarly titled measures used by other companies and are not measures of performance presented in accordance with U.S. GAAP.</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2021 vs. 2020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2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2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Total</w:t>
            </w: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Impact</w:t>
            </w:r>
          </w:p>
        </w:tc>
        <w:tc>
          <w:tcPr>
            <w:tcW w:w="4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$1,109</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Revenues of $1,165 million in 2021 increased by $79 million, or 7.3%, compared with revenues of $1,086 million in 2020. Changes in our revenue are driven by the volume of goods that we sell, the prices we negotiate with customers and changes in foreign exchange rates. A net increase in the volume of units sold of approximately $33 million was primarily driven by increased end-user consumption of pen needles and safety syringes within the U.S. and category growth within China and certain other international regions. The net increase in volume in 2021 also reflected a $5 million increase in U.S. private label sales compared with the prior-year period. Price increases and U.S. rebate adjustments favorably impacted revenues by approximately $11 million. As noted above, the increase in 2021 revenues also reflected effects from foreign currency translation of $25 million.</w:t>
      </w:r>
    </w:p>
    <w:p>
      <w:pPr>
        <w:spacing w:after="0" w:line="164"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Revenues of $1,086 million in 2020 decreased by $23 million, or 2.1% compared with revenues of $1,109 million in 2019. A net decrease in the volume of units sold of $3 million was primarily driven by the loss of a health insurance provider account in the United States and declines, particularly in EMEA, which were attributable to COVID-19 pandemic-related disruptions in healthcare priorities and economic activities. These unfavorable impacts to volume in 2020 were partially offset by category gains in the U.S. retail channel and increased U.S. end-user consumption of pen needles, as well as by a slowdown of novel therapy growth in the United States, which previously had a negative effect on sales of our insulin injection devices. Volume in 2020 was also favorably affected by increased demand that was attributable to the successful execution of channel expansion strategies in China. Pricing pressures unfavorably affected our sales by approximately $7 million and were most acute in the United States. As noted above, the decrease in 2020 revenues reflected unfavorable effects from foreign currency translation of $13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2021 vs. 2020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4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Estimated</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00" w:type="dxa"/>
            <w:vAlign w:val="bottom"/>
          </w:tcPr>
          <w:p>
            <w:pPr>
              <w:spacing w:after="0"/>
              <w:rPr>
                <w:sz w:val="10"/>
                <w:szCs w:val="10"/>
                <w:color w:val="auto"/>
              </w:rPr>
            </w:pPr>
          </w:p>
        </w:tc>
        <w:tc>
          <w:tcPr>
            <w:tcW w:w="900" w:type="dxa"/>
            <w:vAlign w:val="bottom"/>
            <w:gridSpan w:val="2"/>
          </w:tcPr>
          <w:p>
            <w:pPr>
              <w:jc w:val="right"/>
              <w:ind w:right="41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FX Impact</w:t>
            </w: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2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6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Cost of products sold of $365 million in 2021 increased by $42 million, or 13.0%, compared with $323 million in 2020, which reflected an unfavorable impact of approximately $11 million from foreign currency translation. The unfavorable impact from performance of approximately $31 million, or 9.6%, primarily reflected higher manufacturing costs, including overhead, of approximately $17 million which resulted from higher sales volume and a change in product mix, as well as $14 million of impairment charges related to certain construction in progress assets. Additional disclosures relating to these impairment charges are provided in Note 10 to our annual audited combined financial statements included elsewhere in this information statement.</w:t>
      </w:r>
    </w:p>
    <w:p>
      <w:pPr>
        <w:spacing w:after="0" w:line="19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Cost of products sold of $323 million in 2020 was flat compared with 2019, which reflected a favorable impact of approximately $6 million from foreign currency translation. The unfavorable impact from performance of approximately $6 million, or 1.9%, primarily reflected increased manufacturing overhead variances, such as idle capacity charges, that were recognized within the period as a result of the COVID-19 pandemic. Cost of products sold also reflected a reduction of manufacturing costs that was attributable to continuous improvement projects which enhanced the efficiency of our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expenses in 2021, 2020 and 2019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Increase (decrease)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2021 vs. 2020</w:t>
            </w:r>
          </w:p>
        </w:tc>
        <w:tc>
          <w:tcPr>
            <w:tcW w:w="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215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222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86"/>
              </w:rPr>
              <w:t>20.6%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w w:val="90"/>
              </w:rPr>
              <w:t>19.8%</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90"/>
              </w:rPr>
              <w:t>20.0%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17"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Selling and administrative expense of $240 million in 2021 increased by $25 million, or 11.6%, compared with $215 million in 2020. This increase was primarily driven by an increase in global selling, marketing and other related costs of approximately $21 million due to the 2021 increase in sales volume, as further discussed above, and an increase in other administrative costs of approximately $4 million as compared to the prior year, which benefited from cost containment measures enacted in response to the COVID-19 pandemic.</w:t>
      </w:r>
    </w:p>
    <w:p>
      <w:pPr>
        <w:spacing w:after="0" w:line="17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Selling and administrative expense of $215 million in 2020 decreased by $7 million, or 3.2%, compared with $222 million in 2019. This decrease was primarily driven by lower costs of approximately $5 million from headcount reductions resulting from a cancelled commercialization project, partially offset by an increase of approximately $1 million in shipping expenses in 2020 compared with 2019. Selling and administrative expense in 2020 also reflected a decrease in global selling, travel and other administrative costs due to the COVID-19 pandemic.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Spending in 2021, 2020 and 2019 reflected our continued commitment to invest in new products. Research and development expense of $63 million in 2021 increased by $2 million, or 3.3% compared with $61 million in 2020. The increase was primarily driven by increased investment in new products.</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Research and development expense of $61 million in 2020 decreased by $1 million, or 1.6%, compared with $62 million in 2019, which reflected a decrease of approximately $2 million in labor costs, partially offset by an increase of approximately $1 million in additional investments relating to our technology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rates in 2021, 2020 and 2019 were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16.2%</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The Diabetes Care Business’ effective income tax rate was 16.2%, 11.9% and 13.6% in 2021, 2020 and 2019, respectively. The fluctuation in the effective income tax rate for each year is primarily driven by the geographical mix of income attributable to foreign countries that have income tax rates that vary from the U.S. tax rate and discrete items impacting income tax expense that may not recur. The effective income tax rate in 2020 was favorably impacted by $17 million relating to unrecognized tax benefits while the effective income tax rate in 2019 was favorably impacted by $4 million relating to changes in U.S. tax legislation.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291" w:name="page292"/>
    <w:bookmarkEnd w:id="291"/>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Capital Resources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Net parent investment as a component of Parent’s Equity.</w:t>
      </w:r>
    </w:p>
    <w:p>
      <w:pPr>
        <w:spacing w:after="0" w:line="192"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On a recurring basis, our primary future cash needs will be directed toward operating and investing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71"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If these sources of liquidity need to be augmented, additional cash requirements would likely need to be financed through the issuance of debt or equity securities.</w:t>
      </w:r>
    </w:p>
    <w:p>
      <w:pPr>
        <w:spacing w:after="0" w:line="195" w:lineRule="exact"/>
        <w:rPr>
          <w:sz w:val="20"/>
          <w:szCs w:val="20"/>
          <w:color w:val="auto"/>
        </w:rPr>
      </w:pPr>
    </w:p>
    <w:p>
      <w:pPr>
        <w:jc w:val="both"/>
        <w:ind w:left="4" w:right="680" w:firstLine="440"/>
        <w:spacing w:after="0" w:line="263" w:lineRule="auto"/>
        <w:rPr>
          <w:sz w:val="20"/>
          <w:szCs w:val="20"/>
          <w:color w:val="auto"/>
        </w:rPr>
      </w:pPr>
      <w:r>
        <w:rPr>
          <w:rFonts w:ascii="Arial" w:cs="Arial" w:eastAsia="Arial" w:hAnsi="Arial"/>
          <w:sz w:val="18"/>
          <w:szCs w:val="18"/>
          <w:color w:val="auto"/>
        </w:rPr>
        <w:t>We expect to incur indebtedness in connection with our separation from BD, a portion of which will be used to distribute cash to BD. See “Description of Material Indebtedness.” Following this debt incurrence and the distribution of cash to BD, we expect to begin operations as an independent company with cash and cash equivalents as set forth under “Capitalization.”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Our contractual obligations as of September 30, 2021 were as follows: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674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200" w:type="dxa"/>
            <w:vAlign w:val="bottom"/>
          </w:tcPr>
          <w:p>
            <w:pPr>
              <w:spacing w:after="0"/>
              <w:rPr>
                <w:sz w:val="16"/>
                <w:szCs w:val="16"/>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2024</w:t>
            </w:r>
          </w:p>
        </w:tc>
        <w:tc>
          <w:tcPr>
            <w:tcW w:w="12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12 to our annual audited combined financial statements.</w:t>
      </w:r>
    </w:p>
    <w:p>
      <w:pPr>
        <w:spacing w:after="0" w:line="23" w:lineRule="exact"/>
        <w:rPr>
          <w:rFonts w:ascii="Arial" w:cs="Arial" w:eastAsia="Arial" w:hAnsi="Arial"/>
          <w:sz w:val="18"/>
          <w:szCs w:val="18"/>
          <w:i w:val="1"/>
          <w:iCs w:val="1"/>
          <w:color w:val="auto"/>
        </w:rPr>
      </w:pPr>
    </w:p>
    <w:p>
      <w:pPr>
        <w:ind w:left="424" w:hanging="424"/>
        <w:spacing w:after="0"/>
        <w:tabs>
          <w:tab w:leader="none" w:pos="424" w:val="left"/>
        </w:tabs>
        <w:numPr>
          <w:ilvl w:val="0"/>
          <w:numId w:val="332"/>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6 to our annual audited combined financial statements.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4"/>
          </w:cols>
          <w:pgMar w:left="436" w:top="274" w:right="439" w:bottom="1440" w:gutter="0" w:footer="0" w:header="0"/>
        </w:sectPr>
      </w:pPr>
    </w:p>
    <w:bookmarkStart w:id="292" w:name="page293"/>
    <w:bookmarkEnd w:id="2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our combined statements of cash flows in 2021, 2020 and 2019:</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9"/>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Net cash provided by operating activities during 2021 was attributable to net income of $415 million in 2021 and net adjustments of $41 million, including adjustments related to depreciation and amortization, impairment of property, plant and equipment, share-based compensation, pension expense, deferred taxes, and a $32 million net use of cash relating to changes in working capital. The net use of cash relating to working capital was driven by increases in trade receivables, inventories, and prepaid expenses and other, of $32 million, $18 million and $12 million, respectively, partially offset by a $30 million increase in accounts payable, income taxes and other liabilities. The increase in trade receivables and inventory primarily related to higher sales in 2021 as compared to 2020, as discussed above, which led to higher outstanding trade receivables and inventories on hand to satisfy demand. The increase in prepaid expenses and other was driven by increases in prepaid taxes. The increase in accounts payable, income taxes and other liabilities was driven by the timing of our rebate payments, which led to higher accounts payable as of period end, as well as increased accrued freight expenses due to higher sales in the period.</w:t>
      </w:r>
    </w:p>
    <w:p>
      <w:pPr>
        <w:spacing w:after="0" w:line="18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Net cash provided by operating activities during 2020 was attributable to net income of $428 million in 2020 and net adjustments of $71 million, including adjustments related to depreciation and amortization, share-based compensation, pension expense, deferred taxes and a $13 million net source of cash relating to changes in working capital. The source of cash relating to working capital was driven by a decrease in inventories, as well as prepaid expenses and other, of $4 million and $15 million, respectively, partially offset by a $4 million decrease in accounts payable, income taxes and other liabilities and an increase of $2 million in trade receivables. The decrease in inventories primarily related to lower finished goods on hand due to changes in demand while the decrease in accounts payable, income taxes and other liabilities was primarily driven by the release of a tax transfer pricing reserve. The decrease in prepaid expenses and other, and corresponding increase in trade receivables, was driven by changes in contract assets due to the timing of when our right to consideration from customers was no longer conditional on future performance.</w:t>
      </w:r>
    </w:p>
    <w:p>
      <w:pPr>
        <w:spacing w:after="0" w:line="16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Net cash provided by operating activities during 2019 was attributable to net income of $432 million in 2019 and net adjustments of $73 million, including adjustments related to depreciation and amortization, share based compensation, pension expense, deferred taxes and a $22 million net source of cash relating to changes in working capital. The source of cash relating to working capital was driven by a $32 million increase in accounts payable, income taxes and other liabilities and a decrease of $9 million in inventories, partially offset by increases in trade receivables and prepaid expenses and other of $10 million and $9 million, respectively. The increase in accounts payable, income taxes and other liabilities was primarily driven by timing of payments to vendors. The decrease in inventories related to lower inventory on hand compared to prior year due to changes in demand. The increase in trade receivables was driven by higher outstanding sales during the year. The increase in prepaid expenses and other primarily related to the establishment of contract assets in fiscal year 2019 due to the adoption of ASC 606.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Net cash used for investing activities was primarily comprised of capital expenditures of $37 million, $42 million, and $66 million in 2021, 2020 and 2019, respectively to support further expansion of our business and operations. Net cash used for investing activities during 2021 and 2019 also included $2 million and $3 million, respectively, related to the acquisition of intangible assets.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Cash Flows from Financing Activities</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Net cash used for financing activities, which entirely represented net transfers to BD (see Note 5 to the combined financial statements included elsewhere in this information statement), was $417 million in 2021, $457 million in 2020 and $436 million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The following discussion supplements the descriptions of our accounting policies contained in Note 2 to the combined financial statements included elsewhere in this information statement. The preparation of the combined financial statements requires management to use estimates and assumptions that affect the reported amounts of assets, liabilities, revenues and expenses, as well as the disclosure of contingent assets and liabilities at the date of the combined financial statements. Some of those judgments can be subjective and complex and, consequently, actual results could differ materially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on our combined financial statements. Management believes the following critical accounting policies reflect the more significant judgments and estimates used in the preparation of the combined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provided by the Diabetes Care Business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Goodwill assets are subject to impairment reviews at least annually, or whenever indicators of impairment arise. Intangible assets with finite lives and other long-lived assets are periodically reviewed for impairment when impairment indicators are present.</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We assess goodwill for impairment at the reporting unit level by comparing the fair value of the reporting unit with its carrying value. Our annual goodwill impairment test performed on July 1, 2021 did not result in any impairment charges, as the fair value of our reporting unit exceeded its carrying value.</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We generally use the income approach to derive the fair value for all impairment assessments and measurements.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income-producing assets. This approach requires management judgment with respect to future volume, revenue and expense growth rates, changes in working capital use, appropriate discount rates, terminal values and other assumptions and estimates.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294" w:name="page295"/>
    <w:bookmarkEnd w:id="294"/>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estimates and assumptions used are consistent with our business plans. The use of alternative estimates and assumptions could increase or decrease the estimated fair value of the asset. Actual results may differ materially from management’s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Our operations are included in the tax returns of BD. In the future, as a standalone entity, we will file tax returns on our own behalf. Income taxes as presented in the combined financial statements attribute current and deferred income tax assets and liabilities of BD to us in a manner that is systematic, rational and consistent with the asset and liability method prescribed by the accounting guidance for income taxes. Our income tax provision is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192" w:lineRule="exact"/>
        <w:rPr>
          <w:sz w:val="20"/>
          <w:szCs w:val="20"/>
          <w:color w:val="auto"/>
        </w:rPr>
      </w:pPr>
    </w:p>
    <w:p>
      <w:pPr>
        <w:jc w:val="both"/>
        <w:ind w:right="320" w:firstLine="440"/>
        <w:spacing w:after="0" w:line="287" w:lineRule="auto"/>
        <w:rPr>
          <w:sz w:val="20"/>
          <w:szCs w:val="20"/>
          <w:color w:val="auto"/>
        </w:rPr>
      </w:pPr>
      <w:r>
        <w:rPr>
          <w:rFonts w:ascii="Arial" w:cs="Arial" w:eastAsia="Arial" w:hAnsi="Arial"/>
          <w:sz w:val="16"/>
          <w:szCs w:val="16"/>
          <w:color w:val="auto"/>
        </w:rPr>
        <w:t>We have reviewed our needs in the United States for possible repatriation of undistributed earnings of our foreign subsidiaries and continue to invest foreign subsidiaries’ earnings outside of the United States to fund foreign investments or meet foreign working capital and property, plant and equipment expenditure needs. As a result, we are permanently reinvested with respect to all historical foreign earnings as of September 30, 2021.</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BD conducts business and files tax returns in numerous countries and currently has tax audits in progress in a number of tax jurisdictions. Our operations are included in the tax returns of BD. In evaluating the exposure associated with various tax filing positions, we record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we were a separate filer.</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We do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Additional disclosures regarding our accounting for income taxes are provided in Note 11 to the combined financial statements included elsewhere in this information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See Note 3 to the combined financial statements included elsewhere in this information statement for a discussion of recent accounting pronouncements.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Leadership Team Following the Distribution</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following table sets forth information regarding the individuals who are currently expected to serve on the senior leadership team of Embecta following the distribution. Some members of Embecta’s senior leadership team are currently employees of BD, but will cease to hold such positions upon the consummation of the separation. One member of Embecta’s senior leadership team, Devdatt (Dev) Kurdikar, will also hold a position as a member of Embecta’s Board of Directors. See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714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Jacob (Jake) Elguicze*</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Ginny Blocki</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Product Management and Global Marketing</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Tom Blount</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President, North America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Brian Capone*</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Chief Accounting Officer and Corporate Controller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Shaun Curtis*</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Global Manufacturing and Supply Chain</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Ajay Kumar*</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Jeff Mann*</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w w:val="89"/>
              </w:rPr>
              <w:t>Senior Vice President, General Counsel, Head of Corporate Development, and Corporate Secretary</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Slobodan Radumilo</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President, International</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Colleen Riley</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This senior leadership member has been designated as an “executive officer” under Item 401 of Regulation S-K (17 CFR § 229.401).</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 53, serves as the Worldwide President of Diabetes Care at BD. Previously, Dev was the President and CEO of Cardiac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 Corporation (CSC), a global leader in the manufacturing and marketing of automated external defibrillators (AEDs) for public access, education, police, and fire and rescue markets. CSC had been acquired by a private equity firm via bankruptcy proceedings, and under Dev’s leadership, CSC returned to profitable growth and was sold in a successful exit to ZOLL Medical.</w:t>
      </w:r>
    </w:p>
    <w:p>
      <w:pPr>
        <w:spacing w:after="0" w:line="18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Prior to that role, Dev was the Vice President and General Manager, Men’s Health, an important growth business within Urology and Pelvic Health at Boston Scientific Corp (NYSE: BSX). Dev was in the same role at American Medical Systems (AMS) and led the Men’s Health business through a significant business turnaround, and then the carve-out and sale to BSX, where Dev led the business through its integration into BSX. Before joining AMS, Dev served as Vice President, Marketing, Baxter International Inc. (NYSE: BAX), where he worked directly with the company’s top executives on a global commercial initiative to drive market access. Previously, he was the Vice President, Marketing for the Infusion Systems business for the U.S. region where he played a key role in stabilizing the business while under a consent decree, and launched a new wireless enabled infusion pump. In his 11 years with Baxter, Dev held leadership roles of increasing responsibility in finance, strategy and integration, R&amp;D planning and operations. He began his career as a Senior Research Engineer at The Monsanto Company.</w:t>
      </w:r>
    </w:p>
    <w:p>
      <w:pPr>
        <w:spacing w:after="0" w:line="17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Dev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84"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48, serves as the Senior Vice President – Finance of Diabetes Care at BD. Previously, Jake was the Treasurer and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Investor Relations of Teleflex Incorporated (NYSE: TFX), a global provider of medical technologies designed to improve the health and quality of people’s lives. Before assuming the role of Treasurer and Vice President of Investor Relations, Jake was the Vice President 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0" w:right="439" w:bottom="1440" w:gutter="0" w:footer="0" w:header="0"/>
        </w:sectPr>
      </w:pPr>
    </w:p>
    <w:bookmarkStart w:id="296" w:name="page297"/>
    <w:bookmarkEnd w:id="29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Ginny Blocki </w:t>
      </w:r>
      <w:r>
        <w:rPr>
          <w:rFonts w:ascii="Arial" w:cs="Arial" w:eastAsia="Arial" w:hAnsi="Arial"/>
          <w:sz w:val="16"/>
          <w:szCs w:val="16"/>
          <w:color w:val="auto"/>
        </w:rPr>
        <w:t>serves as Senior Vice President and Head of Global Marketing and Product Management of Diabetes Care at BD, a position she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since October 2021. Previously, she was head of U.S. medication delivery marketing for Baxter International Inc. (NYSE: BAX) until 2020, and before that held leadership roles with Assertio Therapeutics, Inc. (Nasdaq: ASRT) until 2018, Abbott Laboratories (NYSE: ABT) until 2016,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spacing w:after="0" w:line="16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b w:val="1"/>
          <w:bCs w:val="1"/>
          <w:i w:val="1"/>
          <w:iCs w:val="1"/>
          <w:color w:val="auto"/>
        </w:rPr>
        <w:t>Tom Blount</w:t>
      </w:r>
      <w:r>
        <w:rPr>
          <w:rFonts w:ascii="Arial" w:cs="Arial" w:eastAsia="Arial" w:hAnsi="Arial"/>
          <w:sz w:val="18"/>
          <w:szCs w:val="18"/>
          <w:color w:val="auto"/>
        </w:rPr>
        <w:t>, 48, joined BD in 2016 and has served as Vice President and General Manager, U.S. Diabetes Care, since May 2020. Previously,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spent 16 years in roles of increasing leadership responsibility at Sanofi S.A. (Nasdaq: SNY) following five years on active duty in the U.S. Army. He holds a Bachelor of Science degree in German/French from the United States Military Academy at West Point and a Master of Science in International Relations from Troy University – European Campus.</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i w:val="1"/>
          <w:iCs w:val="1"/>
          <w:color w:val="auto"/>
        </w:rPr>
        <w:t>Brian Capone</w:t>
      </w:r>
      <w:r>
        <w:rPr>
          <w:rFonts w:ascii="Arial" w:cs="Arial" w:eastAsia="Arial" w:hAnsi="Arial"/>
          <w:sz w:val="17"/>
          <w:szCs w:val="17"/>
          <w:color w:val="auto"/>
        </w:rPr>
        <w:t>, 47, serves as Vice President, Corporate Controller and Chief Accounting Officer of Diabetes Care at BD. Mr. Capone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Senior Vice President, Corporate Controller and Chief Accounting Officer at Cantel Medical Corporation (“Cantel”), a global medical products company focused on infection prevention products, until its acquisition by Steris PLC (NYSE: STE). Mr. Capone was appointed to this position in October 2018, having previously served as Vice President, Chief Accounting Officer and Vice President, Corporate Controller for Cantel since April 2017. Prior to joining Cantel, Mr. Capone served as the Assistant Corporate Controller for Stryker Corporation from October 2014 to April 2017, and Director, External Financial Reporting and Technical Accounting for Quest Diagnostics Incorporated from March 2012 to October 2014. Prior to those roles, Mr. Capone served in various financial reporting roles at Genzyme Corporation and CVS Health Corporation. Mr. Capone holds a Bachelor of Science degree in Business Administration with a concentration in Professional Accounting from Montclair State University and is a Certified Public Accountant in the State of New York.</w:t>
      </w:r>
    </w:p>
    <w:p>
      <w:pPr>
        <w:spacing w:after="0" w:line="18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b w:val="1"/>
          <w:bCs w:val="1"/>
          <w:i w:val="1"/>
          <w:iCs w:val="1"/>
          <w:color w:val="auto"/>
        </w:rPr>
        <w:t>Shaun Curtis</w:t>
      </w:r>
      <w:r>
        <w:rPr>
          <w:rFonts w:ascii="Arial" w:cs="Arial" w:eastAsia="Arial" w:hAnsi="Arial"/>
          <w:sz w:val="16"/>
          <w:szCs w:val="16"/>
          <w:color w:val="auto"/>
        </w:rPr>
        <w:t>, 52, serves as the Worldwide Vice President of Operations of Diabetes Care at BD, a position he has held since 2018.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engineer, designing, building, and repairing mining equipment. Shaun holds a Master of Business Administration with distinction from Northampton University, UK. He earned an Honors Degree in Mechanical Engineering from Plymouth University. He also achieved a Higher National Diploma in Mechanical Engineering at Swindon College.</w:t>
      </w:r>
    </w:p>
    <w:p>
      <w:pPr>
        <w:spacing w:after="0" w:line="16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i w:val="1"/>
          <w:iCs w:val="1"/>
          <w:color w:val="auto"/>
        </w:rPr>
        <w:t>Ajay Kumar</w:t>
      </w:r>
      <w:r>
        <w:rPr>
          <w:rFonts w:ascii="Arial" w:cs="Arial" w:eastAsia="Arial" w:hAnsi="Arial"/>
          <w:sz w:val="18"/>
          <w:szCs w:val="18"/>
          <w:color w:val="auto"/>
        </w:rPr>
        <w:t>, 51, serves as the Vice President, Human Resources of Diabetes Care at BD and has an additional charge for BD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Prior to this role, Ajay held numerous roles within BD including HR Head for BD’s diagnostic systems business, Head of Talent Management for BD Greater Asia, and HR Director for BD India. Most recently, he was the HR leader for BD’s Medication Delivery Systems (MDS) business. Prior to joining BD, Ajay held various positions at Unilever PLC in India, culminating as Head of Talent Management of Unilever India. Ajay holds a degree in Mechanical Engineering from Birla Institute of Technology Mesra and a Master of Business Administration in HR from XLRI Jamshedpur.</w:t>
      </w:r>
    </w:p>
    <w:p>
      <w:pPr>
        <w:spacing w:after="0" w:line="192"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b w:val="1"/>
          <w:bCs w:val="1"/>
          <w:i w:val="1"/>
          <w:iCs w:val="1"/>
          <w:color w:val="auto"/>
        </w:rPr>
        <w:t>Jeff Mann</w:t>
      </w:r>
      <w:r>
        <w:rPr>
          <w:rFonts w:ascii="Arial" w:cs="Arial" w:eastAsia="Arial" w:hAnsi="Arial"/>
          <w:sz w:val="16"/>
          <w:szCs w:val="16"/>
          <w:color w:val="auto"/>
        </w:rPr>
        <w:t>, 49, serves as the Senior Vice President, General Counsel and Head of Corporate Development of Diabetes Care at BD.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Jeff served as General Counsel and Corporate Secretary of Cantel. Prior to Cantel, Jeff spent 14 years with Boston Scientific Corporation in roles including M&amp;A, venture capital investments, SEC and corporate governance, patent strategy, litigation, and business unit support for the Med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297" w:name="page298"/>
    <w:bookmarkEnd w:id="297"/>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Surg group. Jeff also served on the Board of Directors of Preventice Solutions and as Chair of its Compensation Committee. Jeff holds a Bachelor of Science in Civil and Environmental Engineering from Lafayette College in Easton, PA, and a J.D. from Boston College Law School, magna cum laude.</w:t>
      </w:r>
    </w:p>
    <w:p>
      <w:pPr>
        <w:spacing w:after="0" w:line="12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b w:val="1"/>
          <w:bCs w:val="1"/>
          <w:i w:val="1"/>
          <w:iCs w:val="1"/>
          <w:color w:val="auto"/>
        </w:rPr>
        <w:t>Slobodan Radumilo</w:t>
      </w:r>
      <w:r>
        <w:rPr>
          <w:rFonts w:ascii="Arial" w:cs="Arial" w:eastAsia="Arial" w:hAnsi="Arial"/>
          <w:sz w:val="16"/>
          <w:szCs w:val="16"/>
          <w:color w:val="auto"/>
        </w:rPr>
        <w:t>, 51, joined BD in 2016 as Vice President and General Manager of Diabetes Care for BD in the EMEA region. Previously,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spacing w:after="0" w:line="16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b w:val="1"/>
          <w:bCs w:val="1"/>
          <w:i w:val="1"/>
          <w:iCs w:val="1"/>
          <w:color w:val="auto"/>
        </w:rPr>
        <w:t>Colleen Riley</w:t>
      </w:r>
      <w:r>
        <w:rPr>
          <w:rFonts w:ascii="Arial" w:cs="Arial" w:eastAsia="Arial" w:hAnsi="Arial"/>
          <w:sz w:val="18"/>
          <w:szCs w:val="18"/>
          <w:color w:val="auto"/>
        </w:rPr>
        <w:t>, 57, joined BD as Senior Vice President, Chief Technology Officer of Diabetes Care at BD in October 2021. Prior to that, she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 JNJ). She holds a Bachelor of Arts in chemistry, a Master of Science in physiological optics and a Doctor of Optometry degree from Indiana University.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following table sets forth information regarding those persons who are expected to serve on Embecta’s Board of Directors following completion of the distribution and until their respective successors are duly elected and qualified.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98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David F. Melcher</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 and Non-Executive Chairman of the Board of Directors</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David J. Albritton</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Carrie L. Anderson</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Robert (Bob) J. Hombach</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Milton M. Morris, Ph.D.</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Karen N. Prange</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Christopher R. Reidy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’s biographical information is set forth above under “Management—Senior Leadership Team Following the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Kurdikar has developed valuable business, management and leadership experience, and will be the President and Chief Executive Officer of Embecta. Mr. Kurdikar will be able to use his experience and knowledge to contribute key insights into strategic, management, and operational matters to Embecta’s Board of Directors.</w:t>
      </w:r>
    </w:p>
    <w:p>
      <w:pPr>
        <w:spacing w:after="0" w:line="18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b w:val="1"/>
          <w:bCs w:val="1"/>
          <w:i w:val="1"/>
          <w:iCs w:val="1"/>
          <w:color w:val="auto"/>
        </w:rPr>
        <w:t>David F. Melcher</w:t>
      </w:r>
      <w:r>
        <w:rPr>
          <w:rFonts w:ascii="Arial" w:cs="Arial" w:eastAsia="Arial" w:hAnsi="Arial"/>
          <w:sz w:val="16"/>
          <w:szCs w:val="16"/>
          <w:color w:val="auto"/>
        </w:rPr>
        <w:t>, 67, has been a director of BD since BD’s acquisition of C.R. Bard, Inc. (“Bard”) in 2017, and had served as a Bard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2014. Mr. Melcher will resign from the BD Board of Directors upon the completion of the distribution. In December 2017, LTG Melcher retired as President and Chief Executive Officer of Aerospace Industries Association, a trade association representing major aerospace and defense manufacturers and suppliers, a position he had held since 2015. From 2011 to 2015, Mr. Melcher was Chief Executive Officer, President and a director of Exelis Inc. (“Exelis”), a global aerospace defense, information and technology services company, until the sale of Exelis to Harris Corp. in 2015. Lieutenant General (Ret.) Melcher spent 32 years of distinguished service in the U.S. Army. He also was the Lead Independent Director of Cubic Corporation until its sale to Veritas Capital in May 2021, and currently serves as an Independent Director of the United Services Automobile Association (USAA). He also serves on the Board of Managers for GM Defense, LLC, a wholly owned subsidiary of GM Corporation.</w:t>
      </w:r>
    </w:p>
    <w:p>
      <w:pPr>
        <w:spacing w:after="0" w:line="165"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LTG Melcher brings strong executive experience as a result of his many years in leadership positions in the defense community and as a former chief executive officer of a public company. He offers the perspective of a seasoned executive with extensive experience and expertise in the areas of domestic and international business, program management, strategy development, finance and information technology.</w:t>
      </w:r>
    </w:p>
    <w:p>
      <w:pPr>
        <w:spacing w:after="0" w:line="16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i w:val="1"/>
          <w:iCs w:val="1"/>
          <w:color w:val="auto"/>
        </w:rPr>
        <w:t>David J. Albritton</w:t>
      </w:r>
      <w:r>
        <w:rPr>
          <w:rFonts w:ascii="Arial" w:cs="Arial" w:eastAsia="Arial" w:hAnsi="Arial"/>
          <w:sz w:val="16"/>
          <w:szCs w:val="16"/>
          <w:color w:val="auto"/>
        </w:rPr>
        <w:t>, 55, is the founder and chief executive officer of Nineteen88 Strategies. Prior to that, Mr. Albritton served most recently 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communications, Worldwide Public Sector and Vertical Industries, at Amazon Web Services, and previously spent five years at General Motors (“GM”), most recently as president, lead executive and general manager for GM Defense. Mr. Albritton began at GM following the sale of Exelis to Harris Corp. in 2015. He was Exelis’ Vice President and Chief Communications Officer, a role he assumed upon the company’s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 Early in his career, Mr. Albritton spent 10 years as an officer in the U.S. Navy and served in the Pentagon as an official Navy Spokesman on the Navy News Desk and as the Flag Lieutenant / Aide for the U.S. Navy’s Chief of Information. He also served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0" w:right="439" w:bottom="1440" w:gutter="0" w:footer="0" w:header="0"/>
        </w:sectPr>
      </w:pPr>
    </w:p>
    <w:bookmarkStart w:id="299" w:name="page300"/>
    <w:bookmarkEnd w:id="2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aboard USS PORTLAND (LSD 37) during Operations Desert Shield and Desert Storm. He holds a Bachelor of Science in General Engineering from the U.S. Naval Academy in Annapolis, MD, as well as a Master of Science in Management from the Naval Postgraduate School in Monterey, CA. He has also completed executive education courses at Harvard University, Stanford University, and the Wharton School of Business. Mr. Albritton will bring to the Board of Directors his executive leadership experience and communications expertise.</w:t>
      </w:r>
    </w:p>
    <w:p>
      <w:pPr>
        <w:spacing w:after="0" w:line="18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i w:val="1"/>
          <w:iCs w:val="1"/>
          <w:color w:val="auto"/>
        </w:rPr>
        <w:t>Carrie L. Anderson</w:t>
      </w:r>
      <w:r>
        <w:rPr>
          <w:rFonts w:ascii="Arial" w:cs="Arial" w:eastAsia="Arial" w:hAnsi="Arial"/>
          <w:sz w:val="16"/>
          <w:szCs w:val="16"/>
          <w:color w:val="auto"/>
        </w:rPr>
        <w:t>, 52, is the executive vice president &amp; chief financial officer for Integra LifeSciences (Nasdaq: IART). Prior to joining Integra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 2019, she was vice president and controller of Dover Corporation (“Dover”). Previously, she was CFO of Dover’s Engineered Systems and initially joined Dover in October 2011 as CFO of Dover Printing and Identification. Prior to Dover, Ms. Anderson spent six years as vice president and CFO of Delphi Product &amp; Service Solutions, a division of Delphi Corporation. While at Delphi, she also held finance leadership positions at three other global operating divisions of Delphi. Ms. Anderson started her career with General Motors after graduating from Purdue University with a Bachelor of Science in chemical engineering and earned her Master of Business Administration from Ball State University. Ms. Anderson will bring to the Board of Directors her financial expertise, life sciences experience and experience working with large, diversified global manufacturing companies.</w:t>
      </w:r>
    </w:p>
    <w:p>
      <w:pPr>
        <w:spacing w:after="0" w:line="16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b w:val="1"/>
          <w:bCs w:val="1"/>
          <w:i w:val="1"/>
          <w:iCs w:val="1"/>
          <w:color w:val="auto"/>
        </w:rPr>
        <w:t>Robert (Bob) J. Hombach</w:t>
      </w:r>
      <w:r>
        <w:rPr>
          <w:rFonts w:ascii="Arial" w:cs="Arial" w:eastAsia="Arial" w:hAnsi="Arial"/>
          <w:sz w:val="18"/>
          <w:szCs w:val="18"/>
          <w:color w:val="auto"/>
        </w:rPr>
        <w:t>, 55, is currently a board member of Aptinyx, Inc., BioMarin Pharmaceutical Inc., and CarMax, Inc. He is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chair for both Aptinyx, Inc. and BioMarin Pharmaceutical Inc., and is on the audit committee for CarMax, Inc. Until 2016, Mr. Hombach served as executive vice president, chief financial officer and chief operations officer of Baxalta, a biopharmaceutical company spun out from Baxter International, Inc. (NYSE: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Mr. Hombach earned a Master of Business Administration from Northwestern University’s JL Kellogg Graduate School of Management, and a Bachelor of Science in Finance cum laude from the University of Colorado. Mr. Hombach will bring to the Board of Directors his financial expertise and public company governance experience, as well as his experience with complex strategic and transactional transitions.</w:t>
      </w:r>
    </w:p>
    <w:p>
      <w:pPr>
        <w:spacing w:after="0" w:line="19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i w:val="1"/>
          <w:iCs w:val="1"/>
          <w:color w:val="auto"/>
        </w:rPr>
        <w:t>Milton M. Morris, Ph.D.</w:t>
      </w:r>
      <w:r>
        <w:rPr>
          <w:rFonts w:ascii="Arial" w:cs="Arial" w:eastAsia="Arial" w:hAnsi="Arial"/>
          <w:sz w:val="17"/>
          <w:szCs w:val="17"/>
          <w:color w:val="auto"/>
        </w:rPr>
        <w:t>, 51, has been president and CEO of Neuspera Medical (“Neuspera”) since July of 2015. Prior to joining Neuspera,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Morris was the senior vice president of research &amp; development and emerging therapies at Cyberonics (now LivaNova). Dr. Morris was previously employed by Guidant Corporation and its successor, Boston Scientific Corporation, where he held several positions, including principal research scientist; director, research &amp; development; and director, marketing. Prior to joining Guidant, Dr. Morris spent five years working as a research assistant in the Medical Computing Laboratory at the University of Michigan in collaboration with the electrophysiology group at the University of Michigan Hospital and the Michigan Heart and Vascular Institute. Dr. Morris serves as a charter trustee for Northwestern University, where he chairs the Medicine Committee, and serves on the Board of Directors of Myomo, Inc. (NYSE: MYO). Dr. Morris is a fellow in the American Institute for Medical and Biological Engineering (AIMBE), where he was inducted for contributions to developing and commercializing innovations in bioelectronic medicine. Dr. Morris holds a Master in Business Administration from the Kellogg School of Management, a Master and Ph.D. in Electrical Engineering from the University of Michigan, and a Bachelor of Science in Electrical Engineering from Northwestern University. Dr. Morris will bring to the Board of Directors his leadership experience in the medical industry, his expertise in developing and successfully launching new medical device products, and his deep knowledge of the medical field.</w:t>
      </w:r>
    </w:p>
    <w:p>
      <w:pPr>
        <w:spacing w:after="0" w:line="17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b w:val="1"/>
          <w:bCs w:val="1"/>
          <w:i w:val="1"/>
          <w:iCs w:val="1"/>
          <w:color w:val="auto"/>
        </w:rPr>
        <w:t>Claire Pomeroy</w:t>
      </w:r>
      <w:r>
        <w:rPr>
          <w:rFonts w:ascii="Arial" w:cs="Arial" w:eastAsia="Arial" w:hAnsi="Arial"/>
          <w:sz w:val="18"/>
          <w:szCs w:val="18"/>
          <w:color w:val="auto"/>
        </w:rPr>
        <w:t>, 66, has served since 2013 as President of the Albert and Mary Lasker Foundation, a private foundation that seeks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 Dr. Pomeroy has been a director of BD since 2014 and will resign from the BD Board of Directors upon the completion of the distribution. Dr. Pomeroy is also a director of Haemonetics 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300" w:name="page301"/>
    <w:bookmarkEnd w:id="30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 also serves on the Board of Directors of the Sierra Health Foundation, Center for Women in Academic Medicine and Science, iBiology/Science Communication Lab, the Science Philanthropy Alliance and Morehouse School of Medicine.</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Dr. Pomeroy is an expert in infectious diseases, with broad experience in areas of healthcare delivery, health system administration, higher education, medical research and public health. Dr. Pomeroy will bring to the Board of Directors important perspectives on patient care services, global health and health policy.</w:t>
      </w:r>
    </w:p>
    <w:p>
      <w:pPr>
        <w:spacing w:after="0" w:line="184"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b w:val="1"/>
          <w:bCs w:val="1"/>
          <w:i w:val="1"/>
          <w:iCs w:val="1"/>
          <w:color w:val="auto"/>
        </w:rPr>
        <w:t>Karen N. Prange</w:t>
      </w:r>
      <w:r>
        <w:rPr>
          <w:rFonts w:ascii="Arial" w:cs="Arial" w:eastAsia="Arial" w:hAnsi="Arial"/>
          <w:sz w:val="16"/>
          <w:szCs w:val="16"/>
          <w:color w:val="auto"/>
        </w:rPr>
        <w:t>, 57, has served as a director of ViewRay since June 2021, a director of Atricure since December 2019, a director of Nevro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and WS Audiology since March 2020. She has served as Strategic Advisor to Nuvo Group, LLC, a medical device company, since September of 2019 and Industrial Advisor to EQT Group, a global investment organization, since March 2020. She served as a member of the Board of Directors of Cantel Medical, a medical equipment company, from October 2019 until June 2021. Most recently, she was executive vice president and chief executive officer for the Global Animal Health, Medical and Dental Surgical Group at Henry Schein as well as a member of the Executive Committee. From 2012 to 2016, she served as senior vice president of Boston Scientific, and president of its Urology and Pelvic Health business. From 1995 to 2012, Ms. Prange held various roles of increasing leadership at Johnson &amp; Johnson Company, most recently as General Manager of the Micrus Endovascular and Codman Neurovascular businesses. Ms. Prange earned her Bachelor of Science in Business Administration with honors from the University of Florida and has completed executive education coursework at UCLA Anderson School of Business and Smith College. Ms. Prange will bring to the Board of Directors her public company governance experience and leadership experience in the medical industry.</w:t>
      </w:r>
    </w:p>
    <w:p>
      <w:pPr>
        <w:spacing w:after="0" w:line="16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b w:val="1"/>
          <w:bCs w:val="1"/>
          <w:i w:val="1"/>
          <w:iCs w:val="1"/>
          <w:color w:val="auto"/>
        </w:rPr>
        <w:t>Christopher R. Reidy</w:t>
      </w:r>
      <w:r>
        <w:rPr>
          <w:rFonts w:ascii="Arial" w:cs="Arial" w:eastAsia="Arial" w:hAnsi="Arial"/>
          <w:sz w:val="17"/>
          <w:szCs w:val="17"/>
          <w:color w:val="auto"/>
        </w:rPr>
        <w:t>, 65, is Executive Vice President and Chief Administrative Officer at BD. Mr. Reidy also previously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BD from July 2013 to September 2021. During his time at BD, Mr. Reidy has been responsible for the executive management and oversight of BD’s global financial operations, and for the leadership of its Shared Services, Information Technology and Business Development functions. Mr. Reidy will retire from BD upon the earlier of March 31, 2022 or the completion of the distribution. Mr. Reidy joined BD from ADP Corporation, where he served as corporate vice president and CFO for six years. Prior to ADP, Mr. Reidy served as CFO at NBA Properties, Inc., vice president, controller, chief accounting officer and division-level CFO roles at AT&amp;T Corporation and audit partner at Deloitte &amp; Touche. Mr. Reidy serves on the Board of Directors of Encompass Health Corporation and is a member of its Audit and Finance Committees. He also sits on the Board of Directors of the Atlantic Health System and is a member of the Executive Committee, Chair of the Finance Committee and a member of the Quality Committee. Mr. Reidy, a certified public accountant, earned a bachelor’s degree in accounting from St. Francis College and a master’s degree in business administration from Harvard University. Mr. Reidy will bring to the Board of Directors his financial expertise and leadership experience in the medical industry.</w:t>
      </w:r>
    </w:p>
    <w:p>
      <w:pPr>
        <w:spacing w:after="0" w:line="18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Upon the completion of the distribution, Embecta’s amended and restated certificate of incorporation will provide that, until the annual stockholder meeting in 2026, Embecta’s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Embecta expects to hold in 2023, and will be up for re-election at that meeting for a three-year term to expire at the 2026 annual meeting of stockholders. The directors designated as Class II directors will have terms expiring at the 2024 annual meeting of stockholders and will be up for re-election at that meeting for a two-year term to expire at the 2026 annual meeting of stockholders. The directors designated as Class III directors will have terms expiring at the 2025 annual meeting of stockholders and will be up for re-election at that meeting for a one-year term to expire at the 2026 annual meeting of stockholders. Commencing with the 2026 annual meeting of stockholders,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meetings of stockholders to be held for any individual or group to gain control of Embecta’s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Independence</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Providing objective, independent judgment will be at the core of the Board of Director’s oversight function. Embecta’s Corporate Governance Principles will contain guidelines (the “Director Independence Guidelines”) that will set forth certain criteria to assess the independence of directors of Embecta. Under the Director Independence Guidelines, which will conform to the corporate governance listing standards of Nasdaq, a director will not be considered “independent” unless the Board of Directors affirmatively determines that the director has no material relationship with Embecta or any subsidiary in the consolidated group. The Director Independence Guidelines will comprise a list of all categories of material relationships affecting the determination of a director’s independence. Any relationship that falls below a threshold set forth in the Director Independence Guidelines, or is not otherwise listed in the Director Independence Guidelines, and is not required to be disclosed under Item 404(a) of SEC Regulation S-K, will be deemed to be an immaterial relationship.</w:t>
      </w:r>
    </w:p>
    <w:p>
      <w:pPr>
        <w:spacing w:after="0" w:line="17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Embecta’s Board of Directors is expected to affirmatively determine that each of David F. Melcher, David J. Albritton, Carrie L. Anderson, Robert (Bob) J. Hombach, Milton M. Morris, Ph.D., Claire Pomeroy and Karen N. Prange, constituting a majority of the directors of Embecta, will be independent under the Director Independence Guidelines.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Effective upon the completion of the distribution, Embecta’s Board of Directors will have the following committees, each of which will operate under a written charter that will be posted to Embecta’s website concurrently with, or immediately after, the distribution: the Audit Committee, the Compensation and Management Development Committee, the Corporate Governance and Nominating Committee and the Technology Committee.</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The Audit Committee will be established in accordance with Rule 10A-3 under the Exchange Act and the listing rules of Nasdaq. The responsibilities of the Audit Committee will be more fully described in the Audit Committee charter. We anticipate that these responsibilities will include:</w:t>
      </w:r>
    </w:p>
    <w:p>
      <w:pPr>
        <w:spacing w:after="0" w:line="89" w:lineRule="exact"/>
        <w:rPr>
          <w:sz w:val="20"/>
          <w:szCs w:val="20"/>
          <w:color w:val="auto"/>
        </w:rPr>
      </w:pPr>
    </w:p>
    <w:p>
      <w:pPr>
        <w:ind w:left="960" w:right="920" w:hanging="532"/>
        <w:spacing w:after="0" w:line="277" w:lineRule="auto"/>
        <w:tabs>
          <w:tab w:leader="none" w:pos="9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retaining and reviewing the qualifications, independence and performance of Embecta’s registered public accounting firm (the “independent auditors”);</w:t>
      </w:r>
    </w:p>
    <w:p>
      <w:pPr>
        <w:spacing w:after="0" w:line="75" w:lineRule="exact"/>
        <w:rPr>
          <w:rFonts w:ascii="Arial" w:cs="Arial" w:eastAsia="Arial" w:hAnsi="Arial"/>
          <w:sz w:val="18"/>
          <w:szCs w:val="18"/>
          <w:color w:val="auto"/>
        </w:rPr>
      </w:pPr>
    </w:p>
    <w:p>
      <w:pPr>
        <w:jc w:val="both"/>
        <w:ind w:left="960" w:right="140" w:hanging="532"/>
        <w:spacing w:after="0" w:line="263" w:lineRule="auto"/>
        <w:tabs>
          <w:tab w:leader="none" w:pos="9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reviewing Embecta’s public financial disclosures and financial statements, and its accounting principles, policies and practices; the scope and results of the annual audit by the independent auditors; Embecta’s internal audit process; and the effectiveness of Embecta’s internal control over financial reporting;</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reviewing Embecta’s guidelines and policies relating to enterprise risk assessment and management;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overseeing Embecta’s ethics and enterprise compliance programs;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reviewing financial strategies regarding currency, interest rates and use of derivatives, and Embecta’s insurance program.</w:t>
      </w:r>
    </w:p>
    <w:p>
      <w:pPr>
        <w:spacing w:after="0" w:line="22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Robert (Bob) J. Hombach, Karen N. Prange and Carrie L. Anderson are expected to be the members of the Audit Committee. Mr. Hombach is expected to be the Audit Committee Chair. Each member of the Audit Committee is expected to be financially literate, and Embecta’s Board of Directors is expected to determine that at least one member of the Audit Committee is an “audit committee financial expert” for purposes of the rules of the SEC. In addition, Embecta expects that its Board of Directors will determine that each of the members of the Audit Committee will be independent, as defined by the rules of Nasdaq, Section 10A(m)(3) of the Exchange Act, and in accordance with Embecta’s Director Independence Guidelines.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0" w:right="479" w:bottom="1440" w:gutter="0" w:footer="0" w:header="0"/>
        </w:sectPr>
      </w:pPr>
    </w:p>
    <w:bookmarkStart w:id="302" w:name="page303"/>
    <w:bookmarkEnd w:id="302"/>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Management Development Committee</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Compensation and Management Development Committee will have the responsibilities set forth in the charter of such committee. We anticipate that these responsibilities will include:</w:t>
      </w:r>
    </w:p>
    <w:p>
      <w:pPr>
        <w:spacing w:after="0" w:line="76" w:lineRule="exact"/>
        <w:rPr>
          <w:sz w:val="20"/>
          <w:szCs w:val="20"/>
          <w:color w:val="auto"/>
        </w:rPr>
      </w:pPr>
    </w:p>
    <w:p>
      <w:pPr>
        <w:ind w:left="960" w:right="80" w:hanging="532"/>
        <w:spacing w:after="0" w:line="308" w:lineRule="auto"/>
        <w:tabs>
          <w:tab w:leader="none" w:pos="9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Reviewing Embecta’s compensation and benefits programs, recommending the compensation of Embecta’s Chief Executive Officer to the independent members of the Board of Directors, and approving the compensation of Embecta’s other executive officers;</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Approving all employment, severance and change in control agreements with Embecta’s executive officers;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Serving as the granting and administrative committee for Embecta’s equity compensation plans, including grants to directors;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Overseeing certain other Embecta benefit plans;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Reviewing initiatives for identifying and developing leaders and candidates for senior leadership positions.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Executive officers will not determine the amount or form of executive or director compensation, although Embecta’s Chief Executive Officer will provide recommendations to the Compensation and Management Development Committee regarding compensation changes and incentive compensation for executive officers other than himself.</w:t>
      </w:r>
    </w:p>
    <w:p>
      <w:pPr>
        <w:spacing w:after="0" w:line="184"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Karen N. Prange, Robert (Bob) J. Hombach, and Milton M. Morris, Ph.D. are expected to be the members of the Compensation and Management Development Committee. Ms. Prange is expected to be the Chair of such committee. Embecta’s Board of Directors is expected to determine that each member of the Compensation and Management Development Committee will be independent, as defined by the rules of Nasdaq and in accordance with Embecta’s Director Independence Guidelines. In addition, Embecta expects that the members of the Compensation and Management Development Committee will qualify as “non-employee directors” for purposes of Rule 16b-3 under the Exchange Act.</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The Corporate Governance and Nominating Committee will have the responsibilities set forth in the charter of such committee. Embecta anticipates that these responsibilities will include:</w:t>
      </w:r>
    </w:p>
    <w:p>
      <w:pPr>
        <w:spacing w:after="0" w:line="76" w:lineRule="exact"/>
        <w:rPr>
          <w:sz w:val="20"/>
          <w:szCs w:val="20"/>
          <w:color w:val="auto"/>
        </w:rPr>
      </w:pPr>
    </w:p>
    <w:p>
      <w:pPr>
        <w:ind w:left="960" w:hanging="532"/>
        <w:spacing w:after="0"/>
        <w:tabs>
          <w:tab w:leader="none" w:pos="9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identifying and recommending candidates for election to the Board of Directors;</w:t>
      </w:r>
    </w:p>
    <w:p>
      <w:pPr>
        <w:spacing w:after="0" w:line="130" w:lineRule="exact"/>
        <w:rPr>
          <w:rFonts w:ascii="Arial" w:cs="Arial" w:eastAsia="Arial" w:hAnsi="Arial"/>
          <w:sz w:val="18"/>
          <w:szCs w:val="18"/>
          <w:color w:val="auto"/>
        </w:rPr>
      </w:pPr>
    </w:p>
    <w:p>
      <w:pPr>
        <w:ind w:left="960" w:right="900" w:hanging="532"/>
        <w:spacing w:after="0" w:line="277" w:lineRule="auto"/>
        <w:tabs>
          <w:tab w:leader="none" w:pos="9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reviewing the composition, structure and function of the Board of Directors and its committees, as well as the compensation of non-management directors;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monitoring Embecta’s corporate governance and Board practices, and overseeing the Board of Directors’ self-evaluation process; and</w:t>
      </w:r>
    </w:p>
    <w:p>
      <w:pPr>
        <w:spacing w:after="0" w:line="153" w:lineRule="exact"/>
        <w:rPr>
          <w:rFonts w:ascii="Arial" w:cs="Arial" w:eastAsia="Arial" w:hAnsi="Arial"/>
          <w:sz w:val="16"/>
          <w:szCs w:val="16"/>
          <w:color w:val="auto"/>
        </w:rPr>
      </w:pPr>
    </w:p>
    <w:p>
      <w:pPr>
        <w:ind w:left="960" w:right="140" w:hanging="532"/>
        <w:spacing w:after="0" w:line="277" w:lineRule="auto"/>
        <w:tabs>
          <w:tab w:leader="none" w:pos="9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overseeing matters impacting Embecta’s image, reputation and corporate responsibility, including communications, community relations, public policy and government relations, and environmental, social and governance matters.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Claire Pomeroy, Carrie L. Anderson and David J. Albritton are expected to be the members of the Corporate Governance and Nominating Committee. Ms. Pomeroy is expected to be the Chair of such committee. Embecta’s Board of Directors is expected to determine that each member of the Corporate Governance and Nominating Committee will be independent, as defined by the rules of Nasdaq and in accordance with the Director Independence Guidelines.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Committee</w:t>
      </w:r>
    </w:p>
    <w:p>
      <w:pPr>
        <w:spacing w:after="0" w:line="117"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Technology Committee will have the responsibilities set forth in the charter of such committee. Embecta anticipates that these responsibilities will include overseeing Embecta’s key innovation activities and new product development and commercialization programs, including:</w:t>
      </w:r>
    </w:p>
    <w:p>
      <w:pPr>
        <w:spacing w:after="0" w:line="29" w:lineRule="exact"/>
        <w:rPr>
          <w:sz w:val="20"/>
          <w:szCs w:val="20"/>
          <w:color w:val="auto"/>
        </w:rPr>
      </w:pPr>
    </w:p>
    <w:p>
      <w:pPr>
        <w:ind w:left="960" w:hanging="424"/>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progress against program objectives;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organizational integration and capabilities;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potentially disruptive trends in technology, medical practice and the external environment.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Christopher R. Reidy, Claire Pomeroy, David J. Albritton and Milton M. Morris, Ph.D. are expected to be the members of the Technology Committee. Mr. Reidy is expected to be the Chair of such committee.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During the fiscal year ended September 30, 2021, Embecta was not an independent company and did not have a compensation committee or any other committee serving a similar function. Decisions as to the compensation of those who currently serve as Embecta’s executive officers were made by BD, as described in the section of this information statement entitled “Compensation Discussion and Analysis.”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Governance Principles</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Embecta’s commitment to good corporate governance is embodied in Embecta’s Corporate Governance Principles (the “Governance Principles”). The Governance Principles set forth the Board of Directors’ views and practices regarding a number of governance topics, and the Corporate Governance and Nominating Committee assesses the Governance Principles on an ongoing basis in light of current practices. The Governance Principles are available on Embecta’s website at </w:t>
      </w:r>
      <w:r>
        <w:rPr>
          <w:rFonts w:ascii="Arial" w:cs="Arial" w:eastAsia="Arial" w:hAnsi="Arial"/>
          <w:sz w:val="17"/>
          <w:szCs w:val="17"/>
          <w:i w:val="1"/>
          <w:iCs w:val="1"/>
          <w:color w:val="auto"/>
        </w:rPr>
        <w:t>www.embecta.com</w:t>
      </w:r>
      <w:r>
        <w:rPr>
          <w:rFonts w:ascii="Arial" w:cs="Arial" w:eastAsia="Arial" w:hAnsi="Arial"/>
          <w:sz w:val="17"/>
          <w:szCs w:val="17"/>
          <w:color w:val="auto"/>
        </w:rPr>
        <w:t>. Printed copies of the Governance Principles may be obtained, without charge, by contacting the Corporate Secretary, Embecta Corp., 1 Becton Drive, Franklin Lakes, NJ 07417; telephone (201) 847-6800.</w:t>
      </w:r>
    </w:p>
    <w:p>
      <w:pPr>
        <w:spacing w:after="0" w:line="17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Embecta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of Directors Leadership Structure</w:t>
      </w:r>
    </w:p>
    <w:p>
      <w:pPr>
        <w:spacing w:after="0" w:line="117"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The Board of Directors’ goal is to achieve the best board leadership structure for effective oversight and management of Embecta’s affairs. The Board of Directors believes there is no single, generally accepted approach to providing effective board leadership, and that each leadership structure must be considered in the context of the individuals involved and the specific circumstances facing a company. Accordingly, what the Board of Directors believes is the right board leadership structure for Embecta may vary as circumstances warrant.</w:t>
      </w:r>
    </w:p>
    <w:p>
      <w:pPr>
        <w:spacing w:after="0" w:line="17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Governance Principles provide for the appointment of a Lead Director from among the Board of Directors’ independent directors whenever the Chairman is not independent. David F. Melcher is expected to serve as the independent Chair.</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Embecta expects that shareholders’ interests will be protected by effective and independent oversight of management. Seven out of nine directors of Embecta are expected to be independent as defined by the listing standards of Nasdaq and Embecta’s Director Independence Guidelines. Each of the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304" w:name="page305"/>
    <w:bookmarkEnd w:id="304"/>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three statutory standing committees—the Audit Committee, the Compensation and Management Development Committee and the Corporate Governance and Nominating Committee—are expected to be composed solely of independent directors.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Board of Directors believes a rigorous self-evaluation process is important to the ongoing effectiveness of the Board of Directors. To that end, each year, the Board of Directors will conduct a self-evaluation of its performance that will allow directors to provide individual feedback on the Board of Directors’ composition, culture, committee structure, relationship with management, meetings, oversight of strategy and risk, and other Board of Directors-related topics. The results of the self-evaluation will be presented by the Chair of the Corporate Governance and Nominating Committee to the full Board of Directors. As part of the evaluation, the Board of Directors will assess the progress in the areas targeted for improvement in the previous year’s self-evaluation, and develop actions to be taken to enhance the Board of Directors’ effectiveness over the next year. The Board of Directors’ evaluation process will include engagement of an external, independent third party advisor to conduct periodic evaluations. Each Committee will conduct an annual self-evaluation of its performance through a similar process.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Board Candidates – Procedures and Director Qualifications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Recommendations for Director Nominees</w:t>
      </w:r>
    </w:p>
    <w:p>
      <w:pPr>
        <w:spacing w:after="0" w:line="11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To recommend a candidate for consideration by the Corporate Governance and Nominating Committee, a shareholder should submit a written statement of the qualifications of the proposed nominee, including full name and address, to: Embecta Corp., Corporate Governance and Nominating Committee, c/o Corporate Secretary, 1 Becton Drive, Franklin Lakes, NJ 07417. The written submission should comply with all requirements set forth in Embecta’s amended and restated certificate of incorporation and amended and restated bylaws. The committee will consider all candidates recommended by shareholders in compliance with the foregoing procedures and who satisfy the minimum qualifications for director nominees and Board of Directors member attributes.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Nominations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Embecta’s amended and restated certificate of incorporation and amended and restated bylaws will provide that any stockholder entitled to vote at an annual meeting of stockholders may nominate one or more director candidates for election at that annual meeting by following certain prescribed procedures. The stockholder must provide to Embecta’s Corporate Secretary timely written notice of the stockholder’s intent to make such a nomination or nominations. In order to be timely, the stockholder must provide such written notice not earlier than the 120th day and not later than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The notice must contain all of the information required in Embecta’s amended and restated certificate of incorporation and amended and restated bylaws. Any such notice must be sent to Embecta’s principal executive offices: Embecta Corp., c/o Corporate Secretary, 1 Becton Drive, Franklin Lakes, NJ 07417.</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Corporate Governance and Nominating Committee</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Corporate Governance and Nominating Committee will review potential director candidates and recommend nominees for director to the full Board of Directors for its consideration based on the Corporate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305" w:name="page306"/>
    <w:bookmarkEnd w:id="30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Governance and Nominating Committee’s assessment of the overall composition of the Board of Directors. The Board of Directors believes that having members with a diverse mix of viewpoints, insights and perspectives is critical to board effectiveness, and seeks to have members that collectively possess a wide range of relevant business and financial expertise, industry knowledge, management experience and prominence in areas of importance to Embecta that fit the current and future needs of the Board of Directors. The Board of Directors believes that gender and minority representation is an important element in achieving the broad range of perspectives that the Board of Directors seeks among its members, and is also important for promoting the culture of inclusion and diversity at Embecta. To that end, the Board of Directors will adopt a policy that diverse candidates be included in any pool from which new directors are selected.</w:t>
      </w:r>
    </w:p>
    <w:p>
      <w:pPr>
        <w:spacing w:after="0" w:line="177"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It will be the Corporate Governance and Nominating Committee’s policy to consider referrals of prospective director nominees from other Board members and management, as well as stockholders and other external sources, such as retained executive search firms. The Corporate Governance and Nominating Committee will seek to identify a diverse range of qualified candidates, and utilizes the same criteria for evaluating candidates, irrespective of their source.</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When considering potential director candidates, the Corporate Governance and Nominating Committee will seek individuals with backgrounds and qualities that, when combined with those of Embecta’s other directors, provide a blend of skills and experience that will further enhance the Board of Directors’ effectiveness. The Corporate Governance and Nominating Committee believes that any nominee for director that it recommends must meet the following minimum qualifications:</w:t>
      </w:r>
    </w:p>
    <w:p>
      <w:pPr>
        <w:spacing w:after="0" w:line="92" w:lineRule="exact"/>
        <w:rPr>
          <w:sz w:val="20"/>
          <w:szCs w:val="20"/>
          <w:color w:val="auto"/>
        </w:rPr>
      </w:pPr>
    </w:p>
    <w:p>
      <w:pPr>
        <w:ind w:left="960" w:right="480" w:hanging="532"/>
        <w:spacing w:after="0" w:line="277"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Candidates should be persons of high integrity who possess independence, forthrightness, inquisitiveness, good judgment and strong analytical skills.</w:t>
      </w:r>
    </w:p>
    <w:p>
      <w:pPr>
        <w:spacing w:after="0" w:line="75"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Candidates should demonstrate a commitment to devote the time required for Board duties, including, but not limited to, attendance at meetings.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3"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b w:val="1"/>
          <w:bCs w:val="1"/>
          <w:color w:val="auto"/>
        </w:rPr>
        <w:t>Role of the Board of Directors and Committees</w:t>
      </w:r>
      <w:r>
        <w:rPr>
          <w:rFonts w:ascii="Arial" w:cs="Arial" w:eastAsia="Arial" w:hAnsi="Arial"/>
          <w:sz w:val="17"/>
          <w:szCs w:val="17"/>
          <w:color w:val="auto"/>
        </w:rPr>
        <w:t>. Embecta’s management will engage in an enterprise risk management (“ERM”) process to</w:t>
      </w:r>
      <w:r>
        <w:rPr>
          <w:rFonts w:ascii="Arial" w:cs="Arial" w:eastAsia="Arial" w:hAnsi="Arial"/>
          <w:sz w:val="17"/>
          <w:szCs w:val="17"/>
          <w:b w:val="1"/>
          <w:bCs w:val="1"/>
          <w:color w:val="auto"/>
        </w:rPr>
        <w:t xml:space="preserve"> </w:t>
      </w:r>
      <w:r>
        <w:rPr>
          <w:rFonts w:ascii="Arial" w:cs="Arial" w:eastAsia="Arial" w:hAnsi="Arial"/>
          <w:sz w:val="17"/>
          <w:szCs w:val="17"/>
          <w:color w:val="auto"/>
        </w:rPr>
        <w:t>identify, assess, manage and mitigate a broad range of risks across Embecta’s businesses, regions and functions, and to ensure alignment of Embecta’s risk assessment and mitigation efforts with Embecta’s corporate strategy. The Audit Committee, through the authority delegated to it by the Board of Directors, will be primarily responsible for overseeing Embecta’s ERM activities. At least twice a year, senior management will review the results of its ERM activities with the Audit Committee,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will also be reviewed with the full Board of Directors at least once a year. In addition, particular risks (such as cybersecurity) will be reviewed in-depth with the Audit Committee or the full Board of Directors.</w:t>
      </w:r>
    </w:p>
    <w:p>
      <w:pPr>
        <w:spacing w:after="0" w:line="17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full Board of Directors will also review the risks associated with Embecta’s strategic plan and discuss the appropriate levels of risk in light of Embecta’s business objectives. This will be done through an annual strategy review process, and from time-to-time throughout the year as part of the Board of Directors’ ongoing review of corporate strategy. The full Board of Directors will also regularly oversee other areas of potential risk, including Embecta’s capital structure, significant acquisitions and divestitures, and succession planning for Embecta’s CEO and other members of senior management.</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various committees of the Board of Directors will also be responsible for monitoring and reporting to the full Board of Directors on risks associated with their respective areas of oversight.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306" w:name="page307"/>
    <w:bookmarkEnd w:id="306"/>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among other things, will oversee Embecta’s accounting and financial reporting processes and the integrity of Embecta’s financial statements, Embecta’s global ethics and compliance program, and its hedging activities and insurance coverages. The Compensation and Management Development Committee will oversee risks associated with Embecta’s compensation practices and programs, and the Corporate Governance and Nominating Committee will oversee risks relating to Embecta’s corporate governance practices, including director independence, related person transactions and conflicts of interest, as well as matters relating to Embecta’s standing as a responsible corporate citizen (including community relations, charitable activities, public policy and government relations, sustainability and other social and environmental matters). In connection with its oversight responsibilities, each Committee will meet with the members of management who are primarily responsible for the management of risk in their respective areas.</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Risk assessment of compensation programs</w:t>
      </w:r>
      <w:r>
        <w:rPr>
          <w:rFonts w:ascii="Arial" w:cs="Arial" w:eastAsia="Arial" w:hAnsi="Arial"/>
          <w:sz w:val="17"/>
          <w:szCs w:val="17"/>
          <w:color w:val="auto"/>
        </w:rPr>
        <w:t>. With respect to Embecta’s compensation policies and practices, Embecta’s management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review its policies and practices to determine whether they create risks that are reasonably likely to have a material adverse effect on Embecta. In connection with this risk assessment, management will review the design of Embecta’s compensation and benefits programs (in particular, Embecta’s performance-based compensation programs) and related policies, potential risks that could be created by the programs, and features of Embecta’s programs that help mitigate risk. Among the factors that will be considered will be the mix of cash and equity compensation, and of fixed and variable compensation, paid to Embecta’s associates; the balance between short- and long-term objectives in Embecta’s incentive compensation; the performance targets, mix of performance metrics, vesting periods, threshold performance requirements and funding formulas related to Embecta’s incentive compensation; the degree to which programs are formulaic or provide discretion to determine payout amounts; caps on payouts; Embecta’s clawback and share retention and ownership policies; and Embecta’s general governance structure.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Embecta will maintain a Code of Conduct that is applicable to all directors, officers and associates of Embecta, including Embecta’s Chief Executive Officer, Chief Financial Officer, principal accounting officer and other senior financial officers. It will set forth Embecta’s policies and expectations on a number of topics, including conflicts of interest, confidentiality, compliance with laws (including insider trading laws), preservation and use of Embecta’s assets, and business ethics. The Code of Conduct will set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will be required to complete annual training on the Code of Conduct.</w:t>
      </w:r>
    </w:p>
    <w:p>
      <w:pPr>
        <w:spacing w:after="0" w:line="164"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Embecta will also maintain an Ethics Help Line telephone number (the “Help Line”) for Embecta associates as a means of raising concerns or seeking advice. The Help Line will be available to all associates worldwide. Associates using the Help Line may choose to remain anonymous and all inquiries will be kept confidential to the extent practicable in connection with the investigation of an inquiry. All Help Line inquiries will be forwarded to Embecta’s ethics and compliance department for investigation. The Audit Committee will be informed of any reported matters, whether through the Help Line or otherwise, that could potentially be significant to Embecta, including accounting, internal control or auditing matters, or any fraud involving management or persons who have a significant role in Embecta’s internal controls.</w:t>
      </w:r>
    </w:p>
    <w:p>
      <w:pPr>
        <w:spacing w:after="0" w:line="17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Any waivers from any provisions of the Code of Conduct for executive officers and directors will be promptly disclosed to stockholders. In addition, certain amendments to the Code of Conduct, as well as any waivers from certain provisions of the Code of Conduct given to Embecta’s Chief Executive Officer, Chief Financial Officer or principal accounting officer, will be posted at the website address set forth below.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Code of Conduct will be available on Embecta’s website at </w:t>
      </w:r>
      <w:r>
        <w:rPr>
          <w:rFonts w:ascii="Arial" w:cs="Arial" w:eastAsia="Arial" w:hAnsi="Arial"/>
          <w:sz w:val="18"/>
          <w:szCs w:val="18"/>
          <w:i w:val="1"/>
          <w:iCs w:val="1"/>
          <w:color w:val="auto"/>
        </w:rPr>
        <w:t>www.embecta.com</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40" w:top="274" w:right="479" w:bottom="1440" w:gutter="0" w:footer="0" w:header="0"/>
        </w:sectPr>
      </w:pPr>
    </w:p>
    <w:bookmarkStart w:id="307" w:name="page308"/>
    <w:bookmarkEnd w:id="307"/>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Printed copies of the Code of Conduct, once available, may be obtained, without charge, by contacting the Corporate Secretary, Embecta Corp., 1 Becton Drive, Franklin Lakes, NJ 07417; telephone (201) 847-6800.</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Enterprise Ethics and Compliance</w:t>
      </w:r>
    </w:p>
    <w:p>
      <w:pPr>
        <w:spacing w:after="0" w:line="11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Under the oversight of the Audit Committee, Embecta’s global ethics and compliance function, which is part of the Embecta legal department, will seek to ensure that Embecta has a comprehensive compliance program that is designed to prevent and detect wrongdoing and continuously encourages lawful and ethical conduct. The ethics and compliance program will be integrated into Embecta’s global business operations. Embecta will evaluate the effectiveness of its program and adapt it periodically to ensure it is appropriately tailored to address the risks inherent in Embecta’s global business.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Board of Directors will be committed to meaningful engagement with Embecta stockholders and will welcome input and suggestions. Stockholders and other interested parties wishing to contact the Chairman or the non-management directors as a group will be able to do so by sending a written communication to the attention of the Lead Director c/o Embecta Corp., Corporate Secretary’s Office, 1 Becton Drive, Franklin Lakes, NJ 07417.</w:t>
      </w:r>
    </w:p>
    <w:p>
      <w:pPr>
        <w:spacing w:after="0" w:line="187"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Communications addressed to the Board of Directors or to a member of the Board of Directors will be distributed to the Board of Directors or to any individual director or directors as appropriate, depending upon the facts and circumstances outlined in the communication.</w:t>
      </w:r>
    </w:p>
    <w:p>
      <w:pPr>
        <w:spacing w:after="0" w:line="146"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Board of Directors is expected to ask the Corporate Secretary’s office to submit to the Board of Directors all communications received, including, but not limited to, product complaints and product inquiries, new product or technology suggestions, job inquiries and resumes, advertisements or solicitations, and surveys, but in all cases excluding those items that are not related to Board of Directors duties and responsibilities, such as junk mail and mass mailings.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Embecta will have a written Related Person Transaction Approval Policy regarding the review, approval and ratification of transactions between Embecta and related persons of Embecta. The policy will apply to any transaction subject to the requirements of Item 404(a) of Regulation S-K under the Exchange Act in which Embecta or an Embecta subsidiary is a participant and a related person has a direct or indirect material interest. A “related person” of Embecta will mean any person, who, since the beginning of Embecta’s current fiscal year was a director or executive officer of Embecta, any nominee for director, any stockholder known to Embecta to be the beneficial owner of more than 5% of any class of Embecta’s voting securities, and any immediate family member of any such person.</w:t>
      </w:r>
    </w:p>
    <w:p>
      <w:pPr>
        <w:spacing w:after="0" w:line="19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Under this policy, the Corporate Governance and Nominating Committee will review all of the relevant facts and circumstances regarding a transaction and determine whether to approve, ratify or reject a related person transaction. The Corporate Governance and Nominating Committee will approve or ratify only those related person transactions that it determines in its business judgment are fair and reasonable to Embecta and in, or not inconsistent with, the best interests of Embecta and its stockholders. In the event Embecta becomes aware of a related person transaction that has not been approved under this policy prior to its consummation, the matter will be reviewed by the Corporate Governance and Nominating Committee and it will consider all of the relevant facts and circumstances respecting such transaction and evaluate all options available to Embecta, including ratification, revision or termination of such transaction, and will take such course of action as it deems appropriate under the circumstances. The policy will operate in conjunction with other aspects of Embecta’s compliance program, including its Business Conduct and Compliance Guide and Embecta’s Governance Principles.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transactions are deemed not to constitute a related person transaction under the policy:</w:t>
      </w:r>
    </w:p>
    <w:p>
      <w:pPr>
        <w:spacing w:after="0" w:line="131" w:lineRule="exact"/>
        <w:rPr>
          <w:sz w:val="20"/>
          <w:szCs w:val="20"/>
          <w:color w:val="auto"/>
        </w:rPr>
      </w:pPr>
    </w:p>
    <w:p>
      <w:pPr>
        <w:ind w:left="980" w:hanging="439"/>
        <w:spacing w:after="0"/>
        <w:tabs>
          <w:tab w:leader="none" w:pos="9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Transactions available to employees generally, such as employee discounts;</w:t>
      </w:r>
    </w:p>
    <w:p>
      <w:pPr>
        <w:spacing w:after="0" w:line="130" w:lineRule="exact"/>
        <w:rPr>
          <w:rFonts w:ascii="Arial" w:cs="Arial" w:eastAsia="Arial" w:hAnsi="Arial"/>
          <w:sz w:val="18"/>
          <w:szCs w:val="18"/>
          <w:color w:val="auto"/>
        </w:rPr>
      </w:pPr>
    </w:p>
    <w:p>
      <w:pPr>
        <w:ind w:left="980" w:right="120" w:hanging="439"/>
        <w:spacing w:after="0" w:line="277" w:lineRule="auto"/>
        <w:tabs>
          <w:tab w:leader="none" w:pos="9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Charitable contributions made by Embecta pursuant to Embecta’s Charitable Contributions Policy, the Governance Principles, or Embecta’s Matching Gifts Program; and</w:t>
      </w:r>
    </w:p>
    <w:p>
      <w:pPr>
        <w:spacing w:after="0" w:line="75" w:lineRule="exact"/>
        <w:rPr>
          <w:rFonts w:ascii="Arial" w:cs="Arial" w:eastAsia="Arial" w:hAnsi="Arial"/>
          <w:sz w:val="18"/>
          <w:szCs w:val="18"/>
          <w:color w:val="auto"/>
        </w:rPr>
      </w:pPr>
    </w:p>
    <w:p>
      <w:pPr>
        <w:ind w:left="980" w:hanging="439"/>
        <w:spacing w:after="0" w:line="277" w:lineRule="auto"/>
        <w:tabs>
          <w:tab w:leader="none" w:pos="9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Indemnification and advancement of expenses made pursuant to Embecta’s Certificate of Incorporation or By-Laws or pursuant to any agreement or instrument.</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360"/>
          </w:cols>
          <w:pgMar w:left="880" w:top="274" w:right="65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DISCUSSION AND ANALYSIS</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As discussed elsewhere in this information statement, BD is separating into two publicly traded companies: BD and Embecta. Embecta is currently a subsidiary of BD and is not yet an independent company, and its compensation committee has not yet been formed. During fiscal year 2021, BD’s executive officers functioned as the ultimate executive officers of the diabetes care business. This Compensation Discussion and Analysis describes key features of the historical compensation practices of BD and outlines certain aspects of the anticipated compensation structure for Embecta executive officers following the separation. Embecta’s pay practices are being developed and revised to fit with the pay philosophy of Embecta and therefore the amounts and forms of compensation reported below do not necessarily reflect the compensation Embecta executive officers will receive following the separation.</w:t>
      </w:r>
    </w:p>
    <w:p>
      <w:pPr>
        <w:spacing w:after="0" w:line="19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Following the separation and distribution, Embecta will have its own executive officers and its Board of Directors will have its own compensation committee (the “Embecta Compensation Committee”). Embecta’s future compensation programs and policies will be subject to the review and approval of the Embecta Compensation Committee after the separation and distribution. For a list of the individuals expected to serve as executive officers of Embecta following the separation and distribution and their biographical information, see “Management”. A description of certain Embecta executive compensation arrangements that are expected to become effective upon the occurrence of the separation and distribution is included below.</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individuals who will serve in the capacity of principal executive officer (CEO) or principal financial officer (CFO) and Embecta’s other three most highly compensated executive officers (other than the CEO and CFO), collectively referred to as Embecta’s Named Executive Officers, or “NEOs,” following the separation are listed below. None of Embecta’s NEOs were designated as executive officers of BD prior to the separation and distribution.</w:t>
      </w:r>
    </w:p>
    <w:p>
      <w:pPr>
        <w:spacing w:after="0" w:line="92" w:lineRule="exact"/>
        <w:rPr>
          <w:sz w:val="20"/>
          <w:szCs w:val="20"/>
          <w:color w:val="auto"/>
        </w:rPr>
      </w:pPr>
    </w:p>
    <w:p>
      <w:pPr>
        <w:ind w:left="960" w:right="440" w:hanging="424"/>
        <w:spacing w:after="0" w:line="277" w:lineRule="auto"/>
        <w:tabs>
          <w:tab w:leader="none" w:pos="9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Devdatt (Dev) Kurdikar was hired in February 2021 to serve as Embecta’s Chief Executive Officer, effective as of the separation and distribution.</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Jacob (Jake) Elguicze was hired in May 2021 to serve as Embecta’s Senior Vice President and Chief Financial Officer, effective as of the separation and distribution.</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Ajay Kumar was chosen to serve as Embecta’s Senior Vice President and Chief Human Resources Officer, effective as of the separation and distribution.</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Shaun Curtis was chosen to serve as Embecta’s Senior Vice President, Global Manufacturing and Supply Chain, effective as of the separation and distribution.</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Jeff Mann was hired in August 2021 to serve as Embecta’s Senior Vice President, General Counsel, Head of Corporate Development, and Corporate Secretary, effective as of the separation and distribution.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Objectives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objectives of the BD executive compensation program include the following:</w:t>
      </w:r>
    </w:p>
    <w:p>
      <w:pPr>
        <w:spacing w:after="0" w:line="127" w:lineRule="exact"/>
        <w:rPr>
          <w:sz w:val="20"/>
          <w:szCs w:val="20"/>
          <w:color w:val="auto"/>
        </w:rPr>
      </w:pPr>
    </w:p>
    <w:p>
      <w:pPr>
        <w:ind w:left="960" w:hanging="424"/>
        <w:spacing w:after="0"/>
        <w:tabs>
          <w:tab w:leader="none" w:pos="960"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 xml:space="preserve">Aligning the interests of BD’s executives with BD’s shareholders </w:t>
      </w:r>
      <w:r>
        <w:rPr>
          <w:rFonts w:ascii="Arial" w:cs="Arial" w:eastAsia="Arial" w:hAnsi="Arial"/>
          <w:sz w:val="17"/>
          <w:szCs w:val="17"/>
          <w:color w:val="auto"/>
        </w:rPr>
        <w:t>through equity compensation and share retention guidelines.</w:t>
      </w:r>
    </w:p>
    <w:p>
      <w:pPr>
        <w:spacing w:after="0" w:line="142" w:lineRule="exact"/>
        <w:rPr>
          <w:rFonts w:ascii="Arial" w:cs="Arial" w:eastAsia="Arial" w:hAnsi="Arial"/>
          <w:sz w:val="17"/>
          <w:szCs w:val="17"/>
          <w:color w:val="auto"/>
        </w:rPr>
      </w:pPr>
    </w:p>
    <w:p>
      <w:pPr>
        <w:ind w:left="960" w:hanging="424"/>
        <w:spacing w:after="0" w:line="266" w:lineRule="auto"/>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Driving superior business and financial results </w:t>
      </w:r>
      <w:r>
        <w:rPr>
          <w:rFonts w:ascii="Arial" w:cs="Arial" w:eastAsia="Arial" w:hAnsi="Arial"/>
          <w:sz w:val="18"/>
          <w:szCs w:val="18"/>
          <w:color w:val="auto"/>
        </w:rPr>
        <w:t>by setting clear, measurable short- and long-term performance targets that support BD’s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strategy and the creation of long-term shareholder value, while at the same time taking care to ensure that BD’s executives are not </w:t>
      </w:r>
      <w:r>
        <w:rPr>
          <w:rFonts w:ascii="Arial" w:cs="Arial" w:eastAsia="Arial" w:hAnsi="Arial"/>
          <w:sz w:val="18"/>
          <w:szCs w:val="18"/>
          <w:b w:val="1"/>
          <w:bCs w:val="1"/>
          <w:color w:val="auto"/>
        </w:rPr>
        <w:t xml:space="preserve">incentivized </w:t>
      </w:r>
      <w:r>
        <w:rPr>
          <w:rFonts w:ascii="Arial" w:cs="Arial" w:eastAsia="Arial" w:hAnsi="Arial"/>
          <w:sz w:val="18"/>
          <w:szCs w:val="18"/>
          <w:color w:val="auto"/>
        </w:rPr>
        <w:t>to take inappropriate risks.</w:t>
      </w:r>
    </w:p>
    <w:p>
      <w:pPr>
        <w:spacing w:after="0" w:line="81" w:lineRule="exact"/>
        <w:rPr>
          <w:rFonts w:ascii="Arial" w:cs="Arial" w:eastAsia="Arial" w:hAnsi="Arial"/>
          <w:sz w:val="18"/>
          <w:szCs w:val="18"/>
          <w:color w:val="auto"/>
        </w:rPr>
      </w:pPr>
    </w:p>
    <w:p>
      <w:pPr>
        <w:ind w:left="960" w:hanging="424"/>
        <w:spacing w:after="0"/>
        <w:tabs>
          <w:tab w:leader="none" w:pos="960" w:val="left"/>
        </w:tabs>
        <w:numPr>
          <w:ilvl w:val="0"/>
          <w:numId w:val="340"/>
        </w:numPr>
        <w:rPr>
          <w:rFonts w:ascii="Arial" w:cs="Arial" w:eastAsia="Arial" w:hAnsi="Arial"/>
          <w:sz w:val="17"/>
          <w:szCs w:val="17"/>
          <w:color w:val="auto"/>
        </w:rPr>
      </w:pPr>
      <w:r>
        <w:rPr>
          <w:rFonts w:ascii="Arial" w:cs="Arial" w:eastAsia="Arial" w:hAnsi="Arial"/>
          <w:sz w:val="17"/>
          <w:szCs w:val="17"/>
          <w:b w:val="1"/>
          <w:bCs w:val="1"/>
          <w:color w:val="auto"/>
        </w:rPr>
        <w:t xml:space="preserve">Maintaining a pay-for-performance philosophy </w:t>
      </w:r>
      <w:r>
        <w:rPr>
          <w:rFonts w:ascii="Arial" w:cs="Arial" w:eastAsia="Arial" w:hAnsi="Arial"/>
          <w:sz w:val="17"/>
          <w:szCs w:val="17"/>
          <w:color w:val="auto"/>
        </w:rPr>
        <w:t>by tying a significant portion of pay to performance against performance targets.</w:t>
      </w:r>
    </w:p>
    <w:p>
      <w:pPr>
        <w:spacing w:after="0" w:line="142" w:lineRule="exact"/>
        <w:rPr>
          <w:rFonts w:ascii="Arial" w:cs="Arial" w:eastAsia="Arial" w:hAnsi="Arial"/>
          <w:sz w:val="17"/>
          <w:szCs w:val="17"/>
          <w:color w:val="auto"/>
        </w:rPr>
      </w:pPr>
    </w:p>
    <w:p>
      <w:pPr>
        <w:ind w:left="960" w:right="40" w:hanging="424"/>
        <w:spacing w:after="0" w:line="282" w:lineRule="auto"/>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Offering competitive compensation </w:t>
      </w:r>
      <w:r>
        <w:rPr>
          <w:rFonts w:ascii="Arial" w:cs="Arial" w:eastAsia="Arial" w:hAnsi="Arial"/>
          <w:sz w:val="18"/>
          <w:szCs w:val="18"/>
          <w:color w:val="auto"/>
        </w:rPr>
        <w:t>that helps attract and retain high-performing executives who are essential to executing BD’s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and creating long-term value for BD’s shareholders.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0"/>
          </w:cols>
          <w:pgMar w:left="440" w:top="270" w:right="479" w:bottom="1440" w:gutter="0" w:footer="0" w:header="0"/>
        </w:sectPr>
      </w:pPr>
    </w:p>
    <w:bookmarkStart w:id="310" w:name="page311"/>
    <w:bookmarkEnd w:id="310"/>
    <w:p>
      <w:pPr>
        <w:ind w:right="6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BD’s goal is to provide an executive compensation program that best serves the long-term interests of BD shareholders. BD believes that attracting and retaining superior talent and rewarding performance is key to delivering long-term shareholder returns, and that a competitive compensation program is critical to that end. Therefore, BD strives to provide a competitive compensation package to BD executives that ties a significant portion of pay to performance and uses components that align the interests of BD executives with those of BD’s shareholders.</w:t>
      </w:r>
    </w:p>
    <w:p>
      <w:pPr>
        <w:spacing w:after="0" w:line="15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Following the separation and distribution, compensation of the executive officers of Embecta, including that of the Embecta NEOs, will be overseen by the Embecta Compensation Committee or, where appropriate, the independent members of the Embecta Board of Directors. The Embecta Compensation Committee will evaluate and determine the appropriate executive compensation philosophy for Embecta.</w:t>
      </w:r>
    </w:p>
    <w:p>
      <w:pPr>
        <w:spacing w:after="0" w:line="16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Embecta anticipates that the Embecta Compensation Committee will, on an ongoing basis, review best practices in governance and executive compensation to ensure that Embecta’s executive compensation programs align with Embecta’s core principles. As such, Embecta anticipates that the post-distribution executive compensation programs in which the NEOs participate will contain certain key governance practices, including the following, which are important aspects of the BD executive compensation program:</w:t>
      </w:r>
    </w:p>
    <w:p>
      <w:pPr>
        <w:spacing w:after="0" w:line="92" w:lineRule="exact"/>
        <w:rPr>
          <w:sz w:val="20"/>
          <w:szCs w:val="20"/>
          <w:color w:val="auto"/>
        </w:rPr>
      </w:pPr>
    </w:p>
    <w:p>
      <w:pPr>
        <w:ind w:left="960" w:right="580" w:hanging="424"/>
        <w:spacing w:after="0" w:line="263" w:lineRule="auto"/>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Balanced Mix of Pay Components and Incentives. </w:t>
      </w:r>
      <w:r>
        <w:rPr>
          <w:rFonts w:ascii="Arial" w:cs="Arial" w:eastAsia="Arial" w:hAnsi="Arial"/>
          <w:sz w:val="18"/>
          <w:szCs w:val="18"/>
          <w:color w:val="auto"/>
        </w:rPr>
        <w:t>A balanced mix of cash and equity compensation, and of annual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The key elements of the program are salary, annual cash incentives under an annual bonus plan, and long-term equity compensation.</w:t>
      </w:r>
    </w:p>
    <w:p>
      <w:pPr>
        <w:spacing w:after="0" w:line="89" w:lineRule="exact"/>
        <w:rPr>
          <w:rFonts w:ascii="Arial" w:cs="Arial" w:eastAsia="Arial" w:hAnsi="Arial"/>
          <w:sz w:val="18"/>
          <w:szCs w:val="18"/>
          <w:color w:val="auto"/>
        </w:rPr>
      </w:pPr>
    </w:p>
    <w:p>
      <w:pPr>
        <w:ind w:left="960" w:right="40" w:hanging="424"/>
        <w:spacing w:after="0" w:line="259" w:lineRule="auto"/>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Performance-Based Compensation Tied to Business Strategy. </w:t>
      </w:r>
      <w:r>
        <w:rPr>
          <w:rFonts w:ascii="Arial" w:cs="Arial" w:eastAsia="Arial" w:hAnsi="Arial"/>
          <w:sz w:val="18"/>
          <w:szCs w:val="18"/>
          <w:color w:val="auto"/>
        </w:rPr>
        <w:t>An emphasis on pay-for-performance to align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execution of business strategy and the creation of long-term shareholder value. Performance metrics that align with and support company business strategy. Emphasizing “at risk” pay tied to performance, but taking care that the program does not encourage excessive risk-taking by management.</w:t>
      </w:r>
    </w:p>
    <w:p>
      <w:pPr>
        <w:spacing w:after="0" w:line="92"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Retention Guidelines and Policy against Pledging/Hedging. </w:t>
      </w:r>
      <w:r>
        <w:rPr>
          <w:rFonts w:ascii="Arial" w:cs="Arial" w:eastAsia="Arial" w:hAnsi="Arial"/>
          <w:sz w:val="18"/>
          <w:szCs w:val="18"/>
          <w:color w:val="auto"/>
        </w:rPr>
        <w:t>Robust share retention and ownership guidelines for executives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prohibition from pledging company shares or hedging against the economic risk of their ownership.</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Perquisites. </w:t>
      </w:r>
      <w:r>
        <w:rPr>
          <w:rFonts w:ascii="Arial" w:cs="Arial" w:eastAsia="Arial" w:hAnsi="Arial"/>
          <w:sz w:val="18"/>
          <w:szCs w:val="18"/>
          <w:color w:val="auto"/>
        </w:rPr>
        <w:t>Perquisites for executives only to the extent they are reasonable and consistent with the compensation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attracting and retaining superior executives for key positions.</w:t>
      </w:r>
    </w:p>
    <w:p>
      <w:pPr>
        <w:spacing w:after="0" w:line="75" w:lineRule="exact"/>
        <w:rPr>
          <w:rFonts w:ascii="Arial" w:cs="Arial" w:eastAsia="Arial" w:hAnsi="Arial"/>
          <w:sz w:val="18"/>
          <w:szCs w:val="18"/>
          <w:color w:val="auto"/>
        </w:rPr>
      </w:pPr>
    </w:p>
    <w:p>
      <w:pPr>
        <w:ind w:left="960" w:hanging="424"/>
        <w:spacing w:after="0" w:line="286" w:lineRule="auto"/>
        <w:tabs>
          <w:tab w:leader="none" w:pos="960" w:val="left"/>
        </w:tabs>
        <w:numPr>
          <w:ilvl w:val="0"/>
          <w:numId w:val="3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Policy. </w:t>
      </w:r>
      <w:r>
        <w:rPr>
          <w:rFonts w:ascii="Arial" w:cs="Arial" w:eastAsia="Arial" w:hAnsi="Arial"/>
          <w:sz w:val="17"/>
          <w:szCs w:val="17"/>
          <w:color w:val="auto"/>
        </w:rPr>
        <w:t>A compensation recovery policy that gives the Embecta Board of Directors the authority to recover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paid to senior management in the event of a restatement of Embecta’s financial statements resulting from misconduct, and to recover equity compensation awarded to a member of management if such executive breaches certain restrictive covenants.</w:t>
      </w:r>
    </w:p>
    <w:p>
      <w:pPr>
        <w:spacing w:after="0" w:line="70" w:lineRule="exact"/>
        <w:rPr>
          <w:rFonts w:ascii="Arial" w:cs="Arial" w:eastAsia="Arial" w:hAnsi="Arial"/>
          <w:sz w:val="17"/>
          <w:szCs w:val="17"/>
          <w:color w:val="auto"/>
        </w:rPr>
      </w:pPr>
    </w:p>
    <w:p>
      <w:pPr>
        <w:ind w:left="960" w:right="700" w:hanging="424"/>
        <w:spacing w:after="0" w:line="308" w:lineRule="auto"/>
        <w:tabs>
          <w:tab w:leader="none" w:pos="960" w:val="left"/>
        </w:tabs>
        <w:numPr>
          <w:ilvl w:val="0"/>
          <w:numId w:val="3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Change in Control Arrangements. </w:t>
      </w:r>
      <w:r>
        <w:rPr>
          <w:rFonts w:ascii="Arial" w:cs="Arial" w:eastAsia="Arial" w:hAnsi="Arial"/>
          <w:sz w:val="17"/>
          <w:szCs w:val="17"/>
          <w:color w:val="auto"/>
        </w:rPr>
        <w:t>“Double-trigger” accelerated vesting in equity compensation awards, to provide continuity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 the event of an actual or potential change in control. No excise tax “gross-ups” for executives.</w:t>
      </w:r>
    </w:p>
    <w:p>
      <w:pPr>
        <w:spacing w:after="0" w:line="51" w:lineRule="exact"/>
        <w:rPr>
          <w:rFonts w:ascii="Arial" w:cs="Arial" w:eastAsia="Arial" w:hAnsi="Arial"/>
          <w:sz w:val="17"/>
          <w:szCs w:val="17"/>
          <w:color w:val="auto"/>
        </w:rPr>
      </w:pPr>
    </w:p>
    <w:p>
      <w:pPr>
        <w:ind w:left="960" w:right="1000" w:hanging="424"/>
        <w:spacing w:after="0" w:line="277" w:lineRule="auto"/>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 of Independent Consultant. </w:t>
      </w:r>
      <w:r>
        <w:rPr>
          <w:rFonts w:ascii="Arial" w:cs="Arial" w:eastAsia="Arial" w:hAnsi="Arial"/>
          <w:sz w:val="18"/>
          <w:szCs w:val="18"/>
          <w:color w:val="auto"/>
        </w:rPr>
        <w:t>Use of an independent consultant to assist in designing compensation programs and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decisions, who does not provide any services to Embecta or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Executive Compensation Decisions Are Made at BD</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The BD Compensation Committee oversees the compensation program for BD executive officers, including the program design and performance targets. The BD Compensation Committee recommends compensation actions regarding the BD CEO for approval by the independent members of the BD Board of Directors and sets the compensation of the other executive officers.</w:t>
      </w:r>
    </w:p>
    <w:p>
      <w:pPr>
        <w:spacing w:after="0" w:line="184"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The BD Compensation Committee is assisted in fulfilling its responsibilities by its independent consultant, Pay Governance LLC (“Pay Governance”), and BD’s senior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311" w:name="page312"/>
    <w:bookmarkEnd w:id="311"/>
    <w:p>
      <w:pPr>
        <w:ind w:right="2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Governance is engaged by, and reports directly to, the BD Compensation Committee. Pay Governance assists the BD Compensation Committee in the design and implementation of BD’s compensation program, including the selection of the key elements of the program, setting of targeted payments for each element, and establishment of performance targets, and conducts an annual review of the compensation practices of select peer companies, and advises the BD Compensation Committee with respect to the competitiveness of BD’s compensation program in comparison to industry practices, and identified any trends in executive compensation.</w:t>
      </w:r>
    </w:p>
    <w:p>
      <w:pPr>
        <w:spacing w:after="0" w:line="17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BD Compensation Committee’s meetings are typically attended by BD’s CEO, its Chief Human Resources Officer and other BD associates who support the BD Compensation Committee in fulfilling its responsibilities. The BD Compensation Committee considers management’s views on compensation matters, including the performance metrics and targets for BD’s performance-based compensation. Management also provides information (which is reviewed by BD’s Internal Audit department and the Audit Committee) to assist the BD Compensation Committee in determining the extent to which performance targets have been achieved.</w:t>
      </w:r>
    </w:p>
    <w:p>
      <w:pPr>
        <w:spacing w:after="0" w:line="18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Embecta expects that the Embecta Compensation Committee will adopt a similar role to the role of the BD Compensation Committee following the separation and distribution. The Embecta Compensation Committee is expected to engage a compensation consultant, but no such consultant has been engaged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Market Comparison Data</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BD Compensation Committee considers several factors in structuring BD’s compensation program, determining pay components and making compensation decisions. This includes the compensation practices of select peer companies to BD in the healthcare industry (the “BD Comparison Group”). These companies are chosen by the BD Compensation Committee after considering the recommendations of Pay Governance and management at the beginning of the fiscal year. The BD Compensation Committee aims to select companies that have significant lines of business that are similar to BD’s, are of comparable size in revenue and market capitalization, and compete with BD for executive talent.</w:t>
      </w:r>
    </w:p>
    <w:p>
      <w:pPr>
        <w:spacing w:after="0" w:line="16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making determinations with respect to the compensation of Embecta NEOs, BD used a similar process and used a peer group that it believed was aligned with the Embecta’s business and size (the “Embecta Comparison Group”). The companies in the Embecta Comparison Group for 2021 are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Embecta Comparison Group</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Resmed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Idexx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Dexcom,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Masimo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Insulet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Varex Imaging Corporation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Hill-Rom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Teleflex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Integer Holdings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Abiomed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Penumbra Inc.</w:t>
      </w:r>
    </w:p>
    <w:p>
      <w:pPr>
        <w:spacing w:after="0" w:line="200" w:lineRule="exact"/>
        <w:rPr>
          <w:sz w:val="20"/>
          <w:szCs w:val="20"/>
          <w:color w:val="auto"/>
        </w:rPr>
      </w:pPr>
    </w:p>
    <w:p>
      <w:pPr>
        <w:sectPr>
          <w:pgSz w:w="11900" w:h="16838" w:orient="portrait"/>
          <w:cols w:equalWidth="0" w:num="2">
            <w:col w:w="5120" w:space="720"/>
            <w:col w:w="5160"/>
          </w:cols>
          <w:pgMar w:left="440" w:top="274" w:right="459" w:bottom="1440" w:gutter="0" w:footer="0" w:header="0"/>
          <w:type w:val="continuous"/>
        </w:sectPr>
      </w:pPr>
    </w:p>
    <w:p>
      <w:pPr>
        <w:spacing w:after="0" w:line="1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Where the sample size from the Embecta Comparison Group was not large enough for a particular executive officer, data from a secondary peer group or, more broadly, the general industry was used. For the Embecta NEOs, the secondary peer group included Envista Holding Corporation, Integra Lifesciences Holdings, Natus Medical Inc., CONMED Corp., Globus Medical, Cantel Medical, Varian Medical Systems, Orthofix, Accuray, and Nevro. Data from both the Comparison Group and the secondary peer group were used for each Embecta NEO in 2021 due to insufficient availability of Comparison Group benchmark data.</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BD Compensation Committee attempts to set the salary, annual cash incentive and equity compensation of its executive officers at levels that are competitive with that paid to persons holding the same or similar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type w:val="continuous"/>
        </w:sectPr>
      </w:pPr>
    </w:p>
    <w:bookmarkStart w:id="312" w:name="page313"/>
    <w:bookmarkEnd w:id="31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positions at the Comparison Group or secondary peer group companies, as applicable, using available market comparison data regarding these companies as a guide. The BD Compensation Committee (and the independent directors, in the case of the BD CEO) uses the 50th and 75th percentile of the Comparison Group or secondary peer group as reference points and generally seeks to set the compensation of NEOs within a competitive range of those companies, assuming payout of performance-based compensation at target. The use of market comparison data, however, is just one of the tools used to determine executive compensation, and the BD Compensation Committee and the independent directors retain the flexibility to set target compensation at levels deemed appropriate for an individual or for a specific element of compensation.</w:t>
      </w:r>
    </w:p>
    <w:p>
      <w:pPr>
        <w:spacing w:after="0" w:line="17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It is expected that following the separation, the Embecta Compensation Committee will establish a comparison group following the separation, which will reflect a group of companies with similar or adjacent business models, and that source talent from the same labor pools as Embecta, and that this Embecta comparison group will be utilized in a manner similar to the BD Comparison Group.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the Executive Compensation Program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key elements of BD’s executive compensation program, which covered Embecta NEOs prior to the separation, are summarized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Component</w:t>
            </w:r>
          </w:p>
        </w:tc>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Pr>
          <w:p>
            <w:pPr>
              <w:ind w:left="134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33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Base Salary</w:t>
            </w:r>
          </w:p>
        </w:tc>
        <w:tc>
          <w:tcPr>
            <w:tcW w:w="78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Fixed cash compensation based on performance,</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Provide a fixed, baseline level of</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scope of responsibilities, experience and</w:t>
            </w:r>
          </w:p>
        </w:tc>
        <w:tc>
          <w:tcPr>
            <w:tcW w:w="320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competitive pay practices.</w:t>
            </w:r>
          </w:p>
        </w:tc>
        <w:tc>
          <w:tcPr>
            <w:tcW w:w="3200" w:type="dxa"/>
            <w:vAlign w:val="bottom"/>
          </w:tcPr>
          <w:p>
            <w:pPr>
              <w:spacing w:after="0"/>
              <w:rPr>
                <w:sz w:val="20"/>
                <w:szCs w:val="20"/>
                <w:color w:val="auto"/>
              </w:rPr>
            </w:pP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Annual Short-Term Incentive</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Annual variable cash payment tied to</w:t>
            </w:r>
          </w:p>
        </w:tc>
        <w:tc>
          <w:tcPr>
            <w:tcW w:w="3200" w:type="dxa"/>
            <w:vAlign w:val="bottom"/>
          </w:tcPr>
          <w:p>
            <w:pPr>
              <w:spacing w:after="0"/>
              <w:rPr>
                <w:sz w:val="20"/>
                <w:szCs w:val="20"/>
                <w:color w:val="auto"/>
              </w:rPr>
            </w:pPr>
            <w:r>
              <w:rPr>
                <w:rFonts w:ascii="Arial" w:cs="Arial" w:eastAsia="Arial" w:hAnsi="Arial"/>
                <w:sz w:val="18"/>
                <w:szCs w:val="18"/>
                <w:color w:val="auto"/>
              </w:rPr>
              <w:t>Drive business performance towards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during the fiscal year.</w:t>
            </w:r>
          </w:p>
        </w:tc>
        <w:tc>
          <w:tcPr>
            <w:tcW w:w="3200" w:type="dxa"/>
            <w:vAlign w:val="bottom"/>
          </w:tcPr>
          <w:p>
            <w:pPr>
              <w:spacing w:after="0"/>
              <w:rPr>
                <w:sz w:val="20"/>
                <w:szCs w:val="20"/>
                <w:color w:val="auto"/>
              </w:rPr>
            </w:pPr>
            <w:r>
              <w:rPr>
                <w:rFonts w:ascii="Arial" w:cs="Arial" w:eastAsia="Arial" w:hAnsi="Arial"/>
                <w:sz w:val="18"/>
                <w:szCs w:val="18"/>
                <w:color w:val="auto"/>
              </w:rPr>
              <w:t>achievement of annual goals.</w:t>
            </w:r>
          </w:p>
        </w:tc>
      </w:tr>
      <w:tr>
        <w:trPr>
          <w:trHeight w:val="323"/>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Reward individual contributions to BD’s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Long-term equity compensation:</w:t>
            </w: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SARs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Exercisable for shares based on difference</w:t>
            </w:r>
          </w:p>
        </w:tc>
        <w:tc>
          <w:tcPr>
            <w:tcW w:w="3200" w:type="dxa"/>
            <w:vAlign w:val="bottom"/>
          </w:tcPr>
          <w:p>
            <w:pPr>
              <w:spacing w:after="0"/>
              <w:rPr>
                <w:sz w:val="20"/>
                <w:szCs w:val="20"/>
                <w:color w:val="auto"/>
              </w:rPr>
            </w:pPr>
            <w:r>
              <w:rPr>
                <w:rFonts w:ascii="Arial" w:cs="Arial" w:eastAsia="Arial" w:hAnsi="Arial"/>
                <w:sz w:val="18"/>
                <w:szCs w:val="18"/>
                <w:color w:val="auto"/>
              </w:rPr>
              <w:t>Increase executive ownership to align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between exercise price and BD stock price.</w:t>
            </w:r>
          </w:p>
        </w:tc>
        <w:tc>
          <w:tcPr>
            <w:tcW w:w="3200" w:type="dxa"/>
            <w:vAlign w:val="bottom"/>
          </w:tcPr>
          <w:p>
            <w:pPr>
              <w:spacing w:after="0"/>
              <w:rPr>
                <w:sz w:val="20"/>
                <w:szCs w:val="20"/>
                <w:color w:val="auto"/>
              </w:rPr>
            </w:pPr>
            <w:r>
              <w:rPr>
                <w:rFonts w:ascii="Arial" w:cs="Arial" w:eastAsia="Arial" w:hAnsi="Arial"/>
                <w:sz w:val="18"/>
                <w:szCs w:val="18"/>
                <w:color w:val="auto"/>
              </w:rPr>
              <w:t>interests with shareholders.</w:t>
            </w:r>
          </w:p>
        </w:tc>
      </w:tr>
      <w:tr>
        <w:trPr>
          <w:trHeight w:val="338"/>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Promote executive retention.</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color w:val="auto"/>
              </w:rPr>
              <w:t>Performance Units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Performance-based restricted stock units, with</w:t>
            </w:r>
          </w:p>
        </w:tc>
        <w:tc>
          <w:tcPr>
            <w:tcW w:w="3200" w:type="dxa"/>
            <w:vAlign w:val="bottom"/>
          </w:tcPr>
          <w:p>
            <w:pPr>
              <w:spacing w:after="0"/>
              <w:rPr>
                <w:sz w:val="20"/>
                <w:szCs w:val="20"/>
                <w:color w:val="auto"/>
              </w:rPr>
            </w:pPr>
            <w:r>
              <w:rPr>
                <w:rFonts w:ascii="Arial" w:cs="Arial" w:eastAsia="Arial" w:hAnsi="Arial"/>
                <w:sz w:val="18"/>
                <w:szCs w:val="18"/>
                <w:color w:val="auto"/>
              </w:rPr>
              <w:t>Drive long-term, sustained business</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w w:val="96"/>
              </w:rPr>
              <w:t>payout tied to BD’s performance over three-year</w:t>
            </w: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period.</w:t>
            </w:r>
          </w:p>
        </w:tc>
        <w:tc>
          <w:tcPr>
            <w:tcW w:w="32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020"/>
          </w:cols>
          <w:pgMar w:left="440" w:top="274" w:right="439" w:bottom="1440" w:gutter="0" w:footer="0" w:header="0"/>
        </w:sectPr>
      </w:pPr>
    </w:p>
    <w:p>
      <w:pPr>
        <w:spacing w:after="0"/>
        <w:tabs>
          <w:tab w:leader="none" w:pos="4060" w:val="left"/>
        </w:tabs>
        <w:rPr>
          <w:sz w:val="20"/>
          <w:szCs w:val="20"/>
          <w:color w:val="auto"/>
        </w:rPr>
      </w:pPr>
      <w:r>
        <w:rPr>
          <w:rFonts w:ascii="Arial" w:cs="Arial" w:eastAsia="Arial" w:hAnsi="Arial"/>
          <w:sz w:val="16"/>
          <w:szCs w:val="16"/>
          <w:color w:val="auto"/>
        </w:rPr>
        <w:t>TVUs</w:t>
      </w:r>
      <w:r>
        <w:rPr>
          <w:sz w:val="20"/>
          <w:szCs w:val="20"/>
          <w:color w:val="auto"/>
        </w:rPr>
        <w:tab/>
      </w:r>
      <w:r>
        <w:rPr>
          <w:rFonts w:ascii="Arial" w:cs="Arial" w:eastAsia="Arial" w:hAnsi="Arial"/>
          <w:sz w:val="16"/>
          <w:szCs w:val="16"/>
          <w:color w:val="auto"/>
        </w:rPr>
        <w:t>Restricted stock units that vest in equal annual</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installments over three years from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Reward creation of shareholder value.</w:t>
      </w:r>
    </w:p>
    <w:p>
      <w:pPr>
        <w:spacing w:after="0" w:line="352" w:lineRule="exact"/>
        <w:rPr>
          <w:sz w:val="20"/>
          <w:szCs w:val="20"/>
          <w:color w:val="auto"/>
        </w:rPr>
      </w:pPr>
    </w:p>
    <w:p>
      <w:pPr>
        <w:sectPr>
          <w:pgSz w:w="11900" w:h="16838" w:orient="portrait"/>
          <w:cols w:equalWidth="0" w:num="2">
            <w:col w:w="7420" w:space="400"/>
            <w:col w:w="3200"/>
          </w:cols>
          <w:pgMar w:left="440" w:top="274" w:right="439" w:bottom="1440" w:gutter="0" w:footer="0" w:header="0"/>
          <w:type w:val="continuous"/>
        </w:sectPr>
      </w:pPr>
    </w:p>
    <w:p>
      <w:pPr>
        <w:spacing w:after="0"/>
        <w:tabs>
          <w:tab w:leader="none" w:pos="4060" w:val="left"/>
        </w:tabs>
        <w:rPr>
          <w:sz w:val="20"/>
          <w:szCs w:val="20"/>
          <w:color w:val="auto"/>
        </w:rPr>
      </w:pPr>
      <w:r>
        <w:rPr>
          <w:rFonts w:ascii="Arial" w:cs="Arial" w:eastAsia="Arial" w:hAnsi="Arial"/>
          <w:sz w:val="18"/>
          <w:szCs w:val="18"/>
          <w:b w:val="1"/>
          <w:bCs w:val="1"/>
          <w:color w:val="auto"/>
        </w:rPr>
        <w:t>Employee Benefits and Perquisites</w:t>
      </w:r>
      <w:r>
        <w:rPr>
          <w:sz w:val="20"/>
          <w:szCs w:val="20"/>
          <w:color w:val="auto"/>
        </w:rPr>
        <w:tab/>
      </w:r>
      <w:r>
        <w:rPr>
          <w:rFonts w:ascii="Arial" w:cs="Arial" w:eastAsia="Arial" w:hAnsi="Arial"/>
          <w:sz w:val="16"/>
          <w:szCs w:val="16"/>
          <w:color w:val="auto"/>
        </w:rPr>
        <w:t>Retirement plan, deferred compensation plan,</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health and welfare benefits.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Consistent with benefits provided to other employees.</w:t>
      </w:r>
    </w:p>
    <w:p>
      <w:pPr>
        <w:spacing w:after="0" w:line="170" w:lineRule="exact"/>
        <w:rPr>
          <w:sz w:val="20"/>
          <w:szCs w:val="20"/>
          <w:color w:val="auto"/>
        </w:rPr>
      </w:pPr>
    </w:p>
    <w:p>
      <w:pPr>
        <w:sectPr>
          <w:pgSz w:w="11900" w:h="16838" w:orient="portrait"/>
          <w:cols w:equalWidth="0" w:num="2">
            <w:col w:w="7380" w:space="440"/>
            <w:col w:w="3200"/>
          </w:cols>
          <w:pgMar w:left="440" w:top="274" w:right="439" w:bottom="1440" w:gutter="0" w:footer="0" w:header="0"/>
          <w:type w:val="continuous"/>
        </w:sectPr>
      </w:pPr>
    </w:p>
    <w:p>
      <w:pPr>
        <w:ind w:right="220" w:firstLine="440"/>
        <w:spacing w:after="0" w:line="263" w:lineRule="auto"/>
        <w:rPr>
          <w:sz w:val="20"/>
          <w:szCs w:val="20"/>
          <w:color w:val="auto"/>
        </w:rPr>
      </w:pPr>
      <w:r>
        <w:rPr>
          <w:rFonts w:ascii="Arial" w:cs="Arial" w:eastAsia="Arial" w:hAnsi="Arial"/>
          <w:sz w:val="18"/>
          <w:szCs w:val="18"/>
          <w:color w:val="auto"/>
        </w:rPr>
        <w:t>It is expected that Embecta’s executive compensation program will initially be patterned after the BD executive compensation program and will consist of the same four principal elements: (1) annual base salary, (2) annual short-term incentive, (3) annual long-term incentive, and (4) employee benefits and limited executive perquisites.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20"/>
          </w:cols>
          <w:pgMar w:left="440" w:top="274" w:right="439"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Base Salary</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The annual base salary rate of each identified Embecta NEO as of September 30, 2021 is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9100" w:type="dxa"/>
            <w:vAlign w:val="bottom"/>
            <w:vMerge w:val="restart"/>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Annual Base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03"/>
        </w:trPr>
        <w:tc>
          <w:tcPr>
            <w:tcW w:w="10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 Chief Executive Officer</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Jacob (Jake) Elguicze, SVP and Chief Financial Officer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 SVP and Chief Human Resources Officer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333,871</w:t>
            </w: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Shaun Curtis, SVP, Global Manufacturing and Supply Chain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272,530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 SVP, General Counsel, Head of Corporate Development and Corporate Secretary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review annual base salaries for Embecta’s executive officers each year in order to ensure alignment with current market levels.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Short-Term Incentive</w:t>
      </w:r>
    </w:p>
    <w:p>
      <w:pPr>
        <w:spacing w:after="0" w:line="121"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BD PIP provides executives an opportunity to receive a cash award for BD’s performance for the fiscal year and their contribution to that performance. The Embecta NEOs participated in the BD PIP during the 2021 fiscal year, other than Mr. Mann, who was hired after the eligibility date for the 2021 PIP had passed. Associates who are eligible for awards under the PIP have target awards that are expressed as a percentage of base salary. The factors considered in setting the PIP awards include the level of available funding, the executive’s target award and the executive’s individual performance.</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For the diabetes care business specifically, funding for PIP awards was based on a combination of the performance of the BD Medical segment, of which the diabetes care business is a part, and the performance of the diabetes care business itself, with Medical segment performance weighted 25% and diabetes care business performance weighted 75%. In measuring the performance of the diabetes care business, performance targets were set that were tied to revenue, operating income before taxes (“OIBT”) and days inventory on hand targets, with revenue and OIBT performance weighted 40% and days inventory on hand weighted 20%. The performance of the BD Medical segment and the diabetes care business during fiscal year 2021 resulted in a funding factor of approximately 141% of target under the PIP.</w:t>
      </w:r>
    </w:p>
    <w:p>
      <w:pPr>
        <w:spacing w:after="0" w:line="17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When comparing the operating results of the diabetes care business to the performance targets, adjustments are made for unbudgeted items that are not considered part of ordinary operations. This ensures that business decisions are made based on what management believes is in the best interests of BD, rather than the possible effects on compensation. It also ensures that executives are not rewarded for or unfairly penalized by these types of events.</w:t>
      </w:r>
    </w:p>
    <w:p>
      <w:pPr>
        <w:spacing w:after="0" w:line="14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table below reflects the 2021 fiscal year annual short-term incentive opportunity of each identified Embecta NEO under the BD PIP and the actual amount awarded with respect to 2021 which were pro-rated for Messrs. Kurdikar, and Elguicze based on the portion of the 2021 fiscal year during which they were employed by BD.</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Target</w:t>
            </w:r>
          </w:p>
        </w:tc>
        <w:tc>
          <w:tcPr>
            <w:tcW w:w="3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198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Base Salary</w:t>
            </w:r>
            <w:r>
              <w:rPr>
                <w:rFonts w:ascii="Arial" w:cs="Arial" w:eastAsia="Arial" w:hAnsi="Arial"/>
                <w:sz w:val="12"/>
                <w:szCs w:val="12"/>
                <w:b w:val="1"/>
                <w:bCs w:val="1"/>
                <w:color w:val="auto"/>
                <w:w w:val="91"/>
              </w:rPr>
              <w:t>(1)</w:t>
            </w: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2"/>
              </w:rPr>
              <w:t>of Base Salary)</w:t>
            </w: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Opportunity</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446,849</w:t>
            </w:r>
          </w:p>
        </w:tc>
        <w:tc>
          <w:tcPr>
            <w:tcW w:w="68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379,822</w:t>
            </w:r>
          </w:p>
        </w:tc>
        <w:tc>
          <w:tcPr>
            <w:tcW w:w="3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2"/>
              </w:rPr>
              <w:t>536,366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182,466</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127,726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180,368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333,871</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133,548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192,557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274,943</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96,230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135,891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7"/>
              </w:rPr>
              <w:t>Not Eligible for Annual Short-Term Incentive in FY21</w:t>
            </w: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14" w:name="page315"/>
    <w:bookmarkEnd w:id="314"/>
    <w:p>
      <w:pPr>
        <w:ind w:left="544" w:hanging="544"/>
        <w:spacing w:after="0"/>
        <w:tabs>
          <w:tab w:leader="none" w:pos="544" w:val="left"/>
        </w:tabs>
        <w:numPr>
          <w:ilvl w:val="0"/>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269240</wp:posOffset>
            </wp:positionV>
            <wp:extent cx="7715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1525" cy="8255"/>
                    </a:xfrm>
                    <a:prstGeom prst="rect">
                      <a:avLst/>
                    </a:prstGeom>
                    <a:noFill/>
                  </pic:spPr>
                </pic:pic>
              </a:graphicData>
            </a:graphic>
          </wp:anchor>
        </w:drawing>
        <w:t>Base salary for Mr. Kurdikar and Mr. Elguicze reflects the pro-rated base salary used to calculate actual bonus for 2021.</w:t>
      </w:r>
    </w:p>
    <w:p>
      <w:pPr>
        <w:spacing w:after="0" w:line="22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adopt an annual incentive plan that covers the Embecta NEOs following the separation.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Compensation Awards</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BD uses a mix of equity compensation vehicles to promote the objectives of the BD compensation program. SARs reward executives for the creation of shareholder value over the term of the award, and Performance Units measure BD’s performance over a three-year period and are intended to reward sustained long-term financial performance. TVUs vest in equal annual installments over a three-year vesting period. Because they are equity-based and subject to long-term vesting periods, these awards also serve to align the interests of executives with those of shareholders and promote executive retention.</w:t>
      </w:r>
    </w:p>
    <w:p>
      <w:pPr>
        <w:spacing w:after="0" w:line="18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table below reflects the 2021 fiscal year annual long-term incentive awards granted to each identified Embecta NEO by BD. At the time of the separation, these awards will be converted into equity awards with respect to Embecta stock, as discussed in the section entitled “The Separation and Distribution—Treatment of Equity-Based Compensation” of this information statement.</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SARs</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TVUs</w:t>
            </w:r>
          </w:p>
        </w:tc>
        <w:tc>
          <w:tcPr>
            <w:tcW w:w="138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52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56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46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15,341</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1,601</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560" w:type="dxa"/>
            <w:vAlign w:val="bottom"/>
          </w:tcPr>
          <w:p>
            <w:pPr>
              <w:jc w:val="right"/>
              <w:spacing w:after="0"/>
              <w:rPr>
                <w:sz w:val="20"/>
                <w:szCs w:val="20"/>
                <w:color w:val="auto"/>
              </w:rPr>
            </w:pPr>
            <w:r>
              <w:rPr>
                <w:rFonts w:ascii="Arial" w:cs="Arial" w:eastAsia="Arial" w:hAnsi="Arial"/>
                <w:sz w:val="18"/>
                <w:szCs w:val="18"/>
                <w:color w:val="auto"/>
              </w:rPr>
              <w:t>2,081</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Following the separation, the Embecta Compensation Committee will develop its own long-term incentive program, which Embecta expects will include several forms of equity-based awards.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Employee Benefits and Limited Executive Perquisites</w:t>
      </w:r>
    </w:p>
    <w:p>
      <w:pPr>
        <w:spacing w:after="0" w:line="1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BD offers a variety of health and welfare programs to all eligible employees, including the Embecta NEOs. Embecta expects that, for a period following the separation, Embecta employees, including the NEOs, will continue to participate in the BD health and welfare benefit programs, including medical and dental care coverage, life insurance coverage and short and long-term disability. Embecta anticipates that Embecta will put in place its own health and welfare programs at a later date, and that the Embecta NEOs will be eligible to participate in the Embecta programs on the same basis as other Embecta employees. The Embecta NEOs are not provided significant perquisites. 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Letter Agreements with Embecta NEOs</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BD has entered into letter agreements with certain Embecta NEOs. Embecta expects that these letter agreements will be assigned to Embecta as of the separation and distribution. The material terms of these letters and agreements are described below.</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Letter Agreement with Embecta Chief Executive Officer</w:t>
      </w:r>
    </w:p>
    <w:p>
      <w:pPr>
        <w:spacing w:after="0" w:line="117"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BD entered into a letter agreement with Mr. Kurdikar on January 25, 2021 in anticipation of his commencement of employment no later than March 15, 2021. The letter agreement was approved by the BD Compensation Committee based on BD management’s recommendation and benchmarking information.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4"/>
          </w:cols>
          <w:pgMar w:left="436" w:top="463" w:right="479" w:bottom="1440" w:gutter="0" w:footer="0" w:header="0"/>
        </w:sectPr>
      </w:pPr>
    </w:p>
    <w:bookmarkStart w:id="315" w:name="page316"/>
    <w:bookmarkEnd w:id="315"/>
    <w:p>
      <w:pPr>
        <w:ind w:left="4"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agreement provides for Mr. Kurdikar to initially serve as Worldwide President—Diabetes Care and provides for an initial compensation package from BD that includes an annual base salary of $700,000, a target annual bonus of 85% of base salary, and a target annual long-term incentive award value of $2,000,000. Pursuant to the agreement, Mr. Kurdikar received a signing bonus of $200,000 (generally subject to repayment on a prorated basis upon a voluntary termination by Mr. Kurdikar without good reason during the first 12 months of employment) and was awarded a sign-on long-term incentive award of $2,000,000, 20% in the form of TVUs, vesting in three ratable annual installments, 40% in the form of PSUs, vesting over a three-year period, and 40% in the form of SARs, vesting in four ratable annual installments.</w:t>
      </w:r>
    </w:p>
    <w:p>
      <w:pPr>
        <w:spacing w:after="0" w:line="178" w:lineRule="exact"/>
        <w:rPr>
          <w:sz w:val="20"/>
          <w:szCs w:val="20"/>
          <w:color w:val="auto"/>
        </w:rPr>
      </w:pPr>
    </w:p>
    <w:p>
      <w:pPr>
        <w:ind w:left="4" w:right="120" w:firstLine="440"/>
        <w:spacing w:after="0" w:line="254" w:lineRule="auto"/>
        <w:rPr>
          <w:sz w:val="20"/>
          <w:szCs w:val="20"/>
          <w:color w:val="auto"/>
        </w:rPr>
      </w:pPr>
      <w:r>
        <w:rPr>
          <w:rFonts w:ascii="Arial" w:cs="Arial" w:eastAsia="Arial" w:hAnsi="Arial"/>
          <w:sz w:val="18"/>
          <w:szCs w:val="18"/>
          <w:color w:val="auto"/>
        </w:rPr>
        <w:t>The letter agreement anticipates that Mr. Kurdikar will become Embecta’s Chief Executive Officer following the separation, and provides following the separation for an annual base salary of $825,000, a target annual bonus of 110% of base salary, and a target annual long-term incentive award value of $4,000,000 (for fiscal year 2022, Mr. Kurdikar will receive an incremental award for such year upon separation with a grant date value equal to the excess of his post-separation target long-term incentive award value over the grant date value of his BD long-term incentive award granted earlier in such year). The agreement additionally provides for a one-time equity award upon consummation of the separation, with a grant date fair market value of $4,000,000, which will be composed of 50% of TVUs and 50% of SARs, each of which will vest on the third anniversary of the separation, subject to Mr. Kurdikar’s continued employment.</w:t>
      </w:r>
    </w:p>
    <w:p>
      <w:pPr>
        <w:spacing w:after="0" w:line="195"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If Mr. Kurdikar’s employment is terminated without cause, or if he terminates employment for good reason, he will be entitled to a lump sum severance payment equal to two times his base salary plus target bonus (based on his initial rate at BD), as well as a prorated bonus, welfare benefit continuation at employee rates for two years, vesting of his sign-on long-term incentive awards, and prorated vesting of any annual BD awards. In the event that the termination relates to Embecta being purchased in a sale transaction or being formed as a joint venture, the cash severance will instead equal three times his post-separation base salary plus target bonus.</w:t>
      </w:r>
    </w:p>
    <w:p>
      <w:pPr>
        <w:spacing w:after="0" w:line="188" w:lineRule="exact"/>
        <w:rPr>
          <w:sz w:val="20"/>
          <w:szCs w:val="20"/>
          <w:color w:val="auto"/>
        </w:rPr>
      </w:pPr>
    </w:p>
    <w:p>
      <w:pPr>
        <w:ind w:left="4" w:right="240" w:firstLine="440"/>
        <w:spacing w:after="0" w:line="287" w:lineRule="auto"/>
        <w:rPr>
          <w:sz w:val="20"/>
          <w:szCs w:val="20"/>
          <w:color w:val="auto"/>
        </w:rPr>
      </w:pPr>
      <w:r>
        <w:rPr>
          <w:rFonts w:ascii="Arial" w:cs="Arial" w:eastAsia="Arial" w:hAnsi="Arial"/>
          <w:sz w:val="16"/>
          <w:szCs w:val="16"/>
          <w:color w:val="auto"/>
        </w:rPr>
        <w:t>For purposes of the agreement, good reason includes (1) Mr. Kurdikar not being appointed public company CEO of Embecta within 18 months following his commencement of employment, (2) a decision by BD not to consummate the separation, (3) instead of a separation, Embecta being purchased in a sale transaction or formed as a joint venture, (4) a diminution in Mr. Kurdikar’s reporting or change in reporting to the CEO of BD, or</w:t>
      </w:r>
    </w:p>
    <w:p>
      <w:pPr>
        <w:spacing w:after="0" w:line="2" w:lineRule="exact"/>
        <w:rPr>
          <w:sz w:val="20"/>
          <w:szCs w:val="20"/>
          <w:color w:val="auto"/>
        </w:rPr>
      </w:pPr>
    </w:p>
    <w:p>
      <w:pPr>
        <w:ind w:left="4" w:right="240" w:hanging="4"/>
        <w:spacing w:after="0" w:line="260" w:lineRule="auto"/>
        <w:tabs>
          <w:tab w:leader="none" w:pos="25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decrease in Mr. Kurdikar’s base salary, target bonus, or target equity compensation levels. Any good reason claim is subject to notice and a cure opportunity.</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4" w:hanging="4"/>
        <w:spacing w:after="0" w:line="253" w:lineRule="auto"/>
        <w:tabs>
          <w:tab w:leader="none" w:pos="25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ind w:left="4" w:right="1260" w:firstLine="440"/>
        <w:spacing w:after="0" w:line="277" w:lineRule="auto"/>
        <w:rPr>
          <w:sz w:val="20"/>
          <w:szCs w:val="20"/>
          <w:color w:val="auto"/>
        </w:rPr>
      </w:pPr>
      <w:r>
        <w:rPr>
          <w:rFonts w:ascii="Arial" w:cs="Arial" w:eastAsia="Arial" w:hAnsi="Arial"/>
          <w:sz w:val="18"/>
          <w:szCs w:val="18"/>
          <w:color w:val="auto"/>
        </w:rPr>
        <w:t>Pursuant to the letter agreement, Mr. Kurdikar committed to sign, and did later sign, the BD Employee Agreement and Associate Acknowledgment &amp; Agreement, which includes certain restrictive covenants.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Letter Agreement with Embecta Chief Financial Officer</w:t>
      </w:r>
    </w:p>
    <w:p>
      <w:pPr>
        <w:spacing w:after="0" w:line="117"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BD entered into a letter agreement with Mr. Elguicze on April 9, 2021 in anticipation of his commencement of employment on May 6, 2021. The letter agreement provides for Mr. Elguicze initially to serve as SVP Finance—Diabetes Care, and provides for an annual base salary of $450,000, a target annual bonus of 70% of base salary, and a target annual long-term incentive award value of $1,000,000. Pursuant to the agreement, Mr. Elguicze received a signing bonus of $150,000 (generally subject to repayment on a prorated basis upon a voluntary termination by Mr. Elguicze without good reason during the first 12 months of employment) and was awarded a sign-on long-term incentive award of $200,000, in the form of TVUs vesting in three ratable annual installments.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4"/>
          </w:cols>
          <w:pgMar w:left="436" w:top="274" w:right="479" w:bottom="1440" w:gutter="0" w:footer="0" w:header="0"/>
        </w:sectPr>
      </w:pPr>
    </w:p>
    <w:bookmarkStart w:id="316" w:name="page317"/>
    <w:bookmarkEnd w:id="316"/>
    <w:p>
      <w:pPr>
        <w:ind w:left="4" w:right="1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agreement anticipates that Mr. Elguicze will become Embecta’s Chief Financial Officer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Elguicze’s continued employment.</w:t>
      </w:r>
    </w:p>
    <w:p>
      <w:pPr>
        <w:spacing w:after="0" w:line="16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If Mr. Elguicze’s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4" w:right="20" w:hanging="4"/>
        <w:spacing w:after="0" w:line="253" w:lineRule="auto"/>
        <w:tabs>
          <w:tab w:leader="none" w:pos="25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Pursuant to the letter agreement, Mr. Elguicze has committed to sign the BD Employee Agreement and Associate Acknowledgment &amp; Agreement, which includes certain restrictive covenants.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Letter Agreement with Embecta General Counsel, Head of Corporate Development and Corporate Secretary</w:t>
      </w:r>
    </w:p>
    <w:p>
      <w:pPr>
        <w:spacing w:after="0" w:line="117"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BD entered into a letter agreement with Mr. Mann on May 26, 2021 in anticipation of his commencement of employment on August 2, 2021. The letter agreement provides for Mr. Mann initially to serve as SVP, General Counsel and Head of Corporate Development, Diabetes Care, and provides for an annual base salary of $450,000, a target annual bonus of 60% of base salary, and a target annual long-term incentive award value of $1,000,000.</w:t>
      </w:r>
    </w:p>
    <w:p>
      <w:pPr>
        <w:spacing w:after="0" w:line="2" w:lineRule="exact"/>
        <w:rPr>
          <w:sz w:val="20"/>
          <w:szCs w:val="20"/>
          <w:color w:val="auto"/>
        </w:rPr>
      </w:pPr>
    </w:p>
    <w:p>
      <w:pPr>
        <w:ind w:left="4" w:right="680"/>
        <w:spacing w:after="0" w:line="260" w:lineRule="auto"/>
        <w:rPr>
          <w:sz w:val="20"/>
          <w:szCs w:val="20"/>
          <w:color w:val="auto"/>
        </w:rPr>
      </w:pPr>
      <w:r>
        <w:rPr>
          <w:rFonts w:ascii="Arial" w:cs="Arial" w:eastAsia="Arial" w:hAnsi="Arial"/>
          <w:sz w:val="18"/>
          <w:szCs w:val="18"/>
          <w:color w:val="auto"/>
        </w:rPr>
        <w:t>Pursuant to the agreement, Mr. Mann received a signing bonus of $50,000 (generally subject to repayment on a prorated basis upon a voluntary termination by Mr. Mann without good reason during the first 12 months of employment).</w:t>
      </w:r>
    </w:p>
    <w:p>
      <w:pPr>
        <w:spacing w:after="0" w:line="18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letter agreement anticipates that Mr. Mann will become Embecta’s SVP, General Counsel, Head of Corporate Development, and Corporate Secretary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Mann’s continued employment.</w:t>
      </w:r>
    </w:p>
    <w:p>
      <w:pPr>
        <w:spacing w:after="0" w:line="187"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If Mr. Mann’s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4" w:right="20" w:hanging="4"/>
        <w:spacing w:after="0" w:line="253" w:lineRule="auto"/>
        <w:tabs>
          <w:tab w:leader="none" w:pos="25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Pursuant to the letter agreement, Mr. Mann has committed to sign the BD Employee Agreement and Associate Acknowledgment &amp; Agreement, which includes certain restrictive covenants.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Letter Agreement with Embecta Chief Human Resources Officer</w:t>
      </w:r>
    </w:p>
    <w:p>
      <w:pPr>
        <w:spacing w:after="0" w:line="117"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BD entered into a letter agreement with Mr. Kumar on February 24, 2021 providing that he would be appointed as Embecta’s Chief Human Resources Officer upon consummation of the separation. The letter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317" w:name="page318"/>
    <w:bookmarkEnd w:id="317"/>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provides a post-separation compensation package comprised of an annual base salary of $450,000, a target annual bonus of 60% of base salary, and a target annual long-term incentive award value of $500,000. The agreement also provides for a one-time equity award upon consummation of the separation with a grant date fair market value of $500,000, which will be comprised 50% of TVUs and 50% of SARs, each of which will vest on the third anniversary of the separation, subject to Mr. Kumar’s continued employment. Pursuant to the letter agreement, Mr. Kumar received a $83,468 retention award from BD, which vested on August 30,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Agreement with Embecta SVP, Global Manufacturing and Supply Chain</w:t>
      </w:r>
    </w:p>
    <w:p>
      <w:pPr>
        <w:spacing w:after="0" w:line="225" w:lineRule="exact"/>
        <w:rPr>
          <w:sz w:val="20"/>
          <w:szCs w:val="20"/>
          <w:color w:val="auto"/>
        </w:rPr>
      </w:pPr>
    </w:p>
    <w:p>
      <w:pPr>
        <w:ind w:right="320" w:firstLine="440"/>
        <w:spacing w:after="0" w:line="255" w:lineRule="auto"/>
        <w:rPr>
          <w:sz w:val="20"/>
          <w:szCs w:val="20"/>
          <w:color w:val="auto"/>
        </w:rPr>
      </w:pPr>
      <w:r>
        <w:rPr>
          <w:rFonts w:ascii="Arial" w:cs="Arial" w:eastAsia="Arial" w:hAnsi="Arial"/>
          <w:sz w:val="18"/>
          <w:szCs w:val="18"/>
          <w:color w:val="auto"/>
        </w:rPr>
        <w:t>BD entered into a letter agreement with Mr. Curtis on August 13, 2021 providing that he would be appointed as Embecta’s SVP, Global Manufacturing and Supply Chain upon consummation of the separation. The letter agreement provides a post-separation compensation package comprised of an annual base salary of $365,000, a target annual bonus of 50% of base salary, and a target annual long-term incentive award value of $350,000. The agreement also provides for a one-time equity award upon consummation of the separation with a grant date fair market value of $350,000, which will be comprised 50% of TVUs and 50% of SARs each of which will vest on the third anniversary of the separation, subject to Mr. Curtis’s continued employment.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under the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BD offers pension benefits to eligible U.S. associates. Embecta does not anticipate that any portion of the BD Retirement Plan will transfer to Embecta in connection with the separation, and Embecta does not expect that it will adopt a defined benefit pension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BD maintains the Deferred Compensation and Retirement Benefit Restoration Plan (the “DCP”), an unfunded, nonqualified plan that allows eligible associates to defer receipt of cash compensation and shares issuable under certain equity compensation awards on a pre-tax basis in addition to what is allowed under BD’s tax-qualified 401(k) Plan, and BD also provides supplemental payments to certain employees through the DCP to offset any reductions in benefits that result from Code limits that are placed on benefits under the BD Retirement Plan (the “Restoration Benefit”).</w:t>
      </w:r>
    </w:p>
    <w:p>
      <w:pPr>
        <w:spacing w:after="0" w:line="15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DCP is offered as part of a competitive compensation program. BD does not provide any guaranteed earnings on amounts deferred under the DCP, and earnings on these accounts are based on individual investment elections. BD provides matching contributions on cash amounts deferred under the DCP, subject to certain limits.</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Embecta expects that it will establish an unfunded, non-qualified deferred compensation plan that mirrors the terms of the DCP, except with respect to the Restoration Benefit and the deferral of shares issuable under equity compensation awards, and will assume the liabilities with respect to the DCP associated with Embecta employees, other than with respect to the Restoration Benefit.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w:t>
      </w:r>
    </w:p>
    <w:p>
      <w:pPr>
        <w:spacing w:after="0" w:line="121"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BD entered into an agreement with Mr. Kurdikar relating to his employment following a change in control of BD. This agreement provides Mr. Kurdikar with continued employment for a period of two years following a change in control, and provides certain benefits in the event his employment is terminated without “cause” or he leaves his employment for “good reason” (also known as a constructive termination) during such period. Generally, these benefits include a severance payment equal to a multiple of salary and PIP award, and certain other benefits. A more complete description of the terms and potential payouts under this change in control agreement as discussed in the section entitled “Compensation of Named Executive Officers—Payments upon Termination of Employment or Change in Control” .</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40" w:top="274" w:right="479" w:bottom="1440" w:gutter="0" w:footer="0" w:header="0"/>
        </w:sectPr>
      </w:pPr>
    </w:p>
    <w:bookmarkStart w:id="318" w:name="page319"/>
    <w:bookmarkEnd w:id="318"/>
    <w:p>
      <w:pPr>
        <w:ind w:left="4"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change in control agreement contains a “double-trigger”—that is, there must be both a change in control of BD and a termination of the executive’s employment (either without cause by BD or for good reason by the executive) in order for any payments to be made. The change in control agreement does not contain any tax reimbursement provisions with respect to any excise tax that may be payable to Mr. Kurdikar under the agreement.</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Severance and Change in Control Plan</w:t>
      </w:r>
    </w:p>
    <w:p>
      <w:pPr>
        <w:spacing w:after="0" w:line="12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Prior to the separation, Embecta expects to adopt an Executive Severance and Change in Control Plan. The Executive Severance Plan will provide severance benefits to eligible key employees of Embecta and certain subsidiaries of Embecta, including the NEOs, in connection with certain terminations of employment.</w:t>
      </w:r>
    </w:p>
    <w:p>
      <w:pPr>
        <w:spacing w:after="0" w:line="184" w:lineRule="exact"/>
        <w:rPr>
          <w:sz w:val="20"/>
          <w:szCs w:val="20"/>
          <w:color w:val="auto"/>
        </w:rPr>
      </w:pPr>
    </w:p>
    <w:p>
      <w:pPr>
        <w:ind w:left="4" w:right="260" w:firstLine="440"/>
        <w:spacing w:after="0" w:line="293" w:lineRule="auto"/>
        <w:rPr>
          <w:sz w:val="20"/>
          <w:szCs w:val="20"/>
          <w:color w:val="auto"/>
        </w:rPr>
      </w:pPr>
      <w:r>
        <w:rPr>
          <w:rFonts w:ascii="Arial" w:cs="Arial" w:eastAsia="Arial" w:hAnsi="Arial"/>
          <w:sz w:val="16"/>
          <w:szCs w:val="16"/>
          <w:color w:val="auto"/>
        </w:rPr>
        <w:t>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a multiple (two times for the CEO and one time for the other NEOs) of the NEO’s base salary and target annual bonus, (ii) a lump sum payment equivalent to a pro-rata portion of the NEO’s target annual cash bonus for the year in which the termination occurred, (iii) a lump sum payment approximating a certain period of COBRA premiums for continued coverage under Embecta’s group health insurance plan (24 months for the CEO and 12 months for the other NEOs) and (iv) 12 months of outplacement services.</w:t>
      </w:r>
    </w:p>
    <w:p>
      <w:pPr>
        <w:spacing w:after="0" w:line="16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 sum severance payment consisting of a multiple (three times for the CEO and two times for the other NEOs) of the sum of the NEO’s base salary and the greater of (x) the NEO’s target annual cash bonus for the year in which the termination occurred and</w:t>
      </w:r>
    </w:p>
    <w:p>
      <w:pPr>
        <w:spacing w:after="0" w:line="1" w:lineRule="exact"/>
        <w:rPr>
          <w:sz w:val="20"/>
          <w:szCs w:val="20"/>
          <w:color w:val="auto"/>
        </w:rPr>
      </w:pPr>
    </w:p>
    <w:p>
      <w:pPr>
        <w:jc w:val="both"/>
        <w:ind w:left="4" w:hanging="4"/>
        <w:spacing w:after="0" w:line="292" w:lineRule="auto"/>
        <w:tabs>
          <w:tab w:leader="none" w:pos="259"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NEO’s average annual bonus for the two most recently completed fiscal years prior to the year in which the termination occurred, (ii) a lump sum payment equivalent to a pro-rata portion of the NEO’s target annual cash bonus for the year in which the termination occurred, (iii) a lump sum payment approximating a certain period of COBRA premiums for continued coverage under Embecta’s group health insurance plan (36 months for the CEO and 24 months for the other NEOs), (iv) 12 months of outplacement services and (v) accelerated vesting of all outstanding equity awards (with performance awards vesting at target unless a higher level would be deemed achieved under the terms of the applicable award agreement).</w:t>
      </w:r>
    </w:p>
    <w:p>
      <w:pPr>
        <w:spacing w:after="0" w:line="162"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The Executive Severance Plan does not provide for a gross-up payment to any of the NEOs to offset taxes, including any excise taxes that may be imposed on excess parachute payments under Section 4999 of the Code. Instead, the Executive Severance Plan provides that in the event that the payments described above would, if paid, be subject to such excise taxes, then such NEO shall be entitled to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w:t>
      </w:r>
    </w:p>
    <w:p>
      <w:pPr>
        <w:spacing w:after="0" w:line="161"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w:t>
      </w:r>
    </w:p>
    <w:p>
      <w:pPr>
        <w:spacing w:after="0" w:line="184"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It is anticipated that the Executive Severance Plan would supersede the severance provisions of the individual letter agreements and change in control agreements described above.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Change in Control Provisions</w:t>
      </w:r>
    </w:p>
    <w:p>
      <w:pPr>
        <w:spacing w:after="0" w:line="12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All unvested BD equity grants include a double-trigger vesting provision upon a change in control. Under this provision, the awards will not automatically vest upon a change in control if the awards are either continued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4"/>
          </w:cols>
          <w:pgMar w:left="436" w:top="274" w:right="459" w:bottom="1440" w:gutter="0" w:footer="0" w:header="0"/>
        </w:sectPr>
      </w:pPr>
    </w:p>
    <w:bookmarkStart w:id="319" w:name="page320"/>
    <w:bookmarkEnd w:id="31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replaced with similar awards. In those instances, the awards will automatically vest only if the executive is terminated without “cause” or terminates employment for “good reason” (as such terms are defined in the Becton, Dickinson and Company 2004 Employee and Director Equity-Based Compensation Plan (the “BD 2004 Plan”)) within two years of the change in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Plans and Policies Following Separation</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connection with the separation and distribution, it is expected that Embecta will adopt the Embecta 2022 Employee and Director Equity-Based Compensation Plan (which is described in this information statement under the heading “Embecta 2022 Employee and Director Equity-Based Compensation Plan”), which will be effective for Embecta upon the separation and distribution. Following the separation and distribution, the Embecta Compensation Committee will consider and develop Embecta’s compensation programs, plans, philosophy and practices, consistent with Embecta’s business needs and goals.</w:t>
      </w:r>
    </w:p>
    <w:p>
      <w:pPr>
        <w:spacing w:after="0" w:line="188"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Embecta expects that the Embecta Compensation Committee will also adopt various policies relating to executive compensation similar to BD’s policies, which help to mitigate risk in compensation programs and are best practices in the market, including the following:</w:t>
      </w:r>
    </w:p>
    <w:p>
      <w:pPr>
        <w:spacing w:after="0" w:line="3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i w:val="1"/>
          <w:iCs w:val="1"/>
          <w:color w:val="auto"/>
        </w:rPr>
        <w:t>Clawback Policy</w:t>
      </w:r>
      <w:r>
        <w:rPr>
          <w:rFonts w:ascii="Arial" w:cs="Arial" w:eastAsia="Arial" w:hAnsi="Arial"/>
          <w:sz w:val="16"/>
          <w:szCs w:val="16"/>
          <w:color w:val="auto"/>
        </w:rPr>
        <w:t>: Embecta’s Compensation Committee has not adopted a clawback policy, but Embecta expects that it will adopt such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similar to BD’s clawback policy. BD’s clawback policy gives the BD Board of Directors the discretion to require senior leaders at BD to reimburse BD for any annual incentive award or performance-based long-term incentive payout that was based on financial results that were subsequently restated as a result of that person’s misconduct. The BD Board of Directors also has the discretion to cancel any equity compensation awards (or recover payouts under such awards) that were granted to such person with respect to the restated period, and to require the person to reimburse BD for any profits realized on any sale of BD stock occurring after the public issuance of the financial statements that were subsequently restated. The policy also gives the BD Board of Directors the authority to require executive officers and other senior leaders who were not involved in the misconduct to reimburse BD for the amount by which their annual incentive award or performance-based long-term incentive payouts exceeded the amount they would have received based on the restated results. Under the policy, BD may also cancel outstanding equity awards and recover any shares received upon the exercise or vesting of such awards (or any gain realized on the sale of such shares) to the extent the individual breaches any restrictive covenants, such as non-compete and non-solicitation covenants, contained in the agreements for such awards.</w:t>
      </w:r>
    </w:p>
    <w:p>
      <w:pPr>
        <w:spacing w:after="0" w:line="17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i w:val="1"/>
          <w:iCs w:val="1"/>
          <w:color w:val="auto"/>
        </w:rPr>
        <w:t>Share Ownership Guidelines</w:t>
      </w:r>
      <w:r>
        <w:rPr>
          <w:rFonts w:ascii="Arial" w:cs="Arial" w:eastAsia="Arial" w:hAnsi="Arial"/>
          <w:sz w:val="17"/>
          <w:szCs w:val="17"/>
          <w:color w:val="auto"/>
        </w:rPr>
        <w:t>: Embecta’s Compensation Committee has not yet adopted share ownership guidelines, but Embecta expects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will adopt such guidelines in order to increase executive share ownership and promote a long-term perspective when managing the business. Such share ownership guidelines may be similar to the BD share ownership guidelines, which require BD’s named executive officers and certain other senior executives to retain 50% of the net after-tax shares received from any equity compensation awards granted to them after they become subject to the guidelines, and require BD’s CEO to hold shares with a value equal to five times his salary.</w:t>
      </w:r>
    </w:p>
    <w:p>
      <w:pPr>
        <w:spacing w:after="0" w:line="17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i w:val="1"/>
          <w:iCs w:val="1"/>
          <w:color w:val="auto"/>
        </w:rPr>
        <w:t>Pledging and Hedging Policy</w:t>
      </w:r>
      <w:r>
        <w:rPr>
          <w:rFonts w:ascii="Arial" w:cs="Arial" w:eastAsia="Arial" w:hAnsi="Arial"/>
          <w:sz w:val="18"/>
          <w:szCs w:val="18"/>
          <w:color w:val="auto"/>
        </w:rPr>
        <w:t>: Embecta expects that the Embecta Compensation Committee will adopt a policy that prohibits all Embecta</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the named executive officers) and members of the Embecta Board of Directors from pledging any Embecta shares or other Embecta securities, or from engaging in options (including exchange-traded options), puts, calls, forward contracts or any other transactions that are intended to hedge against any decrease in the market value of Embecta shares or other Embecta securities granted to them as part of their compensation from Embecta or that are held directly or indirectly by them.</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4" w:right="479" w:bottom="1440" w:gutter="0" w:footer="0" w:header="0"/>
        </w:sectPr>
      </w:pPr>
    </w:p>
    <w:bookmarkStart w:id="320" w:name="page321"/>
    <w:bookmarkEnd w:id="3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OF NAMED EXECUTIVE OFFICERS</w:t>
      </w:r>
    </w:p>
    <w:p>
      <w:pPr>
        <w:spacing w:after="0" w:line="22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The following summary compensation table sets forth the total compensation paid or accrued for the fiscal year ended September 30, 2021, for Embecta’s NEOs.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Fiscal Year 2021 Summary Compensation Table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SAR</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Salary</w:t>
            </w:r>
          </w:p>
        </w:tc>
        <w:tc>
          <w:tcPr>
            <w:tcW w:w="8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w w:val="96"/>
              </w:rPr>
              <w:t>Bonus</w:t>
            </w: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r>
              <w:rPr>
                <w:rFonts w:ascii="Arial" w:cs="Arial" w:eastAsia="Arial" w:hAnsi="Arial"/>
                <w:sz w:val="12"/>
                <w:szCs w:val="12"/>
                <w:b w:val="1"/>
                <w:bCs w:val="1"/>
                <w:color w:val="auto"/>
                <w:w w:val="91"/>
              </w:rPr>
              <w:t>(1)</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60" w:type="dxa"/>
            <w:vAlign w:val="bottom"/>
          </w:tcPr>
          <w:p>
            <w:pPr>
              <w:spacing w:after="0"/>
              <w:rPr>
                <w:sz w:val="15"/>
                <w:szCs w:val="15"/>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2021</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446,849</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200,000</w:t>
            </w:r>
          </w:p>
        </w:tc>
        <w:tc>
          <w:tcPr>
            <w:tcW w:w="300" w:type="dxa"/>
            <w:vAlign w:val="bottom"/>
            <w:tcBorders>
              <w:top w:val="single" w:sz="8" w:color="CCEEFF"/>
            </w:tcBorders>
            <w:shd w:val="clear" w:color="auto" w:fill="CCEEFF"/>
          </w:tcPr>
          <w:p>
            <w:pPr>
              <w:jc w:val="right"/>
              <w:ind w:right="99"/>
              <w:spacing w:after="0" w:line="117" w:lineRule="exact"/>
              <w:rPr>
                <w:sz w:val="20"/>
                <w:szCs w:val="20"/>
                <w:color w:val="auto"/>
              </w:rPr>
            </w:pPr>
            <w:r>
              <w:rPr>
                <w:rFonts w:ascii="Arial" w:cs="Arial" w:eastAsia="Arial" w:hAnsi="Arial"/>
                <w:sz w:val="12"/>
                <w:szCs w:val="12"/>
                <w:color w:val="auto"/>
                <w:w w:val="81"/>
              </w:rPr>
              <w:t>(6)</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1,185,240</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790,062</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536,366</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9,587</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3,168,100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182,466</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w w:val="94"/>
              </w:rPr>
              <w:t>150,000</w:t>
            </w:r>
            <w:r>
              <w:rPr>
                <w:rFonts w:ascii="Arial" w:cs="Arial" w:eastAsia="Arial" w:hAnsi="Arial"/>
                <w:sz w:val="12"/>
                <w:szCs w:val="12"/>
                <w:color w:val="auto"/>
                <w:w w:val="94"/>
              </w:rPr>
              <w:t>(7)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197,296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180,368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6,309</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716,439</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and Chief Financial Officer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8"/>
              </w:rPr>
              <w:t>331,835</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83,468</w:t>
            </w:r>
            <w:r>
              <w:rPr>
                <w:rFonts w:ascii="Arial" w:cs="Arial" w:eastAsia="Arial" w:hAnsi="Arial"/>
                <w:sz w:val="12"/>
                <w:szCs w:val="12"/>
                <w:color w:val="auto"/>
              </w:rPr>
              <w:t>(8)</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169,016</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4"/>
              </w:rPr>
              <w:t>147,659</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192,557</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32,110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9,007</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965,652</w:t>
            </w: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SVP and Chief Human Resources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276,503</w:t>
            </w:r>
          </w:p>
        </w:tc>
        <w:tc>
          <w:tcPr>
            <w:tcW w:w="800" w:type="dxa"/>
            <w:vAlign w:val="bottom"/>
            <w:gridSpan w:val="2"/>
          </w:tcPr>
          <w:p>
            <w:pPr>
              <w:jc w:val="right"/>
              <w:ind w:right="239"/>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118,769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92,119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135,891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89,596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708,874</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Global Manufacturing and Supply Chain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Jeff Mann</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75,000</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(9)</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169,036</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294,036</w:t>
            </w:r>
          </w:p>
        </w:tc>
        <w:tc>
          <w:tcPr>
            <w:tcW w:w="0" w:type="dxa"/>
            <w:vAlign w:val="bottom"/>
          </w:tcPr>
          <w:p>
            <w:pPr>
              <w:spacing w:after="0"/>
              <w:rPr>
                <w:sz w:val="1"/>
                <w:szCs w:val="1"/>
                <w:color w:val="auto"/>
              </w:rPr>
            </w:pPr>
          </w:p>
        </w:tc>
      </w:tr>
      <w:tr>
        <w:trPr>
          <w:trHeight w:val="148"/>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SVP, General Counsel, Head of Corporate Development and</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Secretary</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24" w:hanging="424"/>
        <w:spacing w:after="0"/>
        <w:tabs>
          <w:tab w:leader="none" w:pos="424" w:val="left"/>
        </w:tabs>
        <w:numPr>
          <w:ilvl w:val="0"/>
          <w:numId w:val="348"/>
        </w:numPr>
        <w:rPr>
          <w:rFonts w:ascii="Arial" w:cs="Arial" w:eastAsia="Arial" w:hAnsi="Arial"/>
          <w:sz w:val="14"/>
          <w:szCs w:val="14"/>
          <w:color w:val="auto"/>
        </w:rPr>
      </w:pPr>
      <w:r>
        <w:rPr>
          <w:rFonts w:ascii="Arial" w:cs="Arial" w:eastAsia="Arial" w:hAnsi="Arial"/>
          <w:sz w:val="14"/>
          <w:szCs w:val="14"/>
          <w:color w:val="auto"/>
        </w:rPr>
        <w:t>Mr. Kurdikar was hired in February 2021. Mr. Elguicze was hired in May 2021. Mr. Mann was hired in August 2021.</w:t>
      </w:r>
    </w:p>
    <w:p>
      <w:pPr>
        <w:ind w:left="424" w:right="140" w:hanging="424"/>
        <w:spacing w:after="0" w:line="232" w:lineRule="auto"/>
        <w:tabs>
          <w:tab w:leader="none" w:pos="424" w:val="left"/>
        </w:tabs>
        <w:numPr>
          <w:ilvl w:val="0"/>
          <w:numId w:val="348"/>
        </w:numPr>
        <w:rPr>
          <w:rFonts w:ascii="Arial" w:cs="Arial" w:eastAsia="Arial" w:hAnsi="Arial"/>
          <w:sz w:val="14"/>
          <w:szCs w:val="14"/>
          <w:color w:val="auto"/>
        </w:rPr>
      </w:pPr>
      <w:r>
        <w:rPr>
          <w:rFonts w:ascii="Arial" w:cs="Arial" w:eastAsia="Arial" w:hAnsi="Arial"/>
          <w:sz w:val="14"/>
          <w:szCs w:val="14"/>
          <w:i w:val="1"/>
          <w:iCs w:val="1"/>
          <w:color w:val="auto"/>
        </w:rPr>
        <w:t xml:space="preserve">Stock Awards and SAR Awards. </w:t>
      </w:r>
      <w:r>
        <w:rPr>
          <w:rFonts w:ascii="Arial" w:cs="Arial" w:eastAsia="Arial" w:hAnsi="Arial"/>
          <w:sz w:val="14"/>
          <w:szCs w:val="14"/>
          <w:color w:val="auto"/>
        </w:rPr>
        <w:t>The amounts shown in the “Stock Awards” column and “SAR Awards” column reflect the grant date fair value of the awards under FASB ASC Topic</w:t>
      </w:r>
      <w:r>
        <w:rPr>
          <w:rFonts w:ascii="Arial" w:cs="Arial" w:eastAsia="Arial" w:hAnsi="Arial"/>
          <w:sz w:val="14"/>
          <w:szCs w:val="14"/>
          <w:i w:val="1"/>
          <w:iCs w:val="1"/>
          <w:color w:val="auto"/>
        </w:rPr>
        <w:t xml:space="preserve"> </w:t>
      </w:r>
      <w:r>
        <w:rPr>
          <w:rFonts w:ascii="Arial" w:cs="Arial" w:eastAsia="Arial" w:hAnsi="Arial"/>
          <w:sz w:val="14"/>
          <w:szCs w:val="14"/>
          <w:color w:val="auto"/>
        </w:rPr>
        <w:t>718 (disregarding estimated forfeitures). For a description of the methodology and assumptions used to determine the amounts reflected in these columns, see Note 8 to the consolidated financial statements contained in BD’s Annual Report on Form 10-K for the fiscal year ended September 30, 2021.</w:t>
      </w:r>
    </w:p>
    <w:p>
      <w:pPr>
        <w:spacing w:after="0" w:line="75" w:lineRule="exact"/>
        <w:rPr>
          <w:sz w:val="20"/>
          <w:szCs w:val="20"/>
          <w:color w:val="auto"/>
        </w:rPr>
      </w:pPr>
    </w:p>
    <w:p>
      <w:pPr>
        <w:ind w:left="864"/>
        <w:spacing w:after="0"/>
        <w:rPr>
          <w:sz w:val="20"/>
          <w:szCs w:val="20"/>
          <w:color w:val="auto"/>
        </w:rPr>
      </w:pPr>
      <w:r>
        <w:rPr>
          <w:rFonts w:ascii="Arial" w:cs="Arial" w:eastAsia="Arial" w:hAnsi="Arial"/>
          <w:sz w:val="13"/>
          <w:szCs w:val="13"/>
          <w:color w:val="auto"/>
        </w:rPr>
        <w:t>The amounts shown in the “Stock Awards” column for fiscal year 2021 include Performance Units and reflect the grant date fair values of these awards at target payout of the</w:t>
      </w:r>
    </w:p>
    <w:p>
      <w:pPr>
        <w:spacing w:after="0" w:line="11" w:lineRule="exact"/>
        <w:rPr>
          <w:sz w:val="20"/>
          <w:szCs w:val="20"/>
          <w:color w:val="auto"/>
        </w:rPr>
      </w:pPr>
    </w:p>
    <w:p>
      <w:pPr>
        <w:ind w:left="444"/>
        <w:spacing w:after="0"/>
        <w:rPr>
          <w:sz w:val="20"/>
          <w:szCs w:val="20"/>
          <w:color w:val="auto"/>
        </w:rPr>
      </w:pPr>
      <w:r>
        <w:rPr>
          <w:rFonts w:ascii="Arial" w:cs="Arial" w:eastAsia="Arial" w:hAnsi="Arial"/>
          <w:sz w:val="14"/>
          <w:szCs w:val="14"/>
          <w:color w:val="auto"/>
        </w:rPr>
        <w:t>Performance Units. Below are the grant date fair values of the Performance Unit awards, assuming a maximum payout of 200% of target:</w:t>
      </w:r>
    </w:p>
    <w:p>
      <w:pPr>
        <w:spacing w:after="0" w:line="202"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440" w:type="dxa"/>
            <w:vAlign w:val="bottom"/>
          </w:tcPr>
          <w:p>
            <w:pPr>
              <w:spacing w:after="0"/>
              <w:rPr>
                <w:sz w:val="13"/>
                <w:szCs w:val="13"/>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20" w:type="dxa"/>
            <w:vAlign w:val="bottom"/>
            <w:vMerge w:val="restart"/>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Target Payout</w:t>
            </w:r>
          </w:p>
        </w:tc>
        <w:tc>
          <w:tcPr>
            <w:tcW w:w="158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Maximum Payout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54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Devdatt (Dev) Kurdikar</w:t>
            </w:r>
          </w:p>
        </w:tc>
        <w:tc>
          <w:tcPr>
            <w:tcW w:w="8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790,097</w:t>
            </w:r>
          </w:p>
        </w:tc>
        <w:tc>
          <w:tcPr>
            <w:tcW w:w="4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1,580,195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Jacob (Jake) Elguicze</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Ajay Kumar</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112,468</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224,937</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Shaun Curtis</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79,008</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158,017</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4" w:right="380" w:hanging="424"/>
        <w:spacing w:after="0" w:line="230" w:lineRule="auto"/>
        <w:tabs>
          <w:tab w:leader="none" w:pos="424" w:val="left"/>
        </w:tabs>
        <w:numPr>
          <w:ilvl w:val="0"/>
          <w:numId w:val="349"/>
        </w:numPr>
        <w:rPr>
          <w:rFonts w:ascii="Arial" w:cs="Arial" w:eastAsia="Arial" w:hAnsi="Arial"/>
          <w:sz w:val="14"/>
          <w:szCs w:val="14"/>
          <w:color w:val="auto"/>
        </w:rPr>
      </w:pPr>
      <w:r>
        <w:rPr>
          <w:rFonts w:ascii="Arial" w:cs="Arial" w:eastAsia="Arial" w:hAnsi="Arial"/>
          <w:sz w:val="14"/>
          <w:szCs w:val="14"/>
          <w:i w:val="1"/>
          <w:iCs w:val="1"/>
          <w:color w:val="auto"/>
        </w:rPr>
        <w:t xml:space="preserve">Non-Equity Incentive Plan Compensation. </w:t>
      </w:r>
      <w:r>
        <w:rPr>
          <w:rFonts w:ascii="Arial" w:cs="Arial" w:eastAsia="Arial" w:hAnsi="Arial"/>
          <w:sz w:val="14"/>
          <w:szCs w:val="14"/>
          <w:color w:val="auto"/>
        </w:rPr>
        <w:t>Includes amounts earned under BD’s PIP. These amounts are paid in January following the fiscal year in which they are earned, unless</w:t>
      </w:r>
      <w:r>
        <w:rPr>
          <w:rFonts w:ascii="Arial" w:cs="Arial" w:eastAsia="Arial" w:hAnsi="Arial"/>
          <w:sz w:val="14"/>
          <w:szCs w:val="14"/>
          <w:i w:val="1"/>
          <w:iCs w:val="1"/>
          <w:color w:val="auto"/>
        </w:rPr>
        <w:t xml:space="preserve"> </w:t>
      </w:r>
      <w:r>
        <w:rPr>
          <w:rFonts w:ascii="Arial" w:cs="Arial" w:eastAsia="Arial" w:hAnsi="Arial"/>
          <w:sz w:val="14"/>
          <w:szCs w:val="14"/>
          <w:color w:val="auto"/>
        </w:rPr>
        <w:t>deferred at the election of the NEO. Mr. Mann was not eligible for a FY21 PIP award as he was hired after the July cut-off date for the plan year.</w:t>
      </w:r>
    </w:p>
    <w:p>
      <w:pPr>
        <w:ind w:left="424" w:hanging="424"/>
        <w:spacing w:after="0"/>
        <w:tabs>
          <w:tab w:leader="none" w:pos="424" w:val="left"/>
        </w:tabs>
        <w:numPr>
          <w:ilvl w:val="0"/>
          <w:numId w:val="349"/>
        </w:numPr>
        <w:rPr>
          <w:rFonts w:ascii="Arial" w:cs="Arial" w:eastAsia="Arial" w:hAnsi="Arial"/>
          <w:sz w:val="14"/>
          <w:szCs w:val="14"/>
          <w:color w:val="auto"/>
        </w:rPr>
      </w:pPr>
      <w:r>
        <w:rPr>
          <w:rFonts w:ascii="Arial" w:cs="Arial" w:eastAsia="Arial" w:hAnsi="Arial"/>
          <w:sz w:val="14"/>
          <w:szCs w:val="14"/>
          <w:i w:val="1"/>
          <w:iCs w:val="1"/>
          <w:color w:val="auto"/>
        </w:rPr>
        <w:t>Change in Pension Value and Nonqualified Deferred Compensation Earnings.</w:t>
      </w:r>
    </w:p>
    <w:p>
      <w:pPr>
        <w:spacing w:after="0" w:line="84" w:lineRule="exact"/>
        <w:rPr>
          <w:sz w:val="20"/>
          <w:szCs w:val="20"/>
          <w:color w:val="auto"/>
        </w:rPr>
      </w:pPr>
    </w:p>
    <w:p>
      <w:pPr>
        <w:ind w:left="444" w:right="20" w:firstLine="423"/>
        <w:spacing w:after="0" w:line="231" w:lineRule="auto"/>
        <w:rPr>
          <w:sz w:val="20"/>
          <w:szCs w:val="20"/>
          <w:color w:val="auto"/>
        </w:rPr>
      </w:pPr>
      <w:r>
        <w:rPr>
          <w:rFonts w:ascii="Arial" w:cs="Arial" w:eastAsia="Arial" w:hAnsi="Arial"/>
          <w:sz w:val="14"/>
          <w:szCs w:val="14"/>
          <w:i w:val="1"/>
          <w:iCs w:val="1"/>
          <w:color w:val="auto"/>
        </w:rPr>
        <w:t>Pension</w:t>
      </w:r>
      <w:r>
        <w:rPr>
          <w:rFonts w:ascii="Arial" w:cs="Arial" w:eastAsia="Arial" w:hAnsi="Arial"/>
          <w:sz w:val="14"/>
          <w:szCs w:val="14"/>
          <w:color w:val="auto"/>
        </w:rPr>
        <w:t>—Amounts shown are the aggregate changes in the actuarial present value of accumulated benefits under defined benefit pension plans (including BD’s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DCP). These amounts represent the difference between the present value of accumulated pension benefits (determined as of the first date on which the executive is eligible to retire and commence unreduced benefit payments) at the beginning and end of the fiscal years shown. Only Mr. Kumar participates in BD’s defined benefit pension plans, which were closed to new participants effective January 1, 2018. Additional information regarding the pension benefits of Embecta’s NEOs is discussed in the section entitled “Compensation of Named Executive Officers—Pension Benefits at 2021 Fiscal Year-End” .</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4"/>
          </w:cols>
          <w:pgMar w:left="436" w:top="270" w:right="439" w:bottom="1440" w:gutter="0" w:footer="0" w:header="0"/>
        </w:sectPr>
      </w:pPr>
    </w:p>
    <w:bookmarkStart w:id="321" w:name="page322"/>
    <w:bookmarkEnd w:id="321"/>
    <w:p>
      <w:pPr>
        <w:ind w:left="444" w:right="140" w:firstLine="423"/>
        <w:spacing w:after="0" w:line="23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Deferred Compensation</w:t>
      </w:r>
      <w:r>
        <w:rPr>
          <w:rFonts w:ascii="Arial" w:cs="Arial" w:eastAsia="Arial" w:hAnsi="Arial"/>
          <w:sz w:val="14"/>
          <w:szCs w:val="14"/>
          <w:color w:val="auto"/>
        </w:rPr>
        <w:t>—Earnings on nonqualified deferred compensation are not included in this column, because no NEO earned above-market or preferential earnings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in the rules of the SEC) on nonqualified deferred compensation during the fiscal years shown. Information on the NEOs’ nonqualified deferred compensation accounts is as discussed in the section entitled “Compensation of Named Executive Officers—Deferred Compensation” .</w:t>
      </w:r>
    </w:p>
    <w:p>
      <w:pPr>
        <w:spacing w:after="0" w:line="88" w:lineRule="exact"/>
        <w:rPr>
          <w:sz w:val="20"/>
          <w:szCs w:val="20"/>
          <w:color w:val="auto"/>
        </w:rPr>
      </w:pPr>
    </w:p>
    <w:p>
      <w:pPr>
        <w:ind w:left="424" w:hanging="424"/>
        <w:spacing w:after="0"/>
        <w:tabs>
          <w:tab w:leader="none" w:pos="424" w:val="left"/>
        </w:tabs>
        <w:numPr>
          <w:ilvl w:val="0"/>
          <w:numId w:val="350"/>
        </w:numPr>
        <w:rPr>
          <w:rFonts w:ascii="Arial" w:cs="Arial" w:eastAsia="Arial" w:hAnsi="Arial"/>
          <w:sz w:val="14"/>
          <w:szCs w:val="14"/>
          <w:color w:val="auto"/>
        </w:rPr>
      </w:pPr>
      <w:r>
        <w:rPr>
          <w:rFonts w:ascii="Arial" w:cs="Arial" w:eastAsia="Arial" w:hAnsi="Arial"/>
          <w:sz w:val="14"/>
          <w:szCs w:val="14"/>
          <w:i w:val="1"/>
          <w:iCs w:val="1"/>
          <w:color w:val="auto"/>
        </w:rPr>
        <w:t xml:space="preserve">All Other Compensation. </w:t>
      </w:r>
      <w:r>
        <w:rPr>
          <w:rFonts w:ascii="Arial" w:cs="Arial" w:eastAsia="Arial" w:hAnsi="Arial"/>
          <w:sz w:val="14"/>
          <w:szCs w:val="14"/>
          <w:color w:val="auto"/>
        </w:rPr>
        <w:t>Amounts shown for fiscal year 2021 include the following:</w:t>
      </w:r>
    </w:p>
    <w:p>
      <w:pPr>
        <w:spacing w:after="0" w:line="21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Devdatt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Jacob</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Ajay</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Shaun</w:t>
            </w:r>
          </w:p>
        </w:tc>
        <w:tc>
          <w:tcPr>
            <w:tcW w:w="80" w:type="dxa"/>
            <w:vAlign w:val="bottom"/>
          </w:tcPr>
          <w:p>
            <w:pPr>
              <w:spacing w:after="0"/>
              <w:rPr>
                <w:sz w:val="14"/>
                <w:szCs w:val="14"/>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Jeff</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(Dev)</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(Jake)</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Kurdikar</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Elguicze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Kumar</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Curtis</w:t>
            </w:r>
          </w:p>
        </w:tc>
        <w:tc>
          <w:tcPr>
            <w:tcW w:w="8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Mann</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Matching contributions under plans</w:t>
            </w:r>
          </w:p>
        </w:tc>
        <w:tc>
          <w:tcPr>
            <w:tcW w:w="2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1"/>
              </w:rPr>
              <w:t>6,309</w:t>
            </w:r>
          </w:p>
        </w:tc>
        <w:tc>
          <w:tcPr>
            <w:tcW w:w="3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$ 8,807</w:t>
            </w:r>
          </w:p>
        </w:tc>
        <w:tc>
          <w:tcPr>
            <w:tcW w:w="3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4"/>
              </w:rPr>
              <w:t>$ 10,983</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Matching charitable gifts</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200</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Relocation assistance</w:t>
            </w:r>
          </w:p>
        </w:tc>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$ 78,613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Total</w:t>
            </w:r>
          </w:p>
        </w:tc>
        <w:tc>
          <w:tcPr>
            <w:tcW w:w="2320" w:type="dxa"/>
            <w:vAlign w:val="bottom"/>
            <w:gridSpan w:val="2"/>
          </w:tcPr>
          <w:p>
            <w:pPr>
              <w:ind w:left="2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9,587</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6,309</w:t>
            </w:r>
          </w:p>
        </w:tc>
        <w:tc>
          <w:tcPr>
            <w:tcW w:w="800" w:type="dxa"/>
            <w:vAlign w:val="bottom"/>
            <w:gridSpan w:val="2"/>
          </w:tcPr>
          <w:p>
            <w:pPr>
              <w:spacing w:after="0"/>
              <w:rPr>
                <w:sz w:val="20"/>
                <w:szCs w:val="20"/>
                <w:color w:val="auto"/>
              </w:rPr>
            </w:pPr>
            <w:r>
              <w:rPr>
                <w:rFonts w:ascii="Arial" w:cs="Arial" w:eastAsia="Arial" w:hAnsi="Arial"/>
                <w:sz w:val="14"/>
                <w:szCs w:val="14"/>
                <w:color w:val="auto"/>
              </w:rPr>
              <w:t>$ 9,007</w:t>
            </w:r>
          </w:p>
        </w:tc>
        <w:tc>
          <w:tcPr>
            <w:tcW w:w="840" w:type="dxa"/>
            <w:vAlign w:val="bottom"/>
            <w:gridSpan w:val="2"/>
          </w:tcPr>
          <w:p>
            <w:pPr>
              <w:spacing w:after="0"/>
              <w:rPr>
                <w:sz w:val="20"/>
                <w:szCs w:val="20"/>
                <w:color w:val="auto"/>
              </w:rPr>
            </w:pPr>
            <w:r>
              <w:rPr>
                <w:rFonts w:ascii="Arial" w:cs="Arial" w:eastAsia="Arial" w:hAnsi="Arial"/>
                <w:sz w:val="14"/>
                <w:szCs w:val="14"/>
                <w:color w:val="auto"/>
              </w:rPr>
              <w:t>$ 89,596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4"/>
        <w:spacing w:after="0"/>
        <w:rPr>
          <w:sz w:val="20"/>
          <w:szCs w:val="20"/>
          <w:color w:val="auto"/>
        </w:rPr>
      </w:pPr>
      <w:r>
        <w:rPr>
          <w:rFonts w:ascii="Arial" w:cs="Arial" w:eastAsia="Arial" w:hAnsi="Arial"/>
          <w:sz w:val="14"/>
          <w:szCs w:val="14"/>
          <w:color w:val="auto"/>
        </w:rPr>
        <w:t>The following is a description of these benefits:</w:t>
      </w:r>
    </w:p>
    <w:p>
      <w:pPr>
        <w:spacing w:after="0" w:line="109" w:lineRule="exact"/>
        <w:rPr>
          <w:sz w:val="20"/>
          <w:szCs w:val="20"/>
          <w:color w:val="auto"/>
        </w:rPr>
      </w:pPr>
    </w:p>
    <w:p>
      <w:pPr>
        <w:ind w:left="1304" w:hanging="427"/>
        <w:spacing w:after="0"/>
        <w:tabs>
          <w:tab w:leader="none" w:pos="1304" w:val="left"/>
        </w:tabs>
        <w:numPr>
          <w:ilvl w:val="1"/>
          <w:numId w:val="351"/>
        </w:numPr>
        <w:rPr>
          <w:rFonts w:ascii="Arial" w:cs="Arial" w:eastAsia="Arial" w:hAnsi="Arial"/>
          <w:sz w:val="14"/>
          <w:szCs w:val="14"/>
          <w:color w:val="auto"/>
        </w:rPr>
      </w:pPr>
      <w:r>
        <w:rPr>
          <w:rFonts w:ascii="Arial" w:cs="Arial" w:eastAsia="Arial" w:hAnsi="Arial"/>
          <w:sz w:val="14"/>
          <w:szCs w:val="14"/>
          <w:i w:val="1"/>
          <w:iCs w:val="1"/>
          <w:color w:val="auto"/>
        </w:rPr>
        <w:t>Matching Contributions under Plans</w:t>
      </w:r>
      <w:r>
        <w:rPr>
          <w:rFonts w:ascii="Arial" w:cs="Arial" w:eastAsia="Arial" w:hAnsi="Arial"/>
          <w:sz w:val="14"/>
          <w:szCs w:val="14"/>
          <w:color w:val="auto"/>
        </w:rPr>
        <w:t>—The amounts shown reflect BD matching contributions credited pursuant to defined contribution plans.</w:t>
      </w:r>
    </w:p>
    <w:p>
      <w:pPr>
        <w:spacing w:after="0" w:line="109" w:lineRule="exact"/>
        <w:rPr>
          <w:rFonts w:ascii="Arial" w:cs="Arial" w:eastAsia="Arial" w:hAnsi="Arial"/>
          <w:sz w:val="14"/>
          <w:szCs w:val="14"/>
          <w:color w:val="auto"/>
        </w:rPr>
      </w:pPr>
    </w:p>
    <w:p>
      <w:pPr>
        <w:ind w:left="1304" w:right="500" w:hanging="427"/>
        <w:spacing w:after="0" w:line="253" w:lineRule="auto"/>
        <w:tabs>
          <w:tab w:leader="none" w:pos="1304" w:val="left"/>
        </w:tabs>
        <w:numPr>
          <w:ilvl w:val="1"/>
          <w:numId w:val="351"/>
        </w:numPr>
        <w:rPr>
          <w:rFonts w:ascii="Arial" w:cs="Arial" w:eastAsia="Arial" w:hAnsi="Arial"/>
          <w:sz w:val="14"/>
          <w:szCs w:val="14"/>
          <w:color w:val="auto"/>
        </w:rPr>
      </w:pPr>
      <w:r>
        <w:rPr>
          <w:rFonts w:ascii="Arial" w:cs="Arial" w:eastAsia="Arial" w:hAnsi="Arial"/>
          <w:sz w:val="14"/>
          <w:szCs w:val="14"/>
          <w:i w:val="1"/>
          <w:iCs w:val="1"/>
          <w:color w:val="auto"/>
        </w:rPr>
        <w:t>Matching Charitable Gifts</w:t>
      </w:r>
      <w:r>
        <w:rPr>
          <w:rFonts w:ascii="Arial" w:cs="Arial" w:eastAsia="Arial" w:hAnsi="Arial"/>
          <w:sz w:val="14"/>
          <w:szCs w:val="14"/>
          <w:color w:val="auto"/>
        </w:rPr>
        <w:t>—The amounts shown are matching contributions made (or committed to be made) through matching gift programs, under which BD</w:t>
      </w:r>
      <w:r>
        <w:rPr>
          <w:rFonts w:ascii="Arial" w:cs="Arial" w:eastAsia="Arial" w:hAnsi="Arial"/>
          <w:sz w:val="14"/>
          <w:szCs w:val="14"/>
          <w:i w:val="1"/>
          <w:iCs w:val="1"/>
          <w:color w:val="auto"/>
        </w:rPr>
        <w:t xml:space="preserve"> </w:t>
      </w:r>
      <w:r>
        <w:rPr>
          <w:rFonts w:ascii="Arial" w:cs="Arial" w:eastAsia="Arial" w:hAnsi="Arial"/>
          <w:sz w:val="14"/>
          <w:szCs w:val="14"/>
          <w:color w:val="auto"/>
        </w:rPr>
        <w:t>matches charitable contributions made to qualifying non-profit organizations, subject to a $5,000 per calendar year limit.</w:t>
      </w:r>
    </w:p>
    <w:p>
      <w:pPr>
        <w:spacing w:after="0" w:line="79" w:lineRule="exact"/>
        <w:rPr>
          <w:rFonts w:ascii="Arial" w:cs="Arial" w:eastAsia="Arial" w:hAnsi="Arial"/>
          <w:sz w:val="14"/>
          <w:szCs w:val="14"/>
          <w:color w:val="auto"/>
        </w:rPr>
      </w:pPr>
    </w:p>
    <w:p>
      <w:pPr>
        <w:ind w:left="1304" w:right="60" w:hanging="427"/>
        <w:spacing w:after="0" w:line="253" w:lineRule="auto"/>
        <w:tabs>
          <w:tab w:leader="none" w:pos="1304" w:val="left"/>
        </w:tabs>
        <w:numPr>
          <w:ilvl w:val="1"/>
          <w:numId w:val="351"/>
        </w:numPr>
        <w:rPr>
          <w:rFonts w:ascii="Arial" w:cs="Arial" w:eastAsia="Arial" w:hAnsi="Arial"/>
          <w:sz w:val="14"/>
          <w:szCs w:val="14"/>
          <w:color w:val="auto"/>
        </w:rPr>
      </w:pPr>
      <w:r>
        <w:rPr>
          <w:rFonts w:ascii="Arial" w:cs="Arial" w:eastAsia="Arial" w:hAnsi="Arial"/>
          <w:sz w:val="14"/>
          <w:szCs w:val="14"/>
          <w:i w:val="1"/>
          <w:iCs w:val="1"/>
          <w:color w:val="auto"/>
        </w:rPr>
        <w:t>Relocation Assistance</w:t>
      </w:r>
      <w:r>
        <w:rPr>
          <w:rFonts w:ascii="Arial" w:cs="Arial" w:eastAsia="Arial" w:hAnsi="Arial"/>
          <w:sz w:val="14"/>
          <w:szCs w:val="14"/>
          <w:color w:val="auto"/>
        </w:rPr>
        <w:t>—BD provided Messrs. Curtis and Mann with relocation assistance in connection with their hire, including moving expenses, housing allowance,</w:t>
      </w:r>
      <w:r>
        <w:rPr>
          <w:rFonts w:ascii="Arial" w:cs="Arial" w:eastAsia="Arial" w:hAnsi="Arial"/>
          <w:sz w:val="14"/>
          <w:szCs w:val="14"/>
          <w:i w:val="1"/>
          <w:iCs w:val="1"/>
          <w:color w:val="auto"/>
        </w:rPr>
        <w:t xml:space="preserve"> </w:t>
      </w:r>
      <w:r>
        <w:rPr>
          <w:rFonts w:ascii="Arial" w:cs="Arial" w:eastAsia="Arial" w:hAnsi="Arial"/>
          <w:sz w:val="14"/>
          <w:szCs w:val="14"/>
          <w:color w:val="auto"/>
        </w:rPr>
        <w:t>and home purchase and sale assistance.</w:t>
      </w:r>
    </w:p>
    <w:p>
      <w:pPr>
        <w:spacing w:after="0" w:line="78" w:lineRule="exact"/>
        <w:rPr>
          <w:rFonts w:ascii="Arial" w:cs="Arial" w:eastAsia="Arial" w:hAnsi="Arial"/>
          <w:sz w:val="14"/>
          <w:szCs w:val="14"/>
          <w:color w:val="auto"/>
        </w:rPr>
      </w:pPr>
    </w:p>
    <w:p>
      <w:pPr>
        <w:ind w:left="424" w:hanging="424"/>
        <w:spacing w:after="0"/>
        <w:tabs>
          <w:tab w:leader="none" w:pos="424" w:val="left"/>
        </w:tabs>
        <w:numPr>
          <w:ilvl w:val="0"/>
          <w:numId w:val="351"/>
        </w:numPr>
        <w:rPr>
          <w:rFonts w:ascii="Arial" w:cs="Arial" w:eastAsia="Arial" w:hAnsi="Arial"/>
          <w:sz w:val="14"/>
          <w:szCs w:val="14"/>
          <w:color w:val="auto"/>
        </w:rPr>
      </w:pPr>
      <w:r>
        <w:rPr>
          <w:rFonts w:ascii="Arial" w:cs="Arial" w:eastAsia="Arial" w:hAnsi="Arial"/>
          <w:sz w:val="14"/>
          <w:szCs w:val="14"/>
          <w:color w:val="auto"/>
        </w:rPr>
        <w:t>Represents amounts paid to Mr. Kurdikar pursuant to his sign-on arrangements.</w:t>
      </w:r>
    </w:p>
    <w:p>
      <w:pPr>
        <w:ind w:left="424" w:hanging="424"/>
        <w:spacing w:after="0" w:line="221" w:lineRule="auto"/>
        <w:tabs>
          <w:tab w:leader="none" w:pos="424" w:val="left"/>
        </w:tabs>
        <w:numPr>
          <w:ilvl w:val="0"/>
          <w:numId w:val="351"/>
        </w:numPr>
        <w:rPr>
          <w:rFonts w:ascii="Arial" w:cs="Arial" w:eastAsia="Arial" w:hAnsi="Arial"/>
          <w:sz w:val="14"/>
          <w:szCs w:val="14"/>
          <w:color w:val="auto"/>
        </w:rPr>
      </w:pPr>
      <w:r>
        <w:rPr>
          <w:rFonts w:ascii="Arial" w:cs="Arial" w:eastAsia="Arial" w:hAnsi="Arial"/>
          <w:sz w:val="14"/>
          <w:szCs w:val="14"/>
          <w:color w:val="auto"/>
        </w:rPr>
        <w:t>Represents amounts paid to Mr. Elguicze pursuant to his sign-on arrangements.</w:t>
      </w:r>
    </w:p>
    <w:p>
      <w:pPr>
        <w:ind w:left="424" w:hanging="424"/>
        <w:spacing w:after="0" w:line="221" w:lineRule="auto"/>
        <w:tabs>
          <w:tab w:leader="none" w:pos="424" w:val="left"/>
        </w:tabs>
        <w:numPr>
          <w:ilvl w:val="0"/>
          <w:numId w:val="351"/>
        </w:numPr>
        <w:rPr>
          <w:rFonts w:ascii="Arial" w:cs="Arial" w:eastAsia="Arial" w:hAnsi="Arial"/>
          <w:sz w:val="14"/>
          <w:szCs w:val="14"/>
          <w:color w:val="auto"/>
        </w:rPr>
      </w:pPr>
      <w:r>
        <w:rPr>
          <w:rFonts w:ascii="Arial" w:cs="Arial" w:eastAsia="Arial" w:hAnsi="Arial"/>
          <w:sz w:val="14"/>
          <w:szCs w:val="14"/>
          <w:color w:val="auto"/>
        </w:rPr>
        <w:t>Represents amounts paid to Mr. Kumar pursuant to his sign-on arrangements.</w:t>
      </w:r>
    </w:p>
    <w:p>
      <w:pPr>
        <w:ind w:left="424" w:hanging="424"/>
        <w:spacing w:after="0"/>
        <w:tabs>
          <w:tab w:leader="none" w:pos="424" w:val="left"/>
        </w:tabs>
        <w:numPr>
          <w:ilvl w:val="0"/>
          <w:numId w:val="351"/>
        </w:numPr>
        <w:rPr>
          <w:rFonts w:ascii="Arial" w:cs="Arial" w:eastAsia="Arial" w:hAnsi="Arial"/>
          <w:sz w:val="14"/>
          <w:szCs w:val="14"/>
          <w:color w:val="auto"/>
        </w:rPr>
      </w:pPr>
      <w:r>
        <w:rPr>
          <w:rFonts w:ascii="Arial" w:cs="Arial" w:eastAsia="Arial" w:hAnsi="Arial"/>
          <w:sz w:val="14"/>
          <w:szCs w:val="14"/>
          <w:color w:val="auto"/>
        </w:rPr>
        <w:t>Represents amounts paid to Mr. Mann pursuant to his sign-on arrangements.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Information Regarding Plan Awards in Fiscal Year 2021</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Set forth below is information regarding awards granted to the NEOs in fiscal year 2021. The non-equity incentive plan awards were made under the BD PIP. The equity compensation awards were made under the BD 2004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4"/>
          </w:cols>
          <w:pgMar w:left="436" w:top="269" w:right="439" w:bottom="1440" w:gutter="0" w:footer="0" w:header="0"/>
        </w:sectPr>
      </w:pPr>
    </w:p>
    <w:bookmarkStart w:id="322" w:name="page323"/>
    <w:bookmarkEnd w:id="3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of Plan-Based Awards in Fiscal Year 2021</w:t>
      </w:r>
    </w:p>
    <w:p>
      <w:pPr>
        <w:spacing w:after="0" w:line="26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89"/>
              </w:rPr>
              <w:t>Estimated Possible Payouts</w:t>
            </w:r>
          </w:p>
        </w:tc>
        <w:tc>
          <w:tcPr>
            <w:tcW w:w="21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SAR</w:t>
            </w:r>
          </w:p>
        </w:tc>
        <w:tc>
          <w:tcPr>
            <w:tcW w:w="660" w:type="dxa"/>
            <w:vAlign w:val="bottom"/>
            <w:gridSpan w:val="2"/>
            <w:vMerge w:val="continue"/>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vMerge w:val="continue"/>
          </w:tcPr>
          <w:p>
            <w:pPr>
              <w:spacing w:after="0"/>
              <w:rPr>
                <w:sz w:val="12"/>
                <w:szCs w:val="12"/>
                <w:color w:val="auto"/>
              </w:rPr>
            </w:pPr>
          </w:p>
        </w:tc>
        <w:tc>
          <w:tcPr>
            <w:tcW w:w="2100" w:type="dxa"/>
            <w:vAlign w:val="bottom"/>
            <w:gridSpan w:val="6"/>
            <w:vMerge w:val="continue"/>
          </w:tcPr>
          <w:p>
            <w:pPr>
              <w:spacing w:after="0"/>
              <w:rPr>
                <w:sz w:val="12"/>
                <w:szCs w:val="12"/>
                <w:color w:val="auto"/>
              </w:rPr>
            </w:pPr>
          </w:p>
        </w:tc>
        <w:tc>
          <w:tcPr>
            <w:tcW w:w="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or Base</w:t>
            </w:r>
          </w:p>
        </w:tc>
        <w:tc>
          <w:tcPr>
            <w:tcW w:w="5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210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 of</w:t>
            </w: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center"/>
              <w:ind w:left="449"/>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(3)</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SAR</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line="119" w:lineRule="exact"/>
              <w:rPr>
                <w:sz w:val="20"/>
                <w:szCs w:val="20"/>
                <w:color w:val="auto"/>
              </w:rPr>
            </w:pPr>
            <w:r>
              <w:rPr>
                <w:rFonts w:ascii="Arial" w:cs="Arial" w:eastAsia="Arial" w:hAnsi="Arial"/>
                <w:sz w:val="13"/>
                <w:szCs w:val="13"/>
                <w:b w:val="1"/>
                <w:bCs w:val="1"/>
                <w:color w:val="auto"/>
              </w:rPr>
              <w:t>Award</w:t>
            </w:r>
          </w:p>
        </w:tc>
        <w:tc>
          <w:tcPr>
            <w:tcW w:w="100" w:type="dxa"/>
            <w:vAlign w:val="bottom"/>
          </w:tcPr>
          <w:p>
            <w:pPr>
              <w:spacing w:after="0"/>
              <w:rPr>
                <w:sz w:val="10"/>
                <w:szCs w:val="10"/>
                <w:color w:val="auto"/>
              </w:rPr>
            </w:pPr>
          </w:p>
        </w:tc>
        <w:tc>
          <w:tcPr>
            <w:tcW w:w="50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7"/>
              </w:rPr>
              <w:t>Grant</w:t>
            </w:r>
          </w:p>
        </w:tc>
        <w:tc>
          <w:tcPr>
            <w:tcW w:w="7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8"/>
              </w:rPr>
              <w:t>Threshold</w:t>
            </w:r>
          </w:p>
        </w:tc>
        <w:tc>
          <w:tcPr>
            <w:tcW w:w="130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Target   Maximum</w:t>
            </w: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8"/>
              </w:rPr>
              <w:t>Threshold</w:t>
            </w:r>
          </w:p>
        </w:tc>
        <w:tc>
          <w:tcPr>
            <w:tcW w:w="5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Target</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40" w:type="dxa"/>
            <w:vAlign w:val="bottom"/>
          </w:tcPr>
          <w:p>
            <w:pPr>
              <w:spacing w:after="0"/>
              <w:rPr>
                <w:sz w:val="10"/>
                <w:szCs w:val="10"/>
                <w:color w:val="auto"/>
              </w:rPr>
            </w:pPr>
          </w:p>
        </w:tc>
        <w:tc>
          <w:tcPr>
            <w:tcW w:w="6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1"/>
              </w:rPr>
              <w:t>or</w:t>
            </w: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Underlying</w:t>
            </w:r>
          </w:p>
        </w:tc>
        <w:tc>
          <w:tcPr>
            <w:tcW w:w="6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Awards</w:t>
            </w:r>
          </w:p>
        </w:tc>
        <w:tc>
          <w:tcPr>
            <w:tcW w:w="5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SAR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line="158" w:lineRule="exact"/>
              <w:rPr>
                <w:sz w:val="20"/>
                <w:szCs w:val="20"/>
                <w:color w:val="auto"/>
              </w:rPr>
            </w:pPr>
            <w:r>
              <w:rPr>
                <w:rFonts w:ascii="Arial" w:cs="Arial" w:eastAsia="Arial" w:hAnsi="Arial"/>
                <w:sz w:val="14"/>
                <w:szCs w:val="14"/>
                <w:b w:val="1"/>
                <w:bCs w:val="1"/>
                <w:color w:val="auto"/>
                <w:w w:val="88"/>
              </w:rPr>
              <w:t>Type</w:t>
            </w:r>
            <w:r>
              <w:rPr>
                <w:rFonts w:ascii="Arial" w:cs="Arial" w:eastAsia="Arial" w:hAnsi="Arial"/>
                <w:sz w:val="12"/>
                <w:szCs w:val="12"/>
                <w:b w:val="1"/>
                <w:bCs w:val="1"/>
                <w:color w:val="auto"/>
                <w:w w:val="88"/>
              </w:rPr>
              <w:t>(1)</w:t>
            </w:r>
          </w:p>
        </w:tc>
        <w:tc>
          <w:tcPr>
            <w:tcW w:w="100" w:type="dxa"/>
            <w:vAlign w:val="bottom"/>
          </w:tcPr>
          <w:p>
            <w:pPr>
              <w:spacing w:after="0"/>
              <w:rPr>
                <w:sz w:val="15"/>
                <w:szCs w:val="15"/>
                <w:color w:val="auto"/>
              </w:rPr>
            </w:pPr>
          </w:p>
        </w:tc>
        <w:tc>
          <w:tcPr>
            <w:tcW w:w="5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64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Units(#)</w:t>
            </w: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SARs (#)</w:t>
            </w:r>
          </w:p>
        </w:tc>
        <w:tc>
          <w:tcPr>
            <w:tcW w:w="6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w:t>
            </w:r>
            <w:r>
              <w:rPr>
                <w:rFonts w:ascii="Arial" w:cs="Arial" w:eastAsia="Arial" w:hAnsi="Arial"/>
                <w:sz w:val="12"/>
                <w:szCs w:val="12"/>
                <w:b w:val="1"/>
                <w:bCs w:val="1"/>
                <w:color w:val="auto"/>
                <w:w w:val="96"/>
              </w:rPr>
              <w:t>(4)</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Borders>
              <w:top w:val="single" w:sz="8" w:color="CCEEFF"/>
            </w:tcBorders>
            <w:gridSpan w:val="3"/>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PIP</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N/A</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189,911</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7"/>
              </w:rPr>
              <w:t>379,822</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759,644</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1,388</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6,530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790,097</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1,601</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395,143</w:t>
            </w: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790,062</w:t>
            </w:r>
          </w:p>
        </w:tc>
        <w:tc>
          <w:tcPr>
            <w:tcW w:w="0" w:type="dxa"/>
            <w:vAlign w:val="bottom"/>
          </w:tcPr>
          <w:p>
            <w:pPr>
              <w:spacing w:after="0"/>
              <w:rPr>
                <w:sz w:val="1"/>
                <w:szCs w:val="1"/>
                <w:color w:val="auto"/>
              </w:rPr>
            </w:pP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Jacob (Jake) Elguicze</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63,863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127,726</w:t>
            </w: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255.452</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TVU</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822</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197,296</w:t>
            </w:r>
          </w:p>
        </w:tc>
        <w:tc>
          <w:tcPr>
            <w:tcW w:w="0" w:type="dxa"/>
            <w:vAlign w:val="bottom"/>
          </w:tcPr>
          <w:p>
            <w:pPr>
              <w:spacing w:after="0"/>
              <w:rPr>
                <w:sz w:val="1"/>
                <w:szCs w:val="1"/>
                <w:color w:val="auto"/>
              </w:rPr>
            </w:pP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Ajay Kumar</w:t>
            </w:r>
          </w:p>
        </w:tc>
        <w:tc>
          <w:tcPr>
            <w:tcW w:w="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66,774</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133,548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267,097</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222</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521</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8"/>
              </w:rPr>
              <w:t>112,468</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56,548</w:t>
            </w: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147,659</w:t>
            </w:r>
          </w:p>
        </w:tc>
        <w:tc>
          <w:tcPr>
            <w:tcW w:w="0" w:type="dxa"/>
            <w:vAlign w:val="bottom"/>
          </w:tcPr>
          <w:p>
            <w:pPr>
              <w:spacing w:after="0"/>
              <w:rPr>
                <w:sz w:val="1"/>
                <w:szCs w:val="1"/>
                <w:color w:val="auto"/>
              </w:rPr>
            </w:pP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Shaun Curtis</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48,115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96,230</w:t>
            </w:r>
          </w:p>
        </w:tc>
        <w:tc>
          <w:tcPr>
            <w:tcW w:w="14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192,460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79,008</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TVU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39,760</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SAR</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2,081</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92,119</w:t>
            </w:r>
          </w:p>
        </w:tc>
        <w:tc>
          <w:tcPr>
            <w:tcW w:w="0" w:type="dxa"/>
            <w:vAlign w:val="bottom"/>
          </w:tcPr>
          <w:p>
            <w:pPr>
              <w:spacing w:after="0"/>
              <w:rPr>
                <w:sz w:val="1"/>
                <w:szCs w:val="1"/>
                <w:color w:val="auto"/>
              </w:rPr>
            </w:pP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20"/>
                <w:szCs w:val="20"/>
                <w:color w:val="auto"/>
              </w:rPr>
            </w:pPr>
            <w:r>
              <w:rPr>
                <w:rFonts w:ascii="Arial" w:cs="Arial" w:eastAsia="Arial" w:hAnsi="Arial"/>
                <w:sz w:val="14"/>
                <w:szCs w:val="14"/>
                <w:color w:val="auto"/>
              </w:rPr>
              <w:t>(1)</w:t>
            </w:r>
          </w:p>
        </w:tc>
        <w:tc>
          <w:tcPr>
            <w:tcW w:w="2500" w:type="dxa"/>
            <w:vAlign w:val="bottom"/>
            <w:gridSpan w:val="2"/>
          </w:tcPr>
          <w:p>
            <w:pPr>
              <w:ind w:left="60"/>
              <w:spacing w:after="0"/>
              <w:rPr>
                <w:sz w:val="20"/>
                <w:szCs w:val="20"/>
                <w:color w:val="auto"/>
              </w:rPr>
            </w:pPr>
            <w:r>
              <w:rPr>
                <w:rFonts w:ascii="Arial" w:cs="Arial" w:eastAsia="Arial" w:hAnsi="Arial"/>
                <w:sz w:val="14"/>
                <w:szCs w:val="14"/>
                <w:color w:val="auto"/>
              </w:rPr>
              <w:t>Award Type:</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4"/>
                <w:szCs w:val="14"/>
                <w:color w:val="auto"/>
              </w:rPr>
              <w:t>PIP = BD Performance Incentive Plan</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
        <w:spacing w:after="0"/>
        <w:rPr>
          <w:sz w:val="20"/>
          <w:szCs w:val="20"/>
          <w:color w:val="auto"/>
        </w:rPr>
      </w:pPr>
      <w:r>
        <w:rPr>
          <w:rFonts w:ascii="Arial" w:cs="Arial" w:eastAsia="Arial" w:hAnsi="Arial"/>
          <w:sz w:val="14"/>
          <w:szCs w:val="14"/>
          <w:color w:val="auto"/>
        </w:rPr>
        <w:t>PU = Performance Unit</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4"/>
          <w:szCs w:val="14"/>
          <w:color w:val="auto"/>
        </w:rPr>
        <w:t>TVU = Time-Vested Unit</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4"/>
          <w:szCs w:val="14"/>
          <w:color w:val="auto"/>
        </w:rPr>
        <w:t>SAR = Stock Appreciation Right</w:t>
      </w:r>
    </w:p>
    <w:p>
      <w:pPr>
        <w:spacing w:after="0" w:line="109" w:lineRule="exact"/>
        <w:rPr>
          <w:sz w:val="20"/>
          <w:szCs w:val="20"/>
          <w:color w:val="auto"/>
        </w:rPr>
      </w:pPr>
    </w:p>
    <w:p>
      <w:pPr>
        <w:ind w:left="424" w:right="120" w:hanging="424"/>
        <w:spacing w:after="0" w:line="225" w:lineRule="auto"/>
        <w:tabs>
          <w:tab w:leader="none" w:pos="424"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amounts shown represent the range of possible payouts that the NEO could have earned under the BD PIP for fiscal year 2021, based on certain assumptions. Actual payments to the NEOs under the PIP are reflected in the “Non-Equity Incentive Plan Compensation” column of the Fiscal Year 2021 Summary Compensation Table. The amount in the “Threshold” column assumes BD achieved the minimum threshold performance levels for each performance measure, resulting in available funding for awards at 50% of target, and that the NEO received a payment equal to 50% of his award target.</w:t>
      </w:r>
    </w:p>
    <w:p>
      <w:pPr>
        <w:spacing w:after="0" w:line="2" w:lineRule="exact"/>
        <w:rPr>
          <w:rFonts w:ascii="Arial" w:cs="Arial" w:eastAsia="Arial" w:hAnsi="Arial"/>
          <w:sz w:val="14"/>
          <w:szCs w:val="14"/>
          <w:color w:val="auto"/>
        </w:rPr>
      </w:pPr>
    </w:p>
    <w:p>
      <w:pPr>
        <w:ind w:left="424" w:right="260" w:hanging="424"/>
        <w:spacing w:after="0" w:line="221" w:lineRule="auto"/>
        <w:tabs>
          <w:tab w:leader="none" w:pos="424"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amounts shown represent the range of potential share payouts under Performance Unit awards. The amount in the “Threshold” column shows the number of shares that will be paid out assuming BD achieves the minimum performance level for each performance measure under the awards.</w:t>
      </w:r>
    </w:p>
    <w:p>
      <w:pPr>
        <w:ind w:left="424" w:hanging="424"/>
        <w:spacing w:after="0" w:line="221" w:lineRule="auto"/>
        <w:tabs>
          <w:tab w:leader="none" w:pos="424"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exercise price is the closing price of BD common stock on the date of grant, as reported on the NYSE.</w:t>
      </w:r>
    </w:p>
    <w:p>
      <w:pPr>
        <w:ind w:left="424" w:right="320" w:hanging="424"/>
        <w:spacing w:after="0" w:line="232" w:lineRule="auto"/>
        <w:tabs>
          <w:tab w:leader="none" w:pos="424"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amounts shown reflect the grant date fair value of the awards under FASB ASC Topic 718 used by BD for financial statement reporting purposes (disregarding estimated forfeitures). For a discussion of the assumptions made to determine the grant date fair value of these awards, see Note 8 to the consolidated financial statements contained in BD’s Annual Report on Form 10-K for the fiscal year ended September 30, 2021.</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Awards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BD PIP</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BD PIP provides an opportunity for eligible associates to receive annual cash incentive payments based on BD and individual performance.</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4"/>
          </w:cols>
          <w:pgMar w:left="436" w:top="270" w:right="4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Compensation Awards</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 Performance Units are performance-based restricted stock units that vest three years after grant. The potential payouts under these awards range from zero to 200% of target. The actual payout will be based on BD’s performance against the performance targets set for these awards over the three-year performance period covering fiscal years 2021-2023. Performance Units are not transferable, and holders may not vote any shares underlying the award until the shares have been distributed. Dividends do not accrue on these awards.</w:t>
      </w:r>
    </w:p>
    <w:p>
      <w:pPr>
        <w:spacing w:after="0" w:line="17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TVUs</w:t>
      </w:r>
      <w:r>
        <w:rPr>
          <w:rFonts w:ascii="Arial" w:cs="Arial" w:eastAsia="Arial" w:hAnsi="Arial"/>
          <w:sz w:val="18"/>
          <w:szCs w:val="18"/>
          <w:color w:val="auto"/>
        </w:rPr>
        <w:t>. TVUs are restricted stock units that represent the right to receive shares of BD common stock upon vesting. TVU awards vest in equal annual installments over three years from the grant date. TVUs are not transferable, and holders may not vote any shares underlying the award until the shares have been distributed. Dividends do not accrue on these awards.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A SAR represents the right to receive, upon exercise, shares of BD common stock equal in value to the difference between the BD common stock price at the time of exercise and the exercise price of the award. SARs are not transferable. SARs have a ten-year term, and become exercisable in four equal annual installments, beginning one year from the grant date.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Performance Units, TVUs and SARs listed in the above table fully vest, under certain circumstances, following a change in control or in the event of a termination of employment following a change in control. See “Accelerated Vesting of Equity Compensation Awards upon a Change in Control” as discussed in the section entitled “Compensation of Named Executive Officers—Payments upon Termination of Employment or Change in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outstanding equity awards held by the NEOs at the end of fiscal year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Units or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SAR</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SAR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Exercisable</w:t>
            </w:r>
            <w:r>
              <w:rPr>
                <w:rFonts w:ascii="Arial" w:cs="Arial" w:eastAsia="Arial" w:hAnsi="Arial"/>
                <w:sz w:val="12"/>
                <w:szCs w:val="12"/>
                <w:b w:val="1"/>
                <w:bCs w:val="1"/>
                <w:color w:val="auto"/>
                <w:w w:val="92"/>
              </w:rPr>
              <w:t>(1)</w:t>
            </w: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40" w:type="dxa"/>
            <w:vAlign w:val="bottom"/>
          </w:tcPr>
          <w:p>
            <w:pPr>
              <w:spacing w:after="0"/>
              <w:rPr>
                <w:sz w:val="15"/>
                <w:szCs w:val="15"/>
                <w:color w:val="auto"/>
              </w:rPr>
            </w:pPr>
          </w:p>
        </w:tc>
        <w:tc>
          <w:tcPr>
            <w:tcW w:w="62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2/11/2021</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15,341</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140"/>
              <w:spacing w:after="0" w:line="117" w:lineRule="exact"/>
              <w:rPr>
                <w:sz w:val="20"/>
                <w:szCs w:val="20"/>
                <w:color w:val="auto"/>
              </w:rPr>
            </w:pPr>
            <w:r>
              <w:rPr>
                <w:rFonts w:ascii="Arial" w:cs="Arial" w:eastAsia="Arial" w:hAnsi="Arial"/>
                <w:sz w:val="13"/>
                <w:szCs w:val="13"/>
                <w:color w:val="auto"/>
                <w:w w:val="90"/>
              </w:rPr>
              <w:t>253.39</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2/11/2031</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2/11/2021</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393,558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802,602</w:t>
            </w:r>
          </w:p>
        </w:tc>
        <w:tc>
          <w:tcPr>
            <w:tcW w:w="0" w:type="dxa"/>
            <w:vAlign w:val="bottom"/>
          </w:tcPr>
          <w:p>
            <w:pPr>
              <w:spacing w:after="0"/>
              <w:rPr>
                <w:sz w:val="1"/>
                <w:szCs w:val="1"/>
                <w:color w:val="auto"/>
              </w:rPr>
            </w:pPr>
          </w:p>
        </w:tc>
      </w:tr>
      <w:tr>
        <w:trPr>
          <w:trHeight w:val="231"/>
        </w:trPr>
        <w:tc>
          <w:tcPr>
            <w:tcW w:w="234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5/10/2021</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822</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202,064</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2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6"/>
              </w:rPr>
              <w:t>11/26/2017</w:t>
            </w:r>
          </w:p>
        </w:tc>
        <w:tc>
          <w:tcPr>
            <w:tcW w:w="130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631</w:t>
            </w:r>
          </w:p>
        </w:tc>
        <w:tc>
          <w:tcPr>
            <w:tcW w:w="78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226.28</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11/26/2027</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11/26/2018</w:t>
            </w: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934</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242.10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11/26/2028</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11/26/2019</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1,737</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11/26/2020</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3,341</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160,029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242,133</w:t>
            </w:r>
          </w:p>
        </w:tc>
        <w:tc>
          <w:tcPr>
            <w:tcW w:w="0" w:type="dxa"/>
            <w:vAlign w:val="bottom"/>
          </w:tcPr>
          <w:p>
            <w:pPr>
              <w:spacing w:after="0"/>
              <w:rPr>
                <w:sz w:val="1"/>
                <w:szCs w:val="1"/>
                <w:color w:val="auto"/>
              </w:rPr>
            </w:pPr>
          </w:p>
        </w:tc>
      </w:tr>
      <w:tr>
        <w:trPr>
          <w:trHeight w:val="197"/>
        </w:trPr>
        <w:tc>
          <w:tcPr>
            <w:tcW w:w="234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11/26/2018</w:t>
            </w:r>
          </w:p>
        </w:tc>
        <w:tc>
          <w:tcPr>
            <w:tcW w:w="1300" w:type="dxa"/>
            <w:vAlign w:val="bottom"/>
            <w:gridSpan w:val="3"/>
          </w:tcPr>
          <w:p>
            <w:pPr>
              <w:jc w:val="right"/>
              <w:ind w:right="240"/>
              <w:spacing w:after="0"/>
              <w:rPr>
                <w:sz w:val="20"/>
                <w:szCs w:val="20"/>
                <w:color w:val="auto"/>
              </w:rPr>
            </w:pPr>
            <w:r>
              <w:rPr>
                <w:rFonts w:ascii="Arial" w:cs="Arial" w:eastAsia="Arial" w:hAnsi="Arial"/>
                <w:sz w:val="14"/>
                <w:szCs w:val="14"/>
                <w:color w:val="auto"/>
              </w:rPr>
              <w:t>748</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748</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242.10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11/26/2028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11/26/2019</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11/26/2019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11/26/2020</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2,081</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Various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235,496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719</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176,745</w:t>
            </w:r>
          </w:p>
        </w:tc>
        <w:tc>
          <w:tcPr>
            <w:tcW w:w="0" w:type="dxa"/>
            <w:vAlign w:val="bottom"/>
          </w:tcPr>
          <w:p>
            <w:pPr>
              <w:spacing w:after="0"/>
              <w:rPr>
                <w:sz w:val="1"/>
                <w:szCs w:val="1"/>
                <w:color w:val="auto"/>
              </w:rPr>
            </w:pPr>
          </w:p>
        </w:tc>
      </w:tr>
      <w:tr>
        <w:trPr>
          <w:trHeight w:val="52"/>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20"/>
          </w:cols>
          <w:pgMar w:left="440" w:top="274" w:right="439" w:bottom="1440" w:gutter="0" w:footer="0" w:header="0"/>
        </w:sectPr>
      </w:pPr>
    </w:p>
    <w:bookmarkStart w:id="324" w:name="page325"/>
    <w:bookmarkEnd w:id="324"/>
    <w:p>
      <w:pPr>
        <w:ind w:left="424" w:hanging="424"/>
        <w:spacing w:after="0"/>
        <w:tabs>
          <w:tab w:leader="none" w:pos="424" w:val="left"/>
        </w:tabs>
        <w:numPr>
          <w:ilvl w:val="0"/>
          <w:numId w:val="35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269240</wp:posOffset>
            </wp:positionV>
            <wp:extent cx="7715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1525" cy="8255"/>
                    </a:xfrm>
                    <a:prstGeom prst="rect">
                      <a:avLst/>
                    </a:prstGeom>
                    <a:noFill/>
                  </pic:spPr>
                </pic:pic>
              </a:graphicData>
            </a:graphic>
          </wp:anchor>
        </w:drawing>
        <w:t>SARs become exercisable in four equal annual installments, beginning one year following the date of grant.</w:t>
      </w:r>
    </w:p>
    <w:p>
      <w:pPr>
        <w:jc w:val="both"/>
        <w:ind w:left="424" w:right="360" w:hanging="424"/>
        <w:spacing w:after="0" w:line="221" w:lineRule="auto"/>
        <w:tabs>
          <w:tab w:leader="none" w:pos="424" w:val="left"/>
        </w:tabs>
        <w:numPr>
          <w:ilvl w:val="0"/>
          <w:numId w:val="353"/>
        </w:numPr>
        <w:rPr>
          <w:rFonts w:ascii="Arial" w:cs="Arial" w:eastAsia="Arial" w:hAnsi="Arial"/>
          <w:sz w:val="14"/>
          <w:szCs w:val="14"/>
          <w:color w:val="auto"/>
        </w:rPr>
      </w:pPr>
      <w:r>
        <w:rPr>
          <w:rFonts w:ascii="Arial" w:cs="Arial" w:eastAsia="Arial" w:hAnsi="Arial"/>
          <w:sz w:val="14"/>
          <w:szCs w:val="14"/>
          <w:color w:val="auto"/>
        </w:rPr>
        <w:t>The amounts shown include grants of restricted stock unit awards that are not performance-based. These include TVUs granted on November 26, 2018, November 26, 2019, and November 26, 2029, which vest in three annual installments beginning one year after grant. Also included in this column are shares payable under Performance Units granted on November 26, 2018, which cover the fiscal year 2019-2021 performance period and vested on November 26, 2021.</w:t>
      </w:r>
    </w:p>
    <w:p>
      <w:pPr>
        <w:ind w:left="424" w:hanging="424"/>
        <w:spacing w:after="0" w:line="221" w:lineRule="auto"/>
        <w:tabs>
          <w:tab w:leader="none" w:pos="424" w:val="left"/>
        </w:tabs>
        <w:numPr>
          <w:ilvl w:val="0"/>
          <w:numId w:val="353"/>
        </w:numPr>
        <w:rPr>
          <w:rFonts w:ascii="Arial" w:cs="Arial" w:eastAsia="Arial" w:hAnsi="Arial"/>
          <w:sz w:val="14"/>
          <w:szCs w:val="14"/>
          <w:color w:val="auto"/>
        </w:rPr>
      </w:pPr>
      <w:r>
        <w:rPr>
          <w:rFonts w:ascii="Arial" w:cs="Arial" w:eastAsia="Arial" w:hAnsi="Arial"/>
          <w:sz w:val="14"/>
          <w:szCs w:val="14"/>
          <w:color w:val="auto"/>
        </w:rPr>
        <w:t>Market value has been calculated by multiplying the number of unvested units by $245.82, the closing price of BD common stock on September 30, 2021.</w:t>
      </w:r>
    </w:p>
    <w:p>
      <w:pPr>
        <w:ind w:left="424" w:hanging="424"/>
        <w:spacing w:after="0"/>
        <w:tabs>
          <w:tab w:leader="none" w:pos="424" w:val="left"/>
        </w:tabs>
        <w:numPr>
          <w:ilvl w:val="0"/>
          <w:numId w:val="353"/>
        </w:numPr>
        <w:rPr>
          <w:rFonts w:ascii="Arial" w:cs="Arial" w:eastAsia="Arial" w:hAnsi="Arial"/>
          <w:sz w:val="14"/>
          <w:szCs w:val="14"/>
          <w:color w:val="auto"/>
        </w:rPr>
      </w:pPr>
      <w:r>
        <w:rPr>
          <w:rFonts w:ascii="Arial" w:cs="Arial" w:eastAsia="Arial" w:hAnsi="Arial"/>
          <w:sz w:val="14"/>
          <w:szCs w:val="14"/>
          <w:color w:val="auto"/>
        </w:rPr>
        <w:t>The amounts shown include Performance Unit awards at target payout granted on November 26, 2019 and November 26, 2020 that vest three years from grant.</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SAR Exercises and Vesting of Stock Units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contains information relating to the exercise of SARs, and the vesting of TVUs and Performance Units during fiscal year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SAR Exercises and Stock Vested in Fiscal Year 2021</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SAR Awards</w:t>
            </w:r>
          </w:p>
        </w:tc>
        <w:tc>
          <w:tcPr>
            <w:tcW w:w="46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Acquired</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Realized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Acquired</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on</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on</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9"/>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Vesting</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58"/>
        </w:trPr>
        <w:tc>
          <w:tcPr>
            <w:tcW w:w="6260" w:type="dxa"/>
            <w:vAlign w:val="bottom"/>
            <w:gridSpan w:val="2"/>
            <w:vMerge w:val="continue"/>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118,199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100,542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669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163,138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hanging="424"/>
        <w:spacing w:after="0"/>
        <w:tabs>
          <w:tab w:leader="none" w:pos="42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BD common stock price at the time of exercise.</w:t>
      </w:r>
    </w:p>
    <w:p>
      <w:pPr>
        <w:spacing w:after="0" w:line="23"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Shows the shares acquired under TVUs, and under Performance Units covering the fiscal year 2018-2020 performance period, that vested in fiscal year 2021.</w:t>
      </w:r>
    </w:p>
    <w:p>
      <w:pPr>
        <w:ind w:left="424" w:hanging="424"/>
        <w:spacing w:after="0"/>
        <w:tabs>
          <w:tab w:leader="none" w:pos="42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Based on the closing price of BD stock on the vesting date.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Compensation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BD’s U.S. Retirement Plan is a non-contributory defined benefit plan. The Code limits the maximum annual benefit that may be paid to an individual under the Retirement Plan and the amount of compensation that may be recognized in calculating these benefits. BD makes supplemental payments to its nonqualified DCP to offset any reductions in benefits that result from these limitations.</w:t>
      </w:r>
    </w:p>
    <w:p>
      <w:pPr>
        <w:spacing w:after="0" w:line="184"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The Retirement Plan and the DCP generally provide retirement benefits on a “cash balance” basis. Under the cash balance provisions, an associate has an account that is increased by pay credits based on compensation, age and service, and by interest credits based on a prescribed rate.</w:t>
      </w:r>
    </w:p>
    <w:p>
      <w:pPr>
        <w:spacing w:after="0" w:line="12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Prior to January 1, 2013, benefits were based on a “final average pay” formula for associates who were hired before April 1, 2007 and who did not elect to be covered under the cash balance formula. Effective January 1, 2013, all final average pay participants were converted to the cash balance formula, with an opening cash balance equal to the actuarial present value of the accrued final average pay benefit, based on service and pay through December 31, 2012. Upon retirement, the value of this opening cash balance (with interest credits) is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4"/>
          </w:cols>
          <w:pgMar w:left="436" w:top="458" w:right="479" w:bottom="1440" w:gutter="0" w:footer="0" w:header="0"/>
        </w:sectPr>
      </w:pPr>
    </w:p>
    <w:bookmarkStart w:id="325" w:name="page326"/>
    <w:bookmarkEnd w:id="325"/>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compared to the value of the December 31, 2012 benefit accrued under the final average pay formula and the greater of the two is payable to the participant. Benefits accrued after December 31, 2012 are determined under the cash balance formula only.</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Prior to January 1, 2018, the Retirement Plan was generally available to all active full-time and part-time U.S. BD associates. Effective January 1, 2018, the Retirement Plan was frozen, and persons hired or rehired by BD on or after that date do not accrue pension benefits under the Retirement Plan. Messrs. Kurdikar, Elguicze, Curtis and Mann do not participate in the Retirement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Benefits</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following table shows for Mr. Kumar the actuarial present value on September 30, 2021 (assuming payment as a lump sum) of accumulated retirement benefits payable under the listed plans as of the first date on which he is eligible to retire and commence unreduced benefit payments. For a description of the other assumptions used in calculating the present value of the benefits under the Retirement Plan and DCP, see Note 9 to the consolidated financial statements contained in BD’s Annual Report on Form 10-K for the year ended September 30, 2021. Amounts shown are not subject to any further deduction for Social Security benefits or other offsets.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at 2021 Fiscal Year-End</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of Years</w:t>
            </w:r>
          </w:p>
        </w:tc>
        <w:tc>
          <w:tcPr>
            <w:tcW w:w="1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Present 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Credited</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Plan Name</w:t>
            </w: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Service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20" w:type="dxa"/>
            <w:vAlign w:val="bottom"/>
            <w:gridSpan w:val="2"/>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Benefit ($)</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Retirement Plan</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Jacob (Jake) Elguicze</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Shaun Curtis</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Calculation of Benefits</w:t>
      </w:r>
    </w:p>
    <w:p>
      <w:pPr>
        <w:spacing w:after="0" w:line="11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u w:val="single" w:color="auto"/>
          <w:color w:val="auto"/>
        </w:rPr>
        <w:t>Final Average Pay Provisions</w:t>
      </w:r>
      <w:r>
        <w:rPr>
          <w:rFonts w:ascii="Arial" w:cs="Arial" w:eastAsia="Arial" w:hAnsi="Arial"/>
          <w:sz w:val="18"/>
          <w:szCs w:val="18"/>
          <w:color w:val="auto"/>
        </w:rPr>
        <w:t xml:space="preserve">. The monthly pension benefit payable in cases of retirement at normal retirement age under the final average pay provisions is calculated using the following formula: (1% of average final covered compensation, plus 1.5% of average final excess compensation) </w:t>
      </w:r>
      <w:r>
        <w:rPr>
          <w:rFonts w:ascii="Arial" w:cs="Arial" w:eastAsia="Arial" w:hAnsi="Arial"/>
          <w:sz w:val="18"/>
          <w:szCs w:val="18"/>
          <w:i w:val="1"/>
          <w:iCs w:val="1"/>
          <w:color w:val="auto"/>
        </w:rPr>
        <w:t>multiplied b</w:t>
      </w:r>
      <w:r>
        <w:rPr>
          <w:rFonts w:ascii="Arial" w:cs="Arial" w:eastAsia="Arial" w:hAnsi="Arial"/>
          <w:sz w:val="18"/>
          <w:szCs w:val="18"/>
          <w:color w:val="auto"/>
        </w:rPr>
        <w:t>y years and months of credited service.</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For purposes of the formula, “average final covered compensation” is generally the portion of an associate’s covered compensation subject to Social Security tax, and “average final excess compensation” is the portion that is not subject to such tax. “Covered compensation” included salary and other forms of regular compensation, including commissions and PIP awards. As noted above, effective January 1, 2013, all final average pay participants were converted to the cash balance formula, with an opening cash balance equal to the actuarial present value of the final average pay benefit accrued based on service and pay through December 31, 2012.</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326" w:name="page327"/>
    <w:bookmarkEnd w:id="326"/>
    <w:p>
      <w:pPr>
        <w:ind w:right="2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Balance Provisions</w:t>
      </w:r>
      <w:r>
        <w:rPr>
          <w:rFonts w:ascii="Arial" w:cs="Arial" w:eastAsia="Arial" w:hAnsi="Arial"/>
          <w:sz w:val="18"/>
          <w:szCs w:val="18"/>
          <w:color w:val="auto"/>
        </w:rPr>
        <w:t>. Each month, an associate’s cash balance account is credited with an amount equal to a percentage of the associate’s total compensation for the month (generally, salary and other forms of regular compensation, including commissions and PIP awards). Such percentage is calculated as follows:</w:t>
      </w:r>
    </w:p>
    <w:p>
      <w:pPr>
        <w:spacing w:after="0" w:line="19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b w:val="1"/>
                <w:bCs w:val="1"/>
                <w:color w:val="auto"/>
                <w:w w:val="91"/>
              </w:rPr>
              <w:t>Age Plus Years of Credited Service</w:t>
            </w:r>
          </w:p>
        </w:tc>
        <w:tc>
          <w:tcPr>
            <w:tcW w:w="44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as of the Upcoming December 31</w:t>
            </w:r>
          </w:p>
        </w:tc>
        <w:tc>
          <w:tcPr>
            <w:tcW w:w="44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Less than 40</w:t>
            </w:r>
          </w:p>
        </w:tc>
        <w:tc>
          <w:tcPr>
            <w:tcW w:w="4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vMerge w:val="continue"/>
            <w:shd w:val="clear" w:color="auto" w:fill="CCEEFF"/>
          </w:tcPr>
          <w:p>
            <w:pPr>
              <w:spacing w:after="0"/>
              <w:rPr>
                <w:sz w:val="17"/>
                <w:szCs w:val="17"/>
                <w:color w:val="auto"/>
              </w:rPr>
            </w:pPr>
          </w:p>
        </w:tc>
        <w:tc>
          <w:tcPr>
            <w:tcW w:w="44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40-49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50-59</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60-69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70 or more</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addition, each month the associate’s account is credited with interest. The rate used during the calendar year is determined based on the 30-year U.S. Treasury rates in effect during the prior September, subject to a minimum rate.</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Early Retirement. </w:t>
      </w:r>
      <w:r>
        <w:rPr>
          <w:rFonts w:ascii="Arial" w:cs="Arial" w:eastAsia="Arial" w:hAnsi="Arial"/>
          <w:sz w:val="18"/>
          <w:szCs w:val="18"/>
          <w:color w:val="auto"/>
        </w:rPr>
        <w:t>An associate is eligible to retire early and commence benefit payments if the associate is at least age 55 and has at least 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credited service. Participants may commence payment of benefits under the cash balance formula prior to early retirement eligibility at any age if the participant terminates with at least three years of service.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cash balance provisions, the amount of the associate’s benefit will be the associate’s vested account balance on the early retirement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associate may elect to begin payment of the account balance on the early retirement date or delay payment until the normal retirement date (age 65).</w:t>
      </w:r>
    </w:p>
    <w:p>
      <w:pPr>
        <w:spacing w:after="0" w:line="23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For participants who formerly participated in the final average pay formula and were converted to cash balance, the portion of the cash balance account attributable to the converted final average pay benefit is compared to the final average pay benefit accrued through the date of conversion under the final average formula. The result that produces the higher benefit is payable.</w:t>
      </w:r>
    </w:p>
    <w:p>
      <w:pPr>
        <w:spacing w:after="0" w:line="184"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Form of Benefit. </w:t>
      </w:r>
      <w:r>
        <w:rPr>
          <w:rFonts w:ascii="Arial" w:cs="Arial" w:eastAsia="Arial" w:hAnsi="Arial"/>
          <w:sz w:val="17"/>
          <w:szCs w:val="17"/>
          <w:color w:val="auto"/>
        </w:rPr>
        <w:t>Participants may elect to receive their benefits in various forms. Participants may select a single life annuity, in which pension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will be payable only during the associate’s lifetime, or, if married, a joint and survivor annuity. Associates may also elect to receive their benefits in a single lump sum payment. Under the final average pay provisions, this lump sum is actuarially equivalent to the benefit payable under the single life annuity option. Under the cash balance provisions, the lump sum is equal to the associate’s account balance.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Cash Deferrals. </w:t>
      </w:r>
      <w:r>
        <w:rPr>
          <w:rFonts w:ascii="Arial" w:cs="Arial" w:eastAsia="Arial" w:hAnsi="Arial"/>
          <w:sz w:val="17"/>
          <w:szCs w:val="17"/>
          <w:color w:val="auto"/>
        </w:rPr>
        <w:t>The DCP also allows an eligible BD associate to defer receipt of up to 75% of salary and/or up to 100% of a PIP award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or dates elected by the associate. The amounts deferred are invested in a BD common stock account or in cash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BD at any time.</w:t>
      </w:r>
    </w:p>
    <w:p>
      <w:pPr>
        <w:spacing w:after="0" w:line="176"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Deferral of Equity Awards. </w:t>
      </w:r>
      <w:r>
        <w:rPr>
          <w:rFonts w:ascii="Arial" w:cs="Arial" w:eastAsia="Arial" w:hAnsi="Arial"/>
          <w:sz w:val="16"/>
          <w:szCs w:val="16"/>
          <w:color w:val="auto"/>
        </w:rPr>
        <w:t>The DCP also allows eligible associates to defer receipt of up to 100% of the shares issuable under their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TVUs. These deferred shares are allocated to the participant’s BD stock account and must stay in such account until they are distributed.</w:t>
      </w:r>
    </w:p>
    <w:p>
      <w:pPr>
        <w:spacing w:after="0" w:line="12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Withdrawals and Distributions. </w:t>
      </w:r>
      <w:r>
        <w:rPr>
          <w:rFonts w:ascii="Arial" w:cs="Arial" w:eastAsia="Arial" w:hAnsi="Arial"/>
          <w:sz w:val="18"/>
          <w:szCs w:val="18"/>
          <w:color w:val="auto"/>
        </w:rPr>
        <w:t>Participants may elect to receive deferred amounts either during their employment or following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and to receive distributions in installments or in a lump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327" w:name="page328"/>
    <w:bookmarkEnd w:id="327"/>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 Except in an unforeseen financial emergency, participants may not withdraw deferred amounts prior to their scheduled distribution date.</w:t>
      </w:r>
    </w:p>
    <w:p>
      <w:pPr>
        <w:spacing w:after="0" w:line="237"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Matching Contributions. </w:t>
      </w:r>
      <w:r>
        <w:rPr>
          <w:rFonts w:ascii="Arial" w:cs="Arial" w:eastAsia="Arial" w:hAnsi="Arial"/>
          <w:sz w:val="18"/>
          <w:szCs w:val="18"/>
          <w:color w:val="auto"/>
        </w:rPr>
        <w:t>BD provides matching contributions on cash amounts deferred under the DCP. These contributions are made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quarter following the calendar year in which the compensation was deferred. BD matches 75% of the first 6% of salary and PIP award deferred by a participant under the DCP, subject to certain limits.</w:t>
      </w:r>
    </w:p>
    <w:p>
      <w:pPr>
        <w:spacing w:after="0" w:line="184"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Unfunded Liability. </w:t>
      </w:r>
      <w:r>
        <w:rPr>
          <w:rFonts w:ascii="Arial" w:cs="Arial" w:eastAsia="Arial" w:hAnsi="Arial"/>
          <w:sz w:val="17"/>
          <w:szCs w:val="17"/>
          <w:color w:val="auto"/>
        </w:rPr>
        <w:t>BD is not required to make any contributions to the DCP with respect to its obligations to pay deferred compensation. BD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unrestricted use of any cash amounts deferred by participants. Participants have an unsecured contractual commitment from BD to pay deferred amounts due under the DCP. When such payments are due, cash and/or stock will be distributed from BD’s general assets.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sets forth information regarding activity during fiscal year 2021 in the deferred compensation accounts of the NEOs.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Nonqualified Deferred Compensation in Fiscal Year 2021</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1"/>
              </w:rPr>
              <w:t>Executive</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Registrant</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5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Earnings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Fiscal</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3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58"/>
        </w:trPr>
        <w:tc>
          <w:tcPr>
            <w:tcW w:w="4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3"/>
              </w:rPr>
              <w:t>Year ($)</w:t>
            </w:r>
            <w:r>
              <w:rPr>
                <w:rFonts w:ascii="Arial" w:cs="Arial" w:eastAsia="Arial" w:hAnsi="Arial"/>
                <w:sz w:val="12"/>
                <w:szCs w:val="12"/>
                <w:b w:val="1"/>
                <w:bCs w:val="1"/>
                <w:color w:val="auto"/>
                <w:w w:val="93"/>
              </w:rPr>
              <w:t>(1)</w:t>
            </w:r>
          </w:p>
        </w:tc>
        <w:tc>
          <w:tcPr>
            <w:tcW w:w="15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(2)</w:t>
            </w: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Year ($)</w:t>
            </w:r>
          </w:p>
        </w:tc>
        <w:tc>
          <w:tcPr>
            <w:tcW w:w="3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 xml:space="preserve">Year-End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100,962</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100,873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15,577</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11,491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780" w:hanging="424"/>
        <w:spacing w:after="0" w:line="291" w:lineRule="auto"/>
        <w:tabs>
          <w:tab w:leader="none" w:pos="42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following amounts are reported as compensation in the fiscal year 2021 “Salary” column of the Summary Compensation Table. The remaining executive contributions relate to the deferral of fiscal year 2020 PIP awards that were payable in fiscal year 2021.</w:t>
      </w:r>
    </w:p>
    <w:p>
      <w:pPr>
        <w:ind w:left="424" w:right="140" w:hanging="424"/>
        <w:spacing w:after="0" w:line="265" w:lineRule="auto"/>
        <w:tabs>
          <w:tab w:leader="none" w:pos="424"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Amounts in this column are included in the “All Other Compensation” column of the Summary Compensation Table and reflect matching credits relating to participant deferrals in fiscal year 2021. These amounts are not credited to participant accounts until fiscal year 2022.</w:t>
      </w:r>
    </w:p>
    <w:p>
      <w:pPr>
        <w:ind w:left="424" w:hanging="424"/>
        <w:spacing w:after="0"/>
        <w:tabs>
          <w:tab w:leader="none" w:pos="42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Reflects amounts in which the NEO is vested. BD matching contributions fully vest after a participant has been at BD for four years.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Payments upon Termination of Employment or Change in Control</w:t>
      </w:r>
    </w:p>
    <w:p>
      <w:pPr>
        <w:spacing w:after="0" w:line="12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The following table shows the estimated payments and benefits that would be paid by BD to each of the NEOs as a result of a termination of employment under various scenarios. The amounts shown assume termination of employment on September 30, 2021. However, the actual amounts that would be paid to these NEOs under each scenario can only be determined at the time of actual termination.</w:t>
      </w:r>
    </w:p>
    <w:p>
      <w:pPr>
        <w:spacing w:after="0" w:line="17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Termination without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“Cause” or for</w:t>
            </w:r>
          </w:p>
        </w:tc>
        <w:tc>
          <w:tcPr>
            <w:tcW w:w="480" w:type="dxa"/>
            <w:vAlign w:val="bottom"/>
          </w:tcPr>
          <w:p>
            <w:pPr>
              <w:spacing w:after="0"/>
              <w:rPr>
                <w:sz w:val="12"/>
                <w:szCs w:val="12"/>
                <w:color w:val="auto"/>
              </w:rPr>
            </w:pPr>
          </w:p>
        </w:tc>
        <w:tc>
          <w:tcPr>
            <w:tcW w:w="15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Termination</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“Good Reason”</w:t>
            </w:r>
          </w:p>
        </w:tc>
        <w:tc>
          <w:tcPr>
            <w:tcW w:w="4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Following a Change</w:t>
            </w:r>
          </w:p>
        </w:tc>
        <w:tc>
          <w:tcPr>
            <w:tcW w:w="48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Due to</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without</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Due to</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Due to</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in Control ($)</w:t>
            </w:r>
            <w:r>
              <w:rPr>
                <w:rFonts w:ascii="Arial" w:cs="Arial" w:eastAsia="Arial" w:hAnsi="Arial"/>
                <w:sz w:val="12"/>
                <w:szCs w:val="12"/>
                <w:b w:val="1"/>
                <w:bCs w:val="1"/>
                <w:color w:val="auto"/>
                <w:w w:val="96"/>
              </w:rPr>
              <w:t>(1)</w:t>
            </w:r>
          </w:p>
        </w:tc>
        <w:tc>
          <w:tcPr>
            <w:tcW w:w="480" w:type="dxa"/>
            <w:vAlign w:val="bottom"/>
          </w:tcPr>
          <w:p>
            <w:pPr>
              <w:spacing w:after="0"/>
              <w:rPr>
                <w:sz w:val="15"/>
                <w:szCs w:val="15"/>
                <w:color w:val="auto"/>
              </w:rPr>
            </w:pP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Retirement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(2)</w:t>
            </w:r>
          </w:p>
        </w:tc>
        <w:tc>
          <w:tcPr>
            <w:tcW w:w="13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 xml:space="preserve">Cause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(3)</w:t>
            </w:r>
          </w:p>
        </w:tc>
        <w:tc>
          <w:tcPr>
            <w:tcW w:w="14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Disability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8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 xml:space="preserve">Death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(5)</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3,867,626</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5"/>
                <w:szCs w:val="15"/>
                <w:color w:val="auto"/>
                <w:w w:val="71"/>
              </w:rPr>
              <w:t>0</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2,851,019</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549,654</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1,249,654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1,071,987</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1,060,761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202,064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652,064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1,036,579</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504,049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395,948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729,819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789,061</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505,522</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397,408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669,938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550,000</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550,000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119</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328" w:name="page329"/>
    <w:bookmarkEnd w:id="328"/>
    <w:p>
      <w:pPr>
        <w:ind w:left="424" w:right="20" w:hanging="424"/>
        <w:spacing w:after="0" w:line="285" w:lineRule="auto"/>
        <w:tabs>
          <w:tab w:leader="none" w:pos="424" w:val="left"/>
        </w:tabs>
        <w:numPr>
          <w:ilvl w:val="0"/>
          <w:numId w:val="3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269240</wp:posOffset>
            </wp:positionV>
            <wp:extent cx="7715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1525" cy="8255"/>
                    </a:xfrm>
                    <a:prstGeom prst="rect">
                      <a:avLst/>
                    </a:prstGeom>
                    <a:noFill/>
                  </pic:spPr>
                </pic:pic>
              </a:graphicData>
            </a:graphic>
          </wp:anchor>
        </w:drawing>
        <w:t>Includes amounts payable under the letter agreement with Mr. Kurdikar (three times base salary plus target bonus, prorated bonus, welfare benefit continuation, and outplacement services), letter agreements for Messrs. Elguicze and Mann (one times base salary plus target bonus, prorated bonus, welfare benefit continuation, and outplacement services), or the BD severance plan for Messrs. Kumar and Curtis (one times base salary, welfare benefit continuation, and outplacement services), and the accelerated vesting of equity compensation awards, which is discussed below. Also includes for Mr. Kumar, amounts distributable under BD’s pension plans, assuming payout as a lump sum.</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None of the NEOs was eligible for retirement as of September 30, 2021.</w:t>
      </w:r>
    </w:p>
    <w:p>
      <w:pPr>
        <w:spacing w:after="0" w:line="9" w:lineRule="exact"/>
        <w:rPr>
          <w:rFonts w:ascii="Arial" w:cs="Arial" w:eastAsia="Arial" w:hAnsi="Arial"/>
          <w:sz w:val="18"/>
          <w:szCs w:val="18"/>
          <w:color w:val="auto"/>
        </w:rPr>
      </w:pPr>
    </w:p>
    <w:p>
      <w:pPr>
        <w:ind w:left="424" w:right="60" w:hanging="424"/>
        <w:spacing w:after="0" w:line="265" w:lineRule="auto"/>
        <w:tabs>
          <w:tab w:leader="none" w:pos="42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Includes amounts payable under letter agreements (for Mr. Kurdikar, two times base salary plus target bonus, prorated bonus, welfare benefit continuation, and outplacement services; for Mr. Elguicze and Mr. Mann, one times base salary plus target bonus, prorated bonus, welfare benefit continuation, and outplacement services) or the BD severance plan (for Mr. Kumar and Mr. Curtis, one times base salary, welfare benefit continuation, and outplacement services), and the accelerated vesting of equity compensation awards.</w:t>
      </w:r>
    </w:p>
    <w:p>
      <w:pPr>
        <w:ind w:left="424" w:hanging="424"/>
        <w:spacing w:after="0"/>
        <w:tabs>
          <w:tab w:leader="none" w:pos="4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 and life insurance benefits.</w:t>
      </w:r>
    </w:p>
    <w:p>
      <w:pPr>
        <w:spacing w:after="0" w:line="211"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The amounts shown in the above table do not include vested deferred compensation distributable upon termination, which is as discussed in the section entitled “Compensation of Named Executive Officers—Payments upon Termination of Employment or Change in Control”.</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Change in Control Agreement with Mr. Kurdikar</w:t>
      </w:r>
    </w:p>
    <w:p>
      <w:pPr>
        <w:spacing w:after="0" w:line="121"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BD has entered into an agreement with Mr. Kurdikar that provides for his continued employment for a period of two years following a change in control of BD. The agreement is designed to retain Mr. Kurdikar and provide continuity of management in the event of an actual or potential change in control of BD. The following is a summary of the key terms of the agreement.</w:t>
      </w:r>
    </w:p>
    <w:p>
      <w:pPr>
        <w:spacing w:after="0" w:line="184"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The agreement provides that BD will continue to employ Mr. Kurdikar for two years following a change in control, and that, during this period, his position and responsibilities at BD will be materially the same as those prior to the change in control. The agreement also provides for minimum salary, PIP award and other benefits during this two-year period. “Change in control” is defined under the agreement generally as:</w:t>
      </w:r>
    </w:p>
    <w:p>
      <w:pPr>
        <w:spacing w:after="0" w:line="71" w:lineRule="exact"/>
        <w:rPr>
          <w:sz w:val="20"/>
          <w:szCs w:val="20"/>
          <w:color w:val="auto"/>
        </w:rPr>
      </w:pPr>
    </w:p>
    <w:p>
      <w:pPr>
        <w:ind w:left="964" w:hanging="424"/>
        <w:spacing w:after="0"/>
        <w:tabs>
          <w:tab w:leader="none" w:pos="96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acquisition by any person or group of 25% or more of the outstanding BD common stock;</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incumbent members of the BD Board of Directors ceasing to constitute at least a majority of the BD Board of Directors;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certain business combinations;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shareholder approval of the liquidation or dissolution of BD.</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agreement also provides that, in the event Mr. Kurdikar is terminated without “cause” or terminates his employment for “good reason” during the two years following a change in control, he would receive:</w:t>
      </w:r>
    </w:p>
    <w:p>
      <w:pPr>
        <w:spacing w:after="0" w:line="76" w:lineRule="exact"/>
        <w:rPr>
          <w:sz w:val="20"/>
          <w:szCs w:val="20"/>
          <w:color w:val="auto"/>
        </w:rPr>
      </w:pPr>
    </w:p>
    <w:p>
      <w:pPr>
        <w:jc w:val="both"/>
        <w:ind w:left="964" w:right="80" w:hanging="424"/>
        <w:spacing w:after="0" w:line="263" w:lineRule="auto"/>
        <w:tabs>
          <w:tab w:leader="none" w:pos="96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pro rata PIP award for the year of termination based on the greater of (i) the executive’s average PIP award for the last three fiscal years prior to termination, and (ii) the executive’s target PIP award for the year of termination (the greater of the two being referred to herein as the “Incentive Payment”);</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lump sum severance payment equal to two times the sum of his annual salary and his Incentive Payment;</w:t>
      </w:r>
    </w:p>
    <w:p>
      <w:pPr>
        <w:spacing w:after="0" w:line="130" w:lineRule="exact"/>
        <w:rPr>
          <w:rFonts w:ascii="Arial" w:cs="Arial" w:eastAsia="Arial" w:hAnsi="Arial"/>
          <w:sz w:val="18"/>
          <w:szCs w:val="18"/>
          <w:color w:val="auto"/>
        </w:rPr>
      </w:pPr>
    </w:p>
    <w:p>
      <w:pPr>
        <w:ind w:left="964" w:right="240" w:hanging="424"/>
        <w:spacing w:after="0" w:line="277" w:lineRule="auto"/>
        <w:tabs>
          <w:tab w:leader="none" w:pos="96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continuation of his health and welfare benefits (reduced to the extent provided by any subsequent employer) for a period of three years;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outplacement services, subject to a limit on the cost to BD of $100,000.</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64"/>
          </w:cols>
          <w:pgMar w:left="436" w:top="463" w:right="499" w:bottom="1440" w:gutter="0" w:footer="0" w:header="0"/>
        </w:sectPr>
      </w:pPr>
    </w:p>
    <w:bookmarkStart w:id="329" w:name="page330"/>
    <w:bookmarkEnd w:id="329"/>
    <w:p>
      <w:pPr>
        <w:jc w:val="both"/>
        <w:ind w:right="2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is generally defined as the willful and continued failure of the executive to substantially perform his duties, or illegal conduct or gross misconduct that is materially injurious to BD. “Good reason” is generally defined to include (i) any significant change in the executive’s position or responsibilities, (ii) the failure of BD to pay any compensation called for by the agreement, or (iii) certain relocations of the executive.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Vesting of Equity Compensation Awards upon a Change in Control</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Awards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2004 Plan) within two years of the change in control. Awards will vest upon a change in control if the awards are neither continued nor replaced with similar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upon Termination of Employment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Mr. Kurdikar’s letter agreement, entered into on his commencement of employment, provides that his sign-on long-term incentive awards will vest in full and any other BD equity awards will vest on a pro-rata basis on his termination without cause or termination with good reason. With respect to the other NEOs, upon an NEO’s termination due to involuntary termination without cause, the NEO’s:</w:t>
      </w:r>
    </w:p>
    <w:p>
      <w:pPr>
        <w:spacing w:after="0" w:line="89" w:lineRule="exact"/>
        <w:rPr>
          <w:sz w:val="20"/>
          <w:szCs w:val="20"/>
          <w:color w:val="auto"/>
        </w:rPr>
      </w:pPr>
    </w:p>
    <w:p>
      <w:pPr>
        <w:ind w:left="960" w:hanging="424"/>
        <w:spacing w:after="0"/>
        <w:tabs>
          <w:tab w:leader="none" w:pos="9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unvested SARs are forfeited and the NEO is entitled to exercise any then-vested SARs for three months following termination;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unvested TVUs vest pro rata based on the amount of the vesting period that had elapsed; and</w:t>
      </w:r>
    </w:p>
    <w:p>
      <w:pPr>
        <w:spacing w:after="0" w:line="130"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made after the end of the applicable vesting periods and would be based on BD’s actual performance for the applicable performance periods, rather than award targets.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an NEO’s termination due to death or disability, the NEO’s:</w:t>
      </w:r>
    </w:p>
    <w:p>
      <w:pPr>
        <w:spacing w:after="0" w:line="131" w:lineRule="exact"/>
        <w:rPr>
          <w:sz w:val="20"/>
          <w:szCs w:val="20"/>
          <w:color w:val="auto"/>
        </w:rPr>
      </w:pPr>
    </w:p>
    <w:p>
      <w:pPr>
        <w:ind w:left="960" w:hanging="424"/>
        <w:spacing w:after="0"/>
        <w:tabs>
          <w:tab w:leader="none" w:pos="9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unvested SARs become fully exercisable for their remaining term;</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unvested TVUs fully vest; and</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based on award targets.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COMPENSATION</w:t>
      </w:r>
    </w:p>
    <w:p>
      <w:pPr>
        <w:spacing w:after="0" w:line="229"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The initial Embecta non-employee director compensation program will be patterned in structure on the existing BD director compensation program, and will be designed to provide competitive compensation that is necessary to attract and retain qualified non-management directors. It is anticipated that the Embecta annual non-employee director compensation program will initially consist of the following key elements: a cash retainer, equity compensation, Committee chair fees and Lead Director fees. Management directors will not receive compensation for their service as director. The anticipated program design is described in further detail below. Following the separation and distribution, the director compensation program will be subject to the review and approval of the Embecta Board of Directors or a committee thereof.</w:t>
      </w:r>
    </w:p>
    <w:p>
      <w:pPr>
        <w:spacing w:after="0" w:line="17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Treatment of outstanding BD equity-based compensation awards held by Embecta non-employee directors in connection with the distribution is described under “The Separation and Distribution—Treatment of Equity-Based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Retainer</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Each Embecta non-management director is expected to receive an annual cash retainer of $70,000 for services as a director, which is paid in equal installments quarterly. Directors are not expected to receive meeting attendance fees.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Equity Award</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Embecta expects that each non-management director will be granted restricted stock units valued at $185,000 at the closing of the separation and at each annual shareholders meeting (using the same methodology used to value awards made to Embecta’s executive officers). Embecta expects that the restricted stock units will vest and be distributable at the following annual shareholders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Chair/Lead Director Fees</w:t>
      </w:r>
    </w:p>
    <w:p>
      <w:pPr>
        <w:spacing w:after="0" w:line="11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Embecta expects that the chair of each Committee will receive an annual fee of $16,000, paid in cash, and that Embecta’s Non-Executive Chair will receive an annual fee of $60,000, paid in cash, and will receive an additional annual restricted stock unit grant then valued at $60,000.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Embecta intends to reimburse non-management directors for travel and other business expenses incurred in the performance of their services for Embecta. Directors are eligible to participate in Embecta’s Matching Gift Program, pursuant to which Embecta will match charitable contributions made to qualifying nonprofit organizations, subject to an aggregate limit per participant of $5,000 per calendar year. Directors are also reimbursed for attending director education courses.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Deferral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Directors may defer receipt of all or part of their annual cash retainer and other cash fees under the Directors’ Deferral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0" w:right="459"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2022 EMPLOYEE AND DIRECTOR EQUITY-BASED COMPENSATION PLAN</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Prior to the separation, Embecta will adopt the Embecta 2022 Employee and Director Equity Based Compensation Plan (the “2022 Plan”). BD, as Embecta’s sole stockholder, will approve the 2022 Plan prior to the separation, and the 2022 Plan will become effective as of the date of the separation. Embecta expects the 2022 Plan to be its primary vehicle for equity-based compensation awards following the separation, and the Embecta equity-based compensation awards into which certain outstanding BD equity-based compensation awards are converted upon the separation (see “Separation and Distribution Agreement—Treatment of Equity Awards”) will be issued pursuant to the 2022 Plan (such awards, the “Converted Awards”). The following description is a summary of the material terms of the 2022 Plan, filed as Exhibit 10.4 to the registration statement on Form 10 of which this information statement is a part. This summary is qualified in its entirety by reference to the full text of the 2022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Embecta expects to use awards under the 2022 Plan to attract, retain and motivate non-employee directors and associates throughout the Embecta organization who are important to Embecta’s future, and to align the interests of its associates with those of its shareholders.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A maximum of 7,000,000 Embecta shares will be available for issuance under the 2022 Plan, which includes shares subject to all Converted Awards. A maximum of 7,000,000 Embecta shares may be granted pursuant to “incentive stock options” (“ISOs”). All shares available for issuance under the 2022 Plan are subject to adjustment as described below. Shares underlying awards issued in assumption of, or substitution for, awards issued by a company acquired by Embecta (referred to as “Substitute Awards”) will not reduce the number of shares remaining available for issuance under the 2022 Plan. To the extent any outstanding award granted under the 2022 Plan (other than a Substitute Award) is forfeited, settled for cash, or otherwise terminates without the delivery of shares, the shares subject to the award will become available again for issuance. In the event an award is exercised through the delivery of Embecta shares, or withholding tax liabilities arising from an award are satisfied by the withholding of shares, the shares so delivered or withheld will not be available for issuance under the 2022 Plan. The maximum number of Embecta shares available to be granted pursuant to awards to any non-employee director under the 2022 Plan in any fiscal year of the Company shall be equal to $500,000 as of the applicable date of grant.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Any employee or director of Embecta or any of its affiliates will be eligible to receive awards under the 2022 Plan. Additionally, any holder of an outstanding equity-based award issued by a company acquired by Embecta may be granted a Substitute Award under the 2022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2022 Plan will be administered by the Embecta Compensation Committee. The Compensation Committee will have the sole discretion to grant to eligible participants one or more equity awards and to determine the type, number or amount of any award to be granted. The Compensation Committee will have the authority to, among other things, interpret any provision of the 2022 Plan, adopt rules and regulations for administering the 2022 Plan, and delegate any administrative responsibilities under the 2022 Plan. Decisions of the Compensation Committee will be final and binding on all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Awards shall be granted for no cash consideration, or for minimal cash consideration if required by applicable law. Awards may provide that upon their exercise, the holder will receive cash, Embecta stock, other securities, other awards, other property or any combination thereof. Shares of stock deliverable under the 2022 Plan may consist, in whole or in part, of authorized and unissued shares or treasury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0" w:right="459" w:bottom="1440" w:gutter="0" w:footer="0" w:header="0"/>
        </w:sectPr>
      </w:pPr>
    </w:p>
    <w:bookmarkStart w:id="332" w:name="page333"/>
    <w:bookmarkEnd w:id="332"/>
    <w:p>
      <w:pPr>
        <w:ind w:right="120" w:firstLine="44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in the case of Converted Awards or Substitute Awards, the exercise price of any stock option or SAR will not be less than 100% of the fair market value of the Embecta stock or other security on the date of grant. The Compensation Committee may not, without approval of Embecta’s shareholders or in connection with an adjustment event described below, amend an award to reduce its exercise, grant or purchase price (a “repricing”), cancel an outstanding stock option or SAR and replace it with a new award with a lower exercise price (except for adjustments in connection with stock splits and other events, as described below), or exchange for cash any option or SAR whose exercise price is less than the then-current Embecta stock price.</w:t>
      </w:r>
    </w:p>
    <w:p>
      <w:pPr>
        <w:spacing w:after="0" w:line="19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u w:val="single" w:color="auto"/>
          <w:color w:val="auto"/>
        </w:rPr>
        <w:t>Exercise of award; Form of consideration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Compensation Committee will determine the times at which options and other purchase rights may be exercised, and the methods by which payment of the purchase price may be made. No loans may be extended by Embecta to any participant in connection with the exercise of an award (although Embecta is permitted to maintain a broker-assisted “cashless exercise” program for stock options).</w:t>
      </w:r>
    </w:p>
    <w:p>
      <w:pPr>
        <w:spacing w:after="0" w:line="149"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u w:val="single" w:color="auto"/>
          <w:color w:val="auto"/>
        </w:rPr>
        <w:t>Stock options and stock appreciation rights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term of any stock options and SARs granted under the 2022 Plan will be established by the Compensation Committee, but may not exceed 10 years. The Compensation Committee may impose a vesting schedule on stock options and SARs. Unless otherwise provided by the Compensation Committee, employee stock options and SARs:</w:t>
      </w:r>
    </w:p>
    <w:p>
      <w:pPr>
        <w:spacing w:after="0" w:line="71" w:lineRule="exact"/>
        <w:rPr>
          <w:sz w:val="20"/>
          <w:szCs w:val="20"/>
          <w:color w:val="auto"/>
        </w:rPr>
      </w:pPr>
    </w:p>
    <w:p>
      <w:pPr>
        <w:ind w:left="960" w:right="20" w:hanging="424"/>
        <w:spacing w:after="0" w:line="277" w:lineRule="auto"/>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are exercisable following voluntary termination of employment or involuntary termination of employment without cause for three months, to the extent such awards were exercisable at the time of termination;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become fully vested upon retirement, death and disability, and otherwise remain in effect in accordance with their terms;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otherwise lapse upon termination of employment.</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Stock options granted under the 2022 Plan may be ISOs, which afford certain favorable tax treatment for the holder, or “nonqualified stock options” (“NQSOs”).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impose restrictions on restricted stock and restricted stock units, in its discretion. Unless otherwise provided by the Compensation Committee, upon death, disability or retirement, all restrictions on restricted stock and restricted stock units will no longer apply. In all other cases of termination of employment during the restriction period, restricted stock and restricted stock units will be forfeited.</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Performance unit payments are tied to the attainment of performance goals established by the Compensation Committee. The Compensation Committee will establish the performance criteria, the length of the performance period and the form and time of payment of the award. Unless otherwise provided by the Compensation Committee, upon retirement or involuntary termination without cause during the performance period, a holder of performance units will receive a pro rata portion of the amount otherwise payable under the award. In the event of voluntary termination or termination for cause, performance units will be forfeited. In other cases of termination of employment during the performance period, the rights of the holder will be as determined by the Compensation Committee.</w:t>
      </w:r>
    </w:p>
    <w:p>
      <w:pPr>
        <w:spacing w:after="0" w:line="17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grant and establish the terms and conditions of other stock-based awards, such as dividend equivalent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the event of a corporate transaction, the Compensation Committee may in its discretion make such substitutions or adjustments as it deems appropriate and equitable to (i) the limits set forth in the 2022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60"/>
          </w:cols>
          <w:pgMar w:left="440" w:top="274" w:right="499" w:bottom="1440" w:gutter="0" w:footer="0" w:header="0"/>
        </w:sectPr>
      </w:pPr>
    </w:p>
    <w:bookmarkStart w:id="333" w:name="page334"/>
    <w:bookmarkEnd w:id="333"/>
    <w:p>
      <w:pPr>
        <w:ind w:left="264" w:hanging="264"/>
        <w:spacing w:after="0"/>
        <w:tabs>
          <w:tab w:leader="none" w:pos="264" w:val="left"/>
        </w:tabs>
        <w:numPr>
          <w:ilvl w:val="0"/>
          <w:numId w:val="3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and kind of shares or other securities subject to outstanding awards; (iii) the performance goals applicable to outstanding awards; and</w:t>
      </w:r>
    </w:p>
    <w:p>
      <w:pPr>
        <w:spacing w:after="0" w:line="46" w:lineRule="exact"/>
        <w:rPr>
          <w:rFonts w:ascii="Arial" w:cs="Arial" w:eastAsia="Arial" w:hAnsi="Arial"/>
          <w:sz w:val="16"/>
          <w:szCs w:val="16"/>
          <w:color w:val="auto"/>
        </w:rPr>
      </w:pPr>
    </w:p>
    <w:p>
      <w:pPr>
        <w:ind w:left="4" w:right="80" w:hanging="4"/>
        <w:spacing w:after="0" w:line="273" w:lineRule="auto"/>
        <w:tabs>
          <w:tab w:leader="none" w:pos="309"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exercise price of outstanding awards (clauses (i) – (iv) together, the “award terms”). In the event of a stock dividend, stock split, reverse stock split, reorganization, share combination, or recapitalization or similar event affecting the capital structure of Embecta, in each case without consideration, or other extraordinary dividend of cash or other property to Embecta’s shareholders, the Compensation Committee or the Embecta Board shall make such substitutions or adjustments as it deems appropriate and equitable to the award terms.</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Awards granted under the 2022 Plan are not transferable other than by will or the laws of descent and distribution, except as otherwise provided by the Compensation Committee. However, in no event may an award be transferred by a participant for value. Except to the extent a transfer is permitted, an award may be exercisable during a participant’s lifetime only by the participant or by the participant’s guardian or legal representative.</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Minimum Vesting Period</w:t>
      </w:r>
    </w:p>
    <w:p>
      <w:pPr>
        <w:spacing w:after="0" w:line="121" w:lineRule="exact"/>
        <w:rPr>
          <w:sz w:val="20"/>
          <w:szCs w:val="20"/>
          <w:color w:val="auto"/>
        </w:rPr>
      </w:pPr>
    </w:p>
    <w:p>
      <w:pPr>
        <w:ind w:left="4" w:right="700" w:firstLine="440"/>
        <w:spacing w:after="0" w:line="342" w:lineRule="auto"/>
        <w:rPr>
          <w:sz w:val="20"/>
          <w:szCs w:val="20"/>
          <w:color w:val="auto"/>
        </w:rPr>
      </w:pPr>
      <w:r>
        <w:rPr>
          <w:rFonts w:ascii="Arial" w:cs="Arial" w:eastAsia="Arial" w:hAnsi="Arial"/>
          <w:sz w:val="16"/>
          <w:szCs w:val="16"/>
          <w:color w:val="auto"/>
        </w:rPr>
        <w:t>Awards under the 2022 Plan shall be subject to a regular vesting period of at least one year following the date of grant, except that this requirement will not apply to up to five percent of shares available for grant under the 2022 Plan or to Substitute Awards or Converted Awards.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Awards under the 2022 Plan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2022 Plan) within two years of the change in control. Awards under the 2022 Plan will vest upon a change in control if the awards are neither continued nor replaced with similar awards.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Board may amend, discontinue or terminate the 2022 Plan or any portion of the 2022 Plan at any time. Shareholder approval may be required by the Nasdaq listing rules, tax or regulatory requirements for certain amendments. Participant approval must also be obtained for any amendment that would adversely affect the rights of such participant under any award granted under the 2022 Plan prior to the amendment. No awards may be granted after the tenth anniversary of the effectiveness of the 2022 Plan.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Future awards</w:t>
      </w:r>
    </w:p>
    <w:p>
      <w:pPr>
        <w:spacing w:after="0" w:line="121"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The issuance of any awards under the 2022 Plan will be at the discretion of the Compensation Committee. Therefore, it is not possible to determine the amount or form of any award that will be granted to any individual in the future.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4"/>
          </w:cols>
          <w:pgMar w:left="436" w:top="274" w:right="45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BD</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Prior to the separation and distribution, Embecta and BD will enter into a separation and distribution agreement and other agreements that will outline the terms and conditions of the separation and distribution and provide a framework for Embecta’s relationship with BD after the separation and distribution.</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forms of which are filed as exhibits to the registration statement of which this information statement is a part and which are incorporated by reference into this information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transferred to each of Embecta and BD as part of the separation of the diabetes care business from BD into an independent, publicly traded company, and will provide for when and how these transfers and assumptions will occur. In particular, the separation and distribution agreement will provide that, among other things, subject to the terms and conditions contained therein:</w:t>
      </w:r>
    </w:p>
    <w:p>
      <w:pPr>
        <w:spacing w:after="0" w:line="92" w:lineRule="exact"/>
        <w:rPr>
          <w:sz w:val="20"/>
          <w:szCs w:val="20"/>
          <w:color w:val="auto"/>
        </w:rPr>
      </w:pPr>
    </w:p>
    <w:p>
      <w:pPr>
        <w:ind w:left="1420" w:hanging="331"/>
        <w:spacing w:after="0" w:line="263" w:lineRule="auto"/>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certain assets related to the diabetes care business, which this information statement refers to as the “SpinCo Assets,” will be retained by or transferred to Embecta or one of its subsidiaries. Subject to certain exceptions, assets that are exclusively related to the diabetes care business will be SpinCo Assets;</w:t>
      </w:r>
    </w:p>
    <w:p>
      <w:pPr>
        <w:spacing w:after="0" w:line="89" w:lineRule="exact"/>
        <w:rPr>
          <w:rFonts w:ascii="Arial" w:cs="Arial" w:eastAsia="Arial" w:hAnsi="Arial"/>
          <w:sz w:val="18"/>
          <w:szCs w:val="18"/>
          <w:color w:val="auto"/>
        </w:rPr>
      </w:pPr>
    </w:p>
    <w:p>
      <w:pPr>
        <w:ind w:left="1420" w:right="80" w:hanging="331"/>
        <w:spacing w:after="0" w:line="259" w:lineRule="auto"/>
        <w:tabs>
          <w:tab w:leader="none" w:pos="1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certain liabilities related to the diabetes care business or the SpinCo Assets, which this information statement refers to as the “SpinCo Liabilities,” will be retained by or transferred to Embecta. Subject to certain exceptions, liabilities that arise out of or are resulting from the diabetes care business, including liabilities of various legal entities that will be subsidiaries of Embecta following the separation, will be SpinCo Liabilities; and</w:t>
      </w:r>
    </w:p>
    <w:p>
      <w:pPr>
        <w:spacing w:after="0" w:line="92" w:lineRule="exact"/>
        <w:rPr>
          <w:rFonts w:ascii="Arial" w:cs="Arial" w:eastAsia="Arial" w:hAnsi="Arial"/>
          <w:sz w:val="18"/>
          <w:szCs w:val="18"/>
          <w:color w:val="auto"/>
        </w:rPr>
      </w:pPr>
    </w:p>
    <w:p>
      <w:pPr>
        <w:ind w:left="1420" w:right="160" w:hanging="331"/>
        <w:spacing w:after="0" w:line="311" w:lineRule="auto"/>
        <w:tabs>
          <w:tab w:leader="none" w:pos="14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other than the SpinCo Assets and the SpinCo Liabilities (such assets and liabilities, other than the SpinCo Assets and the SpinCo Liabilities, being referred to in this information statement as the “Parent Assets” and “Parent Liabilities,” respectively) will be retained by or transferred to BD.</w:t>
      </w:r>
    </w:p>
    <w:p>
      <w:pPr>
        <w:spacing w:after="0" w:line="14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BD nor Embecta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Embecta or BD,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0" w:right="459" w:bottom="1440" w:gutter="0" w:footer="0" w:header="0"/>
        </w:sectPr>
      </w:pPr>
    </w:p>
    <w:bookmarkStart w:id="335" w:name="page336"/>
    <w:bookmarkEnd w:id="33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that in the event that the transfer of certain assets and liabilities (or a portion thereof) to Embecta or BD, as applicable, does not occur prior to the separation, then until such assets or liabilities (or a portion thereof) are able to be transferred, Embecta or BD, as applicable, will hold such assets on behalf and for the benefit of the transferee, and will pay, perform and discharge such liabilities, for which the transferee will reimburse Embecta or BD, as applicable, for all reasonable payments made in connection with the performance and discharge of such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BD will distribute to its shareholders that hold BD common stock as of the record date for the distribution all of the issued and outstanding shares of Embecta common stock on a pro rata basis. Shareholders will receive cash in lieu of any fractional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separation and distribution agreement will provide that the distribution is subject to satisfaction (or waiver by BD in its sole and absolute discretion) of certain conditions. These conditions are described under “The Separation and Distribution—Conditions to the Distribution.” BD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general, each party to the separation and distribution agreement will assume liability for all pending, threatened and unasserted legal matters arising from its own business or its assumed or retained liabilities and will indemnify the other party for any liability to the extent arising out of or resulting from such assumed or retained legal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w:t>
      </w:r>
    </w:p>
    <w:p>
      <w:pPr>
        <w:spacing w:after="0" w:line="11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The separation and distribution agreement will provide that Embecta and its affiliates will release and discharge BD and its affiliates from all liabilities assumed by Embecta as part of the separation, from all acts and events occurring or failing to occur, and all conditions existing, on or before the distribution date arising from the diabetes care business, the SpinCo Assets and the SpinCo Liabilities and from all liabilities existing or arising in connection with the implementation of the separation, except as expressly set forth in the separation and distribution agreement. BD and its affiliates will release and discharge SpinCo and its affiliates from all liabilities retained by BD and its affiliates as part of the separation, from all acts and events occurring or failing to occur, and all conditions existing, on or before the distribution date arising from the Parent Business, the Parent Assets and the Parent Liabilities and from all liabilities existing or arising in connection with the implementation of the separation, except as expressly set forth in the separation and distribution agreement.</w:t>
      </w:r>
    </w:p>
    <w:p>
      <w:pPr>
        <w:spacing w:after="0" w:line="17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These releases will not extend to obligations or liabilities under any agreements between the parties that remain in effect following the separation, which agreements include the separation and distribution agreement and the other agreements described under “Certain Relationships and Related Party Transactions.”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440" w:top="274" w:right="49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In the separation and distribution agreement, Embecta will agree to indemnify, defend and hold harmless BD, each of BD’s affiliates, and each of their respective directors, officers, employees and agents, from and against all liabilities arising out of or resulting from:</w:t>
      </w:r>
    </w:p>
    <w:p>
      <w:pPr>
        <w:spacing w:after="0" w:line="52" w:lineRule="exact"/>
        <w:rPr>
          <w:sz w:val="20"/>
          <w:szCs w:val="20"/>
          <w:color w:val="auto"/>
        </w:rPr>
      </w:pPr>
    </w:p>
    <w:p>
      <w:pPr>
        <w:ind w:left="1420" w:hanging="331"/>
        <w:spacing w:after="0"/>
        <w:tabs>
          <w:tab w:leader="none" w:pos="1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SpinCo Liabilities;</w:t>
      </w:r>
    </w:p>
    <w:p>
      <w:pPr>
        <w:spacing w:after="0" w:line="130" w:lineRule="exact"/>
        <w:rPr>
          <w:rFonts w:ascii="Arial" w:cs="Arial" w:eastAsia="Arial" w:hAnsi="Arial"/>
          <w:sz w:val="18"/>
          <w:szCs w:val="18"/>
          <w:color w:val="auto"/>
        </w:rPr>
      </w:pPr>
    </w:p>
    <w:p>
      <w:pPr>
        <w:ind w:left="1420" w:right="20" w:hanging="331"/>
        <w:spacing w:after="0" w:line="277" w:lineRule="auto"/>
        <w:tabs>
          <w:tab w:leader="none" w:pos="1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Embecta’s failure or the failure of any other person to pay, perform or otherwise promptly discharge any of the Embecta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420" w:right="320" w:hanging="331"/>
        <w:spacing w:after="0" w:line="263" w:lineRule="auto"/>
        <w:tabs>
          <w:tab w:leader="none" w:pos="1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to the extent arising from a BD Liability, any guarantee, indemnification or contribution obligation, surety bond or other credit support agreement, arrangement, commitment or understanding for the benefit of Embecta by BD that survives the distribution;</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breach by Embecta of the separation and distribution agreement or any of the ancillary agreements; and</w:t>
      </w:r>
    </w:p>
    <w:p>
      <w:pPr>
        <w:spacing w:after="0" w:line="130" w:lineRule="exact"/>
        <w:rPr>
          <w:rFonts w:ascii="Arial" w:cs="Arial" w:eastAsia="Arial" w:hAnsi="Arial"/>
          <w:sz w:val="18"/>
          <w:szCs w:val="18"/>
          <w:color w:val="auto"/>
        </w:rPr>
      </w:pPr>
    </w:p>
    <w:p>
      <w:pPr>
        <w:ind w:left="1420" w:right="480" w:hanging="331"/>
        <w:spacing w:after="0" w:line="263" w:lineRule="auto"/>
        <w:tabs>
          <w:tab w:leader="none" w:pos="14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in the Form 10 or in this information statement or other related disclosure document (as amended or supplemented), except for any such statements or omissions made explicitly in BD’s name.</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BD will agree to indemnify, defend and hold harmless Embecta, each of Embecta’s affiliates and each of Embecta’s affiliates’ directors, officers, employees and agents from and against all liabilities arising out of or resulting from:</w:t>
      </w:r>
    </w:p>
    <w:p>
      <w:pPr>
        <w:spacing w:after="0" w:line="76" w:lineRule="exact"/>
        <w:rPr>
          <w:sz w:val="20"/>
          <w:szCs w:val="20"/>
          <w:color w:val="auto"/>
        </w:rPr>
      </w:pPr>
    </w:p>
    <w:p>
      <w:pPr>
        <w:ind w:left="1420" w:hanging="331"/>
        <w:spacing w:after="0"/>
        <w:tabs>
          <w:tab w:leader="none" w:pos="14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BD Liabilities;</w:t>
      </w:r>
    </w:p>
    <w:p>
      <w:pPr>
        <w:spacing w:after="0" w:line="130" w:lineRule="exact"/>
        <w:rPr>
          <w:rFonts w:ascii="Arial" w:cs="Arial" w:eastAsia="Arial" w:hAnsi="Arial"/>
          <w:sz w:val="18"/>
          <w:szCs w:val="18"/>
          <w:color w:val="auto"/>
        </w:rPr>
      </w:pPr>
    </w:p>
    <w:p>
      <w:pPr>
        <w:ind w:left="1420" w:right="60" w:hanging="331"/>
        <w:spacing w:after="0" w:line="277" w:lineRule="auto"/>
        <w:tabs>
          <w:tab w:leader="none" w:pos="14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failure of BD or any other person to pay, perform or otherwise promptly discharge any of the BD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420" w:right="20" w:hanging="331"/>
        <w:spacing w:after="0" w:line="263" w:lineRule="auto"/>
        <w:tabs>
          <w:tab w:leader="none" w:pos="14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except to the extent arising from a SpinCo Liability, any guarantee, indemnification or contribution obligation, surety bond or other credit support agreement, arrangement, commitment or understanding for the benefit of BD by Embecta that survives the distribution;</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breach by BD of the separation and distribution agreement or any of the ancillary agreements; and</w:t>
      </w:r>
    </w:p>
    <w:p>
      <w:pPr>
        <w:spacing w:after="0" w:line="130" w:lineRule="exact"/>
        <w:rPr>
          <w:rFonts w:ascii="Arial" w:cs="Arial" w:eastAsia="Arial" w:hAnsi="Arial"/>
          <w:sz w:val="18"/>
          <w:szCs w:val="18"/>
          <w:color w:val="auto"/>
        </w:rPr>
      </w:pPr>
    </w:p>
    <w:p>
      <w:pPr>
        <w:ind w:left="1420" w:hanging="331"/>
        <w:spacing w:after="0" w:line="308" w:lineRule="auto"/>
        <w:tabs>
          <w:tab w:leader="none" w:pos="142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a material fact made explicitly in BD’s name in the Form 10 or in this information statement or other related disclosure document (as amended or supplemented).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Indemnification with respect to taxes, and the procedures related thereto, will be governed by the tax matters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The separation and distribution agreement will provide for the allocation between the parties of rights and obligations under existing insurance policies with respect to occurrences prior to the distribution and set forth procedures for the administration of insured claims and related matters.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00"/>
          </w:cols>
          <w:pgMar w:left="440" w:top="274" w:right="5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w:t>
      </w:r>
    </w:p>
    <w:p>
      <w:pPr>
        <w:spacing w:after="0" w:line="117"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Embecta and BD will agree in the separation and distribution agreement to use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the separation and distribution agreement and the ancillary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separation and distribution agreement will contain provisions that govern, except as otherwise provided in any ancillary agreement, the resolution of disputes, controversies or claims that may arise between Embecta and BD related to the separation or distribution and that are unable to be resolved through good faith discussions between Embecta and BD. These provisions will contemplate that efforts will be made to resolve disputes, controversies and claims through a transition committee, and if the efforts are not successful, by escalation of the matter to executives of the parties in dispute. If such efforts are not successful, one of the parties in dispute may submit the dispute, controversy or claim to nonbinding mediation, and if such efforts are still not successful, either party may commence litigation, in each case subject to or as otherwise set forth in the provisions of the separation and distribution agreement.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Except as expressly set forth in the separation and distribution agreement or in any ancillary agreement, the party incurring the expense will be responsible for all fees, costs and expenses incurred in connection with the separation prior to the distribution date.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Other matters governed by the separation and distribution agreement will include, among others, approvals and notifications of transfer, termination of intercompany agreements, shared contracts, financial information certifications, transition committee provisions, confidentiality, access to and provision of records, privacy and data protection, production of witnesses, privileged matters and financing arrangements.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it may be terminated, and the separation and distribution agreement may be amended, modified or abandoned, at any time prior to the distribution date in the sole and absolute discretion of without the approval of any person, including Embecta.</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no provision of the separation and distribution agreement or any ancillary agreement may be waived, amended, supplemented or modified by a party without the written consent of the party against whom it is sought to enforce such waiver, amendment, supplement or modification.</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After the distribution date, the separation and distribution agreement may not be terminated, except by an agreement in writing signed by both Embecta and BD.</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the event of a termination of the separation and distribution agreement, no party, nor any of its directors, officers or employees, will have any liability of any kind to the other parties or any other person.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Embecta and BD will enter into a transition services agreement in connection with the separation pursuant to which Embecta and BD and their respective affiliates will provide each other, on an interim, transitional basis,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20"/>
          </w:cols>
          <w:pgMar w:left="440" w:top="274" w:right="439" w:bottom="1440" w:gutter="0" w:footer="0" w:header="0"/>
        </w:sectPr>
      </w:pPr>
    </w:p>
    <w:bookmarkStart w:id="338" w:name="page339"/>
    <w:bookmarkEnd w:id="338"/>
    <w:p>
      <w:pPr>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various services, including, but not limited to, information technology,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57"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The services will commence on the distribution date and terminate no later than 24 months following the distribution date. The receiving party may terminate any services by giving prior written notice to the provider of such services and paying any applicable wind-down charges.</w:t>
      </w:r>
    </w:p>
    <w:p>
      <w:pPr>
        <w:spacing w:after="0" w:line="146"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in the prior 12 months (or such shorter period if 12 months has not elapsed) pursuant to the transition services agreement. The transition services agreement also will provide that the provider of a service will not be liable to the recipient of such service for any lost profits, special, indirect, incidental, consequential, punitive, exemplary, remote, speculative or similar damages.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In connection with the separation, Embecta and BD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84"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The tax matters agreement will provide special rules that allocate tax liabilities in the event the distribution or certain related transactions fail to qualify as transactions that are tax-free for U.S. federal income tax purposes (other than any cash that BD shareholders receive in lieu of fractional shares). Under the tax matters agreement, Embecta will generally agree to indemnify BD and its affiliates against any and all tax-related liabilities incurred by them relating to the distribution and certain related transactions, to the extent caused by any representation by Embecta being incorrect or an acquisition of Embecta’s stock or assets or by any other action undertaken or failure to act by Embecta. This indemnification will apply even if BD has permitted Embecta to take an action that would otherwise have been prohibited under the tax-related covenants described below.</w:t>
      </w:r>
    </w:p>
    <w:p>
      <w:pPr>
        <w:spacing w:after="0" w:line="164"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Pursuant to the tax matters agreement, Embecta will agree to certain covenants that contain restrictions intended to preserve the tax-free status of the distribution and certain related transactions. Embecta may take certain actions prohibited by these covenants only if Embecta obtains and provides to BD an opinion from a U.S. tax counsel or accountant of recognized national standing, in either case satisfactory to BD, to the effect that such action would not jeopardize the tax-free status of these transactions, or if Embecta obtains prior written consent of BD, in its sole and absolute discretion, waiving such requirement. Embecta will be barred from taking any action, or failing to take any action, including in each case those provided in connection with the private letter ruling from the IRS or the opinion of outside tax counsel, where such action or failure to act adversely affects or could reasonably be expected to adversely affect the tax-free status of these transactions or result in certain other taxes to BD, for all relevant time periods. In addition, during the period ending two years after the date of the distribution, these covenants will include specific restrictions on Embecta’s</w:t>
      </w:r>
    </w:p>
    <w:p>
      <w:pPr>
        <w:spacing w:after="0" w:line="1" w:lineRule="exact"/>
        <w:rPr>
          <w:sz w:val="20"/>
          <w:szCs w:val="20"/>
          <w:color w:val="auto"/>
        </w:rPr>
      </w:pPr>
    </w:p>
    <w:p>
      <w:pPr>
        <w:ind w:left="4" w:right="80" w:hanging="4"/>
        <w:spacing w:after="0" w:line="271" w:lineRule="auto"/>
        <w:tabs>
          <w:tab w:leader="none" w:pos="219" w:val="left"/>
        </w:tabs>
        <w:numPr>
          <w:ilvl w:val="0"/>
          <w:numId w:val="367"/>
        </w:numPr>
        <w:rPr>
          <w:rFonts w:ascii="Arial" w:cs="Arial" w:eastAsia="Arial" w:hAnsi="Arial"/>
          <w:sz w:val="17"/>
          <w:szCs w:val="17"/>
          <w:color w:val="auto"/>
        </w:rPr>
      </w:pPr>
      <w:r>
        <w:rPr>
          <w:rFonts w:ascii="Arial" w:cs="Arial" w:eastAsia="Arial" w:hAnsi="Arial"/>
          <w:sz w:val="17"/>
          <w:szCs w:val="17"/>
          <w:color w:val="auto"/>
        </w:rPr>
        <w:t>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4"/>
          </w:cols>
          <w:pgMar w:left="436" w:top="274" w:right="45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Matters Agreement</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Embecta and BD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former employees of BD and current employees and non-employee directors of each company.</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employee matters agreement will provide that, unless otherwise specified, each party will be responsible for liabilities associated with current employees of such party and its subsidiaries for purposes of post-separation compensation and benefit matters. The employee matters agreement will also provide that BD will retain all liabilities associated with former employees (who are not Embecta employees) and all liabilities under BD’s United States and international defined benefit pension plans; however, Embecta employees participating in the BD U.S. Defined Benefit Plan will receive credit for their service with Embecta for purposes of vesting and eligibility in early retirement subsidies, and Embecta will reimburse BD for the estimated costs of such early retirement subsidies for participating Embecta employees. The employee matters agreement will also provide, subject to customary exceptions, that neither Embecta nor BD nor their respective subsidiaries will solicit or hire for employment any individual who is an employee of the other party or its subsidiaries for a period of two years following the distribution date.</w:t>
      </w:r>
    </w:p>
    <w:p>
      <w:pPr>
        <w:spacing w:after="0" w:line="17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BD prior to the separation. See “The Separation and Distribution—Treatment of Equity-Based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Cannula Supply Agreement</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Embecta and BD will enter into a cannula supply agreement in connection with the separation whereby BD will sell to Embecta cannulas for incorporation into Embecta’s existing syringes and pen needles and its insulin patch pump, safety pen needle and pen needle currently under development, all for sale within the diabetes care sector. After the separation, BD will retain ownership of all cannula technology, cannula production activities and the intellectual property rights therein, including all intellectual property rights relating to cannula, the manufacture thereof, and other critical cannula-related technology (the “Retained Cannula IP”). Pursuant to the intellectual property matters agreement, which is described below under “—Intellectual Property Matters Agreement,” BD will grant to Embecta a non-exclusive license, without the right to sublicense, to use the intellectual property relating to the cannulization process within the syringe and pen needle lines at the Embecta facilities in Holdrege, Nebraska, Dun Laoghaire, Ireland, and Suzhou, China (the “Manufacturing Line IP”) in connection with the manufacture of products in the diabetes care sector that contain either BD cannula or third-party-sourced cannula (as permitted under the Cannula Supply Agreement) to the extent that such Manufacturing Line IP was used in or for the diabetes care business prior to the separation; provided that such license is royalty-free with respect to BD cannula and royalty-bearing with respect to third-party sourced cannula.</w:t>
      </w:r>
    </w:p>
    <w:p>
      <w:pPr>
        <w:spacing w:after="0" w:line="182"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Embecta is also limited to a maximum number of cannulas that it can purchase under the cannula supply agreement, which will be an absolute upper limit of cannulas per year and yearly limits that vary with annual demand. The cannula supply agreement will also contain quantity, pricing and other terms.</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cannula supply agreement will be terminable by Embecta without cause by providing at least 36 months’ written notice; however, such termination can be effective no earlier than five years from the distribution date. The cannula supply agreement will be terminable by BD without cause by providing at least 36 months’ written notice; however, such termination can be effective no earlier than ten years from the distribution date. However, in the event of a change of control of Embecta, BD will have the right to terminate the cannula supply agreement in its sole discretion.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0" w:right="45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Manufacturing Agreements</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order to accommodate the manufacturing and/or sterilization of certain BD Business products at Embecta’s facilities in Dun Laoghaire, Ireland, and Suzhou, China and Embecta’s leased facility in Holdrege, Nebraska, Embecta and BD will enter into one or more manufacturing, supply, and/or services agreements pursuant to which Embecta will manufacture and supply, at these facilities, non-insulin patch pumps, blood collection tubes, safety syringes and certain other products and product components, and provide sterilization and other services, to BD.</w:t>
      </w:r>
    </w:p>
    <w:p>
      <w:pPr>
        <w:spacing w:after="0" w:line="17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order to accommodate the operation of certain Embecta equipment in BD’s facilities in Drogheda, Ireland, Embecta and BD will enter into one or more manufacturing, supply, and/or services agreements pursuant to which BD will manufacture and supply pen needles for Embecta at these facilities.</w:t>
      </w:r>
    </w:p>
    <w:p>
      <w:pPr>
        <w:spacing w:after="0" w:line="18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In order to accommodate the manufacturing of BD SafetyGlide</w:t>
      </w:r>
      <w:r>
        <w:rPr>
          <w:rFonts w:ascii="Arial" w:cs="Arial" w:eastAsia="Arial" w:hAnsi="Arial"/>
          <w:sz w:val="13"/>
          <w:szCs w:val="13"/>
          <w:color w:val="auto"/>
        </w:rPr>
        <w:t>™</w:t>
      </w:r>
      <w:r>
        <w:rPr>
          <w:rFonts w:ascii="Arial" w:cs="Arial" w:eastAsia="Arial" w:hAnsi="Arial"/>
          <w:sz w:val="16"/>
          <w:szCs w:val="16"/>
          <w:color w:val="auto"/>
        </w:rPr>
        <w:t xml:space="preserve"> syringes at Embecta’s facilities in Holdrege, Nebraska, Embecta and BD will enter into a contract manufacturing agreement whereby Embecta will manufacture and supply BD SafetyGlide</w:t>
      </w:r>
      <w:r>
        <w:rPr>
          <w:rFonts w:ascii="Arial" w:cs="Arial" w:eastAsia="Arial" w:hAnsi="Arial"/>
          <w:sz w:val="13"/>
          <w:szCs w:val="13"/>
          <w:color w:val="auto"/>
        </w:rPr>
        <w:t>™</w:t>
      </w:r>
      <w:r>
        <w:rPr>
          <w:rFonts w:ascii="Arial" w:cs="Arial" w:eastAsia="Arial" w:hAnsi="Arial"/>
          <w:sz w:val="16"/>
          <w:szCs w:val="16"/>
          <w:color w:val="auto"/>
        </w:rPr>
        <w:t xml:space="preserve"> syringes for BD at these facilities.</w:t>
      </w:r>
    </w:p>
    <w:p>
      <w:pPr>
        <w:spacing w:after="0" w:line="124"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In order to accommodate the manufacturing and/or repackaging of certain diabetes care business products at BD’s facilities in Bawal, India, Cuautitlan, Mexico and Curitiba, Brazil, Embecta and BD will enter into a contract manufacturing agreement whereby BD will manufacture and/or repackage pen needles and/or syringes for Embecta at these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 for Holdrege</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Embecta and a subsidiary of BD will enter into a long-term lease agreement and related agreements (including a services agreement for warehousing and sterilization services), which will provide for (1) the lease by Embecta from such subsidiary of physical space in such subsidiary’s manufacturing plant in Holdrege, Nebraska and (2) a services agreement under which such subsidiary will provide sterilization and warehousing services for Embecta at such manufacturing plant. The initial term of the lease is ten years, with Embecta having a one-time option to extend for an additional one, two, three, four or five years by giving BD written notice prior to the end of the seventh lease year. The initial annual base rent under the lease is generally intended to permit BD to recover its costs plus a predetermined profit, and is subject to 3% annual escalations on base rent. Embecta is also responsible for its proportionate share of the facility’s management fee, taxes, insurance and utilities. Embecta agreed that it would be a default under the lease if Embecta, directly or indirectly, by operation of law, merger, consolidation, reorganization or otherwise (including by transfer of a direct or indirect majority interest in it), mortgages, pledges, encumbers, sells, transfers, assigns or sublets the lease without consent (which shall be in BD’s sole and absolute discretion).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Embecta and BD will enter into an intellectual property matters agreement with respect to intellectual property that is used by both the diabetes care business and the BD Business, in order to ensure that each of Embecta and BD will have the intellectual property rights it needs to operate its respective business, as currently conducted, including (1) a perpetual, non-exclusive, royalty-free, sub-licensable, worldwide license from BD to Embecta under certain intellectual property to the extent used in or for the diabetes care business or in the operation thereof as of or prior to the separation (but excluding the Retained Cannula IP and the Manufacturing Line IP), and including patch pump technologies or certain other technologies with applicability in diabetes care, and in each case, for use in the field of diabetes care; provided that Embecta may have certain exclusive rights with respect to (i) patch pump products commercialized for infusion of insulin or insulin analogs and (ii) syringe or pen needle products promoted, marketed or labeled for injection of insulin or insulin analogs, (2) a perpetual, non-exclusive, royalty-free, sub-licensable, worldwide license from Embecta to BD under intellectual property to the extent used in or for the BD Business or in the operation thereof as of, or prior to, the separation, and in each case, for use in all fields other than diabetes care and (3) as noted above under “—Cannula Supply Agreement,” a non-exclusive license, without the right to sublicense, from BD to Embecta to use the Manufacturing Line IP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0" w:right="479" w:bottom="1440" w:gutter="0" w:footer="0" w:header="0"/>
        </w:sectPr>
      </w:pPr>
    </w:p>
    <w:bookmarkStart w:id="341" w:name="page342"/>
    <w:bookmarkEnd w:id="341"/>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manufacture of products in the diabetes care sector that contain either BD cannula or third-party-sourced cannula (as permitted under the Cannula Supply Agreement) to the extent that such Manufacturing Line IP was used in or for the diabetes care business prior to the separation; provided that such license is royalty-free with respect to BD cannula and royalty-bearing with respect to third-party-sourced cannula.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Services Agreement</w:t>
      </w:r>
    </w:p>
    <w:p>
      <w:pPr>
        <w:spacing w:after="0" w:line="229"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Embecta and BD will enter into a logistics services agreement whereby BD will provide Embecta with certain order-to-cash and logistics services to support certain commercial operations of the diabetes care business for a maximum term of two years, including (1) master data management, (2) order management and customer service support, (3) customer invoicing, (4) returns management, (5) administration of end user tracing, (6) sales reporting, (7) accounts receivable management, cash collections and cash application, (8) demand, supply, operations and planning, (9) inbound freight management, (10) import/export logistics, (11) global trade services, (12) warehousing, (13) inventory handling, management and reporting and (14) outbound freight management. Embecta shall pay BD: (i) reimbursable costs, including all shipping costs, selling costs, general administration costs, costs of goods, R&amp;D services costs, and other income and expenses related solely to the diabetes care business direct P&amp;L, that are incurred by BD directly, as allocated costs or as costs payable to a third party and (ii) a monthly administrative fee of 1% of net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Agreements</w:t>
      </w:r>
    </w:p>
    <w:p>
      <w:pPr>
        <w:spacing w:after="0" w:line="12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Embecta and BD will enter into distribution agreements for certain territories, principally in the Asia Pacific Region, EMEA and Latin America, whereby a subsidiary of BD will be appointed as a distributor of Embecta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diabetes care business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return of 1.5% to 2% of net revenue for each territory.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U.S. FEDERAL INCOME TAX CONSEQUENCES</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following is a general discussion of the material U.S. federal income tax consequences of the distribution to “U.S. holders” (as defined below) of BD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this discussion, a “U.S. holder” is a beneficial owner of BD common stock that is, for U.S. federal income tax purposes:</w:t>
      </w:r>
    </w:p>
    <w:p>
      <w:pPr>
        <w:spacing w:after="0" w:line="142" w:lineRule="exact"/>
        <w:rPr>
          <w:sz w:val="20"/>
          <w:szCs w:val="20"/>
          <w:color w:val="auto"/>
        </w:rPr>
      </w:pPr>
    </w:p>
    <w:p>
      <w:pPr>
        <w:ind w:left="960" w:hanging="532"/>
        <w:spacing w:after="0"/>
        <w:tabs>
          <w:tab w:leader="none" w:pos="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960" w:right="360" w:hanging="532"/>
        <w:spacing w:after="0" w:line="263" w:lineRule="auto"/>
        <w:tabs>
          <w:tab w:leader="none" w:pos="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discussion addresses only the consequences to U.S. holders of shares of BD common stock who hold such shares as capital assets. It does not address all aspects of U.S. federal income taxation that may be relevant to a particular U.S. holder of BD common stock in light of that shareholder’s particular circumstances, nor does it address any tax consequences to stockholders subject to special treatment under the U.S. federal income tax laws, including:</w:t>
      </w:r>
    </w:p>
    <w:p>
      <w:pPr>
        <w:spacing w:after="0" w:line="92" w:lineRule="exact"/>
        <w:rPr>
          <w:sz w:val="20"/>
          <w:szCs w:val="20"/>
          <w:color w:val="auto"/>
        </w:rPr>
      </w:pPr>
    </w:p>
    <w:p>
      <w:pPr>
        <w:ind w:left="960" w:hanging="532"/>
        <w:spacing w:after="0"/>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holder who acquired BD common stock pursuant to the exercise of employee stock options or similar derivative securities otherwise as compensation;</w:t>
      </w:r>
    </w:p>
    <w:p>
      <w:pPr>
        <w:spacing w:after="0" w:line="75"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holder who owns BD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 holder who holds BD common stock in a tax-deferred account, such as an individual retirement account.</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BD common stock, the tax treatment of a partner in such partnership generally will depend upon the status of the partner and the activities of the partnership. A partner in a partnership holding BD common stock should consult its own tax advisor.</w:t>
      </w:r>
    </w:p>
    <w:p>
      <w:pPr>
        <w:spacing w:after="0" w:line="184"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0" w:right="459" w:bottom="1440" w:gutter="0" w:footer="0" w:header="0"/>
        </w:sectPr>
      </w:pPr>
    </w:p>
    <w:bookmarkStart w:id="343" w:name="page344"/>
    <w:bookmarkEnd w:id="343"/>
    <w:p>
      <w:pPr>
        <w:ind w:left="4" w:right="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ACCORDINGLY, EACH HOLDER OF BD COMMON STOCK SHOULD CONSULT ITS OWN TAX ADVISOR WITH RESPECT TO THE SPECIFIC U.S. FEDERAL, STATE, LOCAL AND NON-U.S. INCOME OR OTHER TAX CONSEQUENCES OF THE DISTRIBUTION TO SUCH HOLDER.</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Private Letter Ruling and Tax Opinion</w:t>
      </w:r>
    </w:p>
    <w:p>
      <w:pPr>
        <w:spacing w:after="0" w:line="117"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BD has received a private letter ruling from the IRS to the effect that, among other things, the separation and the distribution will qualify as a transaction that is tax-free for U.S. federal income tax purposes under Sections 368(a)(1)(D), 355, and 361 of the Code. It is a condition to the distribution that BD receive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BD’s outside tax counsel will be, and the private letter ruling is,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BD’s outside tax counsel or the private letter ruling, and the conclusions reached therein could be jeopardized.</w:t>
      </w:r>
    </w:p>
    <w:p>
      <w:pPr>
        <w:spacing w:after="0" w:line="182" w:lineRule="exact"/>
        <w:rPr>
          <w:sz w:val="20"/>
          <w:szCs w:val="20"/>
          <w:color w:val="auto"/>
        </w:rPr>
      </w:pPr>
    </w:p>
    <w:p>
      <w:pPr>
        <w:ind w:left="4" w:right="180" w:firstLine="440"/>
        <w:spacing w:after="0" w:line="273" w:lineRule="auto"/>
        <w:rPr>
          <w:sz w:val="20"/>
          <w:szCs w:val="20"/>
          <w:color w:val="auto"/>
        </w:rPr>
      </w:pPr>
      <w:r>
        <w:rPr>
          <w:rFonts w:ascii="Arial" w:cs="Arial" w:eastAsia="Arial" w:hAnsi="Arial"/>
          <w:sz w:val="17"/>
          <w:szCs w:val="17"/>
          <w:color w:val="auto"/>
        </w:rPr>
        <w:t>Notwithstanding BD’s receipt of the private letter ruling or the opinion of BD’s outside tax counsel, the IRS could determine on audit that the distribution or certain related transactions are taxable for U.S. federal income tax purposes if it determines that any of the facts, assumptions, representations, statements and undertakings upon which the private letter ruling or the opinion were based are incorrect or have been violated, or if it disagrees with any of the conclusions in the opinion. Accordingly, notwithstanding BD’s receipt of the private letter ruling or the opinion of BD’s outside tax counsel, there can be no assurance that the IRS will not assert that the distribution or certain related transactions do not qualify for tax-free treatment for U.S. federal income tax purposes, or that a court would not sustain such a challenge.</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Assuming that the distribution, together with certain related transactions, qualifies as a “reorganization” within the meaning of Sections 368(a)(1)</w:t>
      </w:r>
    </w:p>
    <w:p>
      <w:pPr>
        <w:spacing w:after="0" w:line="46" w:lineRule="exact"/>
        <w:rPr>
          <w:sz w:val="20"/>
          <w:szCs w:val="20"/>
          <w:color w:val="auto"/>
        </w:rPr>
      </w:pPr>
    </w:p>
    <w:p>
      <w:pPr>
        <w:ind w:left="304" w:hanging="304"/>
        <w:spacing w:after="0"/>
        <w:tabs>
          <w:tab w:leader="none" w:pos="30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and 355 of the Code, then, for U.S. federal income tax purposes:</w:t>
      </w:r>
    </w:p>
    <w:p>
      <w:pPr>
        <w:spacing w:after="0" w:line="116" w:lineRule="exact"/>
        <w:rPr>
          <w:rFonts w:ascii="Arial" w:cs="Arial" w:eastAsia="Arial" w:hAnsi="Arial"/>
          <w:sz w:val="18"/>
          <w:szCs w:val="18"/>
          <w:color w:val="auto"/>
        </w:rPr>
      </w:pPr>
    </w:p>
    <w:p>
      <w:pPr>
        <w:ind w:left="1424" w:hanging="331"/>
        <w:spacing w:after="0"/>
        <w:tabs>
          <w:tab w:leader="none" w:pos="1424" w:val="left"/>
        </w:tabs>
        <w:numPr>
          <w:ilvl w:val="1"/>
          <w:numId w:val="370"/>
        </w:numPr>
        <w:rPr>
          <w:rFonts w:ascii="Arial" w:cs="Arial" w:eastAsia="Arial" w:hAnsi="Arial"/>
          <w:sz w:val="18"/>
          <w:szCs w:val="18"/>
          <w:color w:val="auto"/>
        </w:rPr>
      </w:pPr>
      <w:r>
        <w:rPr>
          <w:rFonts w:ascii="Arial" w:cs="Arial" w:eastAsia="Arial" w:hAnsi="Arial"/>
          <w:sz w:val="18"/>
          <w:szCs w:val="18"/>
          <w:color w:val="auto"/>
        </w:rPr>
        <w:t>BD will not recognize income, gain or loss on the distribution;</w:t>
      </w:r>
    </w:p>
    <w:p>
      <w:pPr>
        <w:spacing w:after="0" w:line="130" w:lineRule="exact"/>
        <w:rPr>
          <w:rFonts w:ascii="Arial" w:cs="Arial" w:eastAsia="Arial" w:hAnsi="Arial"/>
          <w:sz w:val="18"/>
          <w:szCs w:val="18"/>
          <w:color w:val="auto"/>
        </w:rPr>
      </w:pPr>
    </w:p>
    <w:p>
      <w:pPr>
        <w:ind w:left="1424" w:right="200" w:hanging="331"/>
        <w:spacing w:after="0" w:line="277" w:lineRule="auto"/>
        <w:tabs>
          <w:tab w:leader="none" w:pos="1424" w:val="left"/>
        </w:tabs>
        <w:numPr>
          <w:ilvl w:val="1"/>
          <w:numId w:val="370"/>
        </w:numPr>
        <w:rPr>
          <w:rFonts w:ascii="Arial" w:cs="Arial" w:eastAsia="Arial" w:hAnsi="Arial"/>
          <w:sz w:val="18"/>
          <w:szCs w:val="18"/>
          <w:color w:val="auto"/>
        </w:rPr>
      </w:pPr>
      <w:r>
        <w:rPr>
          <w:rFonts w:ascii="Arial" w:cs="Arial" w:eastAsia="Arial" w:hAnsi="Arial"/>
          <w:sz w:val="18"/>
          <w:szCs w:val="18"/>
          <w:color w:val="auto"/>
        </w:rPr>
        <w:t>except with respect to the receipt of cash in lieu of fractional shares of Embecta common stock, holders of BD common stock will not recognize income, gain or loss on the receipt of Embecta common stock in the distribution;</w:t>
      </w:r>
    </w:p>
    <w:p>
      <w:pPr>
        <w:spacing w:after="0" w:line="75" w:lineRule="exact"/>
        <w:rPr>
          <w:rFonts w:ascii="Arial" w:cs="Arial" w:eastAsia="Arial" w:hAnsi="Arial"/>
          <w:sz w:val="18"/>
          <w:szCs w:val="18"/>
          <w:color w:val="auto"/>
        </w:rPr>
      </w:pPr>
    </w:p>
    <w:p>
      <w:pPr>
        <w:ind w:left="1424" w:right="80" w:hanging="331"/>
        <w:spacing w:after="0" w:line="279" w:lineRule="auto"/>
        <w:tabs>
          <w:tab w:leader="none" w:pos="1424" w:val="left"/>
        </w:tabs>
        <w:numPr>
          <w:ilvl w:val="1"/>
          <w:numId w:val="370"/>
        </w:numPr>
        <w:rPr>
          <w:rFonts w:ascii="Arial" w:cs="Arial" w:eastAsia="Arial" w:hAnsi="Arial"/>
          <w:sz w:val="17"/>
          <w:szCs w:val="17"/>
          <w:color w:val="auto"/>
        </w:rPr>
      </w:pPr>
      <w:r>
        <w:rPr>
          <w:rFonts w:ascii="Arial" w:cs="Arial" w:eastAsia="Arial" w:hAnsi="Arial"/>
          <w:sz w:val="17"/>
          <w:szCs w:val="17"/>
          <w:color w:val="auto"/>
        </w:rPr>
        <w:t>a U.S. holder’s aggregate tax basis in its shares of BD common stock and Embecta common stock (including any fractional shares deemed received, as described below) immediately after the distribution will be the same as the aggregate tax basis of the shares of BD common stock held by the U.S. holder immediately before the distribution, allocated between such shares of BD common stock and Embecta common stock in proportion to their relative fair market values; and</w:t>
      </w:r>
    </w:p>
    <w:p>
      <w:pPr>
        <w:spacing w:after="0" w:line="76" w:lineRule="exact"/>
        <w:rPr>
          <w:rFonts w:ascii="Arial" w:cs="Arial" w:eastAsia="Arial" w:hAnsi="Arial"/>
          <w:sz w:val="17"/>
          <w:szCs w:val="17"/>
          <w:color w:val="auto"/>
        </w:rPr>
      </w:pPr>
    </w:p>
    <w:p>
      <w:pPr>
        <w:ind w:left="1424" w:hanging="331"/>
        <w:spacing w:after="0" w:line="263" w:lineRule="auto"/>
        <w:tabs>
          <w:tab w:leader="none" w:pos="1424"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 U.S. holder’s holding period in the Embecta common stock received in the distribution (including any fractional shares deemed received, as described below) will include the holding period of the BD common stock with respect to which such Embecta common stock was received.</w:t>
      </w:r>
    </w:p>
    <w:p>
      <w:pPr>
        <w:spacing w:after="0" w:line="184"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U.S. holders that have acquired different blocks of BD common stock at different times or at different prices should consult their tax advisors regarding the allocation of their aggregate tax basis in, and the holding period of, the Embecta common stock distributed with respect to such blocks of BD common stock.</w:t>
      </w:r>
    </w:p>
    <w:p>
      <w:pPr>
        <w:spacing w:after="0" w:line="184"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A U.S. holder that receives cash in lieu of a fractional share of Embecta common stock in the distribution will generally be treated as having received such fractional share pursuant to the distribution and then as having</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84"/>
          </w:cols>
          <w:pgMar w:left="436" w:top="270" w:right="479" w:bottom="1440" w:gutter="0" w:footer="0" w:header="0"/>
        </w:sectPr>
      </w:pPr>
    </w:p>
    <w:bookmarkStart w:id="344" w:name="page345"/>
    <w:bookmarkEnd w:id="344"/>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sold such fractional share for cash. Taxable gain or loss will be recognized in an amount equal to the difference between (i) the amount of cash received in lieu of the fractional share and (ii) the U.S. holder’s tax basis in the fractional share, as described above. Such gain or loss will generally be long-term capital gain or loss if the U.S. holder’s holding period for its Embecta common stock, as described above, exceeds one year at the effective time of the distribution. Long-term capital gains are generally subject to preferential U.S. federal income tax rates for certain non-corporate U.S. holders (including individuals). The deductibility of capital losses is subject to limitations under the Code.</w:t>
      </w:r>
    </w:p>
    <w:p>
      <w:pPr>
        <w:spacing w:after="0" w:line="176"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If the distribution were determined not to qualify for tax-free treatment under Section 355 of the Code, BD would generally be subject to tax as if it sold the Embecta common stock in a taxable transaction. BD would recognize taxable gain in an amount equal to the excess of (i) the total fair market value of the shares of Embecta common stock distributed in the distribution over (ii) BD’s aggregate tax basis in such shares of Embecta common stock. In addition, each U.S. holder who receives Embecta common stock in the distribution would generally be treated as receiving a taxable distribution in an amount equal to the fair market value of the Embecta common stock received by the U.S. holder in the distribution. In general, such distribution would be taxable as a dividend to the extent of BD’s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BD common stock, with any remaining amount of the distribution taxed as capital gain. A U.S. holder would have a tax basis in its shares of Embecta common stock equal to their fair market value. Certain U.S. holders may be subject to special rules governing taxable distributions, such as those that relate to the dividends received deduction and extraordinary dividends.</w:t>
      </w:r>
    </w:p>
    <w:p>
      <w:pPr>
        <w:spacing w:after="0" w:line="16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Even if the distribution otherwise qualifies under Section 355 of the Code, the distribution would be taxable to BD (but not to its U.S. holders) pursuant to Section 355(e) of the Code if one or more persons acquire a 50% or greater interest (measured by vote or value) in the stock of BD or Embecta,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BD or Embecta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BD or Embecta, either before or after the distribution, were part of a plan that includes the distribution, such determination could cause Section 355(e) of the Code to apply to the distribution, which could result in a material tax liability.</w:t>
      </w:r>
    </w:p>
    <w:p>
      <w:pPr>
        <w:spacing w:after="0" w:line="18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Under the tax matters agreement that Embecta will enter into with BD, Embecta generally will be required to indemnify BD for any taxes incurred by BD that arise as a result of Embecta taking or failing to take, as the case may be, certain actions that result in the distribution and certain related transactions failing to qualify as tax-free for U.S. federal income tax purposes or that result in certain other taxes to BD. For a more detailed discussion, see “Certain Relationships and Related Party Transactions—Tax Matters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w:t>
      </w:r>
    </w:p>
    <w:p>
      <w:pPr>
        <w:spacing w:after="0" w:line="121"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Current Treasury regulations require certain U.S. holders of BD common stock who are “significant distributees” (generally, a U.S. holder that owns at least 5% of the outstanding BD common stock immediately before the distribution) and who receive Embecta common stock pursuant to the distribution to attach to their U.S. federal income tax returns for the taxable year in which the distribution occurs a statement setting forth certain information with respect to the transaction. BD will provide holders of BD common stock with the information necessary to comply with this requirement. U.S. holders should consult their tax advisors to determine whether they are significant distributees required to provide the foregoing statement.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440" w:top="274" w:right="45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MATERIAL INDEBTEDNESS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i w:val="1"/>
          <w:iCs w:val="1"/>
          <w:color w:val="auto"/>
        </w:rPr>
        <w:t>The following summary sets forth information based on Embecta’s current expectations about the financing arrangements anticipated to be entered into in connection with the separation and distribution. However, Embecta has not yet entered into definitive material agreements with respect to such financing arrangements, and, accordingly, the terms of such financing arrangements are subject to change, including as a result of market conditions. The definitive agreements, when entered into, shall set forth the definitive terms of the financing arrangements.</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 connection with the separation and distribution, Embecta expects to issue $500 million aggregate principal amount of senior secured notes to qualified institutional buyers in reliance on Rule 144A under the Securities Act and to non-U.S. persons in reliance on Regulation S under the Securities Act. Prior to the completion of the distribution, Embecta also expects to enter into a credit agreement providing for a $500 million senior secured five-year revolving credit facility and a $1,150 million senior secured seven-year first lien term loan facility. Embecta intends to use the net proceeds from the sale of senior secured notes, together with borrowings under the term loan, (i) to finance the payment of a $1,440 million distribution to BD prior to the distribution (which amount is subject to change), (ii) to pay fees and expenses related to the offering and the separation and distribution and (iii) for general corporate purposes.</w:t>
      </w:r>
    </w:p>
    <w:p>
      <w:pPr>
        <w:spacing w:after="0" w:line="8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Embecta’s targeted debt balance at the time of the separation was determined based on internal capital planning and considered the following factors and assumptions: anticipated business plan, optimal debt levels, operating activities, general economic contingencies, credit rating and desired financing capacity.</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Nothing in this summary or otherwise herein shall constitute or be deemed to constitute an offer to sell or the solicitation of an offer to buy any debt instruments. The description contained herein and the other information in this information statement regarding the potential offering of the notes is included in this information statement solely for informational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2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In connection with the separation and distribution, Embecta expects to issue $500 million aggregate principal amount of 5.000% senior secured notes due 2030 in a private offering exempt from the registration requirements of the Securities Act. The notes will mature on February 15, 2030. The notes will bear interest at a rate of 5.000% per annum, payable semi-annually.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notes will not be redeemable until after February 15, 2027, subject to certain limited exceptions. After February 15, 2027, the notes will be redeemable at Embecta’s option in a customary manner and at the prices set forth therein.</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Prior to the completion of the distribution, Embecta expects that the notes will be unsecured, unsubordinated obligations of Embecta and guaranteed on an unsecured, unsubordinated basis solely by BD, which guarantee will automatically and unconditionally terminate and be released upon the earlier to occur of (i) the completion of the distribution or (ii) the consummation of a defeasance or satisfaction and discharge in accordance with the provisions of the indenture that will govern the notes. From and after the completion of the distribution, Embecta expects that the notes will be, jointly and severally, guaranteed by each of Embecta’s existing and future direct or indirect wholly owned domestic restricted subsidiaries (subject to certain exceptions) that is a borrower or guarantor under the Senior Secured Credit Facilities (as defined below).</w:t>
      </w:r>
    </w:p>
    <w:p>
      <w:pPr>
        <w:spacing w:after="0" w:line="17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From and after the completion of the distribution, the notes and related guarantees will be secured by a first priority lien on substantially all of the assets of Embecta and its subsidiary guarantors (subject to permitted liens and certain other exceptions), equally and ratably with all existing and future first lien obligations of Embecta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0" w:right="459" w:bottom="1440" w:gutter="0" w:footer="0" w:header="0"/>
        </w:sectPr>
      </w:pPr>
    </w:p>
    <w:bookmarkStart w:id="346" w:name="page347"/>
    <w:bookmarkEnd w:id="34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subsidiary guarantors, including the Senior Secured Credit Facilities, subject to the provisions of a first lien pari passu intercreditor agreement. Such intercreditor agreement will set forth the relative rights of, and relationship among, the holders of the notes, the secured parties under the Senior Secured Credit Facilities and the holders of any future obligations permitted to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notes in respect of the collateral.</w:t>
      </w:r>
    </w:p>
    <w:p>
      <w:pPr>
        <w:spacing w:after="0" w:line="18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notes are expected to contain customary affirmative and negative covenants, which covenants are expected to include, among others, limitations on the incurrence of indebtedness, restricted payments, liens, restrictions on distributions from subsidiaries, sales of assets and subsidiary stock, affiliate transactions and certain mergers and consolidations.</w:t>
      </w:r>
    </w:p>
    <w:p>
      <w:pPr>
        <w:spacing w:after="0" w:line="18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Embecta expects that the notes will be subject to customary events of default for financings of this type, which events of default are expected to include, among others, non-payment of principal, interest or premium, failure to comply with certain covenants and certain bankruptcy or insolvency events.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jc w:val="both"/>
        <w:ind w:right="200" w:firstLine="440"/>
        <w:spacing w:after="0" w:line="342" w:lineRule="auto"/>
        <w:rPr>
          <w:sz w:val="20"/>
          <w:szCs w:val="20"/>
          <w:color w:val="auto"/>
        </w:rPr>
      </w:pPr>
      <w:r>
        <w:rPr>
          <w:rFonts w:ascii="Arial" w:cs="Arial" w:eastAsia="Arial" w:hAnsi="Arial"/>
          <w:sz w:val="16"/>
          <w:szCs w:val="16"/>
          <w:color w:val="auto"/>
        </w:rPr>
        <w:t>Prior to the distribution, Embecta expects to enter into a credit agreement (the “Credit Agreement”), as borrower, together with Morgan Stanley Senior Funding, Inc., as administrative agent and collateral agent, and the other lenders and L/C issuers from time to time party thereto.</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Credit Agreement is expected to provide for (a) a $500 million senior secured five-year revolving credit facility and (b) a $1,150 million senior secured seven-year term loan facility (collectively, the “Senior Secured Credit Facilities”). The proceeds under the revolving credit facility may be used for working capital and other general corporate purposes, including the financing of restricted payments, permitted acquisitions and other permitted investments, and for any other purpose not prohibited by the Credit Agreement. Prior to the completion of the distribution, Embecta’s obligations under the Credit Agreement are expected to be guaranteed by BD on an unsecured, unsubordinated basis. On and after the completion of the distribution, Embecta’s obligations are expected to be guaranteed by Embecta’s existing and subsequently acquired wholly owned domestic subsidiaries, subject to certain exceptions, and are expected to be secured by a first priority lien on substantially all of the assets of Embecta and the subsidiary guarantors, subject to permitted liens and certain other customary exceptions. Upon the completion of the distribution, BD is expected to be relieved of all obligations under the Senior Secured Credit Facilities.</w:t>
      </w:r>
    </w:p>
    <w:p>
      <w:pPr>
        <w:spacing w:after="0" w:line="18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Embecta expects that the Credit Agreement will contain affirmative and negative covenants customary for financings of this type, including, among others, delivery of financial and other information; compliance with laws; maintenance of property, existence, insurance, books and records and public ratings; use of proceeds; inspection rights; obligation to provide collateral for newly acquired property and guarantees by certain new subsidiaries; and limitations with respect to indebtedness, liens, acquisitions and other investments, fundamental changes, restrictive agreements, dividends and redemptions or repurchases of stock, prepayments of certain subordinated indebtedness, dispositions of assets and transactions with affiliates, in each case subject to certain exceptions. In addition, the Credit Agreement is expected to require that Embecta maintain a first lien net leverage ratio not to exceed 4.75 to 1.00, measured as of the last day of each fiscal quarter beginning with the first full fiscal quarter after the closing of the Senior Secured Credit Facilities. The Credit Agreement is also expected to contain events of default customary for financings of this type, including, among others, material breach of representations and warranties, failure to make required payments, failure to comply with certain agreements or covenants, failure to pay or default under certain other indebtedness in excess of a threshold amount, and certain events of bankruptcy and insolvency.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Embecta-to-BD Distribution Transaction</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Prior to the completion of the distribution, it is expected that Embecta will pay a dividend to BD equal to all of Embecta’s cash and cash equivalents in excess of $160 million. However, prior to the completion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0"/>
          </w:cols>
          <w:pgMar w:left="440" w:top="274" w:right="479" w:bottom="1440" w:gutter="0" w:footer="0" w:header="0"/>
        </w:sectPr>
      </w:pPr>
    </w:p>
    <w:bookmarkStart w:id="347" w:name="page348"/>
    <w:bookmarkEnd w:id="34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 BD may cause Embecta to issue the Exchange Debt to effect a Debt-For-Debt Exchange. Embecta anticipates that in the event that such additional debt takes the form of additional secured notes, Embecta would reduce the aggregate principal amount of term loans under the Senior Secured Credit Facilities incurred on or prior to the completion of the distribution by an aggregate principal amount equal to the aggregate principal amount of any such Exchange Debt. In the event that BD determines that Embecta shall issue the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7"/>
          <w:szCs w:val="17"/>
          <w:i w:val="1"/>
          <w:iCs w:val="1"/>
          <w:color w:val="auto"/>
        </w:rPr>
        <w:t>less</w:t>
      </w:r>
      <w:r>
        <w:rPr>
          <w:rFonts w:ascii="Arial" w:cs="Arial" w:eastAsia="Arial" w:hAnsi="Arial"/>
          <w:sz w:val="17"/>
          <w:szCs w:val="17"/>
          <w:color w:val="auto"/>
        </w:rPr>
        <w:t xml:space="preserve"> (2) the aggregate principal amount of any such Exchange Debt. We refer to the cash dividend, taken together with the issuance of the Exchange Debt, if applicable, as the “Embecta-to-BD Distribution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348" w:name="page349"/>
    <w:bookmarkEnd w:id="34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Before the separation and distribution, all of the outstanding shares of Embecta common stock will be owned beneficially and of record by BD. Following the separation and distribution, Embecta expects to have outstanding an aggregate of approximately 57 million shares of common stock based upon approximately 284 million shares of BD common stock issued and outstanding on October 31, 2021, excluding treasury shares, assuming no exercise of any shares issued under BD equity compensation awards and applying the distribution ratio.</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Securities Owned by Certain Beneficial Owners</w:t>
      </w:r>
    </w:p>
    <w:p>
      <w:pPr>
        <w:spacing w:after="0" w:line="121"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The following table sets forth information concerning those persons known to Embecta that are expected to be the beneficial owner of more than 5% of Embecta’s outstanding common stock immediately following the completion of the distribution. The below table is based on information available as of September 30, 2021 and based upon the assumption that, for every five shares of BD common stock held by such persons, they will receive one share of Embecta common stock. In general, “beneficial ownership” includes those shares that a person has the sole or shared power to vote or dispose of, including shares that the person has the right to acquire within 60 days.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2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 and Address of</w:t>
            </w:r>
          </w:p>
        </w:tc>
        <w:tc>
          <w:tcPr>
            <w:tcW w:w="3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Title of Security</w:t>
            </w: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Amount and Nature of</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Percent of Class</w:t>
            </w:r>
          </w:p>
        </w:tc>
        <w:tc>
          <w:tcPr>
            <w:tcW w:w="0" w:type="dxa"/>
            <w:vAlign w:val="bottom"/>
          </w:tcPr>
          <w:p>
            <w:pPr>
              <w:spacing w:after="0"/>
              <w:rPr>
                <w:sz w:val="1"/>
                <w:szCs w:val="1"/>
                <w:color w:val="auto"/>
              </w:rPr>
            </w:pPr>
          </w:p>
        </w:tc>
      </w:tr>
      <w:tr>
        <w:trPr>
          <w:trHeight w:val="185"/>
        </w:trPr>
        <w:tc>
          <w:tcPr>
            <w:tcW w:w="3620" w:type="dxa"/>
            <w:vAlign w:val="bottom"/>
            <w:gridSpan w:val="2"/>
          </w:tcPr>
          <w:p>
            <w:pPr>
              <w:ind w:left="1160"/>
              <w:spacing w:after="0"/>
              <w:rPr>
                <w:sz w:val="20"/>
                <w:szCs w:val="20"/>
                <w:color w:val="auto"/>
              </w:rPr>
            </w:pPr>
            <w:r>
              <w:rPr>
                <w:rFonts w:ascii="Arial" w:cs="Arial" w:eastAsia="Arial" w:hAnsi="Arial"/>
                <w:sz w:val="14"/>
                <w:szCs w:val="14"/>
                <w:b w:val="1"/>
                <w:bCs w:val="1"/>
                <w:color w:val="auto"/>
              </w:rPr>
              <w:t>Beneficial Owner</w:t>
            </w:r>
          </w:p>
        </w:tc>
        <w:tc>
          <w:tcPr>
            <w:tcW w:w="3080" w:type="dxa"/>
            <w:vAlign w:val="bottom"/>
            <w:gridSpan w:val="2"/>
            <w:vMerge w:val="continue"/>
          </w:tcPr>
          <w:p>
            <w:pPr>
              <w:spacing w:after="0"/>
              <w:rPr>
                <w:sz w:val="16"/>
                <w:szCs w:val="16"/>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 Ownership</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Vanguard Group, Inc.</w:t>
            </w:r>
          </w:p>
        </w:tc>
        <w:tc>
          <w:tcPr>
            <w:tcW w:w="2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4,831,589</w:t>
            </w:r>
            <w:r>
              <w:rPr>
                <w:rFonts w:ascii="Arial" w:cs="Arial" w:eastAsia="Arial" w:hAnsi="Arial"/>
                <w:sz w:val="15"/>
                <w:szCs w:val="15"/>
                <w:color w:val="auto"/>
                <w:w w:val="91"/>
              </w:rPr>
              <w:t>(1)</w:t>
            </w:r>
          </w:p>
        </w:tc>
        <w:tc>
          <w:tcPr>
            <w:tcW w:w="14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Vanguard Boulevard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3,973,178</w:t>
            </w:r>
            <w:r>
              <w:rPr>
                <w:rFonts w:ascii="Arial" w:cs="Arial" w:eastAsia="Arial" w:hAnsi="Arial"/>
                <w:sz w:val="15"/>
                <w:szCs w:val="15"/>
                <w:color w:val="auto"/>
                <w:w w:val="91"/>
              </w:rPr>
              <w:t>(2)</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3,088,052</w:t>
            </w:r>
            <w:r>
              <w:rPr>
                <w:rFonts w:ascii="Arial" w:cs="Arial" w:eastAsia="Arial" w:hAnsi="Arial"/>
                <w:sz w:val="15"/>
                <w:szCs w:val="15"/>
                <w:color w:val="auto"/>
                <w:w w:val="91"/>
              </w:rPr>
              <w:t>(3)</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E. Pratt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Baltimore, MD 21202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Wellington Management Group LLP</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2,897,949</w:t>
            </w:r>
            <w:r>
              <w:rPr>
                <w:rFonts w:ascii="Arial" w:cs="Arial" w:eastAsia="Arial" w:hAnsi="Arial"/>
                <w:sz w:val="15"/>
                <w:szCs w:val="15"/>
                <w:color w:val="auto"/>
                <w:w w:val="91"/>
              </w:rPr>
              <w:t>(4)</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280 Congress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Boston, MA 02210</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40" w:hanging="424"/>
        <w:spacing w:after="0" w:line="291" w:lineRule="auto"/>
        <w:tabs>
          <w:tab w:leader="none" w:pos="424"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beneficial owner is expected to have sole dispositive power with respect to approximately 4,592,284 shares and shared dispositive power with respect to approximately 239,305 shares, and is expected to have shared voting power with respect to approximately 99,368 shares.</w:t>
      </w:r>
    </w:p>
    <w:p>
      <w:pPr>
        <w:ind w:left="424" w:right="140" w:hanging="424"/>
        <w:spacing w:after="0" w:line="250"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beneficial owner is expected to have sole dispositive power with respect to these shares and sole voting power with respect to approximately 3,408,591 shares.</w:t>
      </w:r>
    </w:p>
    <w:p>
      <w:pPr>
        <w:ind w:left="424" w:right="140" w:hanging="424"/>
        <w:spacing w:after="0" w:line="250"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beneficial owner is expected to have sole dispositive power with respect to these shares and sole voting power with respect to approximately 1,876,578 shares.</w:t>
      </w:r>
    </w:p>
    <w:p>
      <w:pPr>
        <w:ind w:left="424" w:right="880" w:hanging="424"/>
        <w:spacing w:after="0" w:line="260"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beneficial owner is expected to have shared dispositive power with respect to these shares and shared voting power with respect to approximately 2,717,274 shares.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24"/>
          </w:cols>
          <w:pgMar w:left="436" w:top="270" w:right="439" w:bottom="1440" w:gutter="0" w:footer="0" w:header="0"/>
        </w:sectPr>
      </w:pPr>
    </w:p>
    <w:bookmarkStart w:id="349" w:name="page350"/>
    <w:bookmarkEnd w:id="34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Ownership of Directors and Executive Officers</w:t>
      </w:r>
    </w:p>
    <w:p>
      <w:pPr>
        <w:spacing w:after="0" w:line="121"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The following table sets forth information concerning the expected beneficial ownership of Embecta common stock by (i) each director, (ii) the executive officers, and (iii) all Embecta directors and executive officers as a group immediately following the completion of the distribution, based on information available as of December 1, 2021 and based on the assumption that, for every five shares of BD common stock held by such persons, they will receive one share of Embecta common stock. Each person has the sole power to vote and dispose of the shares he or she beneficially owns. None of these individuals, or the group as a whole, would be expected to beneficially own more than 1% of Embecta’s common stock immediately following the completion of the distribution.</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3"/>
              </w:rPr>
              <w:t>Amount and Nature of Beneficial</w:t>
            </w:r>
          </w:p>
        </w:tc>
        <w:tc>
          <w:tcPr>
            <w:tcW w:w="1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3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(1)(2)</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1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993</w:t>
            </w:r>
          </w:p>
        </w:tc>
        <w:tc>
          <w:tcPr>
            <w:tcW w:w="11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David F. Melcher</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1,522</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Albritton</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Carrie L. Anderson</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(Bob) J. Hombach</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Milton M. Morris, Ph.D.</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1,825</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Karen N. Prange</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Reidy</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60,413</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501</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Capone</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84</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291</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223</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Jeff Mann</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336</w:t>
            </w:r>
          </w:p>
        </w:tc>
        <w:tc>
          <w:tcPr>
            <w:tcW w:w="1140" w:type="dxa"/>
            <w:vAlign w:val="bottom"/>
          </w:tcPr>
          <w:p>
            <w:pPr>
              <w:spacing w:after="0"/>
              <w:rPr>
                <w:sz w:val="20"/>
                <w:szCs w:val="20"/>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24" w:right="80" w:hanging="424"/>
        <w:spacing w:after="0" w:line="281" w:lineRule="auto"/>
        <w:tabs>
          <w:tab w:leader="none" w:pos="42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Includes (a) shares held directly, (b) with respect to executive officers and Mr. Reidy, indirect interests in BD common stock held under BD plans, and (c) with respect to Mr. Melcher and Dr. Pomeroy, indirect interests in BD common stock held under the BD Directors’ Deferral Plan.</w:t>
      </w:r>
    </w:p>
    <w:p>
      <w:pPr>
        <w:spacing w:after="0" w:line="1" w:lineRule="exact"/>
        <w:rPr>
          <w:rFonts w:ascii="Arial" w:cs="Arial" w:eastAsia="Arial" w:hAnsi="Arial"/>
          <w:sz w:val="16"/>
          <w:szCs w:val="16"/>
          <w:color w:val="auto"/>
        </w:rPr>
      </w:pPr>
    </w:p>
    <w:p>
      <w:pPr>
        <w:ind w:left="424" w:right="80" w:hanging="424"/>
        <w:spacing w:after="0" w:line="253"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Pursuant to SEC regulations, shares receivable through the exercise of BD stock options that are exercisable, and shares issuable pursuant to BD restricted stock units that will vest, within 60 days after December 1, 2021 are deemed to be beneficially owned as of December 1, 2021. For purposes of this table, shares of BD common stock underlying such options and restricted stock units are treated as outstanding as of December 1, 2021 and converted into Embecta shares based upon the distribution ratio.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24"/>
          </w:cols>
          <w:pgMar w:left="436" w:top="270" w:right="439"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EMBECTA CAPITAL STOCK</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i w:val="1"/>
          <w:iCs w:val="1"/>
          <w:color w:val="auto"/>
        </w:rPr>
        <w:t>Embecta’s certificate of incorporation and bylaws will be amended and restated prior to the distribution. The following briefly summarizes the material terms of Embecta capital stock that will be contained in its amended and restated certificate of incorporation and amended and restated bylaws. These summaries do not describe every aspect of these securities and documents and are subject to all the provisions of Embecta’s amended and restated certificate of incorporation or amended and restated bylaws that will be in effect at the time of the distribution, and are qualified in their entirety by reference to these documents, which you should read for complete information on its capital stock as of the time of the distribution. The amended and restated certificate of incorporation and amended and restated bylaws, each in a form expected to be in effect at the time of the distribution, will be included as exhibits to Embecta’s registration statement on Form 10, of which this information statement forms a part. Embecta will include its amended and restated certificate of incorporation and amended and restated bylaws, as in effect at the time of the distribution, in a Current Report on Form 8-K filed with the SEC. The following also summarizes certain relevant provisions of the Delaware General Corporation Law, or the DGCL.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Embecta’s authorized capital stock will consist of 250,000,000 shares of common stock, par value $0.01 per share, and 10,000,000 shares of preferred stock, par value $0.01 per share. Embecta’s Board of Directors may establish the rights and preferences of the preferred stock from time to time. Immediately following the distribution, Embecta expects that approximately 57 million shares of its common stock will be issued and outstanding (based on approximately 284 million shares of BD common stock outstanding on October 31, 2021), and that no shares of its preferred stock will be issued and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Each holder of Embecta common stock will be entitled to one vote for each share on all matters to be voted upon by the holders of Embecta common stock, and there will be no cumulative voting rights. Subject to any preferential rights of any outstanding preferred stock, holders of Embecta common stock will be entitled to receive ratably the dividends, if any, as may be declared from time to time by its Board of Directors out of funds legally available for that purpose. If there is a liquidation, dissolution or winding up of Embecta, holders of its common stock would be entitled to ratable distribution of its assets remaining after the payment in full of liabilities and any preferential rights of any then-outstanding preferred stock.</w:t>
      </w:r>
    </w:p>
    <w:p>
      <w:pPr>
        <w:spacing w:after="0" w:line="16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Holders of Embecta common stock will have no preemptive or conversion rights or other subscription rights, and there are no redemption or sinking fund provisions applicable to the Embecta common stock. After the distribution, all outstanding shares of Embecta common stock will be fully paid and non-assessable. The rights, preferences and privileges of the holders of Embecta common stock are subject to, and may be adversely affected by, the rights of the holders of shares of any series of preferred stock that Embecta may designate and issue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Under the terms of Embecta’s amended and restated certificate of incorporation, its Board of Directors will be authorized, subject to limitations prescribed by the DGCL, and by its amended and restated certificate of incorporation, to issue preferred stock in one or more series without further action by the holders of its common stock. Embecta’s Board of Directors will have the discretion, subject to limitations prescribed by the DGCL and by Embecta’s amended and restated certificate of incorporation, to determine the designations, powers, rights, preferences, qualifications, limitations and restrictions, including voting rights, dividend rights, dissolution rights, conversion rights, exchange rights and redemption rights, of each series of preferred stock. It is not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80"/>
          </w:cols>
          <w:pgMar w:left="440" w:top="270" w:right="479" w:bottom="1440" w:gutter="0" w:footer="0" w:header="0"/>
        </w:sectPr>
      </w:pPr>
    </w:p>
    <w:bookmarkStart w:id="351" w:name="page352"/>
    <w:bookmarkEnd w:id="351"/>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possible to state the actual effect of the issuance of any additional series of preferred stock upon the rights of common stockholders until Embecta’s Board of Directors determines the specific rights of the holders of that series. However, the effects might include, among other things (1) restricting dividends on Embecta common stock, (2) diluting the voting power of Embecta common stock, (3) impairing the liquidation rights of Embecta common stock or (4) delaying or preventing a change in control of Embecta without further action by the stockholders. Embecta expects that there will be no shares of its preferred stock issued and outstanding immediately following the distribution.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Governance Provisions</w:t>
      </w:r>
    </w:p>
    <w:p>
      <w:pPr>
        <w:spacing w:after="0" w:line="121"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Certain provisions of Delaware law and Embecta’s amended and restated certificate of incorporation and bylaws may be deemed to have an anti-takeover effect and may delay, defer or prevent a tender offer or change in control of Embecta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Embecta’s Board of Directors and in the policies formulated by Embecta’s Board of Directors and could discourage certain types of transactions that may involve an actual or threatened change of control.</w:t>
      </w:r>
    </w:p>
    <w:p>
      <w:pPr>
        <w:spacing w:after="0" w:line="67" w:lineRule="exact"/>
        <w:rPr>
          <w:sz w:val="20"/>
          <w:szCs w:val="20"/>
          <w:color w:val="auto"/>
        </w:rPr>
      </w:pPr>
    </w:p>
    <w:p>
      <w:pPr>
        <w:ind w:left="960" w:right="40" w:hanging="532"/>
        <w:spacing w:after="0" w:line="286" w:lineRule="auto"/>
        <w:tabs>
          <w:tab w:leader="none" w:pos="960"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Embecta’s amended and restated certificate of incorporation will provide that, until the annual stockholder meeting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2026, Embecta’s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stockholders meetings to occur for any individual or group to gain control of Embecta’s Board of Directors. Accordingly, while the Board of Directors is divided into classes, these provisions could discourage a third-party from initiating a proxy contest, making a tender offer or otherwise attempting to control Embecta.</w:t>
      </w:r>
    </w:p>
    <w:p>
      <w:pPr>
        <w:spacing w:after="0" w:line="79" w:lineRule="exact"/>
        <w:rPr>
          <w:rFonts w:ascii="Arial" w:cs="Arial" w:eastAsia="Arial" w:hAnsi="Arial"/>
          <w:sz w:val="16"/>
          <w:szCs w:val="16"/>
          <w:color w:val="auto"/>
        </w:rPr>
      </w:pPr>
    </w:p>
    <w:p>
      <w:pPr>
        <w:ind w:left="960" w:hanging="532"/>
        <w:spacing w:after="0" w:line="290" w:lineRule="auto"/>
        <w:tabs>
          <w:tab w:leader="none" w:pos="960"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 xml:space="preserve">Removal and Vacancies. </w:t>
      </w:r>
      <w:r>
        <w:rPr>
          <w:rFonts w:ascii="Arial" w:cs="Arial" w:eastAsia="Arial" w:hAnsi="Arial"/>
          <w:sz w:val="16"/>
          <w:szCs w:val="16"/>
          <w:color w:val="auto"/>
        </w:rPr>
        <w:t>Embecta’s amended and restated certificate of incorporation and bylaws will provide that (i) until the 2026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(or such other time as the Board of Directors is no longer classified under the DGCL), Embecta stockholders may remove directors only for cause and (ii) from and including the 2026 annual meeting of stockholders (or such other time as the Board of Directors is no longer classified under the DGCL), Embecta stockholders may remove directors with or without cause. Removal will require the affirmative vote of holders of at least a majority of the voting power of Embecta stock outstanding and entitled to vote on such removal.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Embecta’s Board of Directors or by a sole remaining director.</w:t>
      </w:r>
    </w:p>
    <w:p>
      <w:pPr>
        <w:spacing w:after="0" w:line="70"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Size of the Board. </w:t>
      </w:r>
      <w:r>
        <w:rPr>
          <w:rFonts w:ascii="Arial" w:cs="Arial" w:eastAsia="Arial" w:hAnsi="Arial"/>
          <w:sz w:val="18"/>
          <w:szCs w:val="18"/>
          <w:color w:val="auto"/>
        </w:rPr>
        <w:t>Embecta’s amended and restated certificate of incorporation and bylaws will provide that Embecta’s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sole authority to fix the number of directors on the Board.</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Embecta’s amended and restated certificate of incorporation will authorize Embecta’s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and issue, without any further vote or action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80"/>
          </w:cols>
          <w:pgMar w:left="440" w:top="274" w:right="479" w:bottom="1440" w:gutter="0" w:footer="0" w:header="0"/>
        </w:sectPr>
      </w:pPr>
    </w:p>
    <w:bookmarkStart w:id="352" w:name="page353"/>
    <w:bookmarkEnd w:id="352"/>
    <w:p>
      <w:pPr>
        <w:ind w:left="5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Embecta stockholders, up to 10,000,000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 of Embecta.</w:t>
      </w:r>
    </w:p>
    <w:p>
      <w:pPr>
        <w:spacing w:after="0" w:line="93" w:lineRule="exact"/>
        <w:rPr>
          <w:sz w:val="20"/>
          <w:szCs w:val="20"/>
          <w:color w:val="auto"/>
        </w:rPr>
      </w:pPr>
    </w:p>
    <w:p>
      <w:pPr>
        <w:ind w:left="540" w:right="40" w:hanging="532"/>
        <w:spacing w:after="0" w:line="263" w:lineRule="auto"/>
        <w:tabs>
          <w:tab w:leader="none" w:pos="54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Embecta’s amended and restated certificate of incorporation and bylaws will expressly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Embecta stockholders to act by written consent. Stockholder action must therefore take place at an annual meeting or at a special meeting of Embecta stockholders.</w:t>
      </w:r>
    </w:p>
    <w:p>
      <w:pPr>
        <w:spacing w:after="0" w:line="89" w:lineRule="exact"/>
        <w:rPr>
          <w:rFonts w:ascii="Arial" w:cs="Arial" w:eastAsia="Arial" w:hAnsi="Arial"/>
          <w:sz w:val="18"/>
          <w:szCs w:val="18"/>
          <w:color w:val="auto"/>
        </w:rPr>
      </w:pPr>
    </w:p>
    <w:p>
      <w:pPr>
        <w:ind w:left="540" w:right="140" w:hanging="532"/>
        <w:spacing w:after="0" w:line="286" w:lineRule="auto"/>
        <w:tabs>
          <w:tab w:leader="none" w:pos="540" w:val="left"/>
        </w:tabs>
        <w:numPr>
          <w:ilvl w:val="0"/>
          <w:numId w:val="375"/>
        </w:numPr>
        <w:rPr>
          <w:rFonts w:ascii="Arial" w:cs="Arial" w:eastAsia="Arial" w:hAnsi="Arial"/>
          <w:sz w:val="17"/>
          <w:szCs w:val="17"/>
          <w:color w:val="auto"/>
        </w:rPr>
      </w:pPr>
      <w:r>
        <w:rPr>
          <w:rFonts w:ascii="Arial" w:cs="Arial" w:eastAsia="Arial" w:hAnsi="Arial"/>
          <w:sz w:val="17"/>
          <w:szCs w:val="17"/>
          <w:i w:val="1"/>
          <w:iCs w:val="1"/>
          <w:color w:val="auto"/>
        </w:rPr>
        <w:t xml:space="preserve">No Stockholder Ability to Call Special Meetings of Stockholders. </w:t>
      </w:r>
      <w:r>
        <w:rPr>
          <w:rFonts w:ascii="Arial" w:cs="Arial" w:eastAsia="Arial" w:hAnsi="Arial"/>
          <w:sz w:val="17"/>
          <w:szCs w:val="17"/>
          <w:color w:val="auto"/>
        </w:rPr>
        <w:t>Embecta’s amended and restated certificate of incorporation and bylaws</w:t>
      </w:r>
      <w:r>
        <w:rPr>
          <w:rFonts w:ascii="Arial" w:cs="Arial" w:eastAsia="Arial" w:hAnsi="Arial"/>
          <w:sz w:val="17"/>
          <w:szCs w:val="17"/>
          <w:i w:val="1"/>
          <w:iCs w:val="1"/>
          <w:color w:val="auto"/>
        </w:rPr>
        <w:t xml:space="preserve"> </w:t>
      </w:r>
      <w:r>
        <w:rPr>
          <w:rFonts w:ascii="Arial" w:cs="Arial" w:eastAsia="Arial" w:hAnsi="Arial"/>
          <w:sz w:val="17"/>
          <w:szCs w:val="17"/>
          <w:color w:val="auto"/>
        </w:rPr>
        <w:t>will provide a special meeting of Embecta stockholders can only be called by the Chairman of the Board or a majority of the directors Embecta’s Board of Directors. Embecta stockholders will not be able to call a special meeting of stockholders.</w:t>
      </w:r>
    </w:p>
    <w:p>
      <w:pPr>
        <w:spacing w:after="0" w:line="70" w:lineRule="exact"/>
        <w:rPr>
          <w:rFonts w:ascii="Arial" w:cs="Arial" w:eastAsia="Arial" w:hAnsi="Arial"/>
          <w:sz w:val="17"/>
          <w:szCs w:val="17"/>
          <w:color w:val="auto"/>
        </w:rPr>
      </w:pPr>
    </w:p>
    <w:p>
      <w:pPr>
        <w:ind w:left="540" w:right="20" w:hanging="532"/>
        <w:spacing w:after="0" w:line="254" w:lineRule="auto"/>
        <w:tabs>
          <w:tab w:leader="none" w:pos="54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Embecta’s amended and restated bylaws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nominate persons for election as directors at an annual or special meeting of stockholders, or to bring other business before an annual or special meeting (other than a proposal submitted under Rule 14a-8 under the Exchange Act), to provide timely notice in writing. A stockholder’s notice to Embecta’s Corporate Secretary must be in proper written form and must set forth certain information, as required under Embecta’s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00" w:lineRule="exact"/>
        <w:rPr>
          <w:rFonts w:ascii="Arial" w:cs="Arial" w:eastAsia="Arial" w:hAnsi="Arial"/>
          <w:sz w:val="18"/>
          <w:szCs w:val="18"/>
          <w:color w:val="auto"/>
        </w:rPr>
      </w:pPr>
    </w:p>
    <w:p>
      <w:pPr>
        <w:ind w:left="540" w:right="380" w:hanging="532"/>
        <w:spacing w:after="0" w:line="342" w:lineRule="auto"/>
        <w:tabs>
          <w:tab w:leader="none" w:pos="540" w:val="left"/>
        </w:tabs>
        <w:numPr>
          <w:ilvl w:val="0"/>
          <w:numId w:val="375"/>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Bylaws. </w:t>
      </w:r>
      <w:r>
        <w:rPr>
          <w:rFonts w:ascii="Arial" w:cs="Arial" w:eastAsia="Arial" w:hAnsi="Arial"/>
          <w:sz w:val="16"/>
          <w:szCs w:val="16"/>
          <w:color w:val="auto"/>
        </w:rPr>
        <w:t>Embecta’s amended and restated certificate of incorporation and bylaws will provide that Embecta’s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have the authority to amend and repeal the Embecta amended and restated bylaws without a stockholder vote.</w:t>
      </w:r>
    </w:p>
    <w:p>
      <w:pPr>
        <w:spacing w:after="0" w:line="29" w:lineRule="exact"/>
        <w:rPr>
          <w:rFonts w:ascii="Arial" w:cs="Arial" w:eastAsia="Arial" w:hAnsi="Arial"/>
          <w:sz w:val="16"/>
          <w:szCs w:val="16"/>
          <w:color w:val="auto"/>
        </w:rPr>
      </w:pPr>
    </w:p>
    <w:p>
      <w:pPr>
        <w:ind w:left="540" w:hanging="532"/>
        <w:spacing w:after="0" w:line="285" w:lineRule="auto"/>
        <w:tabs>
          <w:tab w:leader="none" w:pos="540" w:val="left"/>
        </w:tabs>
        <w:numPr>
          <w:ilvl w:val="0"/>
          <w:numId w:val="375"/>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Embecta’s amended and restated certificate of incorporation will provide that, unless Embecta (through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consents in writing to the selection of an alternative forum, the Court of Chancery of the State of Delaware shall be the sole and exclusive forum for (1) any derivative action or proceeding brought on behalf of Embecta, (2) any action or proceeding asserting a claim for or based on a breach of a fiduciary duty owed by any current or former director or officer or other employee of Embecta to Embecta or Embecta’s stockholders, including any claim alleging aiding and abetting of such a breach of fiduciary duty, (3) any action or proceeding asserting a claim against Embecta or any current or former director or officer or other employee of Embecta arising pursuant to, or seeking to enforce any right, obligation or remedy under, any provision of the DGCL or Embecta’s amended and restated certificate of incorporation or amended and restated bylaws (as either may be amended from time to time), (4) any action or proceeding asserting a claim related to or involving Embecta or any current or former director or officer or other employee of Embecta governed by the internal affairs doctrine, or (5) any action or proceeding as to which the DGCL (as it may be amended from time to time) confers jurisdiction 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580"/>
          </w:cols>
          <w:pgMar w:left="860" w:top="274" w:right="459" w:bottom="1440" w:gutter="0" w:footer="0" w:header="0"/>
        </w:sectPr>
      </w:pPr>
    </w:p>
    <w:bookmarkStart w:id="353" w:name="page354"/>
    <w:bookmarkEnd w:id="353"/>
    <w:p>
      <w:pPr>
        <w:ind w:left="98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by providing increased consistency in the application of law in the types of lawsuits to which it applies, the provision may have the effect of discouraging lawsuits against Embecta’s directors and officers.</w:t>
      </w:r>
    </w:p>
    <w:p>
      <w:pPr>
        <w:spacing w:after="0" w:line="76" w:lineRule="exact"/>
        <w:rPr>
          <w:sz w:val="20"/>
          <w:szCs w:val="20"/>
          <w:color w:val="auto"/>
        </w:rPr>
      </w:pPr>
    </w:p>
    <w:p>
      <w:pPr>
        <w:ind w:left="960" w:hanging="532"/>
        <w:spacing w:after="0" w:line="287" w:lineRule="auto"/>
        <w:tabs>
          <w:tab w:leader="none" w:pos="960" w:val="left"/>
        </w:tabs>
        <w:numPr>
          <w:ilvl w:val="0"/>
          <w:numId w:val="376"/>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w:t>
      </w:r>
      <w:r>
        <w:rPr>
          <w:rFonts w:ascii="Arial" w:cs="Arial" w:eastAsia="Arial" w:hAnsi="Arial"/>
          <w:sz w:val="16"/>
          <w:szCs w:val="16"/>
          <w:color w:val="auto"/>
        </w:rPr>
        <w:t>. Embecta is subject to Section 203 of the DGCL, which,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Delaware corporation from engaging in a “business combination” with an “interested stockholder” for three years following the time that such person or entity becomes an interested stockholder, unless (i) prior to the time that such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outstanding voting stock, excluding for purposes of determining the voting stock outstanding (but not the outstanding voting stock owned by the interested stockholder) those shares (A) owned by persons who are directors and also officers and (B) in employee stock plans in which employee participants do not have the right to determine confidentially whether shares subject to the plan will be tendered in a tender or exchange offer, or (iii) at or following the time that such stockholder become an interested stockholder, the board of directors and two-thirds of the shares (other than owned by the interested stockholder) approve the transaction. A corporation may “opt out” of Section 203 of the DGCL in its certificate of incorporation. Embecta will not “opt out” of, and will be subject to, Section 203 of the DGCL.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Indemnification of Directors and Officers</w:t>
      </w:r>
    </w:p>
    <w:p>
      <w:pPr>
        <w:spacing w:after="0" w:line="121"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Delaware law permits a corporation to adopt a provision in its certificate of incorporation eliminating or limiting, with exceptions, the monetary liability of a director to the corporation or its shareholders for breach of the director’s fiduciary duties. Embecta’s amended and restated certificate of incorporation will include provisions that eliminate the liability of directors to Embecta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17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Embecta’s amended and restated bylaws will generally provide indemnification and advancement of expenses for its directors and officers to the fullest extent permitted by the DGCL. Prior to the completion of the distribution, Embecta also intends to enter into indemnification agreements with each of its directors and executive officers that may, in some cases, be broader than the specific indemnification and advancement of expenses provisions contained under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Embecta’s common stock has been approved for listing subject to official notice of issuance on Nasdaq under the symbol “EMBC.”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On July 8, 2021, Embecta issued 1,000 shares of its common stock to BD pursuant to Section 4(a)(2) of the Securities Act. Embecta did not register the issuance of the issued shares under the Securities Act because such issuance did not constitute a public offering.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the distribution, the transfer agent and registrar for Embecta common stock will be Computershare Trust Company, N.A.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YOU CAN FIND MORE INFORMATION</w:t>
      </w:r>
    </w:p>
    <w:p>
      <w:pPr>
        <w:spacing w:after="0" w:line="229"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 xml:space="preserve">Embecta has filed a registration statement on Form 10 with the SEC with respect to the shares of its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Embecta and its common stock, please refer to the registration statement, including its exhibits and schedules. Statements made in this information statement relating to any contract or other document filed as an exhibit to the registration statement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8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As a result of the distribution, Embecta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Embecta intends to furnish holders of its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4"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Embecta has not authorized any person to provide you with different information or to make any representation not contained in this information statement.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0"/>
          </w:cols>
          <w:pgMar w:left="440" w:top="270" w:right="479" w:bottom="1440" w:gutter="0" w:footer="0" w:header="0"/>
        </w:sectPr>
      </w:pPr>
    </w:p>
    <w:bookmarkStart w:id="355" w:name="page356"/>
    <w:bookmarkEnd w:id="3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COMBINED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40" w:type="dxa"/>
            <w:vAlign w:val="bottom"/>
            <w:gridSpan w:val="10"/>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20" w:type="dxa"/>
            <w:vAlign w:val="bottom"/>
            <w:tcBorders>
              <w:top w:val="single" w:sz="8" w:color="auto"/>
              <w:bottom w:val="single" w:sz="8" w:color="0000EE"/>
            </w:tcBorders>
            <w:gridSpan w:val="4"/>
          </w:tcPr>
          <w:p>
            <w:pPr>
              <w:spacing w:after="0" w:line="182" w:lineRule="exact"/>
              <w:rPr>
                <w:rFonts w:ascii="Arial" w:cs="Arial" w:eastAsia="Arial" w:hAnsi="Arial"/>
                <w:sz w:val="18"/>
                <w:szCs w:val="18"/>
                <w:color w:val="0000EE"/>
                <w:w w:val="91"/>
              </w:rPr>
            </w:pPr>
            <w:hyperlink w:anchor="page357">
              <w:r>
                <w:rPr>
                  <w:rFonts w:ascii="Arial" w:cs="Arial" w:eastAsia="Arial" w:hAnsi="Arial"/>
                  <w:sz w:val="18"/>
                  <w:szCs w:val="18"/>
                  <w:color w:val="0000EE"/>
                  <w:w w:val="91"/>
                </w:rPr>
                <w:t>Report of Independent Registered Public Accounting Firm</w:t>
              </w:r>
            </w:hyperlink>
          </w:p>
        </w:tc>
        <w:tc>
          <w:tcPr>
            <w:tcW w:w="622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23"/>
        </w:trPr>
        <w:tc>
          <w:tcPr>
            <w:tcW w:w="64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59">
              <w:r>
                <w:rPr>
                  <w:rFonts w:ascii="Arial" w:cs="Arial" w:eastAsia="Arial" w:hAnsi="Arial"/>
                  <w:sz w:val="18"/>
                  <w:szCs w:val="18"/>
                  <w:color w:val="0000EE"/>
                  <w:w w:val="89"/>
                </w:rPr>
                <w:t>Combined Statements of Income for the Years Ended September 30, 2021, 2020 and 2019</w:t>
              </w:r>
            </w:hyperlink>
          </w:p>
        </w:tc>
        <w:tc>
          <w:tcPr>
            <w:tcW w:w="4160" w:type="dxa"/>
            <w:vAlign w:val="bottom"/>
            <w:gridSpan w:val="4"/>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360">
              <w:r>
                <w:rPr>
                  <w:rFonts w:ascii="Arial" w:cs="Arial" w:eastAsia="Arial" w:hAnsi="Arial"/>
                  <w:sz w:val="18"/>
                  <w:szCs w:val="18"/>
                  <w:color w:val="0000EE"/>
                </w:rPr>
                <w:t>Combined Statements of Comprehensive Income for the Years Ended September 30, 2021, 2020</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60">
              <w:r>
                <w:rPr>
                  <w:rFonts w:ascii="Arial" w:cs="Arial" w:eastAsia="Arial" w:hAnsi="Arial"/>
                  <w:sz w:val="18"/>
                  <w:szCs w:val="18"/>
                  <w:color w:val="0000EE"/>
                </w:rPr>
                <w:t>and 2019</w:t>
              </w:r>
            </w:hyperlink>
          </w:p>
        </w:tc>
        <w:tc>
          <w:tcPr>
            <w:tcW w:w="370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4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1">
              <w:r>
                <w:rPr>
                  <w:rFonts w:ascii="Arial" w:cs="Arial" w:eastAsia="Arial" w:hAnsi="Arial"/>
                  <w:sz w:val="18"/>
                  <w:szCs w:val="18"/>
                  <w:color w:val="0000EE"/>
                  <w:w w:val="88"/>
                </w:rPr>
                <w:t>Combined Balance Sheets as of September 30, 2021 and 2020</w:t>
              </w:r>
            </w:hyperlink>
          </w:p>
        </w:tc>
        <w:tc>
          <w:tcPr>
            <w:tcW w:w="6160" w:type="dxa"/>
            <w:vAlign w:val="bottom"/>
            <w:gridSpan w:val="5"/>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362">
              <w:r>
                <w:rPr>
                  <w:rFonts w:ascii="Arial" w:cs="Arial" w:eastAsia="Arial" w:hAnsi="Arial"/>
                  <w:sz w:val="18"/>
                  <w:szCs w:val="18"/>
                  <w:color w:val="0000EE"/>
                </w:rPr>
                <w:t>Combined Statements of Cash Flows for the Years Ended September 30, 2021, 2020 and 2019</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r>
      <w:tr>
        <w:trPr>
          <w:trHeight w:val="223"/>
        </w:trPr>
        <w:tc>
          <w:tcPr>
            <w:tcW w:w="6780" w:type="dxa"/>
            <w:vAlign w:val="bottom"/>
            <w:tcBorders>
              <w:top w:val="single" w:sz="8" w:color="0000EE"/>
            </w:tcBorders>
            <w:gridSpan w:val="7"/>
          </w:tcPr>
          <w:p>
            <w:pPr>
              <w:spacing w:after="0"/>
              <w:rPr>
                <w:rFonts w:ascii="Arial" w:cs="Arial" w:eastAsia="Arial" w:hAnsi="Arial"/>
                <w:sz w:val="18"/>
                <w:szCs w:val="18"/>
                <w:color w:val="0000EE"/>
              </w:rPr>
            </w:pPr>
            <w:hyperlink w:anchor="page363">
              <w:r>
                <w:rPr>
                  <w:rFonts w:ascii="Arial" w:cs="Arial" w:eastAsia="Arial" w:hAnsi="Arial"/>
                  <w:sz w:val="18"/>
                  <w:szCs w:val="18"/>
                  <w:color w:val="0000EE"/>
                </w:rPr>
                <w:t>Notes to Combined Financial Statements</w:t>
              </w:r>
            </w:hyperlink>
          </w:p>
        </w:tc>
        <w:tc>
          <w:tcPr>
            <w:tcW w:w="3860" w:type="dxa"/>
            <w:vAlign w:val="bottom"/>
            <w:gridSpan w:val="3"/>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r>
      <w:tr>
        <w:trPr>
          <w:trHeight w:val="385"/>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5"/>
          </w:tcPr>
          <w:p>
            <w:pPr>
              <w:ind w:left="9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356" w:name="page357"/>
    <w:bookmarkEnd w:id="356"/>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We have audited the accompanying combined balance sheets of the Diabetes Care Business of Becton, Dickinson and Company (the Company) as of September 30, 2021 and 2020, the related combined statements of income, comprehensive income and cash flows for each of the three years in the period ended September 30, 2021, and the related notes (collectively referred to as the “combined financial statements”). In our opinion, the combined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270" w:right="459" w:bottom="1440" w:gutter="0" w:footer="0" w:header="0"/>
        </w:sectPr>
      </w:pPr>
    </w:p>
    <w:bookmarkStart w:id="357" w:name="page358"/>
    <w:bookmarkEnd w:id="357"/>
    <w:p>
      <w:pPr>
        <w:ind w:left="264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Income Taxes—Application of Separate Return Method</w:t>
      </w:r>
    </w:p>
    <w:p>
      <w:pPr>
        <w:sectPr>
          <w:pgSz w:w="11900" w:h="16838" w:orient="portrait"/>
          <w:cols w:equalWidth="0" w:num="1">
            <w:col w:w="11000"/>
          </w:cols>
          <w:pgMar w:left="440" w:top="274" w:right="4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the Matter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1, 2, and 11 to the combined financial statements, the Company is included in the tax filings of Becton, Dickinson and Company (the Parent). The Company’s income tax provision is determined on a separate return basis as if the Company was a stand-alone entity, based on management’s interpretation of the tax regulations and rulings in numerous taxing jurisdictions. When calculating the income tax provision management made certain estimates and assumptions when identifying and measuring deferred tax assets and liabilities and identifying and allocating uncertain tax positions. The Company’s income tax provision for 2021 was $80 million. In addition, as of September 30, 2021, the Company recorded a liability for unrecognized tax benefits of $20 million, and net deferred tax assets and liabilities of $9 million and $10 million, respectively.</w:t>
      </w:r>
    </w:p>
    <w:p>
      <w:pPr>
        <w:spacing w:after="0" w:line="200" w:lineRule="exact"/>
        <w:rPr>
          <w:sz w:val="20"/>
          <w:szCs w:val="20"/>
          <w:color w:val="auto"/>
        </w:rPr>
      </w:pPr>
    </w:p>
    <w:p>
      <w:pPr>
        <w:sectPr>
          <w:pgSz w:w="11900" w:h="16838" w:orient="portrait"/>
          <w:cols w:equalWidth="0" w:num="2">
            <w:col w:w="1920" w:space="720"/>
            <w:col w:w="8360"/>
          </w:cols>
          <w:pgMar w:left="440" w:top="274" w:right="459" w:bottom="1440" w:gutter="0" w:footer="0" w:header="0"/>
          <w:type w:val="continuous"/>
        </w:sectPr>
      </w:pPr>
    </w:p>
    <w:p>
      <w:pPr>
        <w:spacing w:after="0" w:line="5" w:lineRule="exact"/>
        <w:rPr>
          <w:sz w:val="20"/>
          <w:szCs w:val="20"/>
          <w:color w:val="auto"/>
        </w:rPr>
      </w:pPr>
    </w:p>
    <w:p>
      <w:pPr>
        <w:ind w:left="2640" w:right="60"/>
        <w:spacing w:after="0" w:line="259" w:lineRule="auto"/>
        <w:rPr>
          <w:sz w:val="20"/>
          <w:szCs w:val="20"/>
          <w:color w:val="auto"/>
        </w:rPr>
      </w:pPr>
      <w:r>
        <w:rPr>
          <w:rFonts w:ascii="Arial" w:cs="Arial" w:eastAsia="Arial" w:hAnsi="Arial"/>
          <w:sz w:val="18"/>
          <w:szCs w:val="18"/>
          <w:color w:val="auto"/>
        </w:rPr>
        <w:t>Given the multijurisdictional nature of the business, the complexity of the tax rules across the various countries the Company operates in, and the legal entity structure, auditing management’s application of the hypothetical separate return method required a high degree of auditor judgment and increased extent of effort, including the need to involve our tax subject matter professionals.</w:t>
      </w:r>
    </w:p>
    <w:p>
      <w:pPr>
        <w:sectPr>
          <w:pgSz w:w="11900" w:h="16838" w:orient="portrait"/>
          <w:cols w:equalWidth="0" w:num="1">
            <w:col w:w="11000"/>
          </w:cols>
          <w:pgMar w:left="440" w:top="274" w:right="459" w:bottom="1440" w:gutter="0" w:footer="0" w:header="0"/>
          <w:type w:val="continuous"/>
        </w:sectPr>
      </w:pP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With the support of our tax subject matter professionals, our audit procedures related to management’s application of the separate return method included evaluating the accuracy and completeness of the Company’s income tax provision and management’s assumptions used for measuring deferred tax assets and liabilities. For example, we evaluated the appropriateness of transfer pricing assumptions underlying the income tax provision. We developed an expectation of the foreign income tax expense by jurisdiction and compared it to the recorded balances. Additionally, we assessed the reasonableness of management’s significant judgments regarding the identification and allocation of uncertain tax positions by analyzing the Company’s evaluation of the Parent’s uncertain tax positions to determine which positions were attributable to the separate operations of the Company. We involved our tax subject matter professionals to evaluate the technical merits of the Company’s accounting for its tax positions, including assessing the Parent’s correspondence with the relevant tax authorities and evaluating third-party advice obtained by the Parent. With respect to book to tax differences allocated to the Company, we assessed completeness by comparing allocated differences to those historically identified and accounted for by the Parent. We also assessed the appropriateness of such allocations attributed to assets, liabilities, and expenses historically held at the Parent corporate level.</w:t>
      </w:r>
    </w:p>
    <w:p>
      <w:pPr>
        <w:spacing w:after="0" w:line="171" w:lineRule="exact"/>
        <w:rPr>
          <w:sz w:val="20"/>
          <w:szCs w:val="20"/>
          <w:color w:val="auto"/>
        </w:rPr>
      </w:pPr>
    </w:p>
    <w:p>
      <w:pPr>
        <w:sectPr>
          <w:pgSz w:w="11900" w:h="16838" w:orient="portrait"/>
          <w:cols w:equalWidth="0" w:num="2">
            <w:col w:w="2400" w:space="240"/>
            <w:col w:w="83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11000"/>
          </w:cols>
          <w:pgMar w:left="440" w:top="274"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000"/>
          </w:cols>
          <w:pgMar w:left="440" w:top="274" w:right="459" w:bottom="1440" w:gutter="0" w:footer="0" w:header="0"/>
          <w:type w:val="continuous"/>
        </w:sectPr>
      </w:pPr>
    </w:p>
    <w:bookmarkStart w:id="358" w:name="page359"/>
    <w:bookmarkEnd w:id="3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Combined Statements of Income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424" w:hanging="424"/>
        <w:spacing w:after="0"/>
        <w:tabs>
          <w:tab w:leader="none" w:pos="42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4"/>
          </w:cols>
          <w:pgMar w:left="436" w:top="270" w:right="439" w:bottom="1440" w:gutter="0" w:footer="0" w:header="0"/>
        </w:sectPr>
      </w:pPr>
    </w:p>
    <w:bookmarkStart w:id="359" w:name="page360"/>
    <w:bookmarkEnd w:id="35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$415</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0" w:right="439" w:bottom="1440" w:gutter="0" w:footer="0" w:header="0"/>
        </w:sectPr>
      </w:pPr>
    </w:p>
    <w:bookmarkStart w:id="360" w:name="page361"/>
    <w:bookmarkEnd w:id="36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r>
      <w:tr>
        <w:trPr>
          <w:trHeight w:val="230"/>
        </w:trPr>
        <w:tc>
          <w:tcPr>
            <w:tcW w:w="596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440" w:top="270" w:right="439" w:bottom="1440" w:gutter="0" w:footer="0" w:header="0"/>
        </w:sectPr>
      </w:pPr>
    </w:p>
    <w:bookmarkStart w:id="361" w:name="page362"/>
    <w:bookmarkEnd w:id="3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$ 415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428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property, plant and equipment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Trade receivables, net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Prepaid expenses and other</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income taxes and other liabilities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Acquisition of intangible assets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Opening Cash and Equivalents</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20"/>
          </w:cols>
          <w:pgMar w:left="440" w:top="270" w:right="4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Combined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Embecta Corp., a newly formed wholly owned subsidiary of BD incorporated on July 8, 2021, and execute a spin-off of Embecta Corp. by way of a pro-rata distribution of common stock of Embecta Corp. to BD’s shareholders at the close of business on the record date of the spin-off. Embecta Corp. had no assets, liabilities, operations, or commitments and contingencies during the periods presented in these combined financial statements and will not have any assets, liabilities, operations or commitments and contingencies in respect of the Diabetes Care Business until such business is transferred to Embecta Corp. These combined financial statements reflect the combined historical results of operations, financial position and cash flows of the Company.</w:t>
      </w:r>
    </w:p>
    <w:p>
      <w:pPr>
        <w:spacing w:after="0" w:line="181"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The completion of the spin-off is subject to certain conditions, including effectiveness of the appropriate filings with the U.S. Securities and Exchange Commission (“SEC”) and final approval by BD’s Board of Directors. There are no assurances as to when the planned spin-off will be completed, if at all.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combined financial statements may not be indicative of what they would have been had the Company actually been an independent standalone public company, nor are they necessarily indicative of the Company’s future results of operations, financial position, and cash flows.</w:t>
      </w:r>
    </w:p>
    <w:p>
      <w:pPr>
        <w:spacing w:after="0" w:line="19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Company’s business has historically functioned together with other BD businesses. Accordingly, the Company relied on certain of BD’s Corporate and Medical Segment support functions to operate. BD’s Medical Segment includes four organizational units, including the diabetes care business. The combined financial statements include all revenues and costs directly attributable to the Company and an allocation of expenses related to certain BD Corporate functions and other shared BD Medical Segment functions (Note 5). These expenses have been allocated to the Company on a pro rata basis of global and regional revenues, headcount, research and development spend and other drivers. The Company considers these allocations to be a reasonable reflection of the utilization of services or the benefit received. However, the allocations may not be indicative of the actual expense that would have been incurred had the Company operated as an independent, standalone public entity, nor are they indicative of the Company’s future expenses.</w:t>
      </w:r>
    </w:p>
    <w:p>
      <w:pPr>
        <w:spacing w:after="0" w:line="192"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Following the spin-off, certain functions that BD provided to the Company prior to the spin-off will either continue to be provided to the Company by BD under transition services agreements or will be performed using the Company’s own resources or third-party service providers. Additionally, under manufacturing and supply agreements, the Company will manufacture certain products for BD or its applicable affiliate and BD will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0"/>
          </w:cols>
          <w:pgMar w:left="440" w:top="270" w:right="459" w:bottom="1440" w:gutter="0" w:footer="0" w:header="0"/>
        </w:sectPr>
      </w:pPr>
    </w:p>
    <w:bookmarkStart w:id="363" w:name="page364"/>
    <w:bookmarkEnd w:id="363"/>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manufacture certain materials for the Company or its applicable affiliate. The Company expects to incur certain one-time charges in its establishment as a standalone public company, as well as ongoing additional costs associated with operating as an independent, publicly traded company.</w:t>
      </w:r>
    </w:p>
    <w:p>
      <w:pPr>
        <w:spacing w:after="0" w:line="12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The combined financial statements include assets and liabilities specifically attributable to the Company. Cash has not been assigned to the Company for any of the periods presented because those cash balances are not directly attributable to the Company. BD uses a centralized approach to cash management and financing of its operations. These arrangements are not reflective of the manner in which the business would have financed its operations had it been a standalone public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8"/>
          <w:szCs w:val="18"/>
          <w:i w:val="1"/>
          <w:iCs w:val="1"/>
          <w:color w:val="auto"/>
        </w:rPr>
        <w:t>Net parent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w:t>
      </w:r>
      <w:r>
        <w:rPr>
          <w:rFonts w:ascii="Arial" w:cs="Arial" w:eastAsia="Arial" w:hAnsi="Arial"/>
          <w:sz w:val="18"/>
          <w:szCs w:val="18"/>
          <w:color w:val="auto"/>
        </w:rPr>
        <w:t>as a component of Parent’s Equity.</w:t>
      </w:r>
    </w:p>
    <w:p>
      <w:pPr>
        <w:spacing w:after="0" w:line="192"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BD’s long-term debt and related interest expense have not been attributed to the Company for any of the periods presented because BD’s borrowings are neither directly attributable to the Company nor is the Company the legal obligor of such borrowings.</w:t>
      </w:r>
    </w:p>
    <w:p>
      <w:pPr>
        <w:spacing w:after="0" w:line="146"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All intercompany transactions and balances within the Company have been eliminated. Transactions between the Company and BD have been included in these combined financial statements and are considered related party transactions (Note 5). Transactions with Parent are reflected in Parent’s Equity as </w:t>
      </w:r>
      <w:r>
        <w:rPr>
          <w:rFonts w:ascii="Arial" w:cs="Arial" w:eastAsia="Arial" w:hAnsi="Arial"/>
          <w:sz w:val="17"/>
          <w:szCs w:val="17"/>
          <w:i w:val="1"/>
          <w:iCs w:val="1"/>
          <w:color w:val="auto"/>
        </w:rPr>
        <w:t>Net transfers to Parent</w:t>
      </w:r>
      <w:r>
        <w:rPr>
          <w:rFonts w:ascii="Arial" w:cs="Arial" w:eastAsia="Arial" w:hAnsi="Arial"/>
          <w:sz w:val="17"/>
          <w:szCs w:val="17"/>
          <w:color w:val="auto"/>
        </w:rPr>
        <w:t xml:space="preserve"> and in the accompanying combined balance sheets within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(Note 4).</w:t>
      </w:r>
    </w:p>
    <w:p>
      <w:pPr>
        <w:spacing w:after="0" w:line="16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the combined statements of income has been calculated as if the Company filed a separate tax return and was operating as a standalone company. Therefore, tax expense, cash tax payments, and items of current and deferred taxes may not be reflective of the Company’s actual tax balances prior to or subsequent to the distribution.</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Management has concluded that the Company operates in one segment based upon the information used by the chief operating decision maker in evaluating the performance of the Company’s business and allocating resources and capital.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information is disclosed in millions unless otherwise noted. The Company’s fiscal year ends on September 30.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17"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 xml:space="preserve">The combined financial statements of the Company include assets and liabilities that have been determined to be specifically identifiable or otherwise attributable to the Company. All significant intercompany accounts within the Company’s combined businesses have been eliminated. All intercompany transactions between the Company and BD have been included in these combined financial statements as components of </w:t>
      </w:r>
      <w:r>
        <w:rPr>
          <w:rFonts w:ascii="Arial" w:cs="Arial" w:eastAsia="Arial" w:hAnsi="Arial"/>
          <w:sz w:val="16"/>
          <w:szCs w:val="16"/>
          <w:i w:val="1"/>
          <w:iCs w:val="1"/>
          <w:color w:val="auto"/>
        </w:rPr>
        <w:t>Net parent</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Expenses related to corporate allocations from BD to the Company, prior to the distribution, are considered to be effectively settled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financial statements at the time the transaction is recorded, with the offset recorded against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980"/>
          </w:cols>
          <w:pgMar w:left="440" w:top="274" w:right="479" w:bottom="1440" w:gutter="0" w:footer="0" w:header="0"/>
        </w:sectPr>
      </w:pPr>
    </w:p>
    <w:bookmarkStart w:id="364" w:name="page365"/>
    <w:bookmarkEnd w:id="364"/>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regarding the Company’s accounting for revenue recognition are provided in Note 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are stated at the lower of approximate cost or net realizable value determined on the first-in, first-out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principally provided on the straight-line basis over estimated useful lives, which range from 20 to 45 years for buildings, four to 13 years for machinery and equipment and one to 20 years for leasehold improvements. Depreciation expense was $37 million in both 2021 and 2020, and $35 million in 2019.</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Property, plant and equipment are periodically reviewed when impairment indicators are present to assess recoverability.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Company’s unamortized intangible assets include goodwill which arise from certain acquisitions made by BD. Goodwill represents the excess of the consideration transferred over the fair value of net assets of businesses acquired. The Company currently reviews goodwill for impairment using quantitative models. Goodwill is reviewed at least annually for impairment at the reporting unit level, which is defined as an operating segment or one level below an operating segment, referred to as a component. The Company has one reporting unit which is reviewed for impairment by comparing the fair value of the reporting unit, estimated using an income approach, with its carrying value. The annual impairment review performed on July 1, 2021, the most recent annual impairment testing date, indicated that the Company’s one reporting unit’s fair value exceeded its respective carrying value.</w:t>
      </w:r>
    </w:p>
    <w:p>
      <w:pPr>
        <w:spacing w:after="0" w:line="16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one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00"/>
          </w:cols>
          <w:pgMar w:left="440" w:top="274" w:right="4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Currency Translation</w:t>
      </w:r>
    </w:p>
    <w:p>
      <w:pPr>
        <w:spacing w:after="0" w:line="11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Generally, foreign subsidiaries’ functional currency is the local currency of operations and the net assets of foreign operations are translated into U.S. dollars using current exchange rates. The U.S. dollar results that arise from such translation are 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The Company considers its shipping and handling costs to be contract fulfillment costs and records them within </w:t>
      </w:r>
      <w:r>
        <w:rPr>
          <w:rFonts w:ascii="Arial" w:cs="Arial" w:eastAsia="Arial" w:hAnsi="Arial"/>
          <w:sz w:val="18"/>
          <w:szCs w:val="18"/>
          <w:i w:val="1"/>
          <w:iCs w:val="1"/>
          <w:color w:val="auto"/>
        </w:rPr>
        <w:t>Selling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Shipping and handling costs were $14 million in 2021, and $12 million in both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Certain of the Company’s employees participate in defined benefit pension plans sponsored by BD which includes participants of other BD businesses (the “Shared Plans”). The Company’s participation in the Shared Plans is accounted for as a multiemployer benefit plan. Accordingly, the Company does not record an asset or liability to recognize any portion of the funded status of the Shared Plans. The related pension expense is based on annual service cost of active Company participants and is reported within </w:t>
      </w:r>
      <w:r>
        <w:rPr>
          <w:rFonts w:ascii="Arial" w:cs="Arial" w:eastAsia="Arial" w:hAnsi="Arial"/>
          <w:sz w:val="18"/>
          <w:szCs w:val="18"/>
          <w:i w:val="1"/>
          <w:iCs w:val="1"/>
          <w:color w:val="auto"/>
        </w:rPr>
        <w:t>Cost of products sold, Selling and administrative expense,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w:t>
      </w:r>
      <w:r>
        <w:rPr>
          <w:rFonts w:ascii="Arial" w:cs="Arial" w:eastAsia="Arial" w:hAnsi="Arial"/>
          <w:sz w:val="18"/>
          <w:szCs w:val="18"/>
          <w:color w:val="auto"/>
        </w:rPr>
        <w:t>, and</w:t>
      </w:r>
      <w:r>
        <w:rPr>
          <w:rFonts w:ascii="Arial" w:cs="Arial" w:eastAsia="Arial" w:hAnsi="Arial"/>
          <w:sz w:val="18"/>
          <w:szCs w:val="18"/>
          <w:i w:val="1"/>
          <w:iCs w:val="1"/>
          <w:color w:val="auto"/>
        </w:rPr>
        <w:t xml:space="preserve"> Other income (expense), net</w:t>
      </w:r>
      <w:r>
        <w:rPr>
          <w:rFonts w:ascii="Arial" w:cs="Arial" w:eastAsia="Arial" w:hAnsi="Arial"/>
          <w:sz w:val="18"/>
          <w:szCs w:val="18"/>
          <w:color w:val="auto"/>
        </w:rPr>
        <w:t>, as applicable. The pension expense attributable to Company participants in the Shared Plans was</w:t>
      </w:r>
      <w:r>
        <w:rPr>
          <w:rFonts w:ascii="Arial" w:cs="Arial" w:eastAsia="Arial" w:hAnsi="Arial"/>
          <w:sz w:val="18"/>
          <w:szCs w:val="18"/>
          <w:i w:val="1"/>
          <w:iCs w:val="1"/>
          <w:color w:val="auto"/>
        </w:rPr>
        <w:t xml:space="preserve"> </w:t>
      </w:r>
      <w:r>
        <w:rPr>
          <w:rFonts w:ascii="Arial" w:cs="Arial" w:eastAsia="Arial" w:hAnsi="Arial"/>
          <w:sz w:val="18"/>
          <w:szCs w:val="18"/>
          <w:color w:val="auto"/>
        </w:rPr>
        <w:t>$9 million in both 2021 and 2020, and was $8 million in 2019.</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BD has voluntary defined contribution plans for the benefit of substantially all Company employees meeting certain eligibility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Employer contributions to such plans for Company employees were $3 million in 2021, and $2 million in both 2020 and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Company’s operations are included in the tax returns of BD. In the future, as a standalone entity, the Company will file tax returns on its own behalf. Income taxes as presented in the combined financial statements attribute current and deferred income tax assets and liabilities of BD to the Company in a manner that is systematic, rational and consistent with the asset and liability method prescribed by the accounting guidance for income taxes. The income tax provision is prepared using the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16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Company has reviewed its needs in the United States for possible repatriation of undistributed earnings of its foreign subsidiaries and continues to invest foreign subsidiaries’ earnings outside of the United States to fund foreign investments or meet foreign working capital and property, plant and equipment expenditure needs. As a result, the Company is permanently reinvested with respect to all of its historical foreign earnings as of September 30, 2021.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BD conducts business and files tax returns in numerous countries and currently has tax audits in progress in a number of tax jurisdictions. The Company’s operations are included in the tax returns of BD. In evaluating the exposure associated with various tax filing positions, the Company records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the Company was a separate filer.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440" w:top="274" w:right="459" w:bottom="1440" w:gutter="0" w:footer="0" w:header="0"/>
        </w:sectPr>
      </w:pPr>
    </w:p>
    <w:bookmarkStart w:id="366" w:name="page367"/>
    <w:bookmarkEnd w:id="366"/>
    <w:p>
      <w:pPr>
        <w:ind w:left="4"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management evaluates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 xml:space="preserve">The Company does not maintain an income taxes payable account as such amounts are deemed to be settled with the tax paying entities in their respective jurisdictions, with the exception of income taxes payable associated with an entity to be contributed with the spin-off. The tax payable settlements are to be classified as changes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However, the combined balance sheets reflect liabilities for unrecognized income tax benefits along with related interest and penalties.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4" w:right="120" w:firstLine="440"/>
        <w:spacing w:after="0" w:line="274" w:lineRule="auto"/>
        <w:rPr>
          <w:sz w:val="20"/>
          <w:szCs w:val="20"/>
          <w:color w:val="auto"/>
        </w:rPr>
      </w:pPr>
      <w:r>
        <w:rPr>
          <w:rFonts w:ascii="Arial" w:cs="Arial" w:eastAsia="Arial" w:hAnsi="Arial"/>
          <w:sz w:val="17"/>
          <w:szCs w:val="17"/>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w:t>
      </w:r>
    </w:p>
    <w:p>
      <w:pPr>
        <w:ind w:left="4" w:right="120" w:hanging="4"/>
        <w:spacing w:after="0" w:line="302" w:lineRule="auto"/>
        <w:tabs>
          <w:tab w:leader="none" w:pos="309" w:val="left"/>
        </w:tabs>
        <w:numPr>
          <w:ilvl w:val="0"/>
          <w:numId w:val="378"/>
        </w:numPr>
        <w:rPr>
          <w:rFonts w:ascii="Arial" w:cs="Arial" w:eastAsia="Arial" w:hAnsi="Arial"/>
          <w:sz w:val="16"/>
          <w:szCs w:val="16"/>
          <w:color w:val="auto"/>
        </w:rPr>
      </w:pPr>
      <w:r>
        <w:rPr>
          <w:rFonts w:ascii="Arial" w:cs="Arial" w:eastAsia="Arial" w:hAnsi="Arial"/>
          <w:sz w:val="16"/>
          <w:szCs w:val="16"/>
          <w:color w:val="auto"/>
        </w:rPr>
        <w:t>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26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 fair value hierarchy is applied to prioritize inputs used in measuring fair value. The three levels of inputs used to measure fair value are detailed below. Additional disclosures regarding the Company’s fair value measurements are provided in Note 10.</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Level 1—Inputs to the valuation methodology which represent unadjusted quoted prices in active markets for identical assets and liabilities.</w:t>
      </w:r>
    </w:p>
    <w:p>
      <w:pPr>
        <w:spacing w:after="0" w:line="237" w:lineRule="exact"/>
        <w:rPr>
          <w:sz w:val="20"/>
          <w:szCs w:val="20"/>
          <w:color w:val="auto"/>
        </w:rPr>
      </w:pPr>
    </w:p>
    <w:p>
      <w:pPr>
        <w:ind w:left="4" w:right="280" w:firstLine="440"/>
        <w:spacing w:after="0" w:line="342" w:lineRule="auto"/>
        <w:rPr>
          <w:sz w:val="20"/>
          <w:szCs w:val="20"/>
          <w:color w:val="auto"/>
        </w:rPr>
      </w:pPr>
      <w:r>
        <w:rPr>
          <w:rFonts w:ascii="Arial" w:cs="Arial" w:eastAsia="Arial" w:hAnsi="Arial"/>
          <w:sz w:val="16"/>
          <w:szCs w:val="16"/>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Level 3—Inputs to the valuation methodology which are unobservable and significant to the fair value measurement.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combined financial statements. Actual results could differ from these estimates.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 Accounting Changes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New Accounting Principles Adopted</w:t>
      </w:r>
    </w:p>
    <w:p>
      <w:pPr>
        <w:spacing w:after="0" w:line="11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On October 1, 2018, the Company adopted Accounting Standards Codification Topic 606, “Revenue from Contracts with Customers” (“ASC 606”) using the modified retrospective method. Under ASC 606, revenue is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44"/>
          </w:cols>
          <w:pgMar w:left="436" w:top="274" w:right="519" w:bottom="1440" w:gutter="0" w:footer="0" w:header="0"/>
        </w:sectPr>
      </w:pPr>
    </w:p>
    <w:bookmarkStart w:id="367" w:name="page368"/>
    <w:bookmarkEnd w:id="367"/>
    <w:p>
      <w:pPr>
        <w:jc w:val="both"/>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recognized upon the transfer of control of goods or services to customers and reflects the amount of consideration to which a reporting entity expects to be entitled in exchange for those goods or services. The Company assessed the impact of this new standard on its combined financial statements based upon a review of contracts that were not completed as of October 1, 2018. This accounting standard adoption, which is further discussed in Note 7, did not materially impact any line items of the Company’s combined statements of income and balance sheets.</w:t>
      </w:r>
    </w:p>
    <w:p>
      <w:pPr>
        <w:spacing w:after="0" w:line="171"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On October 1, 2018, the Company adopted an accounting standard update which requires that the income tax effects of intercompany sales or transfers of assets, except those involving inventory, be recognized in the combined statements of income as income tax expense (or benefit) in the period that the sale or transfer occurs. The Company adopted this accounting standard update, which did not have a material impact on its combined financial statements, using the modified retrospective method.</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On October 1, 2019, the Company adopted a new lease accounting standard which requires lessees to recognize lease assets and lease liabilities on the balance sheet, as well as expanded disclosures regarding leasing arrangements. The Company elected certain practical expedients permitted under the transition guidance, including a transition method which allows application of the new standard at its adoption date, rather than at the earliest comparative period presented in the financial statements. The Company also elected not to perform any reassessments relative to its expired and existing leases upon its adoption of the new requirements. The Company’s adoption of this standard did not materially impact its combined financial statements. Additional disclosures regarding the Company’s lease arrangements are provided in Note 12.</w:t>
      </w:r>
    </w:p>
    <w:p>
      <w:pPr>
        <w:spacing w:after="0" w:line="164"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On October 1, 2020, the Company adopted a new accounting standard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This accounting standard adoption, which is further discussed in Note 7, did not materially impact any line items of the Company’s combined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Parent’s Equity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8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Parent’s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(Millions of dollars)</w:t>
            </w:r>
          </w:p>
        </w:tc>
        <w:tc>
          <w:tcPr>
            <w:tcW w:w="3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October 1, 2018</w:t>
            </w:r>
          </w:p>
        </w:tc>
        <w:tc>
          <w:tcPr>
            <w:tcW w:w="378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847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855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834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2021</w:t>
            </w: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865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60" w:type="dxa"/>
            <w:vAlign w:val="bottom"/>
          </w:tcPr>
          <w:p>
            <w:pPr>
              <w:spacing w:after="0"/>
              <w:rPr>
                <w:sz w:val="24"/>
                <w:szCs w:val="24"/>
                <w:color w:val="auto"/>
              </w:rPr>
            </w:pPr>
          </w:p>
        </w:tc>
        <w:tc>
          <w:tcPr>
            <w:tcW w:w="3780" w:type="dxa"/>
            <w:vAlign w:val="bottom"/>
            <w:gridSpan w:val="2"/>
          </w:tcPr>
          <w:p>
            <w:pPr>
              <w:ind w:left="1480"/>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5 — Related Party Transactions and Parent Company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Medical Segment Allocations</w:t>
      </w:r>
    </w:p>
    <w:p>
      <w:pPr>
        <w:spacing w:after="0" w:line="11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The Company’s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combined financial statements, the General Corporate Expenses have been allocated to the Company. The General Corporate Expenses are included in the combined statements of income in </w:t>
      </w:r>
      <w:r>
        <w:rPr>
          <w:rFonts w:ascii="Arial" w:cs="Arial" w:eastAsia="Arial" w:hAnsi="Arial"/>
          <w:sz w:val="17"/>
          <w:szCs w:val="17"/>
          <w:i w:val="1"/>
          <w:iCs w:val="1"/>
          <w:color w:val="auto"/>
        </w:rPr>
        <w:t>Cost of products sold, Selling and administrative expense,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development expense,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income (expense), net </w:t>
      </w:r>
      <w:r>
        <w:rPr>
          <w:rFonts w:ascii="Arial" w:cs="Arial" w:eastAsia="Arial" w:hAnsi="Arial"/>
          <w:sz w:val="17"/>
          <w:szCs w:val="17"/>
          <w:color w:val="auto"/>
        </w:rPr>
        <w:t>and, accordingly, as a component of</w:t>
      </w:r>
      <w:r>
        <w:rPr>
          <w:rFonts w:ascii="Arial" w:cs="Arial" w:eastAsia="Arial" w:hAnsi="Arial"/>
          <w:sz w:val="17"/>
          <w:szCs w:val="17"/>
          <w:i w:val="1"/>
          <w:iCs w:val="1"/>
          <w:color w:val="auto"/>
        </w:rPr>
        <w:t xml:space="preserve"> Net parent investment </w:t>
      </w:r>
      <w:r>
        <w:rPr>
          <w:rFonts w:ascii="Arial" w:cs="Arial" w:eastAsia="Arial" w:hAnsi="Arial"/>
          <w:sz w:val="17"/>
          <w:szCs w:val="17"/>
          <w:color w:val="auto"/>
        </w:rPr>
        <w:t>on the combined balance sheets.</w:t>
      </w:r>
      <w:r>
        <w:rPr>
          <w:rFonts w:ascii="Arial" w:cs="Arial" w:eastAsia="Arial" w:hAnsi="Arial"/>
          <w:sz w:val="17"/>
          <w:szCs w:val="17"/>
          <w:i w:val="1"/>
          <w:iCs w:val="1"/>
          <w:color w:val="auto"/>
        </w:rPr>
        <w:t xml:space="preserve"> </w:t>
      </w:r>
      <w:r>
        <w:rPr>
          <w:rFonts w:ascii="Arial" w:cs="Arial" w:eastAsia="Arial" w:hAnsi="Arial"/>
          <w:sz w:val="17"/>
          <w:szCs w:val="17"/>
          <w:color w:val="auto"/>
        </w:rPr>
        <w:t>These expenses have been allocated to the Company on a pro rata basis of global and regional revenues, headcount, research and development spend and other drivers. Management believes the assumptions underlying the combined financial statements, including the assumptions regarding allocating General Corporate Expenses from BD, are reasonable. Nevertheless, the combined financial statements may not include all of the actual expenses that would have been incurred and may not reflect the Company’s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allocations of General Corporate Expenses are reflected in the combined statements of income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59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93</w:t>
            </w:r>
          </w:p>
        </w:tc>
      </w:tr>
      <w:tr>
        <w:trPr>
          <w:trHeight w:val="20"/>
        </w:trPr>
        <w:tc>
          <w:tcPr>
            <w:tcW w:w="5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from Parent</w:t>
      </w:r>
    </w:p>
    <w:p>
      <w:pPr>
        <w:spacing w:after="0" w:line="11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the ordinary course of business, the Company purchases from BD certain materials for use in production of certain medical products, the terms of which are not at arm’s length. During the years ended September 30, 2021, 2020 and 2019, these related party purchases were $41 million, $43 million and $42 million, respectively. Amounts payable to BD for such purchases as of September 30, 2021 and 2020 were immaterial.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Investment</w:t>
      </w:r>
    </w:p>
    <w:p>
      <w:pPr>
        <w:spacing w:after="0" w:line="117"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 xml:space="preserve">All significant intercompany transactions between the Company and BD have been included in the combined financial statements and are considered to be effectively settled for cash at the time the transaction is recorded. The total net effect of the settlement of these intercompany transactions is reflected in the combined statements of cash flows as a financing activity and in the combined balance sheets as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20"/>
          </w:cols>
          <w:pgMar w:left="440" w:top="270" w:right="439" w:bottom="1440" w:gutter="0" w:footer="0" w:header="0"/>
        </w:sectPr>
      </w:pPr>
    </w:p>
    <w:bookmarkStart w:id="369" w:name="page370"/>
    <w:bookmarkEnd w:id="369"/>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the years ended September 30, 2021, 2020 and 2019:</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(a)</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$ 600</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$592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Corporate and segment allocations, excluding non-cash share-based</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(110)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w w:val="98"/>
              </w:rPr>
              <w:t>Net transfers to Parent as reflected in the combined statements of cash flows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Pension expense</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transfers (from) to Parent, net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transfers to Parent (Note 4)</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$ 384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280" w:hanging="424"/>
        <w:spacing w:after="0" w:line="342" w:lineRule="auto"/>
        <w:tabs>
          <w:tab w:leader="none" w:pos="424"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The Company has certain future purchase commitments entered in the normal course of business to meet capital expenditure requirements. As of September 30, 2021, these commitments aggregated to approximately $1 million and will be expended in fiscal year 2022.</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legal matters where it believes an unfavorable outcome is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September 30, 2021, nor is it a party to any legal proceedings as of the date of issuance of these combined financial statements.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 — Revenues</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As previously discussed in Note 3, the Company adopted ASC 606 in fiscal year 2019 using the modified retrospective method. The Company sells syringes, pen needles and other products used in the treatment of</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64"/>
          </w:cols>
          <w:pgMar w:left="436" w:top="274" w:right="499" w:bottom="1440" w:gutter="0" w:footer="0" w:header="0"/>
        </w:sectPr>
      </w:pPr>
    </w:p>
    <w:bookmarkStart w:id="370" w:name="page371"/>
    <w:bookmarkEnd w:id="370"/>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diabetes which are distributed through independent distribution channels and directly through sales representatives. End-users of the Company’s products include healthcare institutions, physicians, life science researchers, clinical laboratories, the pharmaceutical industry, and the general public.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Revenue Recognition</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Company’s revenues are recognized when the customer obtains control of the product sold, which is primarily upon shipment or delivery, depending on the delivery terms specified in the sales agreement.</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Control of certain private label goods transfers to the customer over time as the goods do not have an alternative use and the Company has an enforceable right to payment throughout the production process. The Company recognizes revenue over time using an output measure based on units produced on the basis that this measure best reflects the pattern of transfer of control to the customer. Changes in the total estimated output used in measuring the Company’s progress toward satisfying its performance obligation may result in adjustments to cumulative revenue recognized at the time the change in estimate occurs.</w:t>
      </w:r>
    </w:p>
    <w:p>
      <w:pPr>
        <w:spacing w:after="0" w:line="188"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The Company’s obligations pursuant to some private label product agreements may represent partially unsatisfied performance obligations as of the balance sheet date. Such private label product agreements do not have original expected durations of more than one year from contract inception.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Revenues</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 xml:space="preserve">The Company acts as the principal in substantially all of its customer arrangements and as such, generally records revenues on a gross basis. Revenues exclude any taxes that the Company collects from customers and remits to tax authorities. The Company considers its shipping and handling costs to be costs of contract fulfillment and has made the accounting policy election to record these costs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w:t>
      </w:r>
    </w:p>
    <w:p>
      <w:pPr>
        <w:spacing w:after="0" w:line="149"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combined financial results.</w:t>
      </w:r>
    </w:p>
    <w:p>
      <w:pPr>
        <w:spacing w:after="0" w:line="17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September 30, 2021 and 2020 was $72 million and $62 million, respectively. Rebates recorded as a reduction of gross revenues during the years ended September 30, 2021, 2020 and 2019, were $266 million, $267 million, and $224 million, respectively. Sales discounts and sales returns were not material.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00"/>
          </w:cols>
          <w:pgMar w:left="440" w:top="274" w:right="459" w:bottom="1440" w:gutter="0" w:footer="0" w:header="0"/>
        </w:sectPr>
      </w:pPr>
    </w:p>
    <w:bookmarkStart w:id="371" w:name="page372"/>
    <w:bookmarkEnd w:id="371"/>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Disaggregation of Revenues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International(a)</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7"/>
        </w:trPr>
        <w:tc>
          <w:tcPr>
            <w:tcW w:w="3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w:t>
            </w:r>
          </w:p>
        </w:tc>
      </w:tr>
      <w:tr>
        <w:trPr>
          <w:trHeight w:val="20"/>
        </w:trPr>
        <w:tc>
          <w:tcPr>
            <w:tcW w:w="3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77" w:lineRule="auto"/>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During the years ended September 30, 2021, 2020 and 2019, no individual country outside of the United States generated revenue that represented more than 10% of total revenues.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Costs to Obtain Revenue Contracts</w:t>
      </w:r>
    </w:p>
    <w:p>
      <w:pPr>
        <w:spacing w:after="0" w:line="117"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 xml:space="preserve">Due to the nature of the majority of the Company’s products, the Company typically does not incur costs to fulfill a contract in advance of providing the customer with goods or services. The Company’s costs to obtain contracts are comprised of sales commissions which are paid to the Company’s employees or third-party agents. Sales commissions incurred by the Company relate to revenue that is recognized over a period that is less than one year and, as such, the Company has elected a practical expedient provided under ASC 606 to record its expense associated with sales commissions as it is incurred. Sales commissions are recorded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 xml:space="preserve"> in the combined statements of income.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7"/>
          <w:szCs w:val="17"/>
          <w:i w:val="1"/>
          <w:iCs w:val="1"/>
          <w:color w:val="auto"/>
        </w:rPr>
        <w:t>Prepaid expenses and other</w:t>
      </w:r>
      <w:r>
        <w:rPr>
          <w:rFonts w:ascii="Arial" w:cs="Arial" w:eastAsia="Arial" w:hAnsi="Arial"/>
          <w:sz w:val="17"/>
          <w:szCs w:val="17"/>
          <w:color w:val="auto"/>
        </w:rPr>
        <w:t xml:space="preserve"> on the combined balance sheets.</w:t>
      </w:r>
    </w:p>
    <w:p>
      <w:pPr>
        <w:spacing w:after="0" w:line="146"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Company’s contract asset balances as of September 30, 2021 and 2020 were $1 million and $3 million, respectively. The reduction in the contract assets balance from September 30, 2020 to September 30, 2021 relates to a change in contract terms with a customer, resulting in the write-off of various contract assets.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4" w:right="100" w:firstLine="440"/>
        <w:spacing w:after="0" w:line="269" w:lineRule="auto"/>
        <w:rPr>
          <w:sz w:val="20"/>
          <w:szCs w:val="20"/>
          <w:color w:val="auto"/>
        </w:rPr>
      </w:pPr>
      <w:r>
        <w:rPr>
          <w:rFonts w:ascii="Arial" w:cs="Arial" w:eastAsia="Arial" w:hAnsi="Arial"/>
          <w:sz w:val="17"/>
          <w:szCs w:val="17"/>
          <w:color w:val="auto"/>
        </w:rPr>
        <w:t>The Company has no share-based compensation plans. Certain employees of the Company have historically participated in the BD 2004 Employee and Director Equity-Based Compensation Plan (the “2004 Plan”), which provides long-term incentive compensation to employees and directors consisting of: stock appreciation rights (“SARs”), performance-based restricted stock units, time-vested restricted stock units and other stock awards. All significant awards granted under the plan will settle in shares of BD’s Class A Common Stock and are approved by BD’s Compensation Committee of the Board of Directors. As such, all related equity account balances, other than allocations of compensation expense, remained at the BD level. 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and Medical Segment employees who are not dedicated to the Company are included as a component of corporate allocations. The allocation of stock compensation for BD Corporate and Medical Segment employees was $5 million in 2021, 2020 and 2019.</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984"/>
          </w:cols>
          <w:pgMar w:left="436" w:top="274" w:right="479" w:bottom="1440" w:gutter="0" w:footer="0" w:header="0"/>
        </w:sectPr>
      </w:pPr>
    </w:p>
    <w:bookmarkStart w:id="372" w:name="page373"/>
    <w:bookmarkEnd w:id="372"/>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amounts and location of compensation cost relating to both the Company’s employees and an allocation for BD Corporate employees included in the combined statements of income is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share-based compensation costs recognized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four years and have a term of ten years. The fair value of awards was estimated on the date of grant using a lattice-based binomial option valuation model and were based upon the following weighted-average assumptions:</w:t>
      </w:r>
    </w:p>
    <w:p>
      <w:pPr>
        <w:spacing w:after="0" w:line="20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23.00%</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life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1"/>
              </w:rPr>
              <w:t>7.2 years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Fair value derived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47.47</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48.82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51.86</w:t>
            </w:r>
          </w:p>
        </w:tc>
      </w:tr>
    </w:tbl>
    <w:p>
      <w:pPr>
        <w:spacing w:after="0" w:line="20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Expected volatility is based upon historical volatility for BD’s common stock and other factors. The expected life of SARs granted is derived from the output of the lattice-based model, using assumed exercise rates based on historical exercise and termination patterns, and represents the period of time that SARs granted are expected to be outstanding. The risk-free interest rate used is based upon the published U.S. Treasury yield curve in effect at the time of grant for instruments with a similar life. The dividend yield is based upon the most recently declared BD quarterly dividend as of the grant date.</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following table summarizes activity relating to BD’s SARs held by the Company’s employees as of September 30, 2021 and changes during the year then ended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SARs</w:t>
            </w:r>
          </w:p>
        </w:tc>
        <w:tc>
          <w:tcPr>
            <w:tcW w:w="3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1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$235.74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34</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239.02</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170.69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4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237.87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2021</w:t>
            </w:r>
          </w:p>
        </w:tc>
        <w:tc>
          <w:tcPr>
            <w:tcW w:w="2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60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237.57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226.29</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500" w:type="dxa"/>
            <w:vAlign w:val="bottom"/>
          </w:tcPr>
          <w:p>
            <w:pPr>
              <w:spacing w:after="0"/>
              <w:rPr>
                <w:sz w:val="24"/>
                <w:szCs w:val="24"/>
                <w:color w:val="auto"/>
              </w:rPr>
            </w:pPr>
          </w:p>
        </w:tc>
        <w:tc>
          <w:tcPr>
            <w:tcW w:w="2680" w:type="dxa"/>
            <w:vAlign w:val="bottom"/>
            <w:gridSpan w:val="3"/>
          </w:tcPr>
          <w:p>
            <w:pPr>
              <w:jc w:val="right"/>
              <w:ind w:right="150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73" w:name="page374"/>
    <w:bookmarkEnd w:id="37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summary of BD’s SARs exercised by the Company’s employees during 2021, 2020 and 2019 is as follows:</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intrinsic value of SARs exercised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Total fair value of SARs vested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Performance-Based and Time-Vested Restricted Stock Units</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Performance-based restricted stock units cliff vest three years after the date of grant. These units are tied to BD’s performance against pre-established targets over a performance period of three years. The performance measures for fiscal years 2021 and 2020 were average annual currency-neutral revenue growth and average annual return on invested capital, with the combined factor subject to adjustment based on BD’s relative total shareholder return (measures BD’s stock performance during the performance period against that of peer companies). For fiscal year 2019, the performance measures were relative total shareholder return and average annual return on invested capital. Under BD’s long-term incentive program, the actual payout under these awards may vary from zero to 200% of an employee’s target payout, based on BD’s actual performance over the performance period of three years. The fair value is based on the market price of BD’s stock on the date of grant. Compensation cost initially recognized assumes that the target payout level will be achieved and is adjusted for subsequent changes in the expected outcome of performance-related conditions. For units for which the performance conditions are modified after the date of grant, any incremental increase in the fair value of the modified units, over the original units, is recorded as compensation expense on the date of the modification for vested units, or over the remaining performance period for units not yet vested.</w:t>
      </w:r>
    </w:p>
    <w:p>
      <w:pPr>
        <w:spacing w:after="0" w:line="182" w:lineRule="exact"/>
        <w:rPr>
          <w:sz w:val="20"/>
          <w:szCs w:val="20"/>
          <w:color w:val="auto"/>
        </w:rPr>
      </w:pPr>
    </w:p>
    <w:p>
      <w:pPr>
        <w:jc w:val="both"/>
        <w:ind w:left="4" w:right="400" w:firstLine="440"/>
        <w:spacing w:after="0" w:line="263" w:lineRule="auto"/>
        <w:rPr>
          <w:sz w:val="20"/>
          <w:szCs w:val="20"/>
          <w:color w:val="auto"/>
        </w:rPr>
      </w:pPr>
      <w:r>
        <w:rPr>
          <w:rFonts w:ascii="Arial" w:cs="Arial" w:eastAsia="Arial" w:hAnsi="Arial"/>
          <w:sz w:val="18"/>
          <w:szCs w:val="18"/>
          <w:color w:val="auto"/>
        </w:rPr>
        <w:t>Time-vested restricted stock unit awards vest on a graded basis over a period of three years. The related share-based compensation expense is recorded over the requisite service period, which is the vesting period. The fair value of all time-vested restricted stock units is based on the market value of BD’s stock on the date of grant.</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following table summarizes activity related to BD restricted stock units held by the Company’s employees as of September 30, 2021 and changes during the year then ended:</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1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Performance–Based</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Time–Vested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244.84</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229.12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Forfeited or canceled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234.70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Expected to vest at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232.93</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Based on 200% of target payout for performance-based restricted units and 100% of the performance-based time-vested units.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Net of expected forfeited units and units in excess of the expected performance payout of 1 thousand and 10 thousand shares, respectively.</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24"/>
          </w:cols>
          <w:pgMar w:left="436" w:top="274" w:right="439" w:bottom="1440" w:gutter="0" w:footer="0" w:header="0"/>
        </w:sectPr>
      </w:pPr>
    </w:p>
    <w:bookmarkStart w:id="374" w:name="page375"/>
    <w:bookmarkEnd w:id="374"/>
    <w:p>
      <w:pPr>
        <w:ind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weighted average grant date fair value of restricted stock units granted and the total fair value of stock units vested for the Company’s employees during fiscal years 2021, 2020 and 2019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6"/>
              </w:rPr>
              <w:t>Performance-Based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Time-Vested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units granted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fair value of units vested (millions of dollars)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At September 30, 2021, the weighted average remaining vesting term of performance-based and time-vested restricted stock units for the Company’s employees is 1.58 and 1.99 years,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Compensation Expense and Other Stock Plans</w:t>
      </w:r>
    </w:p>
    <w:p>
      <w:pPr>
        <w:spacing w:after="0" w:line="11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amount of unrecognized compensation expense for all non-vested share-based awards for the Company’s employees as of September 30, 2021 is approximately $14 million, which is expected to be recognized over a weighted-average remaining life of approximately 2 years. BD has a policy of satisfying share-based payments through either open market purchases or shares held in treasury. As of September 30, 2021, BD has sufficient shares held in treasury to satisfy these payments.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and Other Intangible Assets at September 30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As of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Patents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Patents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Intangible asset amortization expense was $1 million in each of the fiscal years ending September 30, 2021, 2020 and 2019. The estimated aggregate amortization expense for each of the fiscal years ending September 30, 2022 to 2026 is $1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Risks</w:t>
      </w:r>
    </w:p>
    <w:p>
      <w:pPr>
        <w:spacing w:after="0" w:line="11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440" w:top="274" w:right="439" w:bottom="1440" w:gutter="0" w:footer="0" w:header="0"/>
        </w:sectPr>
      </w:pPr>
    </w:p>
    <w:bookmarkStart w:id="375" w:name="page376"/>
    <w:bookmarkEnd w:id="375"/>
    <w:p>
      <w:pPr>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(loss) income</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during the years ending September 30, 2021, 2020 and 2019 were immaterial to the Company’s combined financial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FASB’s accounting guidance defines fair value as the price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carrying value of other receivables and account payables contained in the combined balance sheets approximates fair value due to the relatively short-term nature of these accounts.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In fiscal year 2021, the Company recorded impairment charges totaling $14 million related to certain construction in progress assets that related to discontinued projects. The impairment charges were recorded to adjust the carrying amount of the assets to the assets’ fair values, which were estimated through a discounted cash flow model that utilized Level 3 inputs. The impairment charges are recognized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combined statement of income. Impairment losses on such non-financial assets during the years ended September 30, 2020 and 2019 were immaterial to the Company’s combined financial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The following table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00"/>
          </w:cols>
          <w:pgMar w:left="440" w:top="274" w:right="459" w:bottom="1440" w:gutter="0" w:footer="0" w:header="0"/>
        </w:sectPr>
      </w:pPr>
    </w:p>
    <w:bookmarkStart w:id="376" w:name="page377"/>
    <w:bookmarkEnd w:id="37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sets forth the percentages of total revenues or gross trade receivables for customers that represent 10% or more of the respective amounts for the periods shown: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gridSpan w:val="4"/>
          </w:tcPr>
          <w:p>
            <w:pPr>
              <w:ind w:left="140"/>
              <w:spacing w:after="0"/>
              <w:rPr>
                <w:sz w:val="20"/>
                <w:szCs w:val="20"/>
                <w:color w:val="auto"/>
              </w:rPr>
            </w:pPr>
            <w:r>
              <w:rPr>
                <w:rFonts w:ascii="Arial" w:cs="Arial" w:eastAsia="Arial" w:hAnsi="Arial"/>
                <w:sz w:val="14"/>
                <w:szCs w:val="14"/>
                <w:b w:val="1"/>
                <w:bCs w:val="1"/>
                <w:color w:val="auto"/>
              </w:rPr>
              <w:t>Gross Trade Receivables</w:t>
            </w:r>
          </w:p>
        </w:tc>
      </w:tr>
      <w:tr>
        <w:trPr>
          <w:trHeight w:val="142"/>
        </w:trPr>
        <w:tc>
          <w:tcPr>
            <w:tcW w:w="6080" w:type="dxa"/>
            <w:vAlign w:val="bottom"/>
          </w:tcPr>
          <w:p>
            <w:pPr>
              <w:spacing w:after="0"/>
              <w:rPr>
                <w:sz w:val="12"/>
                <w:szCs w:val="12"/>
                <w:color w:val="auto"/>
              </w:rPr>
            </w:pPr>
          </w:p>
        </w:tc>
        <w:tc>
          <w:tcPr>
            <w:tcW w:w="2240" w:type="dxa"/>
            <w:vAlign w:val="bottom"/>
            <w:tcBorders>
              <w:top w:val="single" w:sz="8" w:color="auto"/>
              <w:bottom w:val="single" w:sz="8" w:color="auto"/>
            </w:tcBorders>
            <w:gridSpan w:val="6"/>
          </w:tcPr>
          <w:p>
            <w:pPr>
              <w:jc w:val="right"/>
              <w:ind w:right="216"/>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600" w:type="dxa"/>
            <w:vAlign w:val="bottom"/>
          </w:tcPr>
          <w:p>
            <w:pPr>
              <w:spacing w:after="0"/>
              <w:rPr>
                <w:sz w:val="12"/>
                <w:szCs w:val="12"/>
                <w:color w:val="auto"/>
              </w:rPr>
            </w:pPr>
          </w:p>
        </w:tc>
        <w:tc>
          <w:tcPr>
            <w:tcW w:w="17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As of September 30,</w:t>
            </w:r>
          </w:p>
        </w:tc>
        <w:tc>
          <w:tcPr>
            <w:tcW w:w="3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Customer B</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Gross trade receivables are less than ten percent of the respective totals.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for the years ended September 30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combined financial statements at the time the transaction is recorded, with the offset recorded against </w:t>
      </w:r>
      <w:r>
        <w:rPr>
          <w:rFonts w:ascii="Arial" w:cs="Arial" w:eastAsia="Arial" w:hAnsi="Arial"/>
          <w:sz w:val="17"/>
          <w:szCs w:val="17"/>
          <w:i w:val="1"/>
          <w:iCs w:val="1"/>
          <w:color w:val="auto"/>
        </w:rPr>
        <w:t>Net parent investment</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for the years ended September 30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U.S. tax legislation, commonly referred to as the Tax Cuts and Jobs Act (the “Act”), was enacted on December 22, 2017. The Act reduced the U.S. federal corporate tax rate from 35% to 21%, required companies to pay a one-time transition tax on earnings of certain foreign subsidiaries that were previously tax deferred, and created new taxes on certain foreign-sourced earnings. The Act subjects a U.S. shareholder to tax on global intangible low-taxed income (“GILTI”) earned by certain foreign subsidiaries. The Company has elected to account for its GILTI tax due as a period expense in the year the tax is incurred.</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During fiscal year 2019, the Company finalized its accounting for the income tax effects of the Act. During fiscal year 2019, the Company also changed its assertion with respect to historical unremitted foreign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20"/>
          </w:cols>
          <w:pgMar w:left="440" w:top="274" w:right="439" w:bottom="1440" w:gutter="0" w:footer="0" w:header="0"/>
        </w:sectPr>
      </w:pPr>
    </w:p>
    <w:bookmarkStart w:id="377" w:name="page378"/>
    <w:bookmarkEnd w:id="377"/>
    <w:p>
      <w:pPr>
        <w:ind w:left="4"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earnings, which resulted in a total tax benefit of $4 million which is included as a component of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fiscal 2019. The Company asserts indefinite reinvestment for all historical unremitted foreign earnings as of September 30, 2021, 2020 and 2019.</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 tax payments, other activity, or final decisions in matters that are the subject of controversy in various taxing jurisdictions in which the Company operates.</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prior year tax positions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Unrecognized tax benefits that would affect the effective tax rate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if recognized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The following were included for the years ended September 30 as a component of </w:t>
      </w:r>
      <w:r>
        <w:rPr>
          <w:rFonts w:ascii="Arial" w:cs="Arial" w:eastAsia="Arial" w:hAnsi="Arial"/>
          <w:sz w:val="16"/>
          <w:szCs w:val="16"/>
          <w:i w:val="1"/>
          <w:iCs w:val="1"/>
          <w:color w:val="auto"/>
        </w:rPr>
        <w:t>Income tax provision</w:t>
      </w:r>
      <w:r>
        <w:rPr>
          <w:rFonts w:ascii="Arial" w:cs="Arial" w:eastAsia="Arial" w:hAnsi="Arial"/>
          <w:sz w:val="16"/>
          <w:szCs w:val="16"/>
          <w:color w:val="auto"/>
        </w:rPr>
        <w:t xml:space="preserve"> on the combined statements of income.</w:t>
      </w:r>
    </w:p>
    <w:p>
      <w:pPr>
        <w:spacing w:after="0" w:line="2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520" w:type="dxa"/>
            <w:vAlign w:val="bottom"/>
            <w:gridSpan w:val="2"/>
          </w:tcPr>
          <w:p>
            <w:pPr>
              <w:ind w:left="1760"/>
              <w:spacing w:after="0"/>
              <w:rPr>
                <w:sz w:val="20"/>
                <w:szCs w:val="20"/>
                <w:color w:val="auto"/>
              </w:rPr>
            </w:pPr>
            <w:r>
              <w:rPr>
                <w:rFonts w:ascii="Arial" w:cs="Arial" w:eastAsia="Arial" w:hAnsi="Arial"/>
                <w:sz w:val="14"/>
                <w:szCs w:val="14"/>
                <w:b w:val="1"/>
                <w:bCs w:val="1"/>
                <w:i w:val="1"/>
                <w:iCs w:val="1"/>
                <w:color w:val="auto"/>
              </w:rPr>
              <w:t>(Millions of dollars)</w:t>
            </w:r>
          </w:p>
        </w:tc>
        <w:tc>
          <w:tcPr>
            <w:tcW w:w="12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and penalties associated with unrecognized tax</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Deferred income taxes at September 30 consisted of:</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4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Taxes (a)</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80" w:hanging="424"/>
        <w:spacing w:after="0" w:line="277" w:lineRule="auto"/>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Net deferred tax assets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and net deferred tax liabilities are included in </w:t>
      </w:r>
      <w:r>
        <w:rPr>
          <w:rFonts w:ascii="Arial" w:cs="Arial" w:eastAsia="Arial" w:hAnsi="Arial"/>
          <w:sz w:val="18"/>
          <w:szCs w:val="18"/>
          <w:i w:val="1"/>
          <w:iCs w:val="1"/>
          <w:color w:val="auto"/>
        </w:rPr>
        <w:t>Deferred Income Taxes and Other Liabilities</w:t>
      </w:r>
      <w:r>
        <w:rPr>
          <w:rFonts w:ascii="Arial" w:cs="Arial" w:eastAsia="Arial" w:hAnsi="Arial"/>
          <w:sz w:val="18"/>
          <w:szCs w:val="18"/>
          <w:color w:val="auto"/>
        </w:rPr>
        <w:t xml:space="preserve"> on the combined balance sheets</w:t>
      </w:r>
      <w:r>
        <w:rPr>
          <w:rFonts w:ascii="Arial" w:cs="Arial" w:eastAsia="Arial" w:hAnsi="Arial"/>
          <w:sz w:val="18"/>
          <w:szCs w:val="18"/>
          <w:i w:val="1"/>
          <w:iCs w:val="1"/>
          <w:color w:val="auto"/>
        </w:rPr>
        <w:t>.</w:t>
      </w:r>
    </w:p>
    <w:p>
      <w:pPr>
        <w:spacing w:after="0" w:line="170"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Deferred tax assets and liabilities are netted on the combined balance sheets by separate tax jurisdictions. The Company maintains valuation allowances where it is more likely than not that all or a portion of a deferred tax asset will not be realized. As of September 30, 2021 and 2020, all deferred tax assets are more likely than not to be realized. Deferred taxes have not been provided on undistributed earnings of foreign subsidiaries that are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24"/>
          </w:cols>
          <w:pgMar w:left="436" w:top="274" w:right="439" w:bottom="1440" w:gutter="0" w:footer="0" w:header="0"/>
        </w:sectPr>
      </w:pPr>
    </w:p>
    <w:bookmarkStart w:id="378" w:name="page379"/>
    <w:bookmarkEnd w:id="378"/>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indefinitely reinvested as of September 30, 2021 and 2020. The determination of the amount of the unrecognized deferred tax liability related to the undistributed earnings is not practicable because of the complexities associated with its hypothetical calculation.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federal statutory tax rate to the Company’s effective income tax rate was as follows: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U.S. tax legislation (see discussion above)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Foreign income tax at rates other than 21%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research credits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uncertain tax positions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net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4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fluctuation in the effective income tax rate for each year is primarily driven by the geographical mix of income attributable to foreign countries that have income tax rates that vary from the U.S. tax rate and discrete items impacting income tax expense that may not recur. The effective income tax rate in 2020 was favorably impacted by unrecognized tax benefits while the effective income tax rate in 2019 was favorably impacted by changes in U.S. tax legislation.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 leases real estate, vehicles, and other equipment which are used in the Company’s manufacturing, administrative, and research and development activities.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Company identifies a contract that contains a lease as one which conveys a right, either explicitly or implicitly, to control the use of an identified asset in exchange for consideration. The Company’s lease arrangements are generally classified as operating leases. These arrangements have remaining terms ranging from less than one year to approximately 5 years and the weighted-average remaining lease term of the Company’s leases is approximately 4 years. An option to renew or terminate the current term of a lease arrangement is included in the lease term if the Company is reasonably certain to exercise that option.</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Company does not recognize a right-of-use asset and lease liability for short-term leases, which have terms of 12 months or less, on its combined balance sheets. For the longer-term lease arrangements that are recognized on the Company’s combined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its combined financial results.</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uses BD’s incremental borrowing rate, which is established based upon the information available at the lease commencement date, to determine the present value of lease payments due under an arrangement. The weighted-average incremental borrowing rate that has been applied to measure the Company’s lease liabilities is 2.20%.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980"/>
          </w:cols>
          <w:pgMar w:left="440" w:top="274" w:right="479" w:bottom="1440" w:gutter="0" w:footer="0" w:header="0"/>
        </w:sectPr>
      </w:pPr>
    </w:p>
    <w:bookmarkStart w:id="379" w:name="page380"/>
    <w:bookmarkEnd w:id="379"/>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lease cost recorded in its combined statements of income for both years ended September 30, 2021 and 2020 was $2 million under the new lease accounting standard. Rental expense for all operating leases amounted to $2 million in 2019 under the previous lease accounting standard. Cash payments arising from the Company’s lease arrangements are reflected on its combined statements of cash flows as outflows used for operating activities. The right-of-use assets and lease liabilities recognized on the Company’s combined balance sheets as of September 30, 2021 and 2020 were as follows:</w:t>
      </w:r>
    </w:p>
    <w:p>
      <w:pPr>
        <w:spacing w:after="0" w:line="206"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51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Right-of-use assets recorded in </w:t>
            </w:r>
            <w:r>
              <w:rPr>
                <w:rFonts w:ascii="Arial" w:cs="Arial" w:eastAsia="Arial" w:hAnsi="Arial"/>
                <w:sz w:val="18"/>
                <w:szCs w:val="18"/>
                <w:i w:val="1"/>
                <w:iCs w:val="1"/>
                <w:color w:val="auto"/>
              </w:rPr>
              <w:t>Other Assets</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 xml:space="preserve">Current lease liabilities recorded in </w:t>
            </w:r>
            <w:r>
              <w:rPr>
                <w:rFonts w:ascii="Arial" w:cs="Arial" w:eastAsia="Arial" w:hAnsi="Arial"/>
                <w:sz w:val="18"/>
                <w:szCs w:val="18"/>
                <w:i w:val="1"/>
                <w:iCs w:val="1"/>
                <w:color w:val="auto"/>
              </w:rPr>
              <w:t>Accrued expenses</w:t>
            </w:r>
          </w:p>
        </w:tc>
        <w:tc>
          <w:tcPr>
            <w:tcW w:w="8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 xml:space="preserve">Non-current lease liabilities recorded in </w:t>
            </w:r>
            <w:r>
              <w:rPr>
                <w:rFonts w:ascii="Arial" w:cs="Arial" w:eastAsia="Arial" w:hAnsi="Arial"/>
                <w:sz w:val="18"/>
                <w:szCs w:val="18"/>
                <w:i w:val="1"/>
                <w:iCs w:val="1"/>
                <w:color w:val="auto"/>
                <w:w w:val="94"/>
              </w:rPr>
              <w:t>Deferred Income Taxes and</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Liabilities</w:t>
            </w:r>
          </w:p>
        </w:tc>
        <w:tc>
          <w:tcPr>
            <w:tcW w:w="84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The Company’s payments due under its operating leases at September 30, 2021 are $1 million for each of the fiscal years ending September 30, 2022 to 2026, and no payments are due under operating leases thereafter. Imputed interest allocable to these payments is immaterial.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amounts recognized in fiscal years 2021, 2020 and 2019 relating to allowances for doubtful accounts and cash discounts, which are netted against trade receivables, are provided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Doubtful</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Cash</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7"/>
              </w:rPr>
              <w:t>Accounts</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2019</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2021</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60" w:type="dxa"/>
            <w:vAlign w:val="bottom"/>
            <w:gridSpan w:val="3"/>
          </w:tcPr>
          <w:p>
            <w:pPr>
              <w:spacing w:after="0"/>
              <w:rPr>
                <w:sz w:val="20"/>
                <w:szCs w:val="20"/>
                <w:color w:val="auto"/>
              </w:rPr>
            </w:pPr>
            <w:r>
              <w:rPr>
                <w:rFonts w:ascii="Arial" w:cs="Arial" w:eastAsia="Arial" w:hAnsi="Arial"/>
                <w:sz w:val="18"/>
                <w:szCs w:val="18"/>
                <w:color w:val="auto"/>
              </w:rPr>
              <w:t>(a)   Accounts written off.</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3"/>
          </w:tcPr>
          <w:p>
            <w:pPr>
              <w:ind w:left="440"/>
              <w:spacing w:after="0"/>
              <w:rPr>
                <w:sz w:val="20"/>
                <w:szCs w:val="20"/>
                <w:color w:val="auto"/>
              </w:rPr>
            </w:pPr>
            <w:r>
              <w:rPr>
                <w:rFonts w:ascii="Arial" w:cs="Arial" w:eastAsia="Arial" w:hAnsi="Arial"/>
                <w:sz w:val="18"/>
                <w:szCs w:val="18"/>
                <w:color w:val="auto"/>
                <w:w w:val="97"/>
              </w:rPr>
              <w:t>Inventories at September 30, 2021 and 2020 consisted of:</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Work in process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Inventories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Plant and Equipment, Net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Net at September 30, 2021 and 2020 consisted of:</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Long-lived assets, which include property, plant and equipment, net, goodwill and other intangible assets, and other assets by geographic area where located at September 30, 2021 and 2020 is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Ireland</w:t>
            </w:r>
          </w:p>
        </w:tc>
        <w:tc>
          <w:tcPr>
            <w:tcW w:w="2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3"/>
          </w:tcPr>
          <w:p>
            <w:pPr>
              <w:jc w:val="right"/>
              <w:ind w:right="38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496</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Management has evaluated subsequent events through December 21, 2021, the date the combined financial statements were available to be issued and determined that there were no items to disclose.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448DE9"/>
    <w:multiLevelType w:val="hybridMultilevel"/>
    <w:lvl w:ilvl="0">
      <w:lvlJc w:val="left"/>
      <w:lvlText w:val="☐"/>
      <w:numFmt w:val="bullet"/>
      <w:start w:val="1"/>
    </w:lvl>
  </w:abstractNum>
  <w:abstractNum w:abstractNumId="1">
    <w:nsid w:val="5A9CC3E5"/>
    <w:multiLevelType w:val="hybridMultilevel"/>
    <w:lvl w:ilvl="0">
      <w:lvlJc w:val="left"/>
      <w:lvlText w:val="(%1)"/>
      <w:numFmt w:val="lowerLetter"/>
      <w:start w:val="4"/>
    </w:lvl>
  </w:abstractNum>
  <w:abstractNum w:abstractNumId="2">
    <w:nsid w:val="1AFE3625"/>
    <w:multiLevelType w:val="hybridMultilevel"/>
    <w:lvl w:ilvl="0">
      <w:lvlJc w:val="left"/>
      <w:lvlText w:val="%1"/>
      <w:numFmt w:val="decimal"/>
      <w:start w:val="104"/>
    </w:lvl>
  </w:abstractNum>
  <w:abstractNum w:abstractNumId="3">
    <w:nsid w:val="3CA88ECF"/>
    <w:multiLevelType w:val="hybridMultilevel"/>
    <w:lvl w:ilvl="0">
      <w:lvlJc w:val="left"/>
      <w:lvlText w:val="(%1)"/>
      <w:numFmt w:val="decimal"/>
      <w:start w:val="1"/>
    </w:lvl>
  </w:abstractNum>
  <w:abstractNum w:abstractNumId="4">
    <w:nsid w:val="6EBE4208"/>
    <w:multiLevelType w:val="hybridMultilevel"/>
    <w:lvl w:ilvl="0">
      <w:lvlJc w:val="left"/>
      <w:lvlText w:val="(%1)"/>
      <w:numFmt w:val="lowerLetter"/>
      <w:start w:val="1"/>
    </w:lvl>
  </w:abstractNum>
  <w:abstractNum w:abstractNumId="5">
    <w:nsid w:val="C058DF5"/>
    <w:multiLevelType w:val="hybridMultilevel"/>
    <w:lvl w:ilvl="0">
      <w:lvlJc w:val="left"/>
      <w:lvlText w:val="(%1)"/>
      <w:numFmt w:val="decimal"/>
      <w:start w:val="1"/>
    </w:lvl>
  </w:abstractNum>
  <w:abstractNum w:abstractNumId="6">
    <w:nsid w:val="CBE5BE9"/>
    <w:multiLevelType w:val="hybridMultilevel"/>
    <w:lvl w:ilvl="0">
      <w:lvlJc w:val="left"/>
      <w:lvlText w:val="(%1)"/>
      <w:numFmt w:val="decimal"/>
      <w:start w:val="8"/>
    </w:lvl>
  </w:abstractNum>
  <w:abstractNum w:abstractNumId="7">
    <w:nsid w:val="3102BBE2"/>
    <w:multiLevelType w:val="hybridMultilevel"/>
    <w:lvl w:ilvl="0">
      <w:lvlJc w:val="left"/>
      <w:lvlText w:val="(%1)"/>
      <w:numFmt w:val="decimal"/>
      <w:start w:val="19"/>
    </w:lvl>
  </w:abstractNum>
  <w:abstractNum w:abstractNumId="8">
    <w:nsid w:val="26A02C5E"/>
    <w:multiLevelType w:val="hybridMultilevel"/>
    <w:lvl w:ilvl="0">
      <w:lvlJc w:val="left"/>
      <w:lvlText w:val="(%1)"/>
      <w:numFmt w:val="lowerLetter"/>
      <w:start w:val="2"/>
    </w:lvl>
  </w:abstractNum>
  <w:abstractNum w:abstractNumId="9">
    <w:nsid w:val="541C8153"/>
    <w:multiLevelType w:val="hybridMultilevel"/>
    <w:lvl w:ilvl="0">
      <w:lvlJc w:val="left"/>
      <w:lvlText w:val="(%1)"/>
      <w:numFmt w:val="decimal"/>
      <w:start w:val="1"/>
    </w:lvl>
  </w:abstractNum>
  <w:abstractNum w:abstractNumId="10">
    <w:nsid w:val="67906F60"/>
    <w:multiLevelType w:val="hybridMultilevel"/>
    <w:lvl w:ilvl="0">
      <w:lvlJc w:val="left"/>
      <w:lvlText w:val="(%1)"/>
      <w:numFmt w:val="decimal"/>
      <w:start w:val="4"/>
    </w:lvl>
  </w:abstractNum>
  <w:abstractNum w:abstractNumId="11">
    <w:nsid w:val="10DB9DAA"/>
    <w:multiLevelType w:val="hybridMultilevel"/>
    <w:lvl w:ilvl="0">
      <w:lvlJc w:val="left"/>
      <w:lvlText w:val="(%1)"/>
      <w:numFmt w:val="decimal"/>
      <w:start w:val="12"/>
    </w:lvl>
  </w:abstractNum>
  <w:abstractNum w:abstractNumId="12">
    <w:nsid w:val="697D2D2"/>
    <w:multiLevelType w:val="hybridMultilevel"/>
    <w:lvl w:ilvl="0">
      <w:lvlJc w:val="left"/>
      <w:lvlText w:val="(%1)"/>
      <w:numFmt w:val="lowerLetter"/>
      <w:start w:val="25"/>
    </w:lvl>
  </w:abstractNum>
  <w:abstractNum w:abstractNumId="13">
    <w:nsid w:val="6D68AB2"/>
    <w:multiLevelType w:val="hybridMultilevel"/>
    <w:lvl w:ilvl="0">
      <w:lvlJc w:val="left"/>
      <w:lvlText w:val="(%1)"/>
      <w:numFmt w:val="lowerRoman"/>
      <w:start w:val="1"/>
    </w:lvl>
  </w:abstractNum>
  <w:abstractNum w:abstractNumId="14">
    <w:nsid w:val="3A966CD0"/>
    <w:multiLevelType w:val="hybridMultilevel"/>
    <w:lvl w:ilvl="0">
      <w:lvlJc w:val="left"/>
      <w:lvlText w:val="(%1)"/>
      <w:numFmt w:val="decimal"/>
      <w:start w:val="1"/>
    </w:lvl>
    <w:lvl w:ilvl="1">
      <w:lvlJc w:val="left"/>
      <w:lvlText w:val="(%2)"/>
      <w:numFmt w:val="lowerLetter"/>
      <w:start w:val="1"/>
    </w:lvl>
  </w:abstractNum>
  <w:abstractNum w:abstractNumId="15">
    <w:nsid w:val="63F37E85"/>
    <w:multiLevelType w:val="hybridMultilevel"/>
    <w:lvl w:ilvl="0">
      <w:lvlJc w:val="left"/>
      <w:lvlText w:val="(%1)"/>
      <w:numFmt w:val="lowerLetter"/>
      <w:start w:val="2"/>
    </w:lvl>
  </w:abstractNum>
  <w:abstractNum w:abstractNumId="16">
    <w:nsid w:val="5895F5FA"/>
    <w:multiLevelType w:val="hybridMultilevel"/>
    <w:lvl w:ilvl="0">
      <w:lvlJc w:val="left"/>
      <w:lvlText w:val="%1"/>
      <w:numFmt w:val="lowerLetter"/>
      <w:start w:val="1"/>
    </w:lvl>
    <w:lvl w:ilvl="1">
      <w:lvlJc w:val="left"/>
      <w:lvlText w:val="(%2)"/>
      <w:numFmt w:val="lowerLetter"/>
      <w:start w:val="6"/>
    </w:lvl>
  </w:abstractNum>
  <w:abstractNum w:abstractNumId="17">
    <w:nsid w:val="38A5D054"/>
    <w:multiLevelType w:val="hybridMultilevel"/>
    <w:lvl w:ilvl="0">
      <w:lvlJc w:val="left"/>
      <w:lvlText w:val="(%1)"/>
      <w:numFmt w:val="lowerLetter"/>
      <w:start w:val="9"/>
    </w:lvl>
    <w:lvl w:ilvl="1">
      <w:lvlJc w:val="left"/>
      <w:lvlText w:val="(%2)"/>
      <w:numFmt w:val="lowerLetter"/>
      <w:start w:val="7"/>
    </w:lvl>
  </w:abstractNum>
  <w:abstractNum w:abstractNumId="18">
    <w:nsid w:val="F3F09D8"/>
    <w:multiLevelType w:val="hybridMultilevel"/>
    <w:lvl w:ilvl="0">
      <w:lvlJc w:val="left"/>
      <w:lvlText w:val="(%1)"/>
      <w:numFmt w:val="lowerLetter"/>
      <w:start w:val="8"/>
    </w:lvl>
  </w:abstractNum>
  <w:abstractNum w:abstractNumId="19">
    <w:nsid w:val="4B793735"/>
    <w:multiLevelType w:val="hybridMultilevel"/>
    <w:lvl w:ilvl="0">
      <w:lvlJc w:val="left"/>
      <w:lvlText w:val="(%1)"/>
      <w:numFmt w:val="lowerLetter"/>
      <w:start w:val="16"/>
    </w:lvl>
  </w:abstractNum>
  <w:abstractNum w:abstractNumId="20">
    <w:nsid w:val="4A10B4E8"/>
    <w:multiLevelType w:val="hybridMultilevel"/>
    <w:lvl w:ilvl="0">
      <w:lvlJc w:val="left"/>
      <w:lvlText w:val="%1"/>
      <w:numFmt w:val="decimal"/>
      <w:start w:val="1"/>
    </w:lvl>
    <w:lvl w:ilvl="1">
      <w:lvlJc w:val="left"/>
      <w:lvlText w:val="(%2)"/>
      <w:numFmt w:val="lowerLetter"/>
      <w:start w:val="25"/>
    </w:lvl>
  </w:abstractNum>
  <w:abstractNum w:abstractNumId="21">
    <w:nsid w:val="43D3BCD4"/>
    <w:multiLevelType w:val="hybridMultilevel"/>
    <w:lvl w:ilvl="0">
      <w:lvlJc w:val="left"/>
      <w:lvlText w:val="(%1)"/>
      <w:numFmt w:val="decimal"/>
      <w:start w:val="2"/>
    </w:lvl>
    <w:lvl w:ilvl="1">
      <w:lvlJc w:val="left"/>
      <w:lvlText w:val="%2"/>
      <w:numFmt w:val="lowerLetter"/>
      <w:start w:val="1"/>
    </w:lvl>
  </w:abstractNum>
  <w:abstractNum w:abstractNumId="22">
    <w:nsid w:val="4C2A7166"/>
    <w:multiLevelType w:val="hybridMultilevel"/>
    <w:lvl w:ilvl="0">
      <w:lvlJc w:val="left"/>
      <w:lvlText w:val="(%1)"/>
      <w:numFmt w:val="lowerLetter"/>
      <w:start w:val="2"/>
    </w:lvl>
  </w:abstractNum>
  <w:abstractNum w:abstractNumId="23">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26F2D364"/>
    <w:multiLevelType w:val="hybridMultilevel"/>
    <w:lvl w:ilvl="0">
      <w:lvlJc w:val="left"/>
      <w:lvlText w:val="%1"/>
      <w:numFmt w:val="decimal"/>
      <w:start w:val="1"/>
    </w:lvl>
    <w:lvl w:ilvl="1">
      <w:lvlJc w:val="left"/>
      <w:lvlText w:val="(%2)"/>
      <w:numFmt w:val="lowerRoman"/>
      <w:start w:val="9"/>
    </w:lvl>
  </w:abstractNum>
  <w:abstractNum w:abstractNumId="25">
    <w:nsid w:val="71C1AF98"/>
    <w:multiLevelType w:val="hybridMultilevel"/>
    <w:lvl w:ilvl="0">
      <w:lvlJc w:val="left"/>
      <w:lvlText w:val="(%1)"/>
      <w:numFmt w:val="decimal"/>
      <w:start w:val="2"/>
    </w:lvl>
    <w:lvl w:ilvl="1">
      <w:lvlJc w:val="left"/>
      <w:lvlText w:val="%2"/>
      <w:numFmt w:val="lowerRoman"/>
      <w:start w:val="1"/>
    </w:lvl>
  </w:abstractNum>
  <w:abstractNum w:abstractNumId="26">
    <w:nsid w:val="3D00B9D9"/>
    <w:multiLevelType w:val="hybridMultilevel"/>
    <w:lvl w:ilvl="0">
      <w:lvlJc w:val="left"/>
      <w:lvlText w:val="%1"/>
      <w:numFmt w:val="lowerLetter"/>
      <w:start w:val="1"/>
    </w:lvl>
    <w:lvl w:ilvl="1">
      <w:lvlJc w:val="left"/>
      <w:lvlText w:val="(%2)"/>
      <w:numFmt w:val="decimal"/>
      <w:start w:val="1"/>
    </w:lvl>
  </w:abstractNum>
  <w:abstractNum w:abstractNumId="27">
    <w:nsid w:val="15BCABA8"/>
    <w:multiLevelType w:val="hybridMultilevel"/>
    <w:lvl w:ilvl="0">
      <w:lvlJc w:val="left"/>
      <w:lvlText w:val="(%1)"/>
      <w:numFmt w:val="lowerLetter"/>
      <w:start w:val="2"/>
    </w:lvl>
    <w:lvl w:ilvl="1">
      <w:lvlJc w:val="left"/>
      <w:lvlText w:val="%2"/>
      <w:numFmt w:val="decimal"/>
      <w:start w:val="1"/>
    </w:lvl>
  </w:abstractNum>
  <w:abstractNum w:abstractNumId="28">
    <w:nsid w:val="4E0B9A87"/>
    <w:multiLevelType w:val="hybridMultilevel"/>
    <w:lvl w:ilvl="0">
      <w:lvlJc w:val="left"/>
      <w:lvlText w:val="(%1)"/>
      <w:numFmt w:val="decimal"/>
      <w:start w:val="3"/>
    </w:lvl>
  </w:abstractNum>
  <w:abstractNum w:abstractNumId="29">
    <w:nsid w:val="434BAE75"/>
    <w:multiLevelType w:val="hybridMultilevel"/>
    <w:lvl w:ilvl="0">
      <w:lvlJc w:val="left"/>
      <w:lvlText w:val="(%1)"/>
      <w:numFmt w:val="decimal"/>
      <w:start w:val="6"/>
    </w:lvl>
  </w:abstractNum>
  <w:abstractNum w:abstractNumId="30">
    <w:nsid w:val="4F38F265"/>
    <w:multiLevelType w:val="hybridMultilevel"/>
    <w:lvl w:ilvl="0">
      <w:lvlJc w:val="left"/>
      <w:lvlText w:val="(%1)"/>
      <w:numFmt w:val="decimal"/>
      <w:start w:val="10"/>
    </w:lvl>
  </w:abstractNum>
  <w:abstractNum w:abstractNumId="31">
    <w:nsid w:val="4C502870"/>
    <w:multiLevelType w:val="hybridMultilevel"/>
    <w:lvl w:ilvl="0">
      <w:lvlJc w:val="left"/>
      <w:lvlText w:val="(%1)"/>
      <w:numFmt w:val="decimal"/>
      <w:start w:val="16"/>
    </w:lvl>
    <w:lvl w:ilvl="1">
      <w:lvlJc w:val="left"/>
      <w:lvlText w:val="(%2)"/>
      <w:numFmt w:val="lowerRoman"/>
      <w:start w:val="2"/>
    </w:lvl>
  </w:abstractNum>
  <w:abstractNum w:abstractNumId="32">
    <w:nsid w:val="1DE8725A"/>
    <w:multiLevelType w:val="hybridMultilevel"/>
    <w:lvl w:ilvl="0">
      <w:lvlJc w:val="left"/>
      <w:lvlText w:val="(%1)"/>
      <w:numFmt w:val="lowerLetter"/>
      <w:start w:val="1"/>
    </w:lvl>
  </w:abstractNum>
  <w:abstractNum w:abstractNumId="33">
    <w:nsid w:val="6A37288A"/>
    <w:multiLevelType w:val="hybridMultilevel"/>
    <w:lvl w:ilvl="0">
      <w:lvlJc w:val="left"/>
      <w:lvlText w:val="(%1)"/>
      <w:numFmt w:val="decimal"/>
      <w:start w:val="1"/>
    </w:lvl>
    <w:lvl w:ilvl="1">
      <w:lvlJc w:val="left"/>
      <w:lvlText w:val="(%2)"/>
      <w:numFmt w:val="lowerLetter"/>
      <w:start w:val="1"/>
    </w:lvl>
  </w:abstractNum>
  <w:abstractNum w:abstractNumId="34">
    <w:nsid w:val="8F8B73F"/>
    <w:multiLevelType w:val="hybridMultilevel"/>
    <w:lvl w:ilvl="0">
      <w:lvlJc w:val="left"/>
      <w:lvlText w:val="(%1)"/>
      <w:numFmt w:val="decimal"/>
      <w:start w:val="3"/>
    </w:lvl>
  </w:abstractNum>
  <w:abstractNum w:abstractNumId="35">
    <w:nsid w:val="CA6B462"/>
    <w:multiLevelType w:val="hybridMultilevel"/>
    <w:lvl w:ilvl="0">
      <w:lvlJc w:val="left"/>
      <w:lvlText w:val="(%1)"/>
      <w:numFmt w:val="upperLetter"/>
      <w:start w:val="3"/>
    </w:lvl>
  </w:abstractNum>
  <w:abstractNum w:abstractNumId="36">
    <w:nsid w:val="763CB680"/>
    <w:multiLevelType w:val="hybridMultilevel"/>
    <w:lvl w:ilvl="0">
      <w:lvlJc w:val="left"/>
      <w:lvlText w:val="(%1)"/>
      <w:numFmt w:val="decimal"/>
      <w:start w:val="1"/>
    </w:lvl>
  </w:abstractNum>
  <w:abstractNum w:abstractNumId="37">
    <w:nsid w:val="15B71329"/>
    <w:multiLevelType w:val="hybridMultilevel"/>
    <w:lvl w:ilvl="0">
      <w:lvlJc w:val="left"/>
      <w:lvlText w:val="(%1)"/>
      <w:numFmt w:val="decimal"/>
      <w:start w:val="1"/>
    </w:lvl>
  </w:abstractNum>
  <w:abstractNum w:abstractNumId="38">
    <w:nsid w:val="3DA97044"/>
    <w:multiLevelType w:val="hybridMultilevel"/>
    <w:lvl w:ilvl="0">
      <w:lvlJc w:val="left"/>
      <w:lvlText w:val="(%1)"/>
      <w:numFmt w:val="lowerLetter"/>
      <w:start w:val="1"/>
    </w:lvl>
  </w:abstractNum>
  <w:abstractNum w:abstractNumId="39">
    <w:nsid w:val="1CDCE2DE"/>
    <w:multiLevelType w:val="hybridMultilevel"/>
    <w:lvl w:ilvl="0">
      <w:lvlJc w:val="left"/>
      <w:lvlText w:val="%1"/>
      <w:numFmt w:val="lowerLetter"/>
      <w:start w:val="1"/>
    </w:lvl>
    <w:lvl w:ilvl="1">
      <w:lvlJc w:val="left"/>
      <w:lvlText w:val="(%2)"/>
      <w:numFmt w:val="lowerLetter"/>
      <w:start w:val="4"/>
    </w:lvl>
  </w:abstractNum>
  <w:abstractNum w:abstractNumId="40">
    <w:nsid w:val="69D3947C"/>
    <w:multiLevelType w:val="hybridMultilevel"/>
    <w:lvl w:ilvl="0">
      <w:lvlJc w:val="left"/>
      <w:lvlText w:val="(%1)"/>
      <w:numFmt w:val="lowerLetter"/>
      <w:start w:val="9"/>
    </w:lvl>
    <w:lvl w:ilvl="1">
      <w:lvlJc w:val="left"/>
      <w:lvlText w:val="(%2)"/>
      <w:numFmt w:val="lowerLetter"/>
      <w:start w:val="5"/>
    </w:lvl>
  </w:abstractNum>
  <w:abstractNum w:abstractNumId="41">
    <w:nsid w:val="2539DFA5"/>
    <w:multiLevelType w:val="hybridMultilevel"/>
    <w:lvl w:ilvl="0">
      <w:lvlJc w:val="left"/>
      <w:lvlText w:val="(%1)"/>
      <w:numFmt w:val="lowerLetter"/>
      <w:start w:val="8"/>
    </w:lvl>
  </w:abstractNum>
  <w:abstractNum w:abstractNumId="42">
    <w:nsid w:val="2DB88089"/>
    <w:multiLevelType w:val="hybridMultilevel"/>
    <w:lvl w:ilvl="0">
      <w:lvlJc w:val="left"/>
      <w:lvlText w:val="(%1)"/>
      <w:numFmt w:val="lowerLetter"/>
      <w:start w:val="1"/>
    </w:lvl>
  </w:abstractNum>
  <w:abstractNum w:abstractNumId="43">
    <w:nsid w:val="706B674E"/>
    <w:multiLevelType w:val="hybridMultilevel"/>
    <w:lvl w:ilvl="0">
      <w:lvlJc w:val="left"/>
      <w:lvlText w:val="(%1)"/>
      <w:numFmt w:val="lowerLetter"/>
      <w:start w:val="7"/>
    </w:lvl>
  </w:abstractNum>
  <w:abstractNum w:abstractNumId="44">
    <w:nsid w:val="2C106A57"/>
    <w:multiLevelType w:val="hybridMultilevel"/>
    <w:lvl w:ilvl="0">
      <w:lvlJc w:val="left"/>
      <w:lvlText w:val="(%1)"/>
      <w:numFmt w:val="decimal"/>
      <w:start w:val="2"/>
    </w:lvl>
  </w:abstractNum>
  <w:abstractNum w:abstractNumId="45">
    <w:nsid w:val="684EED59"/>
    <w:multiLevelType w:val="hybridMultilevel"/>
    <w:lvl w:ilvl="0">
      <w:lvlJc w:val="left"/>
      <w:lvlText w:val="(%1)"/>
      <w:numFmt w:val="lowerRoman"/>
      <w:start w:val="2"/>
    </w:lvl>
  </w:abstractNum>
  <w:abstractNum w:abstractNumId="46">
    <w:nsid w:val="545EE5D3"/>
    <w:multiLevelType w:val="hybridMultilevel"/>
    <w:lvl w:ilvl="0">
      <w:lvlJc w:val="left"/>
      <w:lvlText w:val="(%1)"/>
      <w:numFmt w:val="decimal"/>
      <w:start w:val="1"/>
    </w:lvl>
  </w:abstractNum>
  <w:abstractNum w:abstractNumId="47">
    <w:nsid w:val="4A66051"/>
    <w:multiLevelType w:val="hybridMultilevel"/>
    <w:lvl w:ilvl="0">
      <w:lvlJc w:val="left"/>
      <w:lvlText w:val="(%1)"/>
      <w:numFmt w:val="decimal"/>
      <w:start w:val="1"/>
    </w:lvl>
  </w:abstractNum>
  <w:abstractNum w:abstractNumId="48">
    <w:nsid w:val="20F4BDAD"/>
    <w:multiLevelType w:val="hybridMultilevel"/>
    <w:lvl w:ilvl="0">
      <w:lvlJc w:val="left"/>
      <w:lvlText w:val="(%1)"/>
      <w:numFmt w:val="decimal"/>
      <w:start w:val="6"/>
    </w:lvl>
  </w:abstractNum>
  <w:abstractNum w:abstractNumId="49">
    <w:nsid w:val="639DEFAC"/>
    <w:multiLevelType w:val="hybridMultilevel"/>
    <w:lvl w:ilvl="0">
      <w:lvlJc w:val="left"/>
      <w:lvlText w:val="(%1)"/>
      <w:numFmt w:val="lowerRoman"/>
      <w:start w:val="1"/>
    </w:lvl>
  </w:abstractNum>
  <w:abstractNum w:abstractNumId="50">
    <w:nsid w:val="501F9786"/>
    <w:multiLevelType w:val="hybridMultilevel"/>
    <w:lvl w:ilvl="0">
      <w:lvlJc w:val="left"/>
      <w:lvlText w:val="(%1)"/>
      <w:numFmt w:val="lowerRoman"/>
      <w:start w:val="5"/>
    </w:lvl>
  </w:abstractNum>
  <w:abstractNum w:abstractNumId="51">
    <w:nsid w:val="6B057295"/>
    <w:multiLevelType w:val="hybridMultilevel"/>
    <w:lvl w:ilvl="0">
      <w:lvlJc w:val="left"/>
      <w:lvlText w:val="(%1)"/>
      <w:numFmt w:val="decimal"/>
      <w:start w:val="1"/>
    </w:lvl>
  </w:abstractNum>
  <w:abstractNum w:abstractNumId="52">
    <w:nsid w:val="2771AC80"/>
    <w:multiLevelType w:val="hybridMultilevel"/>
    <w:lvl w:ilvl="0">
      <w:lvlJc w:val="left"/>
      <w:lvlText w:val="(%1)"/>
      <w:numFmt w:val="decimal"/>
      <w:start w:val="1"/>
    </w:lvl>
  </w:abstractNum>
  <w:abstractNum w:abstractNumId="53">
    <w:nsid w:val="1C4A08EC"/>
    <w:multiLevelType w:val="hybridMultilevel"/>
    <w:lvl w:ilvl="0">
      <w:lvlJc w:val="left"/>
      <w:lvlText w:val="(%1)"/>
      <w:numFmt w:val="decimal"/>
      <w:start w:val="4"/>
    </w:lvl>
  </w:abstractNum>
  <w:abstractNum w:abstractNumId="54">
    <w:nsid w:val="1958BD17"/>
    <w:multiLevelType w:val="hybridMultilevel"/>
    <w:lvl w:ilvl="0">
      <w:lvlJc w:val="left"/>
      <w:lvlText w:val="(%1)"/>
      <w:numFmt w:val="decimal"/>
      <w:start w:val="1"/>
    </w:lvl>
  </w:abstractNum>
  <w:abstractNum w:abstractNumId="55">
    <w:nsid w:val="4E647FE4"/>
    <w:multiLevelType w:val="hybridMultilevel"/>
    <w:lvl w:ilvl="0">
      <w:lvlJc w:val="left"/>
      <w:lvlText w:val="(%1)"/>
      <w:numFmt w:val="decimal"/>
      <w:start w:val="1"/>
    </w:lvl>
  </w:abstractNum>
  <w:abstractNum w:abstractNumId="56">
    <w:nsid w:val="E0BB885"/>
    <w:multiLevelType w:val="hybridMultilevel"/>
    <w:lvl w:ilvl="0">
      <w:lvlJc w:val="left"/>
      <w:lvlText w:val="(%1)"/>
      <w:numFmt w:val="decimal"/>
      <w:start w:val="1"/>
    </w:lvl>
  </w:abstractNum>
  <w:abstractNum w:abstractNumId="57">
    <w:nsid w:val="565976F1"/>
    <w:multiLevelType w:val="hybridMultilevel"/>
    <w:lvl w:ilvl="0">
      <w:lvlJc w:val="left"/>
      <w:lvlText w:val="(%1)"/>
      <w:numFmt w:val="lowerRoman"/>
      <w:start w:val="2"/>
    </w:lvl>
  </w:abstractNum>
  <w:abstractNum w:abstractNumId="58">
    <w:nsid w:val="64212B8C"/>
    <w:multiLevelType w:val="hybridMultilevel"/>
    <w:lvl w:ilvl="0">
      <w:lvlJc w:val="left"/>
      <w:lvlText w:val="(%1)"/>
      <w:numFmt w:val="decimal"/>
      <w:start w:val="1"/>
    </w:lvl>
  </w:abstractNum>
  <w:abstractNum w:abstractNumId="59">
    <w:nsid w:val="5C17530C"/>
    <w:multiLevelType w:val="hybridMultilevel"/>
    <w:lvl w:ilvl="0">
      <w:lvlJc w:val="left"/>
      <w:lvlText w:val="(%1)"/>
      <w:numFmt w:val="decimal"/>
      <w:start w:val="3"/>
    </w:lvl>
  </w:abstractNum>
  <w:abstractNum w:abstractNumId="60">
    <w:nsid w:val="19A52566"/>
    <w:multiLevelType w:val="hybridMultilevel"/>
    <w:lvl w:ilvl="0">
      <w:lvlJc w:val="left"/>
      <w:lvlText w:val="(%1)"/>
      <w:numFmt w:val="lowerRoman"/>
      <w:start w:val="1"/>
    </w:lvl>
  </w:abstractNum>
  <w:abstractNum w:abstractNumId="61">
    <w:nsid w:val="335A1DF1"/>
    <w:multiLevelType w:val="hybridMultilevel"/>
    <w:lvl w:ilvl="0">
      <w:lvlJc w:val="left"/>
      <w:lvlText w:val="(%1)"/>
      <w:numFmt w:val="lowerRoman"/>
      <w:start w:val="2"/>
    </w:lvl>
  </w:abstractNum>
  <w:abstractNum w:abstractNumId="62">
    <w:nsid w:val="28677B7C"/>
    <w:multiLevelType w:val="hybridMultilevel"/>
    <w:lvl w:ilvl="0">
      <w:lvlJc w:val="left"/>
      <w:lvlText w:val="(%1)"/>
      <w:numFmt w:val="lowerRoman"/>
      <w:start w:val="6"/>
    </w:lvl>
  </w:abstractNum>
  <w:abstractNum w:abstractNumId="63">
    <w:nsid w:val="378D97C0"/>
    <w:multiLevelType w:val="hybridMultilevel"/>
    <w:lvl w:ilvl="0">
      <w:lvlJc w:val="left"/>
      <w:lvlText w:val="(%1)"/>
      <w:numFmt w:val="lowerLetter"/>
      <w:start w:val="2"/>
    </w:lvl>
  </w:abstractNum>
  <w:abstractNum w:abstractNumId="64">
    <w:nsid w:val="1D91467C"/>
    <w:multiLevelType w:val="hybridMultilevel"/>
    <w:lvl w:ilvl="0">
      <w:lvlJc w:val="left"/>
      <w:lvlText w:val="(%1)"/>
      <w:numFmt w:val="lowerRoman"/>
      <w:start w:val="3"/>
    </w:lvl>
    <w:lvl w:ilvl="1">
      <w:lvlJc w:val="left"/>
      <w:lvlText w:val="(%2)"/>
      <w:numFmt w:val="decimal"/>
      <w:start w:val="1"/>
    </w:lvl>
  </w:abstractNum>
  <w:abstractNum w:abstractNumId="65">
    <w:nsid w:val="316032BB"/>
    <w:multiLevelType w:val="hybridMultilevel"/>
    <w:lvl w:ilvl="0">
      <w:lvlJc w:val="left"/>
      <w:lvlText w:val="(%1)"/>
      <w:numFmt w:val="decimal"/>
      <w:start w:val="8"/>
    </w:lvl>
  </w:abstractNum>
  <w:abstractNum w:abstractNumId="66">
    <w:nsid w:val="44344C22"/>
    <w:multiLevelType w:val="hybridMultilevel"/>
    <w:lvl w:ilvl="0">
      <w:lvlJc w:val="left"/>
      <w:lvlText w:val="(%1)"/>
      <w:numFmt w:val="decimal"/>
      <w:start w:val="18"/>
    </w:lvl>
  </w:abstractNum>
  <w:abstractNum w:abstractNumId="67">
    <w:nsid w:val="13CDFCFC"/>
    <w:multiLevelType w:val="hybridMultilevel"/>
    <w:lvl w:ilvl="0">
      <w:lvlJc w:val="left"/>
      <w:lvlText w:val="%1"/>
      <w:numFmt w:val="lowerLetter"/>
      <w:start w:val="1"/>
    </w:lvl>
    <w:lvl w:ilvl="1">
      <w:lvlJc w:val="left"/>
      <w:lvlText w:val="(%2)"/>
      <w:numFmt w:val="decimal"/>
      <w:start w:val="23"/>
    </w:lvl>
  </w:abstractNum>
  <w:abstractNum w:abstractNumId="68">
    <w:nsid w:val="471745E4"/>
    <w:multiLevelType w:val="hybridMultilevel"/>
    <w:lvl w:ilvl="0">
      <w:lvlJc w:val="left"/>
      <w:lvlText w:val="(%1)"/>
      <w:numFmt w:val="lowerLetter"/>
      <w:start w:val="25"/>
    </w:lvl>
    <w:lvl w:ilvl="1">
      <w:lvlJc w:val="left"/>
      <w:lvlText w:val="%2"/>
      <w:numFmt w:val="decimal"/>
      <w:start w:val="1"/>
    </w:lvl>
  </w:abstractNum>
  <w:abstractNum w:abstractNumId="69">
    <w:nsid w:val="1DDBC66"/>
    <w:multiLevelType w:val="hybridMultilevel"/>
    <w:lvl w:ilvl="0">
      <w:lvlJc w:val="left"/>
      <w:lvlText w:val="(%1)"/>
      <w:numFmt w:val="decimal"/>
      <w:start w:val="1"/>
    </w:lvl>
  </w:abstractNum>
  <w:abstractNum w:abstractNumId="70">
    <w:nsid w:val="30AADFDA"/>
    <w:multiLevelType w:val="hybridMultilevel"/>
    <w:lvl w:ilvl="0">
      <w:lvlJc w:val="left"/>
      <w:lvlText w:val="(%1)"/>
      <w:numFmt w:val="decimal"/>
      <w:start w:val="6"/>
    </w:lvl>
  </w:abstractNum>
  <w:abstractNum w:abstractNumId="71">
    <w:nsid w:val="30EADA61"/>
    <w:multiLevelType w:val="hybridMultilevel"/>
    <w:lvl w:ilvl="0">
      <w:lvlJc w:val="left"/>
      <w:lvlText w:val="(%1)"/>
      <w:numFmt w:val="decimal"/>
      <w:start w:val="12"/>
    </w:lvl>
  </w:abstractNum>
  <w:abstractNum w:abstractNumId="72">
    <w:nsid w:val="27179C0B"/>
    <w:multiLevelType w:val="hybridMultilevel"/>
    <w:lvl w:ilvl="0">
      <w:lvlJc w:val="left"/>
      <w:lvlText w:val="(%1)"/>
      <w:numFmt w:val="decimal"/>
      <w:start w:val="20"/>
    </w:lvl>
  </w:abstractNum>
  <w:abstractNum w:abstractNumId="73">
    <w:nsid w:val="5E636063"/>
    <w:multiLevelType w:val="hybridMultilevel"/>
    <w:lvl w:ilvl="0">
      <w:lvlJc w:val="left"/>
      <w:lvlText w:val="(%1)"/>
      <w:numFmt w:val="decimal"/>
      <w:start w:val="29"/>
    </w:lvl>
  </w:abstractNum>
  <w:abstractNum w:abstractNumId="74">
    <w:nsid w:val="215641AF"/>
    <w:multiLevelType w:val="hybridMultilevel"/>
    <w:lvl w:ilvl="0">
      <w:lvlJc w:val="left"/>
      <w:lvlText w:val="(%1)"/>
      <w:numFmt w:val="decimal"/>
      <w:start w:val="38"/>
    </w:lvl>
  </w:abstractNum>
  <w:abstractNum w:abstractNumId="75">
    <w:nsid w:val="53280662"/>
    <w:multiLevelType w:val="hybridMultilevel"/>
    <w:lvl w:ilvl="0">
      <w:lvlJc w:val="left"/>
      <w:lvlText w:val="(%1)"/>
      <w:numFmt w:val="lowerLetter"/>
      <w:start w:val="2"/>
    </w:lvl>
  </w:abstractNum>
  <w:abstractNum w:abstractNumId="76">
    <w:nsid w:val="46B24DBC"/>
    <w:multiLevelType w:val="hybridMultilevel"/>
    <w:lvl w:ilvl="0">
      <w:lvlJc w:val="left"/>
      <w:lvlText w:val="(%1)"/>
      <w:numFmt w:val="lowerLetter"/>
      <w:start w:val="1"/>
    </w:lvl>
    <w:lvl w:ilvl="1">
      <w:lvlJc w:val="left"/>
      <w:lvlText w:val="(%2)"/>
      <w:numFmt w:val="lowerLetter"/>
      <w:start w:val="9"/>
    </w:lvl>
  </w:abstractNum>
  <w:abstractNum w:abstractNumId="77">
    <w:nsid w:val="75B52783"/>
    <w:multiLevelType w:val="hybridMultilevel"/>
    <w:lvl w:ilvl="0">
      <w:lvlJc w:val="left"/>
      <w:lvlText w:val="%1"/>
      <w:numFmt w:val="lowerLetter"/>
      <w:start w:val="1"/>
    </w:lvl>
    <w:lvl w:ilvl="1">
      <w:lvlJc w:val="left"/>
      <w:lvlText w:val="(%2)"/>
      <w:numFmt w:val="lowerRoman"/>
      <w:start w:val="2"/>
    </w:lvl>
  </w:abstractNum>
  <w:abstractNum w:abstractNumId="78">
    <w:nsid w:val="57CE66B4"/>
    <w:multiLevelType w:val="hybridMultilevel"/>
    <w:lvl w:ilvl="0">
      <w:lvlJc w:val="left"/>
      <w:lvlText w:val="(%1)"/>
      <w:numFmt w:val="lowerLetter"/>
      <w:start w:val="2"/>
    </w:lvl>
    <w:lvl w:ilvl="1">
      <w:lvlJc w:val="left"/>
      <w:lvlText w:val="%2"/>
      <w:numFmt w:val="lowerRoman"/>
      <w:start w:val="1"/>
    </w:lvl>
  </w:abstractNum>
  <w:abstractNum w:abstractNumId="79">
    <w:nsid w:val="67A70B69"/>
    <w:multiLevelType w:val="hybridMultilevel"/>
    <w:lvl w:ilvl="0">
      <w:lvlJc w:val="left"/>
      <w:lvlText w:val="(%1)"/>
      <w:numFmt w:val="lowerRoman"/>
      <w:start w:val="1"/>
    </w:lvl>
  </w:abstractNum>
  <w:abstractNum w:abstractNumId="80">
    <w:nsid w:val="5953172F"/>
    <w:multiLevelType w:val="hybridMultilevel"/>
    <w:lvl w:ilvl="0">
      <w:lvlJc w:val="left"/>
      <w:lvlText w:val="(%1)"/>
      <w:numFmt w:val="decimal"/>
      <w:start w:val="1"/>
    </w:lvl>
  </w:abstractNum>
  <w:abstractNum w:abstractNumId="81">
    <w:nsid w:val="27EDFE3A"/>
    <w:multiLevelType w:val="hybridMultilevel"/>
    <w:lvl w:ilvl="0">
      <w:lvlJc w:val="left"/>
      <w:lvlText w:val="(%1)"/>
      <w:numFmt w:val="lowerRoman"/>
      <w:start w:val="1"/>
    </w:lvl>
  </w:abstractNum>
  <w:abstractNum w:abstractNumId="82">
    <w:nsid w:val="52AC7DFF"/>
    <w:multiLevelType w:val="hybridMultilevel"/>
    <w:lvl w:ilvl="0">
      <w:lvlJc w:val="left"/>
      <w:lvlText w:val="(%1)"/>
      <w:numFmt w:val="decimal"/>
      <w:start w:val="3"/>
    </w:lvl>
  </w:abstractNum>
  <w:abstractNum w:abstractNumId="83">
    <w:nsid w:val="C4C3AF"/>
    <w:multiLevelType w:val="hybridMultilevel"/>
    <w:lvl w:ilvl="0">
      <w:lvlJc w:val="left"/>
      <w:lvlText w:val="(%1)"/>
      <w:numFmt w:val="decimal"/>
      <w:start w:val="1"/>
    </w:lvl>
    <w:lvl w:ilvl="1">
      <w:lvlJc w:val="left"/>
      <w:lvlText w:val="(%2)"/>
      <w:numFmt w:val="lowerLetter"/>
      <w:start w:val="1"/>
    </w:lvl>
  </w:abstractNum>
  <w:abstractNum w:abstractNumId="84">
    <w:nsid w:val="44380727"/>
    <w:multiLevelType w:val="hybridMultilevel"/>
    <w:lvl w:ilvl="0">
      <w:lvlJc w:val="left"/>
      <w:lvlText w:val="%1"/>
      <w:numFmt w:val="decimal"/>
      <w:start w:val="1"/>
    </w:lvl>
    <w:lvl w:ilvl="1">
      <w:lvlJc w:val="left"/>
      <w:lvlText w:val="(%2)"/>
      <w:numFmt w:val="lowerLetter"/>
      <w:start w:val="2"/>
    </w:lvl>
  </w:abstractNum>
  <w:abstractNum w:abstractNumId="85">
    <w:nsid w:val="6C053B16"/>
    <w:multiLevelType w:val="hybridMultilevel"/>
    <w:lvl w:ilvl="0">
      <w:lvlJc w:val="left"/>
      <w:lvlText w:val="(%1)"/>
      <w:numFmt w:val="decimal"/>
      <w:start w:val="3"/>
    </w:lvl>
    <w:lvl w:ilvl="1">
      <w:lvlJc w:val="left"/>
      <w:lvlText w:val="%2"/>
      <w:numFmt w:val="lowerLetter"/>
      <w:start w:val="1"/>
    </w:lvl>
  </w:abstractNum>
  <w:abstractNum w:abstractNumId="86">
    <w:nsid w:val="4F294393"/>
    <w:multiLevelType w:val="hybridMultilevel"/>
    <w:lvl w:ilvl="0">
      <w:lvlJc w:val="left"/>
      <w:lvlText w:val="(%1)"/>
      <w:numFmt w:val="lowerRoman"/>
      <w:start w:val="1"/>
    </w:lvl>
  </w:abstractNum>
  <w:abstractNum w:abstractNumId="87">
    <w:nsid w:val="5243BFAC"/>
    <w:multiLevelType w:val="hybridMultilevel"/>
    <w:lvl w:ilvl="0">
      <w:lvlJc w:val="left"/>
      <w:lvlText w:val="(%1)"/>
      <w:numFmt w:val="lowerRoman"/>
      <w:start w:val="2"/>
    </w:lvl>
  </w:abstractNum>
  <w:abstractNum w:abstractNumId="88">
    <w:nsid w:val="425EB207"/>
    <w:multiLevelType w:val="hybridMultilevel"/>
    <w:lvl w:ilvl="0">
      <w:lvlJc w:val="left"/>
      <w:lvlText w:val="(%1)"/>
      <w:numFmt w:val="decimal"/>
      <w:start w:val="1"/>
    </w:lvl>
  </w:abstractNum>
  <w:abstractNum w:abstractNumId="89">
    <w:nsid w:val="334A6F1F"/>
    <w:multiLevelType w:val="hybridMultilevel"/>
    <w:lvl w:ilvl="0">
      <w:lvlJc w:val="left"/>
      <w:lvlText w:val="(%1)"/>
      <w:numFmt w:val="decimal"/>
      <w:start w:val="1"/>
    </w:lvl>
  </w:abstractNum>
  <w:abstractNum w:abstractNumId="90">
    <w:nsid w:val="2E5B12B8"/>
    <w:multiLevelType w:val="hybridMultilevel"/>
    <w:lvl w:ilvl="0">
      <w:lvlJc w:val="left"/>
      <w:lvlText w:val="(%1)"/>
      <w:numFmt w:val="decimal"/>
      <w:start w:val="1"/>
    </w:lvl>
  </w:abstractNum>
  <w:abstractNum w:abstractNumId="91">
    <w:nsid w:val="5C03D76D"/>
    <w:multiLevelType w:val="hybridMultilevel"/>
    <w:lvl w:ilvl="0">
      <w:lvlJc w:val="left"/>
      <w:lvlText w:val="%1"/>
      <w:numFmt w:val="decimal"/>
      <w:start w:val="1"/>
    </w:lvl>
    <w:lvl w:ilvl="1">
      <w:lvlJc w:val="left"/>
      <w:lvlText w:val="(%2)"/>
      <w:numFmt w:val="lowerLetter"/>
      <w:start w:val="1"/>
    </w:lvl>
  </w:abstractNum>
  <w:abstractNum w:abstractNumId="92">
    <w:nsid w:val="66A48D11"/>
    <w:multiLevelType w:val="hybridMultilevel"/>
    <w:lvl w:ilvl="0">
      <w:lvlJc w:val="left"/>
      <w:lvlText w:val="(%1)"/>
      <w:numFmt w:val="decimal"/>
      <w:start w:val="1"/>
    </w:lvl>
    <w:lvl w:ilvl="1">
      <w:lvlJc w:val="left"/>
      <w:lvlText w:val="%2"/>
      <w:numFmt w:val="lowerLetter"/>
      <w:start w:val="1"/>
    </w:lvl>
  </w:abstractNum>
  <w:abstractNum w:abstractNumId="93">
    <w:nsid w:val="56C28E34"/>
    <w:multiLevelType w:val="hybridMultilevel"/>
    <w:lvl w:ilvl="0">
      <w:lvlJc w:val="left"/>
      <w:lvlText w:val="(%1)"/>
      <w:numFmt w:val="decimal"/>
      <w:start w:val="4"/>
    </w:lvl>
    <w:lvl w:ilvl="1">
      <w:lvlJc w:val="left"/>
      <w:lvlText w:val="(%2)"/>
      <w:numFmt w:val="lowerLetter"/>
      <w:start w:val="2"/>
    </w:lvl>
  </w:abstractNum>
  <w:abstractNum w:abstractNumId="94">
    <w:nsid w:val="13916F2D"/>
    <w:multiLevelType w:val="hybridMultilevel"/>
    <w:lvl w:ilvl="0">
      <w:lvlJc w:val="left"/>
      <w:lvlText w:val="(%1)"/>
      <w:numFmt w:val="lowerLetter"/>
      <w:start w:val="3"/>
    </w:lvl>
  </w:abstractNum>
  <w:abstractNum w:abstractNumId="95">
    <w:nsid w:val="435D38D"/>
    <w:multiLevelType w:val="hybridMultilevel"/>
    <w:lvl w:ilvl="0">
      <w:lvlJc w:val="left"/>
      <w:lvlText w:val="(%1)"/>
      <w:numFmt w:val="lowerLetter"/>
      <w:start w:val="1"/>
    </w:lvl>
  </w:abstractNum>
  <w:abstractNum w:abstractNumId="96">
    <w:nsid w:val="822C0EF"/>
    <w:multiLevelType w:val="hybridMultilevel"/>
    <w:lvl w:ilvl="0">
      <w:lvlJc w:val="left"/>
      <w:lvlText w:val="(%1)"/>
      <w:numFmt w:val="upperLetter"/>
      <w:start w:val="1"/>
    </w:lvl>
  </w:abstractNum>
  <w:abstractNum w:abstractNumId="97">
    <w:nsid w:val="57C5BB4F"/>
    <w:multiLevelType w:val="hybridMultilevel"/>
    <w:lvl w:ilvl="0">
      <w:lvlJc w:val="left"/>
      <w:lvlText w:val="(%1)"/>
      <w:numFmt w:val="lowerLetter"/>
      <w:start w:val="2"/>
    </w:lvl>
  </w:abstractNum>
  <w:abstractNum w:abstractNumId="98">
    <w:nsid w:val="1803D089"/>
    <w:multiLevelType w:val="hybridMultilevel"/>
    <w:lvl w:ilvl="0">
      <w:lvlJc w:val="left"/>
      <w:lvlText w:val="(%1)"/>
      <w:numFmt w:val="lowerRoman"/>
      <w:start w:val="2"/>
    </w:lvl>
  </w:abstractNum>
  <w:abstractNum w:abstractNumId="99">
    <w:nsid w:val="4F3A06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00">
    <w:nsid w:val="59A377B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1">
    <w:nsid w:val="48AEB06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2">
    <w:nsid w:val="24E13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03">
    <w:nsid w:val="BB13C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4">
    <w:nsid w:val="271210C7"/>
    <w:multiLevelType w:val="hybridMultilevel"/>
    <w:lvl w:ilvl="0">
      <w:lvlJc w:val="left"/>
      <w:lvlText w:val="(%1)"/>
      <w:numFmt w:val="lowerLetter"/>
      <w:start w:val="24"/>
    </w:lvl>
    <w:lvl w:ilvl="1">
      <w:lvlJc w:val="left"/>
      <w:lvlText w:val="(%2)"/>
      <w:numFmt w:val="decimal"/>
      <w:start w:val="2"/>
    </w:lvl>
    <w:lvl w:ilvl="2">
      <w:lvlJc w:val="left"/>
      <w:lvlText w:val="%3"/>
      <w:numFmt w:val="lowerLetter"/>
      <w:start w:val="1"/>
    </w:lvl>
  </w:abstractNum>
  <w:abstractNum w:abstractNumId="105">
    <w:nsid w:val="217B22E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6"/>
    </w:lvl>
  </w:abstractNum>
  <w:abstractNum w:abstractNumId="106">
    <w:nsid w:val="53E31A2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7">
    <w:nsid w:val="6DC45E83"/>
    <w:multiLevelType w:val="hybridMultilevel"/>
    <w:lvl w:ilvl="0">
      <w:lvlJc w:val="left"/>
      <w:lvlText w:val="(%1)"/>
      <w:numFmt w:val="decimal"/>
      <w:start w:val="4"/>
    </w:lvl>
  </w:abstractNum>
  <w:abstractNum w:abstractNumId="108">
    <w:nsid w:val="17304A67"/>
    <w:multiLevelType w:val="hybridMultilevel"/>
    <w:lvl w:ilvl="0">
      <w:lvlJc w:val="left"/>
      <w:lvlText w:val="%1"/>
      <w:numFmt w:val="decimal"/>
      <w:start w:val="1"/>
    </w:lvl>
    <w:lvl w:ilvl="1">
      <w:lvlJc w:val="left"/>
      <w:lvlText w:val="(%2)"/>
      <w:numFmt w:val="lowerLetter"/>
      <w:start w:val="1"/>
    </w:lvl>
  </w:abstractNum>
  <w:abstractNum w:abstractNumId="109">
    <w:nsid w:val="2BB180D8"/>
    <w:multiLevelType w:val="hybridMultilevel"/>
    <w:lvl w:ilvl="0">
      <w:lvlJc w:val="left"/>
      <w:lvlText w:val="(%1)"/>
      <w:numFmt w:val="decimal"/>
      <w:start w:val="1"/>
    </w:lvl>
    <w:lvl w:ilvl="1">
      <w:lvlJc w:val="left"/>
      <w:lvlText w:val="%2"/>
      <w:numFmt w:val="lowerLetter"/>
      <w:start w:val="1"/>
    </w:lvl>
  </w:abstractNum>
  <w:abstractNum w:abstractNumId="110">
    <w:nsid w:val="556B69ED"/>
    <w:multiLevelType w:val="hybridMultilevel"/>
    <w:lvl w:ilvl="0">
      <w:lvlJc w:val="left"/>
      <w:lvlText w:val="(%1)"/>
      <w:numFmt w:val="decimal"/>
      <w:start w:val="3"/>
    </w:lvl>
    <w:lvl w:ilvl="1">
      <w:lvlJc w:val="left"/>
      <w:lvlText w:val="(%2)"/>
      <w:numFmt w:val="lowerLetter"/>
      <w:start w:val="3"/>
    </w:lvl>
  </w:abstractNum>
  <w:abstractNum w:abstractNumId="111">
    <w:nsid w:val="70836196"/>
    <w:multiLevelType w:val="hybridMultilevel"/>
    <w:lvl w:ilvl="0">
      <w:lvlJc w:val="left"/>
      <w:lvlText w:val="(%1)"/>
      <w:numFmt w:val="decimal"/>
      <w:start w:val="1"/>
    </w:lvl>
  </w:abstractNum>
  <w:abstractNum w:abstractNumId="112">
    <w:nsid w:val="539F7F12"/>
    <w:multiLevelType w:val="hybridMultilevel"/>
    <w:lvl w:ilvl="0">
      <w:lvlJc w:val="left"/>
      <w:lvlText w:val="(%1)"/>
      <w:numFmt w:val="lowerLetter"/>
      <w:start w:val="4"/>
    </w:lvl>
  </w:abstractNum>
  <w:abstractNum w:abstractNumId="113">
    <w:nsid w:val="2817E7EC"/>
    <w:multiLevelType w:val="hybridMultilevel"/>
    <w:lvl w:ilvl="0">
      <w:lvlJc w:val="left"/>
      <w:lvlText w:val="(%1)"/>
      <w:numFmt w:val="lowerLetter"/>
      <w:start w:val="7"/>
    </w:lvl>
  </w:abstractNum>
  <w:abstractNum w:abstractNumId="114">
    <w:nsid w:val="71482545"/>
    <w:multiLevelType w:val="hybridMultilevel"/>
    <w:lvl w:ilvl="0">
      <w:lvlJc w:val="left"/>
      <w:lvlText w:val="(%1)"/>
      <w:numFmt w:val="decimal"/>
      <w:start w:val="15"/>
    </w:lvl>
  </w:abstractNum>
  <w:abstractNum w:abstractNumId="115">
    <w:nsid w:val="17D78639"/>
    <w:multiLevelType w:val="hybridMultilevel"/>
    <w:lvl w:ilvl="0">
      <w:lvlJc w:val="left"/>
      <w:lvlText w:val="(%1)"/>
      <w:numFmt w:val="lowerLetter"/>
      <w:start w:val="8"/>
    </w:lvl>
  </w:abstractNum>
  <w:abstractNum w:abstractNumId="116">
    <w:nsid w:val="141D2302"/>
    <w:multiLevelType w:val="hybridMultilevel"/>
    <w:lvl w:ilvl="0">
      <w:lvlJc w:val="left"/>
      <w:lvlText w:val="%1."/>
      <w:numFmt w:val="decimal"/>
      <w:start w:val="1"/>
    </w:lvl>
  </w:abstractNum>
  <w:abstractNum w:abstractNumId="117">
    <w:nsid w:val="407168D8"/>
    <w:multiLevelType w:val="hybridMultilevel"/>
    <w:lvl w:ilvl="0">
      <w:lvlJc w:val="left"/>
      <w:lvlText w:val="%1."/>
      <w:numFmt w:val="decimal"/>
      <w:start w:val="2"/>
    </w:lvl>
  </w:abstractNum>
  <w:abstractNum w:abstractNumId="118">
    <w:nsid w:val="6A1B45E5"/>
    <w:multiLevelType w:val="hybridMultilevel"/>
    <w:lvl w:ilvl="0">
      <w:lvlJc w:val="left"/>
      <w:lvlText w:val="(%1)"/>
      <w:numFmt w:val="lowerLetter"/>
      <w:start w:val="1"/>
    </w:lvl>
  </w:abstractNum>
  <w:abstractNum w:abstractNumId="119">
    <w:nsid w:val="567BD50A"/>
    <w:multiLevelType w:val="hybridMultilevel"/>
    <w:lvl w:ilvl="0">
      <w:lvlJc w:val="left"/>
      <w:lvlText w:val="%1."/>
      <w:numFmt w:val="decimal"/>
      <w:start w:val="1"/>
    </w:lvl>
  </w:abstractNum>
  <w:abstractNum w:abstractNumId="120">
    <w:nsid w:val="73BBD7F8"/>
    <w:multiLevelType w:val="hybridMultilevel"/>
    <w:lvl w:ilvl="0">
      <w:lvlJc w:val="left"/>
      <w:lvlText w:val="%1."/>
      <w:numFmt w:val="decimal"/>
      <w:start w:val="3"/>
    </w:lvl>
  </w:abstractNum>
  <w:abstractNum w:abstractNumId="121">
    <w:nsid w:val="1876589D"/>
    <w:multiLevelType w:val="hybridMultilevel"/>
    <w:lvl w:ilvl="0">
      <w:lvlJc w:val="left"/>
      <w:lvlText w:val="(%1)"/>
      <w:numFmt w:val="lowerLetter"/>
      <w:start w:val="1"/>
    </w:lvl>
  </w:abstractNum>
  <w:abstractNum w:abstractNumId="122">
    <w:nsid w:val="327FAC77"/>
    <w:multiLevelType w:val="hybridMultilevel"/>
    <w:lvl w:ilvl="0">
      <w:lvlJc w:val="left"/>
      <w:lvlText w:val="(%1)"/>
      <w:numFmt w:val="lowerLetter"/>
      <w:start w:val="1"/>
    </w:lvl>
  </w:abstractNum>
  <w:abstractNum w:abstractNumId="123">
    <w:nsid w:val="5A606509"/>
    <w:multiLevelType w:val="hybridMultilevel"/>
    <w:lvl w:ilvl="0">
      <w:lvlJc w:val="left"/>
      <w:lvlText w:val="(%1)"/>
      <w:numFmt w:val="lowerLetter"/>
      <w:start w:val="2"/>
    </w:lvl>
  </w:abstractNum>
  <w:abstractNum w:abstractNumId="124">
    <w:nsid w:val="6F38E6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5">
    <w:nsid w:val="46111B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6">
    <w:nsid w:val="5E96389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27">
    <w:nsid w:val="775BA7C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28">
    <w:nsid w:val="1DD6D6F4"/>
    <w:multiLevelType w:val="hybridMultilevel"/>
    <w:lvl w:ilvl="0">
      <w:lvlJc w:val="left"/>
      <w:lvlText w:val="(%1)"/>
      <w:numFmt w:val="lowerLetter"/>
      <w:start w:val="25"/>
    </w:lvl>
    <w:lvl w:ilvl="1">
      <w:lvlJc w:val="left"/>
      <w:lvlText w:val="(%2)"/>
      <w:numFmt w:val="decimal"/>
      <w:start w:val="5"/>
    </w:lvl>
    <w:lvl w:ilvl="2">
      <w:lvlJc w:val="left"/>
      <w:lvlText w:val="(%3)"/>
      <w:numFmt w:val="lowerLetter"/>
      <w:start w:val="1"/>
    </w:lvl>
  </w:abstractNum>
  <w:abstractNum w:abstractNumId="129">
    <w:nsid w:val="769A091F"/>
    <w:multiLevelType w:val="hybridMultilevel"/>
    <w:lvl w:ilvl="0">
      <w:lvlJc w:val="left"/>
      <w:lvlText w:val="%1"/>
      <w:numFmt w:val="lowerRoman"/>
      <w:start w:val="1"/>
    </w:lvl>
    <w:lvl w:ilvl="1">
      <w:lvlJc w:val="left"/>
      <w:lvlText w:val="(%2)"/>
      <w:numFmt w:val="decimal"/>
      <w:start w:val="9"/>
    </w:lvl>
  </w:abstractNum>
  <w:abstractNum w:abstractNumId="130">
    <w:nsid w:val="4695AE95"/>
    <w:multiLevelType w:val="hybridMultilevel"/>
    <w:lvl w:ilvl="0">
      <w:lvlJc w:val="left"/>
      <w:lvlText w:val="(%1)"/>
      <w:numFmt w:val="lowerRoman"/>
      <w:start w:val="2"/>
    </w:lvl>
    <w:lvl w:ilvl="1">
      <w:lvlJc w:val="left"/>
      <w:lvlText w:val="(%2)"/>
      <w:numFmt w:val="decimal"/>
      <w:start w:val="14"/>
    </w:lvl>
  </w:abstractNum>
  <w:abstractNum w:abstractNumId="131">
    <w:nsid w:val="777A4EA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6"/>
    </w:lvl>
  </w:abstractNum>
  <w:abstractNum w:abstractNumId="132">
    <w:nsid w:val="3F48B98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24"/>
    </w:lvl>
  </w:abstractNum>
  <w:abstractNum w:abstractNumId="133">
    <w:nsid w:val="46BA8FCA"/>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34">
    <w:nsid w:val="7835626C"/>
    <w:multiLevelType w:val="hybridMultilevel"/>
    <w:lvl w:ilvl="0">
      <w:lvlJc w:val="left"/>
      <w:lvlText w:val="(%1)"/>
      <w:numFmt w:val="decimal"/>
      <w:start w:val="2"/>
    </w:lvl>
  </w:abstractNum>
  <w:abstractNum w:abstractNumId="135">
    <w:nsid w:val="665ACA49"/>
    <w:multiLevelType w:val="hybridMultilevel"/>
    <w:lvl w:ilvl="0">
      <w:lvlJc w:val="left"/>
      <w:lvlText w:val="(%1)"/>
      <w:numFmt w:val="decimal"/>
      <w:start w:val="10"/>
    </w:lvl>
  </w:abstractNum>
  <w:abstractNum w:abstractNumId="136">
    <w:nsid w:val="6835B2AE"/>
    <w:multiLevelType w:val="hybridMultilevel"/>
    <w:lvl w:ilvl="0">
      <w:lvlJc w:val="left"/>
      <w:lvlText w:val="(%1)"/>
      <w:numFmt w:val="decimal"/>
      <w:start w:val="1"/>
    </w:lvl>
    <w:lvl w:ilvl="1">
      <w:lvlJc w:val="left"/>
      <w:lvlText w:val="(%2)"/>
      <w:numFmt w:val="lowerRoman"/>
      <w:start w:val="1"/>
    </w:lvl>
  </w:abstractNum>
  <w:abstractNum w:abstractNumId="137">
    <w:nsid w:val="4C187C90"/>
    <w:multiLevelType w:val="hybridMultilevel"/>
    <w:lvl w:ilvl="0">
      <w:lvlJc w:val="left"/>
      <w:lvlText w:val="(%1)"/>
      <w:numFmt w:val="decimal"/>
      <w:start w:val="2"/>
    </w:lvl>
  </w:abstractNum>
  <w:abstractNum w:abstractNumId="138">
    <w:nsid w:val="541F28CD"/>
    <w:multiLevelType w:val="hybridMultilevel"/>
    <w:lvl w:ilvl="0">
      <w:lvlJc w:val="left"/>
      <w:lvlText w:val="(%1)"/>
      <w:numFmt w:val="lowerRoman"/>
      <w:start w:val="1"/>
    </w:lvl>
    <w:lvl w:ilvl="1">
      <w:lvlJc w:val="left"/>
      <w:lvlText w:val="(%2)"/>
      <w:numFmt w:val="upperLetter"/>
      <w:start w:val="1"/>
    </w:lvl>
  </w:abstractNum>
  <w:abstractNum w:abstractNumId="139">
    <w:nsid w:val="7F65FD16"/>
    <w:multiLevelType w:val="hybridMultilevel"/>
    <w:lvl w:ilvl="0">
      <w:lvlJc w:val="left"/>
      <w:lvlText w:val="(%1)"/>
      <w:numFmt w:val="lowerLetter"/>
      <w:start w:val="26"/>
    </w:lvl>
    <w:lvl w:ilvl="1">
      <w:lvlJc w:val="left"/>
      <w:lvlText w:val="(%2)"/>
      <w:numFmt w:val="upperLetter"/>
      <w:start w:val="3"/>
    </w:lvl>
  </w:abstractNum>
  <w:abstractNum w:abstractNumId="140">
    <w:nsid w:val="77C9FD68"/>
    <w:multiLevelType w:val="hybridMultilevel"/>
    <w:lvl w:ilvl="0">
      <w:lvlJc w:val="left"/>
      <w:lvlText w:val="(%1)"/>
      <w:numFmt w:val="upperLetter"/>
      <w:start w:val="6"/>
    </w:lvl>
  </w:abstractNum>
  <w:abstractNum w:abstractNumId="141">
    <w:nsid w:val="298A92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2">
    <w:nsid w:val="6FE95E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3">
    <w:nsid w:val="4B697C7A"/>
    <w:multiLevelType w:val="hybridMultilevel"/>
    <w:lvl w:ilvl="0">
      <w:lvlJc w:val="left"/>
      <w:lvlText w:val="(%1)"/>
      <w:numFmt w:val="lowerLetter"/>
      <w:start w:val="3"/>
    </w:lvl>
    <w:lvl w:ilvl="1">
      <w:lvlJc w:val="left"/>
      <w:lvlText w:val="(%2)"/>
      <w:numFmt w:val="decimal"/>
      <w:start w:val="3"/>
    </w:lvl>
    <w:lvl w:ilvl="2">
      <w:lvlJc w:val="left"/>
      <w:lvlText w:val="%3"/>
      <w:numFmt w:val="lowerLetter"/>
      <w:start w:val="1"/>
    </w:lvl>
  </w:abstractNum>
  <w:abstractNum w:abstractNumId="144">
    <w:nsid w:val="51A27AA6"/>
    <w:multiLevelType w:val="hybridMultilevel"/>
    <w:lvl w:ilvl="0">
      <w:lvlJc w:val="left"/>
      <w:lvlText w:val="(%1)"/>
      <w:numFmt w:val="decimal"/>
      <w:start w:val="5"/>
    </w:lvl>
    <w:lvl w:ilvl="1">
      <w:lvlJc w:val="left"/>
      <w:lvlText w:val="(%2)"/>
      <w:numFmt w:val="lowerRoman"/>
      <w:start w:val="1"/>
    </w:lvl>
  </w:abstractNum>
  <w:abstractNum w:abstractNumId="145">
    <w:nsid w:val="613183F2"/>
    <w:multiLevelType w:val="hybridMultilevel"/>
    <w:lvl w:ilvl="0">
      <w:lvlJc w:val="left"/>
      <w:lvlText w:val="(%1)"/>
      <w:numFmt w:val="lowerRoman"/>
      <w:start w:val="2"/>
    </w:lvl>
  </w:abstractNum>
  <w:abstractNum w:abstractNumId="146">
    <w:nsid w:val="634102B4"/>
    <w:multiLevelType w:val="hybridMultilevel"/>
    <w:lvl w:ilvl="0">
      <w:lvlJc w:val="left"/>
      <w:lvlText w:val="(%1)"/>
      <w:numFmt w:val="decimal"/>
      <w:start w:val="7"/>
    </w:lvl>
    <w:lvl w:ilvl="1">
      <w:lvlJc w:val="left"/>
      <w:lvlText w:val="(%2)"/>
      <w:numFmt w:val="lowerRoman"/>
      <w:start w:val="1"/>
    </w:lvl>
  </w:abstractNum>
  <w:abstractNum w:abstractNumId="147">
    <w:nsid w:val="65BF9DA8"/>
    <w:multiLevelType w:val="hybridMultilevel"/>
    <w:lvl w:ilvl="0">
      <w:lvlJc w:val="left"/>
      <w:lvlText w:val="(%1)"/>
      <w:numFmt w:val="decimal"/>
      <w:start w:val="10"/>
    </w:lvl>
  </w:abstractNum>
  <w:abstractNum w:abstractNumId="148">
    <w:nsid w:val="21A2ECCA"/>
    <w:multiLevelType w:val="hybridMultilevel"/>
    <w:lvl w:ilvl="0">
      <w:lvlJc w:val="left"/>
      <w:lvlText w:val="%1"/>
      <w:numFmt w:val="lowerLetter"/>
      <w:start w:val="1"/>
    </w:lvl>
    <w:lvl w:ilvl="1">
      <w:lvlJc w:val="left"/>
      <w:lvlText w:val="(%2)"/>
      <w:numFmt w:val="decimal"/>
      <w:start w:val="15"/>
    </w:lvl>
  </w:abstractNum>
  <w:abstractNum w:abstractNumId="149">
    <w:nsid w:val="4D5C4899"/>
    <w:multiLevelType w:val="hybridMultilevel"/>
    <w:lvl w:ilvl="0">
      <w:lvlJc w:val="left"/>
      <w:lvlText w:val="(%1)"/>
      <w:numFmt w:val="lowerLetter"/>
      <w:start w:val="1"/>
    </w:lvl>
    <w:lvl w:ilvl="1">
      <w:lvlJc w:val="left"/>
      <w:lvlText w:val="(%2)"/>
      <w:numFmt w:val="decimal"/>
      <w:start w:val="18"/>
    </w:lvl>
  </w:abstractNum>
  <w:abstractNum w:abstractNumId="150">
    <w:nsid w:val="3C3B72B2"/>
    <w:multiLevelType w:val="hybridMultilevel"/>
    <w:lvl w:ilvl="0">
      <w:lvlJc w:val="left"/>
      <w:lvlText w:val="(%1)"/>
      <w:numFmt w:val="decimal"/>
      <w:start w:val="22"/>
    </w:lvl>
  </w:abstractNum>
  <w:abstractNum w:abstractNumId="151">
    <w:nsid w:val="155EC4C2"/>
    <w:multiLevelType w:val="hybridMultilevel"/>
    <w:lvl w:ilvl="0">
      <w:lvlJc w:val="left"/>
      <w:lvlText w:val="%1"/>
      <w:numFmt w:val="decimal"/>
      <w:start w:val="1"/>
    </w:lvl>
    <w:lvl w:ilvl="1">
      <w:lvlJc w:val="left"/>
      <w:lvlText w:val="(%2)"/>
      <w:numFmt w:val="lowerLetter"/>
      <w:start w:val="1"/>
    </w:lvl>
  </w:abstractNum>
  <w:abstractNum w:abstractNumId="152">
    <w:nsid w:val="65D2A137"/>
    <w:multiLevelType w:val="hybridMultilevel"/>
    <w:lvl w:ilvl="0">
      <w:lvlJc w:val="left"/>
      <w:lvlText w:val="(%1)"/>
      <w:numFmt w:val="decimal"/>
      <w:start w:val="1"/>
    </w:lvl>
    <w:lvl w:ilvl="1">
      <w:lvlJc w:val="left"/>
      <w:lvlText w:val="%2"/>
      <w:numFmt w:val="lowerLetter"/>
      <w:start w:val="1"/>
    </w:lvl>
  </w:abstractNum>
  <w:abstractNum w:abstractNumId="153">
    <w:nsid w:val="6EBB1F2A"/>
    <w:multiLevelType w:val="hybridMultilevel"/>
    <w:lvl w:ilvl="0">
      <w:lvlJc w:val="left"/>
      <w:lvlText w:val="(%1)"/>
      <w:numFmt w:val="decimal"/>
      <w:start w:val="4"/>
    </w:lvl>
    <w:lvl w:ilvl="1">
      <w:lvlJc w:val="left"/>
      <w:lvlText w:val="(%2)"/>
      <w:numFmt w:val="lowerRoman"/>
      <w:start w:val="1"/>
    </w:lvl>
  </w:abstractNum>
  <w:abstractNum w:abstractNumId="154">
    <w:nsid w:val="6FBF29CB"/>
    <w:multiLevelType w:val="hybridMultilevel"/>
    <w:lvl w:ilvl="0">
      <w:lvlJc w:val="left"/>
      <w:lvlText w:val="(%1)"/>
      <w:numFmt w:val="decimal"/>
      <w:start w:val="8"/>
    </w:lvl>
  </w:abstractNum>
  <w:abstractNum w:abstractNumId="155">
    <w:nsid w:val="550B8808"/>
    <w:multiLevelType w:val="hybridMultilevel"/>
    <w:lvl w:ilvl="0">
      <w:lvlJc w:val="left"/>
      <w:lvlText w:val="(%1)"/>
      <w:numFmt w:val="decimal"/>
      <w:start w:val="13"/>
    </w:lvl>
  </w:abstractNum>
  <w:abstractNum w:abstractNumId="156">
    <w:nsid w:val="34CC3ACF"/>
    <w:multiLevelType w:val="hybridMultilevel"/>
    <w:lvl w:ilvl="0">
      <w:lvlJc w:val="left"/>
      <w:lvlText w:val="(%1)"/>
      <w:numFmt w:val="decimal"/>
      <w:start w:val="1"/>
    </w:lvl>
    <w:lvl w:ilvl="1">
      <w:lvlJc w:val="left"/>
      <w:lvlText w:val="(%2)"/>
      <w:numFmt w:val="lowerRoman"/>
      <w:start w:val="1"/>
    </w:lvl>
  </w:abstractNum>
  <w:abstractNum w:abstractNumId="157">
    <w:nsid w:val="4E556261"/>
    <w:multiLevelType w:val="hybridMultilevel"/>
    <w:lvl w:ilvl="0">
      <w:lvlJc w:val="left"/>
      <w:lvlText w:val="(%1)"/>
      <w:numFmt w:val="lowerRoman"/>
      <w:start w:val="1"/>
    </w:lvl>
  </w:abstractNum>
  <w:abstractNum w:abstractNumId="158">
    <w:nsid w:val="4C672FC9"/>
    <w:multiLevelType w:val="hybridMultilevel"/>
    <w:lvl w:ilvl="0">
      <w:lvlJc w:val="left"/>
      <w:lvlText w:val="(%1)"/>
      <w:numFmt w:val="lowerRoman"/>
      <w:start w:val="3"/>
    </w:lvl>
  </w:abstractNum>
  <w:abstractNum w:abstractNumId="159">
    <w:nsid w:val="52A311C3"/>
    <w:multiLevelType w:val="hybridMultilevel"/>
    <w:lvl w:ilvl="0">
      <w:lvlJc w:val="left"/>
      <w:lvlText w:val="(%1)"/>
      <w:numFmt w:val="lowerLetter"/>
      <w:start w:val="2"/>
    </w:lvl>
  </w:abstractNum>
  <w:abstractNum w:abstractNumId="160">
    <w:nsid w:val="44EF6B80"/>
    <w:multiLevelType w:val="hybridMultilevel"/>
    <w:lvl w:ilvl="0">
      <w:lvlJc w:val="left"/>
      <w:lvlText w:val="(%1)"/>
      <w:numFmt w:val="lowerLetter"/>
      <w:start w:val="3"/>
    </w:lvl>
  </w:abstractNum>
  <w:abstractNum w:abstractNumId="161">
    <w:nsid w:val="12FCDE5E"/>
    <w:multiLevelType w:val="hybridMultilevel"/>
    <w:lvl w:ilvl="0">
      <w:lvlJc w:val="left"/>
      <w:lvlText w:val="%1"/>
      <w:numFmt w:val="decimal"/>
      <w:start w:val="1"/>
    </w:lvl>
    <w:lvl w:ilvl="1">
      <w:lvlJc w:val="left"/>
      <w:lvlText w:val="(%2)"/>
      <w:numFmt w:val="lowerLetter"/>
      <w:start w:val="1"/>
    </w:lvl>
  </w:abstractNum>
  <w:abstractNum w:abstractNumId="162">
    <w:nsid w:val="4A1D606E"/>
    <w:multiLevelType w:val="hybridMultilevel"/>
    <w:lvl w:ilvl="0">
      <w:lvlJc w:val="left"/>
      <w:lvlText w:val="(%1)"/>
      <w:numFmt w:val="decimal"/>
      <w:start w:val="1"/>
    </w:lvl>
    <w:lvl w:ilvl="1">
      <w:lvlJc w:val="left"/>
      <w:lvlText w:val="%2"/>
      <w:numFmt w:val="lowerLetter"/>
      <w:start w:val="1"/>
    </w:lvl>
  </w:abstractNum>
  <w:abstractNum w:abstractNumId="163">
    <w:nsid w:val="4382503"/>
    <w:multiLevelType w:val="hybridMultilevel"/>
    <w:lvl w:ilvl="0">
      <w:lvlJc w:val="left"/>
      <w:lvlText w:val="(%1)"/>
      <w:numFmt w:val="lowerLetter"/>
      <w:start w:val="2"/>
    </w:lvl>
  </w:abstractNum>
  <w:abstractNum w:abstractNumId="164">
    <w:nsid w:val="59B76E28"/>
    <w:multiLevelType w:val="hybridMultilevel"/>
    <w:lvl w:ilvl="0">
      <w:lvlJc w:val="left"/>
      <w:lvlText w:val="%1"/>
      <w:numFmt w:val="decimal"/>
      <w:start w:val="1"/>
    </w:lvl>
    <w:lvl w:ilvl="1">
      <w:lvlJc w:val="left"/>
      <w:lvlText w:val="(%2)"/>
      <w:numFmt w:val="lowerLetter"/>
      <w:start w:val="1"/>
    </w:lvl>
  </w:abstractNum>
  <w:abstractNum w:abstractNumId="165">
    <w:nsid w:val="4252C2DA"/>
    <w:multiLevelType w:val="hybridMultilevel"/>
    <w:lvl w:ilvl="0">
      <w:lvlJc w:val="left"/>
      <w:lvlText w:val="(%1)"/>
      <w:numFmt w:val="decimal"/>
      <w:start w:val="1"/>
    </w:lvl>
    <w:lvl w:ilvl="1">
      <w:lvlJc w:val="left"/>
      <w:lvlText w:val="%2"/>
      <w:numFmt w:val="lowerLetter"/>
      <w:start w:val="1"/>
    </w:lvl>
  </w:abstractNum>
  <w:abstractNum w:abstractNumId="166">
    <w:nsid w:val="6A92EF4C"/>
    <w:multiLevelType w:val="hybridMultilevel"/>
    <w:lvl w:ilvl="0">
      <w:lvlJc w:val="left"/>
      <w:lvlText w:val="(%1)"/>
      <w:numFmt w:val="lowerLetter"/>
      <w:start w:val="2"/>
    </w:lvl>
  </w:abstractNum>
  <w:abstractNum w:abstractNumId="167">
    <w:nsid w:val="41ED20D7"/>
    <w:multiLevelType w:val="hybridMultilevel"/>
    <w:lvl w:ilvl="0">
      <w:lvlJc w:val="left"/>
      <w:lvlText w:val="(%1)"/>
      <w:numFmt w:val="decimal"/>
      <w:start w:val="1"/>
    </w:lvl>
  </w:abstractNum>
  <w:abstractNum w:abstractNumId="168">
    <w:nsid w:val="E6B3F6A"/>
    <w:multiLevelType w:val="hybridMultilevel"/>
    <w:lvl w:ilvl="0">
      <w:lvlJc w:val="left"/>
      <w:lvlText w:val="(%1)"/>
      <w:numFmt w:val="decimal"/>
      <w:start w:val="9"/>
    </w:lvl>
  </w:abstractNum>
  <w:abstractNum w:abstractNumId="169">
    <w:nsid w:val="3EB21819"/>
    <w:multiLevelType w:val="hybridMultilevel"/>
    <w:lvl w:ilvl="0">
      <w:lvlJc w:val="left"/>
      <w:lvlText w:val="(%1)"/>
      <w:numFmt w:val="decimal"/>
      <w:start w:val="18"/>
    </w:lvl>
  </w:abstractNum>
  <w:abstractNum w:abstractNumId="170">
    <w:nsid w:val="41531DED"/>
    <w:multiLevelType w:val="hybridMultilevel"/>
    <w:lvl w:ilvl="0">
      <w:lvlJc w:val="left"/>
      <w:lvlText w:val="(%1)"/>
      <w:numFmt w:val="decimal"/>
      <w:start w:val="27"/>
    </w:lvl>
  </w:abstractNum>
  <w:abstractNum w:abstractNumId="171">
    <w:nsid w:val="6353CD2"/>
    <w:multiLevelType w:val="hybridMultilevel"/>
    <w:lvl w:ilvl="0">
      <w:lvlJc w:val="left"/>
      <w:lvlText w:val="%1"/>
      <w:numFmt w:val="decimal"/>
      <w:start w:val="1"/>
    </w:lvl>
    <w:lvl w:ilvl="1">
      <w:lvlJc w:val="left"/>
      <w:lvlText w:val="(%2)"/>
      <w:numFmt w:val="lowerLetter"/>
      <w:start w:val="1"/>
    </w:lvl>
  </w:abstractNum>
  <w:abstractNum w:abstractNumId="172">
    <w:nsid w:val="683CAAD3"/>
    <w:multiLevelType w:val="hybridMultilevel"/>
    <w:lvl w:ilvl="0">
      <w:lvlJc w:val="left"/>
      <w:lvlText w:val="(%1)"/>
      <w:numFmt w:val="decimal"/>
      <w:start w:val="1"/>
    </w:lvl>
    <w:lvl w:ilvl="1">
      <w:lvlJc w:val="left"/>
      <w:lvlText w:val="%2"/>
      <w:numFmt w:val="lowerLetter"/>
      <w:start w:val="1"/>
    </w:lvl>
  </w:abstractNum>
  <w:abstractNum w:abstractNumId="173">
    <w:nsid w:val="313C7C99"/>
    <w:multiLevelType w:val="hybridMultilevel"/>
    <w:lvl w:ilvl="0">
      <w:lvlJc w:val="left"/>
      <w:lvlText w:val="(%1)"/>
      <w:numFmt w:val="decimal"/>
      <w:start w:val="6"/>
    </w:lvl>
  </w:abstractNum>
  <w:abstractNum w:abstractNumId="174">
    <w:nsid w:val="519EB94C"/>
    <w:multiLevelType w:val="hybridMultilevel"/>
    <w:lvl w:ilvl="0">
      <w:lvlJc w:val="left"/>
      <w:lvlText w:val="%1"/>
      <w:numFmt w:val="decimal"/>
      <w:start w:val="1"/>
    </w:lvl>
    <w:lvl w:ilvl="1">
      <w:lvlJc w:val="left"/>
      <w:lvlText w:val="(%2)"/>
      <w:numFmt w:val="lowerLetter"/>
      <w:start w:val="2"/>
    </w:lvl>
  </w:abstractNum>
  <w:abstractNum w:abstractNumId="175">
    <w:nsid w:val="39DF2579"/>
    <w:multiLevelType w:val="hybridMultilevel"/>
    <w:lvl w:ilvl="0">
      <w:lvlJc w:val="left"/>
      <w:lvlText w:val="(%1)"/>
      <w:numFmt w:val="decimal"/>
      <w:start w:val="1"/>
    </w:lvl>
    <w:lvl w:ilvl="1">
      <w:lvlJc w:val="left"/>
      <w:lvlText w:val="%2"/>
      <w:numFmt w:val="lowerLetter"/>
      <w:start w:val="1"/>
    </w:lvl>
  </w:abstractNum>
  <w:abstractNum w:abstractNumId="176">
    <w:nsid w:val="126E008B"/>
    <w:multiLevelType w:val="hybridMultilevel"/>
    <w:lvl w:ilvl="0">
      <w:lvlJc w:val="left"/>
      <w:lvlText w:val="(%1)"/>
      <w:numFmt w:val="lowerLetter"/>
      <w:start w:val="3"/>
    </w:lvl>
  </w:abstractNum>
  <w:abstractNum w:abstractNumId="177">
    <w:nsid w:val="34DFBC00"/>
    <w:multiLevelType w:val="hybridMultilevel"/>
    <w:lvl w:ilvl="0">
      <w:lvlJc w:val="left"/>
      <w:lvlText w:val="%1"/>
      <w:numFmt w:val="decimal"/>
      <w:start w:val="1"/>
    </w:lvl>
    <w:lvl w:ilvl="1">
      <w:lvlJc w:val="left"/>
      <w:lvlText w:val="(%2)"/>
      <w:numFmt w:val="lowerLetter"/>
      <w:start w:val="1"/>
    </w:lvl>
  </w:abstractNum>
  <w:abstractNum w:abstractNumId="178">
    <w:nsid w:val="1F9EC322"/>
    <w:multiLevelType w:val="hybridMultilevel"/>
    <w:lvl w:ilvl="0">
      <w:lvlJc w:val="left"/>
      <w:lvlText w:val="(%1)"/>
      <w:numFmt w:val="decimal"/>
      <w:start w:val="1"/>
    </w:lvl>
    <w:lvl w:ilvl="1">
      <w:lvlJc w:val="left"/>
      <w:lvlText w:val="%2"/>
      <w:numFmt w:val="lowerLetter"/>
      <w:start w:val="1"/>
    </w:lvl>
  </w:abstractNum>
  <w:abstractNum w:abstractNumId="179">
    <w:nsid w:val="3410ED56"/>
    <w:multiLevelType w:val="hybridMultilevel"/>
    <w:lvl w:ilvl="0">
      <w:lvlJc w:val="left"/>
      <w:lvlText w:val="(%1)"/>
      <w:numFmt w:val="decimal"/>
      <w:start w:val="2"/>
    </w:lvl>
  </w:abstractNum>
  <w:abstractNum w:abstractNumId="180">
    <w:nsid w:val="23C049A"/>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181">
    <w:nsid w:val="5BDA35D4"/>
    <w:multiLevelType w:val="hybridMultilevel"/>
    <w:lvl w:ilvl="0">
      <w:lvlJc w:val="left"/>
      <w:lvlText w:val="(%1)"/>
      <w:numFmt w:val="lowerLetter"/>
      <w:start w:val="4"/>
    </w:lvl>
  </w:abstractNum>
  <w:abstractNum w:abstractNumId="182">
    <w:nsid w:val="496FB218"/>
    <w:multiLevelType w:val="hybridMultilevel"/>
    <w:lvl w:ilvl="0">
      <w:lvlJc w:val="left"/>
      <w:lvlText w:val="(%1)"/>
      <w:numFmt w:val="lowerLetter"/>
      <w:start w:val="1"/>
    </w:lvl>
  </w:abstractNum>
  <w:abstractNum w:abstractNumId="183">
    <w:nsid w:val="680EA5D1"/>
    <w:multiLevelType w:val="hybridMultilevel"/>
    <w:lvl w:ilvl="0">
      <w:lvlJc w:val="left"/>
      <w:lvlText w:val="(%1)"/>
      <w:numFmt w:val="lowerLetter"/>
      <w:start w:val="1"/>
    </w:lvl>
  </w:abstractNum>
  <w:abstractNum w:abstractNumId="184">
    <w:nsid w:val="4A9554FE"/>
    <w:multiLevelType w:val="hybridMultilevel"/>
    <w:lvl w:ilvl="0">
      <w:lvlJc w:val="left"/>
      <w:lvlText w:val="(%1)"/>
      <w:numFmt w:val="lowerLetter"/>
      <w:start w:val="8"/>
    </w:lvl>
  </w:abstractNum>
  <w:abstractNum w:abstractNumId="185">
    <w:nsid w:val="392EDBE4"/>
    <w:multiLevelType w:val="hybridMultilevel"/>
    <w:lvl w:ilvl="0">
      <w:lvlJc w:val="left"/>
      <w:lvlText w:val="%1"/>
      <w:numFmt w:val="decimal"/>
      <w:start w:val="1"/>
    </w:lvl>
    <w:lvl w:ilvl="1">
      <w:lvlJc w:val="left"/>
      <w:lvlText w:val="(%2)"/>
      <w:numFmt w:val="lowerLetter"/>
      <w:start w:val="1"/>
    </w:lvl>
  </w:abstractNum>
  <w:abstractNum w:abstractNumId="186">
    <w:nsid w:val="3D1A2DD9"/>
    <w:multiLevelType w:val="hybridMultilevel"/>
    <w:lvl w:ilvl="0">
      <w:lvlJc w:val="left"/>
      <w:lvlText w:val="(%1)"/>
      <w:numFmt w:val="decimal"/>
      <w:start w:val="1"/>
    </w:lvl>
    <w:lvl w:ilvl="1">
      <w:lvlJc w:val="left"/>
      <w:lvlText w:val="(%2)"/>
      <w:numFmt w:val="lowerLetter"/>
      <w:start w:val="2"/>
    </w:lvl>
  </w:abstractNum>
  <w:abstractNum w:abstractNumId="187">
    <w:nsid w:val="7F618FCD"/>
    <w:multiLevelType w:val="hybridMultilevel"/>
    <w:lvl w:ilvl="0">
      <w:lvlJc w:val="left"/>
      <w:lvlText w:val="(%1)"/>
      <w:numFmt w:val="lowerLetter"/>
      <w:start w:val="4"/>
    </w:lvl>
  </w:abstractNum>
  <w:abstractNum w:abstractNumId="188">
    <w:nsid w:val="7843E45"/>
    <w:multiLevelType w:val="hybridMultilevel"/>
    <w:lvl w:ilvl="0">
      <w:lvlJc w:val="left"/>
      <w:lvlText w:val="(%1)"/>
      <w:numFmt w:val="decimal"/>
      <w:start w:val="2"/>
    </w:lvl>
  </w:abstractNum>
  <w:abstractNum w:abstractNumId="189">
    <w:nsid w:val="9815DA3"/>
    <w:multiLevelType w:val="hybridMultilevel"/>
    <w:lvl w:ilvl="0">
      <w:lvlJc w:val="left"/>
      <w:lvlText w:val="(%1)"/>
      <w:numFmt w:val="lowerLetter"/>
      <w:start w:val="8"/>
    </w:lvl>
  </w:abstractNum>
  <w:abstractNum w:abstractNumId="190">
    <w:nsid w:val="5204A191"/>
    <w:multiLevelType w:val="hybridMultilevel"/>
    <w:lvl w:ilvl="0">
      <w:lvlJc w:val="left"/>
      <w:lvlText w:val="(%1)"/>
      <w:numFmt w:val="decimal"/>
      <w:start w:val="1"/>
    </w:lvl>
  </w:abstractNum>
  <w:abstractNum w:abstractNumId="191">
    <w:nsid w:val="4C73A9C6"/>
    <w:multiLevelType w:val="hybridMultilevel"/>
    <w:lvl w:ilvl="0">
      <w:lvlJc w:val="left"/>
      <w:lvlText w:val="(%1)"/>
      <w:numFmt w:val="decimal"/>
      <w:start w:val="1"/>
    </w:lvl>
  </w:abstractNum>
  <w:abstractNum w:abstractNumId="192">
    <w:nsid w:val="1C7E3C01"/>
    <w:multiLevelType w:val="hybridMultilevel"/>
    <w:lvl w:ilvl="0">
      <w:lvlJc w:val="left"/>
      <w:lvlText w:val="(%1)"/>
      <w:numFmt w:val="decimal"/>
      <w:start w:val="7"/>
    </w:lvl>
  </w:abstractNum>
  <w:abstractNum w:abstractNumId="193">
    <w:nsid w:val="1C2201FF"/>
    <w:multiLevelType w:val="hybridMultilevel"/>
    <w:lvl w:ilvl="0">
      <w:lvlJc w:val="left"/>
      <w:lvlText w:val="(%1)"/>
      <w:numFmt w:val="lowerLetter"/>
      <w:start w:val="1"/>
    </w:lvl>
  </w:abstractNum>
  <w:abstractNum w:abstractNumId="194">
    <w:nsid w:val="50ABCEC9"/>
    <w:multiLevelType w:val="hybridMultilevel"/>
    <w:lvl w:ilvl="0">
      <w:lvlJc w:val="left"/>
      <w:lvlText w:val="(%1)"/>
      <w:numFmt w:val="lowerLetter"/>
      <w:start w:val="3"/>
    </w:lvl>
  </w:abstractNum>
  <w:abstractNum w:abstractNumId="195">
    <w:nsid w:val="7635AA2A"/>
    <w:multiLevelType w:val="hybridMultilevel"/>
    <w:lvl w:ilvl="0">
      <w:lvlJc w:val="left"/>
      <w:lvlText w:val="(%1)"/>
      <w:numFmt w:val="lowerLetter"/>
      <w:start w:val="4"/>
    </w:lvl>
  </w:abstractNum>
  <w:abstractNum w:abstractNumId="196">
    <w:nsid w:val="5E74C4D9"/>
    <w:multiLevelType w:val="hybridMultilevel"/>
    <w:lvl w:ilvl="0">
      <w:lvlJc w:val="left"/>
      <w:lvlText w:val="%1"/>
      <w:numFmt w:val="lowerLetter"/>
      <w:start w:val="1"/>
    </w:lvl>
    <w:lvl w:ilvl="1">
      <w:lvlJc w:val="left"/>
      <w:lvlText w:val="(%2)"/>
      <w:numFmt w:val="lowerLetter"/>
      <w:start w:val="1"/>
    </w:lvl>
  </w:abstractNum>
  <w:abstractNum w:abstractNumId="197">
    <w:nsid w:val="3B3EBE15"/>
    <w:multiLevelType w:val="hybridMultilevel"/>
    <w:lvl w:ilvl="0">
      <w:lvlJc w:val="left"/>
      <w:lvlText w:val="(%1)"/>
      <w:numFmt w:val="lowerLetter"/>
      <w:start w:val="25"/>
    </w:lvl>
    <w:lvl w:ilvl="1">
      <w:lvlJc w:val="left"/>
      <w:lvlText w:val="(%2)"/>
      <w:numFmt w:val="lowerLetter"/>
      <w:start w:val="2"/>
    </w:lvl>
  </w:abstractNum>
  <w:abstractNum w:abstractNumId="198">
    <w:nsid w:val="3822CB0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9">
    <w:nsid w:val="6CE00443"/>
    <w:multiLevelType w:val="hybridMultilevel"/>
    <w:lvl w:ilvl="0">
      <w:lvlJc w:val="left"/>
      <w:lvlText w:val="(%1)"/>
      <w:numFmt w:val="decimal"/>
      <w:start w:val="5"/>
    </w:lvl>
  </w:abstractNum>
  <w:abstractNum w:abstractNumId="200">
    <w:nsid w:val="79F0D62F"/>
    <w:multiLevelType w:val="hybridMultilevel"/>
    <w:lvl w:ilvl="0">
      <w:lvlJc w:val="left"/>
      <w:lvlText w:val="(%1)"/>
      <w:numFmt w:val="decimal"/>
      <w:start w:val="6"/>
    </w:lvl>
    <w:lvl w:ilvl="1">
      <w:lvlJc w:val="left"/>
      <w:lvlText w:val="(%2)"/>
      <w:numFmt w:val="upperLetter"/>
      <w:start w:val="1"/>
    </w:lvl>
  </w:abstractNum>
  <w:abstractNum w:abstractNumId="201">
    <w:nsid w:val="7975E8EE"/>
    <w:multiLevelType w:val="hybridMultilevel"/>
    <w:lvl w:ilvl="0">
      <w:lvlJc w:val="left"/>
      <w:lvlText w:val="(%1)"/>
      <w:numFmt w:val="upperLetter"/>
      <w:start w:val="3"/>
    </w:lvl>
  </w:abstractNum>
  <w:abstractNum w:abstractNumId="202">
    <w:nsid w:val="73154115"/>
    <w:multiLevelType w:val="hybridMultilevel"/>
    <w:lvl w:ilvl="0">
      <w:lvlJc w:val="left"/>
      <w:lvlText w:val="(%1)"/>
      <w:numFmt w:val="decimal"/>
      <w:start w:val="9"/>
    </w:lvl>
  </w:abstractNum>
  <w:abstractNum w:abstractNumId="203">
    <w:nsid w:val="622D8102"/>
    <w:multiLevelType w:val="hybridMultilevel"/>
    <w:lvl w:ilvl="0">
      <w:lvlJc w:val="left"/>
      <w:lvlText w:val="(%1)"/>
      <w:numFmt w:val="lowerLetter"/>
      <w:start w:val="2"/>
    </w:lvl>
  </w:abstractNum>
  <w:abstractNum w:abstractNumId="204">
    <w:nsid w:val="2AB26587"/>
    <w:multiLevelType w:val="hybridMultilevel"/>
    <w:lvl w:ilvl="0">
      <w:lvlJc w:val="left"/>
      <w:lvlText w:val="(%1)"/>
      <w:numFmt w:val="decimal"/>
      <w:start w:val="1"/>
    </w:lvl>
    <w:lvl w:ilvl="1">
      <w:lvlJc w:val="left"/>
      <w:lvlText w:val="(%2)"/>
      <w:numFmt w:val="lowerLetter"/>
      <w:start w:val="25"/>
    </w:lvl>
  </w:abstractNum>
  <w:abstractNum w:abstractNumId="205">
    <w:nsid w:val="44B3FA61"/>
    <w:multiLevelType w:val="hybridMultilevel"/>
    <w:lvl w:ilvl="0">
      <w:lvlJc w:val="left"/>
      <w:lvlText w:val="(%1)"/>
      <w:numFmt w:val="decimal"/>
      <w:start w:val="2"/>
    </w:lvl>
  </w:abstractNum>
  <w:abstractNum w:abstractNumId="206">
    <w:nsid w:val="1C0CA67C"/>
    <w:multiLevelType w:val="hybridMultilevel"/>
    <w:lvl w:ilvl="0">
      <w:lvlJc w:val="left"/>
      <w:lvlText w:val="(%1)"/>
      <w:numFmt w:val="decimal"/>
      <w:start w:val="1"/>
    </w:lvl>
  </w:abstractNum>
  <w:abstractNum w:abstractNumId="207">
    <w:nsid w:val="3D206613"/>
    <w:multiLevelType w:val="hybridMultilevel"/>
    <w:lvl w:ilvl="0">
      <w:lvlJc w:val="left"/>
      <w:lvlText w:val="(%1)"/>
      <w:numFmt w:val="decimal"/>
      <w:start w:val="3"/>
    </w:lvl>
  </w:abstractNum>
  <w:abstractNum w:abstractNumId="208">
    <w:nsid w:val="7993B662"/>
    <w:multiLevelType w:val="hybridMultilevel"/>
    <w:lvl w:ilvl="0">
      <w:lvlJc w:val="left"/>
      <w:lvlText w:val="(%1)"/>
      <w:numFmt w:val="lowerLetter"/>
      <w:start w:val="1"/>
    </w:lvl>
  </w:abstractNum>
  <w:abstractNum w:abstractNumId="209">
    <w:nsid w:val="3BAB699E"/>
    <w:multiLevelType w:val="hybridMultilevel"/>
    <w:lvl w:ilvl="0">
      <w:lvlJc w:val="left"/>
      <w:lvlText w:val="(%1)"/>
      <w:numFmt w:val="lowerLetter"/>
      <w:start w:val="2"/>
    </w:lvl>
  </w:abstractNum>
  <w:abstractNum w:abstractNumId="210">
    <w:nsid w:val="71315369"/>
    <w:multiLevelType w:val="hybridMultilevel"/>
    <w:lvl w:ilvl="0">
      <w:lvlJc w:val="left"/>
      <w:lvlText w:val="%1"/>
      <w:numFmt w:val="decimal"/>
      <w:start w:val="1"/>
    </w:lvl>
    <w:lvl w:ilvl="1">
      <w:lvlJc w:val="left"/>
      <w:lvlText w:val="(%2)"/>
      <w:numFmt w:val="lowerLetter"/>
      <w:start w:val="1"/>
    </w:lvl>
  </w:abstractNum>
  <w:abstractNum w:abstractNumId="211">
    <w:nsid w:val="7BCFBAFC"/>
    <w:multiLevelType w:val="hybridMultilevel"/>
    <w:lvl w:ilvl="0">
      <w:lvlJc w:val="left"/>
      <w:lvlText w:val="(%1)"/>
      <w:numFmt w:val="decimal"/>
      <w:start w:val="1"/>
    </w:lvl>
    <w:lvl w:ilvl="1">
      <w:lvlJc w:val="left"/>
      <w:lvlText w:val="%2"/>
      <w:numFmt w:val="lowerLetter"/>
      <w:start w:val="1"/>
    </w:lvl>
  </w:abstractNum>
  <w:abstractNum w:abstractNumId="212">
    <w:nsid w:val="17859F72"/>
    <w:multiLevelType w:val="hybridMultilevel"/>
    <w:lvl w:ilvl="0">
      <w:lvlJc w:val="left"/>
      <w:lvlText w:val="(%1)"/>
      <w:numFmt w:val="decimal"/>
      <w:start w:val="2"/>
    </w:lvl>
    <w:lvl w:ilvl="1">
      <w:lvlJc w:val="left"/>
      <w:lvlText w:val="(%2)"/>
      <w:numFmt w:val="lowerLetter"/>
      <w:start w:val="3"/>
    </w:lvl>
  </w:abstractNum>
  <w:abstractNum w:abstractNumId="213">
    <w:nsid w:val="3AA10581"/>
    <w:multiLevelType w:val="hybridMultilevel"/>
    <w:lvl w:ilvl="0">
      <w:lvlJc w:val="left"/>
      <w:lvlText w:val="(%1)"/>
      <w:numFmt w:val="decimal"/>
      <w:start w:val="1"/>
    </w:lvl>
    <w:lvl w:ilvl="1">
      <w:lvlJc w:val="left"/>
      <w:lvlText w:val="(%2)"/>
      <w:numFmt w:val="lowerLetter"/>
      <w:start w:val="4"/>
    </w:lvl>
  </w:abstractNum>
  <w:abstractNum w:abstractNumId="214">
    <w:nsid w:val="63DE60CD"/>
    <w:multiLevelType w:val="hybridMultilevel"/>
    <w:lvl w:ilvl="0">
      <w:lvlJc w:val="left"/>
      <w:lvlText w:val="(%1)"/>
      <w:numFmt w:val="lowerLetter"/>
      <w:start w:val="1"/>
    </w:lvl>
  </w:abstractNum>
  <w:abstractNum w:abstractNumId="215">
    <w:nsid w:val="621AF471"/>
    <w:multiLevelType w:val="hybridMultilevel"/>
    <w:lvl w:ilvl="0">
      <w:lvlJc w:val="left"/>
      <w:lvlText w:val="(%1)"/>
      <w:numFmt w:val="lowerLetter"/>
      <w:start w:val="2"/>
    </w:lvl>
  </w:abstractNum>
  <w:abstractNum w:abstractNumId="216">
    <w:nsid w:val="73CFE165"/>
    <w:multiLevelType w:val="hybridMultilevel"/>
    <w:lvl w:ilvl="0">
      <w:lvlJc w:val="left"/>
      <w:lvlText w:val="(%1)"/>
      <w:numFmt w:val="lowerLetter"/>
      <w:start w:val="12"/>
    </w:lvl>
  </w:abstractNum>
  <w:abstractNum w:abstractNumId="217">
    <w:nsid w:val="20F88EA6"/>
    <w:multiLevelType w:val="hybridMultilevel"/>
    <w:lvl w:ilvl="0">
      <w:lvlJc w:val="left"/>
      <w:lvlText w:val="(%1)"/>
      <w:numFmt w:val="decimal"/>
      <w:start w:val="1"/>
    </w:lvl>
  </w:abstractNum>
  <w:abstractNum w:abstractNumId="218">
    <w:nsid w:val="617C843E"/>
    <w:multiLevelType w:val="hybridMultilevel"/>
    <w:lvl w:ilvl="0">
      <w:lvlJc w:val="left"/>
      <w:lvlText w:val="(%1)"/>
      <w:numFmt w:val="decimal"/>
      <w:start w:val="3"/>
    </w:lvl>
  </w:abstractNum>
  <w:abstractNum w:abstractNumId="219">
    <w:nsid w:val="7B541FAB"/>
    <w:multiLevelType w:val="hybridMultilevel"/>
    <w:lvl w:ilvl="0">
      <w:lvlJc w:val="left"/>
      <w:lvlText w:val="(%1)"/>
      <w:numFmt w:val="lowerLetter"/>
      <w:start w:val="1"/>
    </w:lvl>
  </w:abstractNum>
  <w:abstractNum w:abstractNumId="220">
    <w:nsid w:val="2A79EC49"/>
    <w:multiLevelType w:val="hybridMultilevel"/>
    <w:lvl w:ilvl="0">
      <w:lvlJc w:val="left"/>
      <w:lvlText w:val="(%1)"/>
      <w:numFmt w:val="decimal"/>
      <w:start w:val="1"/>
    </w:lvl>
  </w:abstractNum>
  <w:abstractNum w:abstractNumId="221">
    <w:nsid w:val="338125CF"/>
    <w:multiLevelType w:val="hybridMultilevel"/>
    <w:lvl w:ilvl="0">
      <w:lvlJc w:val="left"/>
      <w:lvlText w:val="(%1)"/>
      <w:numFmt w:val="decimal"/>
      <w:start w:val="1"/>
    </w:lvl>
    <w:lvl w:ilvl="1">
      <w:lvlJc w:val="left"/>
      <w:lvlText w:val="(%2)"/>
      <w:numFmt w:val="upperLetter"/>
      <w:start w:val="1"/>
    </w:lvl>
  </w:abstractNum>
  <w:abstractNum w:abstractNumId="222">
    <w:nsid w:val="47C7C971"/>
    <w:multiLevelType w:val="hybridMultilevel"/>
    <w:lvl w:ilvl="0">
      <w:lvlJc w:val="left"/>
      <w:lvlText w:val="(%1)"/>
      <w:numFmt w:val="decimal"/>
      <w:start w:val="3"/>
    </w:lvl>
  </w:abstractNum>
  <w:abstractNum w:abstractNumId="223">
    <w:nsid w:val="46F8284B"/>
    <w:multiLevelType w:val="hybridMultilevel"/>
    <w:lvl w:ilvl="0">
      <w:lvlJc w:val="left"/>
      <w:lvlText w:val="(%1)"/>
      <w:numFmt w:val="decimal"/>
      <w:start w:val="8"/>
    </w:lvl>
  </w:abstractNum>
  <w:abstractNum w:abstractNumId="224">
    <w:nsid w:val="4FA327CE"/>
    <w:multiLevelType w:val="hybridMultilevel"/>
    <w:lvl w:ilvl="0">
      <w:lvlJc w:val="left"/>
      <w:lvlText w:val="(%1)"/>
      <w:numFmt w:val="decimal"/>
      <w:start w:val="1"/>
    </w:lvl>
  </w:abstractNum>
  <w:abstractNum w:abstractNumId="225">
    <w:nsid w:val="1873983A"/>
    <w:multiLevelType w:val="hybridMultilevel"/>
    <w:lvl w:ilvl="0">
      <w:lvlJc w:val="left"/>
      <w:lvlText w:val="(%1)"/>
      <w:numFmt w:val="decimal"/>
      <w:start w:val="11"/>
    </w:lvl>
  </w:abstractNum>
  <w:abstractNum w:abstractNumId="226">
    <w:nsid w:val="3D2DD275"/>
    <w:multiLevelType w:val="hybridMultilevel"/>
    <w:lvl w:ilvl="0">
      <w:lvlJc w:val="left"/>
      <w:lvlText w:val="(%1)"/>
      <w:numFmt w:val="decimal"/>
      <w:start w:val="1"/>
    </w:lvl>
  </w:abstractNum>
  <w:abstractNum w:abstractNumId="227">
    <w:nsid w:val="2E17ECA7"/>
    <w:multiLevelType w:val="hybridMultilevel"/>
    <w:lvl w:ilvl="0">
      <w:lvlJc w:val="left"/>
      <w:lvlText w:val="%1"/>
      <w:numFmt w:val="lowerLetter"/>
      <w:start w:val="1"/>
    </w:lvl>
    <w:lvl w:ilvl="1">
      <w:lvlJc w:val="left"/>
      <w:lvlText w:val="(%2)"/>
      <w:numFmt w:val="lowerLetter"/>
      <w:start w:val="1"/>
    </w:lvl>
  </w:abstractNum>
  <w:abstractNum w:abstractNumId="228">
    <w:nsid w:val="53B2564F"/>
    <w:multiLevelType w:val="hybridMultilevel"/>
    <w:lvl w:ilvl="0">
      <w:lvlJc w:val="left"/>
      <w:lvlText w:val="(%1)"/>
      <w:numFmt w:val="lowerLetter"/>
      <w:start w:val="35"/>
    </w:lvl>
    <w:lvl w:ilvl="1">
      <w:lvlJc w:val="left"/>
      <w:lvlText w:val="(%2)"/>
      <w:numFmt w:val="lowerLetter"/>
      <w:start w:val="2"/>
    </w:lvl>
  </w:abstractNum>
  <w:abstractNum w:abstractNumId="229">
    <w:nsid w:val="75509D76"/>
    <w:multiLevelType w:val="hybridMultilevel"/>
    <w:lvl w:ilvl="0">
      <w:lvlJc w:val="left"/>
      <w:lvlText w:val="%1"/>
      <w:numFmt w:val="decimal"/>
      <w:start w:val="1"/>
    </w:lvl>
    <w:lvl w:ilvl="1">
      <w:lvlJc w:val="left"/>
      <w:lvlText w:val="(%2)"/>
      <w:numFmt w:val="lowerLetter"/>
      <w:start w:val="1"/>
    </w:lvl>
  </w:abstractNum>
  <w:abstractNum w:abstractNumId="230">
    <w:nsid w:val="1AF7F0EA"/>
    <w:multiLevelType w:val="hybridMultilevel"/>
    <w:lvl w:ilvl="0">
      <w:lvlJc w:val="left"/>
      <w:lvlText w:val="(%1)"/>
      <w:numFmt w:val="decimal"/>
      <w:start w:val="1"/>
    </w:lvl>
    <w:lvl w:ilvl="1">
      <w:lvlJc w:val="left"/>
      <w:lvlText w:val="%2"/>
      <w:numFmt w:val="lowerLetter"/>
      <w:start w:val="1"/>
    </w:lvl>
  </w:abstractNum>
  <w:abstractNum w:abstractNumId="231">
    <w:nsid w:val="4DA32C7E"/>
    <w:multiLevelType w:val="hybridMultilevel"/>
    <w:lvl w:ilvl="0">
      <w:lvlJc w:val="left"/>
      <w:lvlText w:val="(%1)"/>
      <w:numFmt w:val="decimal"/>
      <w:start w:val="3"/>
    </w:lvl>
    <w:lvl w:ilvl="1">
      <w:lvlJc w:val="left"/>
      <w:lvlText w:val="(%2)"/>
      <w:numFmt w:val="lowerLetter"/>
      <w:start w:val="3"/>
    </w:lvl>
  </w:abstractNum>
  <w:abstractNum w:abstractNumId="232">
    <w:nsid w:val="6EC68664"/>
    <w:multiLevelType w:val="hybridMultilevel"/>
    <w:lvl w:ilvl="0">
      <w:lvlJc w:val="left"/>
      <w:lvlText w:val="%1"/>
      <w:numFmt w:val="decimal"/>
      <w:start w:val="1"/>
    </w:lvl>
    <w:lvl w:ilvl="1">
      <w:lvlJc w:val="left"/>
      <w:lvlText w:val="(%2)"/>
      <w:numFmt w:val="lowerLetter"/>
      <w:start w:val="1"/>
    </w:lvl>
  </w:abstractNum>
  <w:abstractNum w:abstractNumId="233">
    <w:nsid w:val="E0D31FF"/>
    <w:multiLevelType w:val="hybridMultilevel"/>
    <w:lvl w:ilvl="0">
      <w:lvlJc w:val="left"/>
      <w:lvlText w:val="(%1)"/>
      <w:numFmt w:val="decimal"/>
      <w:start w:val="1"/>
    </w:lvl>
    <w:lvl w:ilvl="1">
      <w:lvlJc w:val="left"/>
      <w:lvlText w:val="(%2)"/>
      <w:numFmt w:val="lowerLetter"/>
      <w:start w:val="2"/>
    </w:lvl>
  </w:abstractNum>
  <w:abstractNum w:abstractNumId="234">
    <w:nsid w:val="2FD0AD81"/>
    <w:multiLevelType w:val="hybridMultilevel"/>
    <w:lvl w:ilvl="0">
      <w:lvlJc w:val="left"/>
      <w:lvlText w:val="(%1)"/>
      <w:numFmt w:val="lowerLetter"/>
      <w:start w:val="5"/>
    </w:lvl>
  </w:abstractNum>
  <w:abstractNum w:abstractNumId="235">
    <w:nsid w:val="1978EBEB"/>
    <w:multiLevelType w:val="hybridMultilevel"/>
    <w:lvl w:ilvl="0">
      <w:lvlJc w:val="left"/>
      <w:lvlText w:val="(%1)"/>
      <w:numFmt w:val="lowerLetter"/>
      <w:start w:val="1"/>
    </w:lvl>
  </w:abstractNum>
  <w:abstractNum w:abstractNumId="236">
    <w:nsid w:val="52C12C61"/>
    <w:multiLevelType w:val="hybridMultilevel"/>
    <w:lvl w:ilvl="0">
      <w:lvlJc w:val="left"/>
      <w:lvlText w:val="(%1)"/>
      <w:numFmt w:val="lowerLetter"/>
      <w:start w:val="2"/>
    </w:lvl>
  </w:abstractNum>
  <w:abstractNum w:abstractNumId="237">
    <w:nsid w:val="4BDD53FD"/>
    <w:multiLevelType w:val="hybridMultilevel"/>
    <w:lvl w:ilvl="0">
      <w:lvlJc w:val="left"/>
      <w:lvlText w:val="(%1)"/>
      <w:numFmt w:val="lowerLetter"/>
      <w:start w:val="1"/>
    </w:lvl>
  </w:abstractNum>
  <w:abstractNum w:abstractNumId="238">
    <w:nsid w:val="569951FE"/>
    <w:multiLevelType w:val="hybridMultilevel"/>
    <w:lvl w:ilvl="0">
      <w:lvlJc w:val="left"/>
      <w:lvlText w:val="(%1)"/>
      <w:numFmt w:val="lowerLetter"/>
      <w:start w:val="2"/>
    </w:lvl>
  </w:abstractNum>
  <w:abstractNum w:abstractNumId="239">
    <w:nsid w:val="4C54E2C3"/>
    <w:multiLevelType w:val="hybridMultilevel"/>
    <w:lvl w:ilvl="0">
      <w:lvlJc w:val="left"/>
      <w:lvlText w:val="(%1)"/>
      <w:numFmt w:val="lowerLetter"/>
      <w:start w:val="5"/>
    </w:lvl>
  </w:abstractNum>
  <w:abstractNum w:abstractNumId="240">
    <w:nsid w:val="788BD9B"/>
    <w:multiLevelType w:val="hybridMultilevel"/>
    <w:lvl w:ilvl="0">
      <w:lvlJc w:val="left"/>
      <w:lvlText w:val="(%1)"/>
      <w:numFmt w:val="lowerLetter"/>
      <w:start w:val="8"/>
    </w:lvl>
  </w:abstractNum>
  <w:abstractNum w:abstractNumId="241">
    <w:nsid w:val="47CAA567"/>
    <w:multiLevelType w:val="hybridMultilevel"/>
    <w:lvl w:ilvl="0">
      <w:lvlJc w:val="left"/>
      <w:lvlText w:val="(%1)"/>
      <w:numFmt w:val="lowerLetter"/>
      <w:start w:val="12"/>
    </w:lvl>
  </w:abstractNum>
  <w:abstractNum w:abstractNumId="242">
    <w:nsid w:val="48249DBF"/>
    <w:multiLevelType w:val="hybridMultilevel"/>
    <w:lvl w:ilvl="0">
      <w:lvlJc w:val="left"/>
      <w:lvlText w:val="(%1)"/>
      <w:numFmt w:val="lowerLetter"/>
      <w:start w:val="17"/>
    </w:lvl>
  </w:abstractNum>
  <w:abstractNum w:abstractNumId="243">
    <w:nsid w:val="1F0E5D0D"/>
    <w:multiLevelType w:val="hybridMultilevel"/>
    <w:lvl w:ilvl="0">
      <w:lvlJc w:val="left"/>
      <w:lvlText w:val="%1"/>
      <w:numFmt w:val="decimal"/>
      <w:start w:val="1"/>
    </w:lvl>
    <w:lvl w:ilvl="1">
      <w:lvlJc w:val="left"/>
      <w:lvlText w:val="(%2)"/>
      <w:numFmt w:val="lowerLetter"/>
      <w:start w:val="1"/>
    </w:lvl>
  </w:abstractNum>
  <w:abstractNum w:abstractNumId="244">
    <w:nsid w:val="26BAAE9"/>
    <w:multiLevelType w:val="hybridMultilevel"/>
    <w:lvl w:ilvl="0">
      <w:lvlJc w:val="left"/>
      <w:lvlText w:val="(%1)"/>
      <w:numFmt w:val="decimal"/>
      <w:start w:val="1"/>
    </w:lvl>
    <w:lvl w:ilvl="1">
      <w:lvlJc w:val="left"/>
      <w:lvlText w:val="%2"/>
      <w:numFmt w:val="lowerLetter"/>
      <w:start w:val="1"/>
    </w:lvl>
  </w:abstractNum>
  <w:abstractNum w:abstractNumId="245">
    <w:nsid w:val="2C02FE8C"/>
    <w:multiLevelType w:val="hybridMultilevel"/>
    <w:lvl w:ilvl="0">
      <w:lvlJc w:val="left"/>
      <w:lvlText w:val="(%1)"/>
      <w:numFmt w:val="decimal"/>
      <w:start w:val="2"/>
    </w:lvl>
  </w:abstractNum>
  <w:abstractNum w:abstractNumId="246">
    <w:nsid w:val="129517E"/>
    <w:multiLevelType w:val="hybridMultilevel"/>
    <w:lvl w:ilvl="0">
      <w:lvlJc w:val="left"/>
      <w:lvlText w:val="%1"/>
      <w:numFmt w:val="decimal"/>
      <w:start w:val="1"/>
    </w:lvl>
    <w:lvl w:ilvl="1">
      <w:lvlJc w:val="left"/>
      <w:lvlText w:val="(%2)"/>
      <w:numFmt w:val="lowerLetter"/>
      <w:start w:val="1"/>
    </w:lvl>
  </w:abstractNum>
  <w:abstractNum w:abstractNumId="247">
    <w:nsid w:val="763B8C4E"/>
    <w:multiLevelType w:val="hybridMultilevel"/>
    <w:lvl w:ilvl="0">
      <w:lvlJc w:val="left"/>
      <w:lvlText w:val="(%1)"/>
      <w:numFmt w:val="decimal"/>
      <w:start w:val="1"/>
    </w:lvl>
    <w:lvl w:ilvl="1">
      <w:lvlJc w:val="left"/>
      <w:lvlText w:val="%2"/>
      <w:numFmt w:val="lowerLetter"/>
      <w:start w:val="1"/>
    </w:lvl>
  </w:abstractNum>
  <w:abstractNum w:abstractNumId="248">
    <w:nsid w:val="4CFB8D32"/>
    <w:multiLevelType w:val="hybridMultilevel"/>
    <w:lvl w:ilvl="0">
      <w:lvlJc w:val="left"/>
      <w:lvlText w:val="%1"/>
      <w:numFmt w:val="decimal"/>
      <w:start w:val="1"/>
    </w:lvl>
    <w:lvl w:ilvl="1">
      <w:lvlJc w:val="left"/>
      <w:lvlText w:val="(%2)"/>
      <w:numFmt w:val="lowerLetter"/>
      <w:start w:val="2"/>
    </w:lvl>
  </w:abstractNum>
  <w:abstractNum w:abstractNumId="249">
    <w:nsid w:val="62A5D5BD"/>
    <w:multiLevelType w:val="hybridMultilevel"/>
    <w:lvl w:ilvl="0">
      <w:lvlJc w:val="left"/>
      <w:lvlText w:val="(%1)"/>
      <w:numFmt w:val="decimal"/>
      <w:start w:val="39"/>
    </w:lvl>
    <w:lvl w:ilvl="1">
      <w:lvlJc w:val="left"/>
      <w:lvlText w:val="(%2)"/>
      <w:numFmt w:val="lowerLetter"/>
      <w:start w:val="3"/>
    </w:lvl>
  </w:abstractNum>
  <w:abstractNum w:abstractNumId="250">
    <w:nsid w:val="718FABF9"/>
    <w:multiLevelType w:val="hybridMultilevel"/>
    <w:lvl w:ilvl="0">
      <w:lvlJc w:val="left"/>
      <w:lvlText w:val="(%1)"/>
      <w:numFmt w:val="decimal"/>
      <w:start w:val="1"/>
    </w:lvl>
  </w:abstractNum>
  <w:abstractNum w:abstractNumId="251">
    <w:nsid w:val="7775797C"/>
    <w:multiLevelType w:val="hybridMultilevel"/>
    <w:lvl w:ilvl="0">
      <w:lvlJc w:val="left"/>
      <w:lvlText w:val="(%1)"/>
      <w:numFmt w:val="decimal"/>
      <w:start w:val="1"/>
    </w:lvl>
  </w:abstractNum>
  <w:abstractNum w:abstractNumId="252">
    <w:nsid w:val="1626FB8C"/>
    <w:multiLevelType w:val="hybridMultilevel"/>
    <w:lvl w:ilvl="0">
      <w:lvlJc w:val="left"/>
      <w:lvlText w:val="(%1)"/>
      <w:numFmt w:val="lowerLetter"/>
      <w:start w:val="1"/>
    </w:lvl>
  </w:abstractNum>
  <w:abstractNum w:abstractNumId="253">
    <w:nsid w:val="3957756A"/>
    <w:multiLevelType w:val="hybridMultilevel"/>
    <w:lvl w:ilvl="0">
      <w:lvlJc w:val="left"/>
      <w:lvlText w:val="1"/>
      <w:numFmt w:val="bullet"/>
      <w:start w:val="1"/>
    </w:lvl>
  </w:abstractNum>
  <w:abstractNum w:abstractNumId="254">
    <w:nsid w:val="3E6DA1C7"/>
    <w:multiLevelType w:val="hybridMultilevel"/>
    <w:lvl w:ilvl="0">
      <w:lvlJc w:val="left"/>
      <w:lvlText w:val="2"/>
      <w:numFmt w:val="bullet"/>
      <w:start w:val="1"/>
    </w:lvl>
  </w:abstractNum>
  <w:abstractNum w:abstractNumId="255">
    <w:nsid w:val="65CA235B"/>
    <w:multiLevelType w:val="hybridMultilevel"/>
    <w:lvl w:ilvl="0">
      <w:lvlJc w:val="left"/>
      <w:lvlText w:val="3"/>
      <w:numFmt w:val="bullet"/>
      <w:start w:val="1"/>
    </w:lvl>
  </w:abstractNum>
  <w:abstractNum w:abstractNumId="256">
    <w:nsid w:val="51CB0DA4"/>
    <w:multiLevelType w:val="hybridMultilevel"/>
    <w:lvl w:ilvl="0">
      <w:lvlJc w:val="left"/>
      <w:lvlText w:val="%1."/>
      <w:numFmt w:val="decimal"/>
      <w:start w:val="1"/>
    </w:lvl>
  </w:abstractNum>
  <w:abstractNum w:abstractNumId="257">
    <w:nsid w:val="7B9B743C"/>
    <w:multiLevelType w:val="hybridMultilevel"/>
    <w:lvl w:ilvl="0">
      <w:lvlJc w:val="left"/>
      <w:lvlText w:val="%1."/>
      <w:numFmt w:val="decimal"/>
      <w:start w:val="2"/>
    </w:lvl>
  </w:abstractNum>
  <w:abstractNum w:abstractNumId="258">
    <w:nsid w:val="13E21002"/>
    <w:multiLevelType w:val="hybridMultilevel"/>
    <w:lvl w:ilvl="0">
      <w:lvlJc w:val="left"/>
      <w:lvlText w:val="(%1)"/>
      <w:numFmt w:val="lowerRoman"/>
      <w:start w:val="1"/>
    </w:lvl>
  </w:abstractNum>
  <w:abstractNum w:abstractNumId="259">
    <w:nsid w:val="257D63F4"/>
    <w:multiLevelType w:val="hybridMultilevel"/>
    <w:lvl w:ilvl="0">
      <w:lvlJc w:val="left"/>
      <w:lvlText w:val="%1."/>
      <w:numFmt w:val="decimal"/>
      <w:start w:val="3"/>
    </w:lvl>
  </w:abstractNum>
  <w:abstractNum w:abstractNumId="260">
    <w:nsid w:val="70EC11B2"/>
    <w:multiLevelType w:val="hybridMultilevel"/>
    <w:lvl w:ilvl="0">
      <w:lvlJc w:val="left"/>
      <w:lvlText w:val="%1."/>
      <w:numFmt w:val="decimal"/>
      <w:start w:val="4"/>
    </w:lvl>
  </w:abstractNum>
  <w:abstractNum w:abstractNumId="261">
    <w:nsid w:val="2EDA00ED"/>
    <w:multiLevelType w:val="hybridMultilevel"/>
    <w:lvl w:ilvl="0">
      <w:lvlJc w:val="left"/>
      <w:lvlText w:val="%1."/>
      <w:numFmt w:val="decimal"/>
      <w:start w:val="5"/>
    </w:lvl>
  </w:abstractNum>
  <w:abstractNum w:abstractNumId="262">
    <w:nsid w:val="73209072"/>
    <w:multiLevelType w:val="hybridMultilevel"/>
    <w:lvl w:ilvl="0">
      <w:lvlJc w:val="left"/>
      <w:lvlText w:val="(%1)"/>
      <w:numFmt w:val="lowerRoman"/>
      <w:start w:val="10"/>
    </w:lvl>
  </w:abstractNum>
  <w:abstractNum w:abstractNumId="263">
    <w:nsid w:val="5FB29816"/>
    <w:multiLevelType w:val="hybridMultilevel"/>
    <w:lvl w:ilvl="0">
      <w:lvlJc w:val="left"/>
      <w:lvlText w:val="%1."/>
      <w:numFmt w:val="decimal"/>
      <w:start w:val="6"/>
    </w:lvl>
    <w:lvl w:ilvl="1">
      <w:lvlJc w:val="left"/>
      <w:lvlText w:val="(%2)"/>
      <w:numFmt w:val="lowerLetter"/>
      <w:start w:val="1"/>
    </w:lvl>
  </w:abstractNum>
  <w:abstractNum w:abstractNumId="264">
    <w:nsid w:val="3CE732EC"/>
    <w:multiLevelType w:val="hybridMultilevel"/>
    <w:lvl w:ilvl="0">
      <w:lvlJc w:val="left"/>
      <w:lvlText w:val="(%1)"/>
      <w:numFmt w:val="lowerLetter"/>
      <w:start w:val="3"/>
    </w:lvl>
  </w:abstractNum>
  <w:abstractNum w:abstractNumId="265">
    <w:nsid w:val="22F13DF3"/>
    <w:multiLevelType w:val="hybridMultilevel"/>
    <w:lvl w:ilvl="0">
      <w:lvlJc w:val="left"/>
      <w:lvlText w:val="(%1)"/>
      <w:numFmt w:val="lowerLetter"/>
      <w:start w:val="4"/>
    </w:lvl>
  </w:abstractNum>
  <w:abstractNum w:abstractNumId="266">
    <w:nsid w:val="792B8401"/>
    <w:multiLevelType w:val="hybridMultilevel"/>
    <w:lvl w:ilvl="0">
      <w:lvlJc w:val="left"/>
      <w:lvlText w:val="%1."/>
      <w:numFmt w:val="decimal"/>
      <w:start w:val="7"/>
    </w:lvl>
    <w:lvl w:ilvl="1">
      <w:lvlJc w:val="left"/>
      <w:lvlText w:val="(%2)"/>
      <w:numFmt w:val="lowerLetter"/>
      <w:start w:val="1"/>
    </w:lvl>
  </w:abstractNum>
  <w:abstractNum w:abstractNumId="267">
    <w:nsid w:val="FA85F4D"/>
    <w:multiLevelType w:val="hybridMultilevel"/>
    <w:lvl w:ilvl="0">
      <w:lvlJc w:val="left"/>
      <w:lvlText w:val="%1."/>
      <w:numFmt w:val="decimal"/>
      <w:start w:val="9"/>
    </w:lvl>
  </w:abstractNum>
  <w:abstractNum w:abstractNumId="268">
    <w:nsid w:val="6ECE91F0"/>
    <w:multiLevelType w:val="hybridMultilevel"/>
    <w:lvl w:ilvl="0">
      <w:lvlJc w:val="left"/>
      <w:lvlText w:val="%1."/>
      <w:numFmt w:val="decimal"/>
      <w:start w:val="10"/>
    </w:lvl>
  </w:abstractNum>
  <w:abstractNum w:abstractNumId="269">
    <w:nsid w:val="4FC4D600"/>
    <w:multiLevelType w:val="hybridMultilevel"/>
    <w:lvl w:ilvl="0">
      <w:lvlJc w:val="left"/>
      <w:lvlText w:val="%1."/>
      <w:numFmt w:val="decimal"/>
      <w:start w:val="12"/>
    </w:lvl>
  </w:abstractNum>
  <w:abstractNum w:abstractNumId="270">
    <w:nsid w:val="5BFD4210"/>
    <w:multiLevelType w:val="hybridMultilevel"/>
    <w:lvl w:ilvl="0">
      <w:lvlJc w:val="left"/>
      <w:lvlText w:val="%1."/>
      <w:numFmt w:val="decimal"/>
      <w:start w:val="13"/>
    </w:lvl>
  </w:abstractNum>
  <w:abstractNum w:abstractNumId="271">
    <w:nsid w:val="76574F8B"/>
    <w:multiLevelType w:val="hybridMultilevel"/>
    <w:lvl w:ilvl="0">
      <w:lvlJc w:val="left"/>
      <w:lvlText w:val="%1."/>
      <w:numFmt w:val="decimal"/>
      <w:start w:val="14"/>
    </w:lvl>
  </w:abstractNum>
  <w:abstractNum w:abstractNumId="272">
    <w:nsid w:val="178F7B67"/>
    <w:multiLevelType w:val="hybridMultilevel"/>
    <w:lvl w:ilvl="0">
      <w:lvlJc w:val="left"/>
      <w:lvlText w:val="%1."/>
      <w:numFmt w:val="decimal"/>
      <w:start w:val="15"/>
    </w:lvl>
  </w:abstractNum>
  <w:abstractNum w:abstractNumId="273">
    <w:nsid w:val="2421DFCF"/>
    <w:multiLevelType w:val="hybridMultilevel"/>
    <w:lvl w:ilvl="0">
      <w:lvlJc w:val="left"/>
      <w:lvlText w:val="%1."/>
      <w:numFmt w:val="decimal"/>
      <w:start w:val="16"/>
    </w:lvl>
  </w:abstractNum>
  <w:abstractNum w:abstractNumId="274">
    <w:nsid w:val="1565AC99"/>
    <w:multiLevelType w:val="hybridMultilevel"/>
    <w:lvl w:ilvl="0">
      <w:lvlJc w:val="left"/>
      <w:lvlText w:val="%1."/>
      <w:numFmt w:val="decimal"/>
      <w:start w:val="17"/>
    </w:lvl>
  </w:abstractNum>
  <w:abstractNum w:abstractNumId="275">
    <w:nsid w:val="19FB2650"/>
    <w:multiLevelType w:val="hybridMultilevel"/>
    <w:lvl w:ilvl="0">
      <w:lvlJc w:val="left"/>
      <w:lvlText w:val="%1."/>
      <w:numFmt w:val="decimal"/>
      <w:start w:val="18"/>
    </w:lvl>
  </w:abstractNum>
  <w:abstractNum w:abstractNumId="276">
    <w:nsid w:val="5024DE5B"/>
    <w:multiLevelType w:val="hybridMultilevel"/>
    <w:lvl w:ilvl="0">
      <w:lvlJc w:val="left"/>
      <w:lvlText w:val="%1."/>
      <w:numFmt w:val="decimal"/>
      <w:start w:val="19"/>
    </w:lvl>
  </w:abstractNum>
  <w:abstractNum w:abstractNumId="277">
    <w:nsid w:val="168EFE17"/>
    <w:multiLevelType w:val="hybridMultilevel"/>
    <w:lvl w:ilvl="0">
      <w:lvlJc w:val="left"/>
      <w:lvlText w:val="%1."/>
      <w:numFmt w:val="decimal"/>
      <w:start w:val="20"/>
    </w:lvl>
  </w:abstractNum>
  <w:abstractNum w:abstractNumId="278">
    <w:nsid w:val="1036B29F"/>
    <w:multiLevelType w:val="hybridMultilevel"/>
    <w:lvl w:ilvl="0">
      <w:lvlJc w:val="left"/>
      <w:lvlText w:val="(%1)"/>
      <w:numFmt w:val="decimal"/>
      <w:start w:val="1"/>
    </w:lvl>
  </w:abstractNum>
  <w:abstractNum w:abstractNumId="279">
    <w:nsid w:val="1D206B8E"/>
    <w:multiLevelType w:val="hybridMultilevel"/>
    <w:lvl w:ilvl="0">
      <w:lvlJc w:val="left"/>
      <w:lvlText w:val="(%1)"/>
      <w:numFmt w:val="decimal"/>
      <w:start w:val="5"/>
    </w:lvl>
  </w:abstractNum>
  <w:abstractNum w:abstractNumId="280">
    <w:nsid w:val="7934D3D4"/>
    <w:multiLevelType w:val="hybridMultilevel"/>
    <w:lvl w:ilvl="0">
      <w:lvlJc w:val="left"/>
      <w:lvlText w:val="•"/>
      <w:numFmt w:val="bullet"/>
      <w:start w:val="1"/>
    </w:lvl>
  </w:abstractNum>
  <w:abstractNum w:abstractNumId="281">
    <w:nsid w:val="1C65E98"/>
    <w:multiLevelType w:val="hybridMultilevel"/>
    <w:lvl w:ilvl="0">
      <w:lvlJc w:val="left"/>
      <w:lvlText w:val="•"/>
      <w:numFmt w:val="bullet"/>
      <w:start w:val="1"/>
    </w:lvl>
  </w:abstractNum>
  <w:abstractNum w:abstractNumId="282">
    <w:nsid w:val="1495E50A"/>
    <w:multiLevelType w:val="hybridMultilevel"/>
    <w:lvl w:ilvl="0">
      <w:lvlJc w:val="left"/>
      <w:lvlText w:val="•"/>
      <w:numFmt w:val="bullet"/>
      <w:start w:val="1"/>
    </w:lvl>
  </w:abstractNum>
  <w:abstractNum w:abstractNumId="283">
    <w:nsid w:val="F5BCF61"/>
    <w:multiLevelType w:val="hybridMultilevel"/>
    <w:lvl w:ilvl="0">
      <w:lvlJc w:val="left"/>
      <w:lvlText w:val="•"/>
      <w:numFmt w:val="bullet"/>
      <w:start w:val="1"/>
    </w:lvl>
  </w:abstractNum>
  <w:abstractNum w:abstractNumId="284">
    <w:nsid w:val="3B1DD403"/>
    <w:multiLevelType w:val="hybridMultilevel"/>
    <w:lvl w:ilvl="0">
      <w:lvlJc w:val="left"/>
      <w:lvlText w:val="•"/>
      <w:numFmt w:val="bullet"/>
      <w:start w:val="1"/>
    </w:lvl>
  </w:abstractNum>
  <w:abstractNum w:abstractNumId="285">
    <w:nsid w:val="530386D1"/>
    <w:multiLevelType w:val="hybridMultilevel"/>
    <w:lvl w:ilvl="0">
      <w:lvlJc w:val="left"/>
      <w:lvlText w:val="•"/>
      <w:numFmt w:val="bullet"/>
      <w:start w:val="1"/>
    </w:lvl>
  </w:abstractNum>
  <w:abstractNum w:abstractNumId="286">
    <w:nsid w:val="7525F2BC"/>
    <w:multiLevelType w:val="hybridMultilevel"/>
    <w:lvl w:ilvl="0">
      <w:lvlJc w:val="left"/>
      <w:lvlText w:val="•"/>
      <w:numFmt w:val="bullet"/>
      <w:start w:val="1"/>
    </w:lvl>
  </w:abstractNum>
  <w:abstractNum w:abstractNumId="287">
    <w:nsid w:val="CE8E1A7"/>
    <w:multiLevelType w:val="hybridMultilevel"/>
    <w:lvl w:ilvl="0">
      <w:lvlJc w:val="left"/>
      <w:lvlText w:val="•"/>
      <w:numFmt w:val="bullet"/>
      <w:start w:val="1"/>
    </w:lvl>
  </w:abstractNum>
  <w:abstractNum w:abstractNumId="288">
    <w:nsid w:val="4E9EFB0D"/>
    <w:multiLevelType w:val="hybridMultilevel"/>
    <w:lvl w:ilvl="0">
      <w:lvlJc w:val="left"/>
      <w:lvlText w:val="•"/>
      <w:numFmt w:val="bullet"/>
      <w:start w:val="1"/>
    </w:lvl>
  </w:abstractNum>
  <w:abstractNum w:abstractNumId="289">
    <w:nsid w:val="90802BE"/>
    <w:multiLevelType w:val="hybridMultilevel"/>
    <w:lvl w:ilvl="0">
      <w:lvlJc w:val="left"/>
      <w:lvlText w:val="•"/>
      <w:numFmt w:val="bullet"/>
      <w:start w:val="1"/>
    </w:lvl>
  </w:abstractNum>
  <w:abstractNum w:abstractNumId="290">
    <w:nsid w:val="3266459B"/>
    <w:multiLevelType w:val="hybridMultilevel"/>
    <w:lvl w:ilvl="0">
      <w:lvlJc w:val="left"/>
      <w:lvlText w:val="•"/>
      <w:numFmt w:val="bullet"/>
      <w:start w:val="1"/>
    </w:lvl>
  </w:abstractNum>
  <w:abstractNum w:abstractNumId="291">
    <w:nsid w:val="3F8B0CBF"/>
    <w:multiLevelType w:val="hybridMultilevel"/>
    <w:lvl w:ilvl="0">
      <w:lvlJc w:val="left"/>
      <w:lvlText w:val="•"/>
      <w:numFmt w:val="bullet"/>
      <w:start w:val="1"/>
    </w:lvl>
  </w:abstractNum>
  <w:abstractNum w:abstractNumId="292">
    <w:nsid w:val="37E203AB"/>
    <w:multiLevelType w:val="hybridMultilevel"/>
    <w:lvl w:ilvl="0">
      <w:lvlJc w:val="left"/>
      <w:lvlText w:val="•"/>
      <w:numFmt w:val="bullet"/>
      <w:start w:val="1"/>
    </w:lvl>
  </w:abstractNum>
  <w:abstractNum w:abstractNumId="293">
    <w:nsid w:val="2586D60E"/>
    <w:multiLevelType w:val="hybridMultilevel"/>
    <w:lvl w:ilvl="0">
      <w:lvlJc w:val="left"/>
      <w:lvlText w:val="•"/>
      <w:numFmt w:val="bullet"/>
      <w:start w:val="1"/>
    </w:lvl>
  </w:abstractNum>
  <w:abstractNum w:abstractNumId="294">
    <w:nsid w:val="1F3DA4D5"/>
    <w:multiLevelType w:val="hybridMultilevel"/>
    <w:lvl w:ilvl="0">
      <w:lvlJc w:val="left"/>
      <w:lvlText w:val="•"/>
      <w:numFmt w:val="bullet"/>
      <w:start w:val="1"/>
    </w:lvl>
  </w:abstractNum>
  <w:abstractNum w:abstractNumId="295">
    <w:nsid w:val="74C93698"/>
    <w:multiLevelType w:val="hybridMultilevel"/>
    <w:lvl w:ilvl="0">
      <w:lvlJc w:val="left"/>
      <w:lvlText w:val="•"/>
      <w:numFmt w:val="bullet"/>
      <w:start w:val="1"/>
    </w:lvl>
  </w:abstractNum>
  <w:abstractNum w:abstractNumId="296">
    <w:nsid w:val="48781401"/>
    <w:multiLevelType w:val="hybridMultilevel"/>
    <w:lvl w:ilvl="0">
      <w:lvlJc w:val="left"/>
      <w:lvlText w:val="•"/>
      <w:numFmt w:val="bullet"/>
      <w:start w:val="1"/>
    </w:lvl>
  </w:abstractNum>
  <w:abstractNum w:abstractNumId="297">
    <w:nsid w:val="186928D6"/>
    <w:multiLevelType w:val="hybridMultilevel"/>
    <w:lvl w:ilvl="0">
      <w:lvlJc w:val="left"/>
      <w:lvlText w:val="(%1)"/>
      <w:numFmt w:val="decimal"/>
      <w:start w:val="1"/>
    </w:lvl>
  </w:abstractNum>
  <w:abstractNum w:abstractNumId="298">
    <w:nsid w:val="47195E5"/>
    <w:multiLevelType w:val="hybridMultilevel"/>
    <w:lvl w:ilvl="0">
      <w:lvlJc w:val="left"/>
      <w:lvlText w:val="•"/>
      <w:numFmt w:val="bullet"/>
      <w:start w:val="1"/>
    </w:lvl>
  </w:abstractNum>
  <w:abstractNum w:abstractNumId="299">
    <w:nsid w:val="3746A5F2"/>
    <w:multiLevelType w:val="hybridMultilevel"/>
    <w:lvl w:ilvl="0">
      <w:lvlJc w:val="left"/>
      <w:lvlText w:val="•"/>
      <w:numFmt w:val="bullet"/>
      <w:start w:val="1"/>
    </w:lvl>
  </w:abstractNum>
  <w:abstractNum w:abstractNumId="300">
    <w:nsid w:val="682DFED6"/>
    <w:multiLevelType w:val="hybridMultilevel"/>
    <w:lvl w:ilvl="0">
      <w:lvlJc w:val="left"/>
      <w:lvlText w:val="•"/>
      <w:numFmt w:val="bullet"/>
      <w:start w:val="1"/>
    </w:lvl>
  </w:abstractNum>
  <w:abstractNum w:abstractNumId="301">
    <w:nsid w:val="606ED7F6"/>
    <w:multiLevelType w:val="hybridMultilevel"/>
    <w:lvl w:ilvl="0">
      <w:lvlJc w:val="left"/>
      <w:lvlText w:val="•"/>
      <w:numFmt w:val="bullet"/>
      <w:start w:val="1"/>
    </w:lvl>
  </w:abstractNum>
  <w:abstractNum w:abstractNumId="302">
    <w:nsid w:val="2D9DF57D"/>
    <w:multiLevelType w:val="hybridMultilevel"/>
    <w:lvl w:ilvl="0">
      <w:lvlJc w:val="left"/>
      <w:lvlText w:val="•"/>
      <w:numFmt w:val="bullet"/>
      <w:start w:val="1"/>
    </w:lvl>
  </w:abstractNum>
  <w:abstractNum w:abstractNumId="303">
    <w:nsid w:val="7FBD7A3E"/>
    <w:multiLevelType w:val="hybridMultilevel"/>
    <w:lvl w:ilvl="0">
      <w:lvlJc w:val="left"/>
      <w:lvlText w:val="•"/>
      <w:numFmt w:val="bullet"/>
      <w:start w:val="1"/>
    </w:lvl>
  </w:abstractNum>
  <w:abstractNum w:abstractNumId="304">
    <w:nsid w:val="490B7C5"/>
    <w:multiLevelType w:val="hybridMultilevel"/>
    <w:lvl w:ilvl="0">
      <w:lvlJc w:val="left"/>
      <w:lvlText w:val="•"/>
      <w:numFmt w:val="bullet"/>
      <w:start w:val="1"/>
    </w:lvl>
  </w:abstractNum>
  <w:abstractNum w:abstractNumId="305">
    <w:nsid w:val="4303A216"/>
    <w:multiLevelType w:val="hybridMultilevel"/>
    <w:lvl w:ilvl="0">
      <w:lvlJc w:val="left"/>
      <w:lvlText w:val="•"/>
      <w:numFmt w:val="bullet"/>
      <w:start w:val="1"/>
    </w:lvl>
  </w:abstractNum>
  <w:abstractNum w:abstractNumId="306">
    <w:nsid w:val="19B8A08E"/>
    <w:multiLevelType w:val="hybridMultilevel"/>
    <w:lvl w:ilvl="0">
      <w:lvlJc w:val="left"/>
      <w:lvlText w:val="•"/>
      <w:numFmt w:val="bullet"/>
      <w:start w:val="1"/>
    </w:lvl>
  </w:abstractNum>
  <w:abstractNum w:abstractNumId="307">
    <w:nsid w:val="54B59621"/>
    <w:multiLevelType w:val="hybridMultilevel"/>
    <w:lvl w:ilvl="0">
      <w:lvlJc w:val="left"/>
      <w:lvlText w:val="(%1)"/>
      <w:numFmt w:val="decimal"/>
      <w:start w:val="1"/>
    </w:lvl>
  </w:abstractNum>
  <w:abstractNum w:abstractNumId="308">
    <w:nsid w:val="5992A02E"/>
    <w:multiLevelType w:val="hybridMultilevel"/>
    <w:lvl w:ilvl="0">
      <w:lvlJc w:val="left"/>
      <w:lvlText w:val="•"/>
      <w:numFmt w:val="bullet"/>
      <w:start w:val="1"/>
    </w:lvl>
  </w:abstractNum>
  <w:abstractNum w:abstractNumId="309">
    <w:nsid w:val="29EF532D"/>
    <w:multiLevelType w:val="hybridMultilevel"/>
    <w:lvl w:ilvl="0">
      <w:lvlJc w:val="left"/>
      <w:lvlText w:val="•"/>
      <w:numFmt w:val="bullet"/>
      <w:start w:val="1"/>
    </w:lvl>
  </w:abstractNum>
  <w:abstractNum w:abstractNumId="310">
    <w:nsid w:val="71D601AF"/>
    <w:multiLevelType w:val="hybridMultilevel"/>
    <w:lvl w:ilvl="0">
      <w:lvlJc w:val="left"/>
      <w:lvlText w:val="•"/>
      <w:numFmt w:val="bullet"/>
      <w:start w:val="1"/>
    </w:lvl>
  </w:abstractNum>
  <w:abstractNum w:abstractNumId="311">
    <w:nsid w:val="52C77402"/>
    <w:multiLevelType w:val="hybridMultilevel"/>
    <w:lvl w:ilvl="0">
      <w:lvlJc w:val="left"/>
      <w:lvlText w:val="•"/>
      <w:numFmt w:val="bullet"/>
      <w:start w:val="1"/>
    </w:lvl>
  </w:abstractNum>
  <w:abstractNum w:abstractNumId="312">
    <w:nsid w:val="2BB5B1C6"/>
    <w:multiLevelType w:val="hybridMultilevel"/>
    <w:lvl w:ilvl="0">
      <w:lvlJc w:val="left"/>
      <w:lvlText w:val="•"/>
      <w:numFmt w:val="bullet"/>
      <w:start w:val="1"/>
    </w:lvl>
  </w:abstractNum>
  <w:abstractNum w:abstractNumId="313">
    <w:nsid w:val="66BE6B9"/>
    <w:multiLevelType w:val="hybridMultilevel"/>
    <w:lvl w:ilvl="0">
      <w:lvlJc w:val="left"/>
      <w:lvlText w:val="•"/>
      <w:numFmt w:val="bullet"/>
      <w:start w:val="1"/>
    </w:lvl>
  </w:abstractNum>
  <w:abstractNum w:abstractNumId="314">
    <w:nsid w:val="62234363"/>
    <w:multiLevelType w:val="hybridMultilevel"/>
    <w:lvl w:ilvl="0">
      <w:lvlJc w:val="left"/>
      <w:lvlText w:val="•"/>
      <w:numFmt w:val="bullet"/>
      <w:start w:val="1"/>
    </w:lvl>
  </w:abstractNum>
  <w:abstractNum w:abstractNumId="315">
    <w:nsid w:val="66D385C9"/>
    <w:multiLevelType w:val="hybridMultilevel"/>
    <w:lvl w:ilvl="0">
      <w:lvlJc w:val="left"/>
      <w:lvlText w:val="•"/>
      <w:numFmt w:val="bullet"/>
      <w:start w:val="1"/>
    </w:lvl>
  </w:abstractNum>
  <w:abstractNum w:abstractNumId="316">
    <w:nsid w:val="596F6D8A"/>
    <w:multiLevelType w:val="hybridMultilevel"/>
    <w:lvl w:ilvl="0">
      <w:lvlJc w:val="left"/>
      <w:lvlText w:val="(%1)"/>
      <w:numFmt w:val="decimal"/>
      <w:start w:val="1"/>
    </w:lvl>
  </w:abstractNum>
  <w:abstractNum w:abstractNumId="317">
    <w:nsid w:val="5749361F"/>
    <w:multiLevelType w:val="hybridMultilevel"/>
    <w:lvl w:ilvl="0">
      <w:lvlJc w:val="left"/>
      <w:lvlText w:val="•"/>
      <w:numFmt w:val="bullet"/>
      <w:start w:val="1"/>
    </w:lvl>
  </w:abstractNum>
  <w:abstractNum w:abstractNumId="318">
    <w:nsid w:val="73BC6770"/>
    <w:multiLevelType w:val="hybridMultilevel"/>
    <w:lvl w:ilvl="0">
      <w:lvlJc w:val="left"/>
      <w:lvlText w:val="•"/>
      <w:numFmt w:val="bullet"/>
      <w:start w:val="1"/>
    </w:lvl>
  </w:abstractNum>
  <w:abstractNum w:abstractNumId="319">
    <w:nsid w:val="280E6897"/>
    <w:multiLevelType w:val="hybridMultilevel"/>
    <w:lvl w:ilvl="0">
      <w:lvlJc w:val="left"/>
      <w:lvlText w:val="•"/>
      <w:numFmt w:val="bullet"/>
      <w:start w:val="1"/>
    </w:lvl>
  </w:abstractNum>
  <w:abstractNum w:abstractNumId="320">
    <w:nsid w:val="605138DE"/>
    <w:multiLevelType w:val="hybridMultilevel"/>
    <w:lvl w:ilvl="0">
      <w:lvlJc w:val="left"/>
      <w:lvlText w:val="(%1)"/>
      <w:numFmt w:val="lowerLetter"/>
      <w:start w:val="1"/>
    </w:lvl>
  </w:abstractNum>
  <w:abstractNum w:abstractNumId="321">
    <w:nsid w:val="2622AD0C"/>
    <w:multiLevelType w:val="hybridMultilevel"/>
    <w:lvl w:ilvl="0">
      <w:lvlJc w:val="left"/>
      <w:lvlText w:val="(%1)"/>
      <w:numFmt w:val="lowerLetter"/>
      <w:start w:val="7"/>
    </w:lvl>
    <w:lvl w:ilvl="1">
      <w:lvlJc w:val="left"/>
      <w:lvlText w:val="•"/>
      <w:numFmt w:val="bullet"/>
      <w:start w:val="1"/>
    </w:lvl>
  </w:abstractNum>
  <w:abstractNum w:abstractNumId="322">
    <w:nsid w:val="67997556"/>
    <w:multiLevelType w:val="hybridMultilevel"/>
    <w:lvl w:ilvl="0">
      <w:lvlJc w:val="left"/>
      <w:lvlText w:val="•"/>
      <w:numFmt w:val="bullet"/>
      <w:start w:val="1"/>
    </w:lvl>
  </w:abstractNum>
  <w:abstractNum w:abstractNumId="323">
    <w:nsid w:val="18333C89"/>
    <w:multiLevelType w:val="hybridMultilevel"/>
    <w:lvl w:ilvl="0">
      <w:lvlJc w:val="left"/>
      <w:lvlText w:val="•"/>
      <w:numFmt w:val="bullet"/>
      <w:start w:val="1"/>
    </w:lvl>
  </w:abstractNum>
  <w:abstractNum w:abstractNumId="324">
    <w:nsid w:val="4BA9831A"/>
    <w:multiLevelType w:val="hybridMultilevel"/>
    <w:lvl w:ilvl="0">
      <w:lvlJc w:val="left"/>
      <w:lvlText w:val="•"/>
      <w:numFmt w:val="bullet"/>
      <w:start w:val="1"/>
    </w:lvl>
  </w:abstractNum>
  <w:abstractNum w:abstractNumId="325">
    <w:nsid w:val="6D71A2B"/>
    <w:multiLevelType w:val="hybridMultilevel"/>
    <w:lvl w:ilvl="0">
      <w:lvlJc w:val="left"/>
      <w:lvlText w:val="•"/>
      <w:numFmt w:val="bullet"/>
      <w:start w:val="1"/>
    </w:lvl>
  </w:abstractNum>
  <w:abstractNum w:abstractNumId="326">
    <w:nsid w:val="CFC7321"/>
    <w:multiLevelType w:val="hybridMultilevel"/>
    <w:lvl w:ilvl="0">
      <w:lvlJc w:val="left"/>
      <w:lvlText w:val="•"/>
      <w:numFmt w:val="bullet"/>
      <w:start w:val="1"/>
    </w:lvl>
  </w:abstractNum>
  <w:abstractNum w:abstractNumId="327">
    <w:nsid w:val="1421971B"/>
    <w:multiLevelType w:val="hybridMultilevel"/>
    <w:lvl w:ilvl="0">
      <w:lvlJc w:val="left"/>
      <w:lvlText w:val="•"/>
      <w:numFmt w:val="bullet"/>
      <w:start w:val="1"/>
    </w:lvl>
  </w:abstractNum>
  <w:abstractNum w:abstractNumId="328">
    <w:nsid w:val="1F404301"/>
    <w:multiLevelType w:val="hybridMultilevel"/>
    <w:lvl w:ilvl="0">
      <w:lvlJc w:val="left"/>
      <w:lvlText w:val="%1"/>
      <w:numFmt w:val="upperLetter"/>
      <w:start w:val="35"/>
    </w:lvl>
  </w:abstractNum>
  <w:abstractNum w:abstractNumId="329">
    <w:nsid w:val="116E0907"/>
    <w:multiLevelType w:val="hybridMultilevel"/>
    <w:lvl w:ilvl="0">
      <w:lvlJc w:val="left"/>
      <w:lvlText w:val="•"/>
      <w:numFmt w:val="bullet"/>
      <w:start w:val="1"/>
    </w:lvl>
  </w:abstractNum>
  <w:abstractNum w:abstractNumId="330">
    <w:nsid w:val="4B683D0D"/>
    <w:multiLevelType w:val="hybridMultilevel"/>
    <w:lvl w:ilvl="0">
      <w:lvlJc w:val="left"/>
      <w:lvlText w:val="•"/>
      <w:numFmt w:val="bullet"/>
      <w:start w:val="1"/>
    </w:lvl>
  </w:abstractNum>
  <w:abstractNum w:abstractNumId="331">
    <w:nsid w:val="76E41D8"/>
    <w:multiLevelType w:val="hybridMultilevel"/>
    <w:lvl w:ilvl="0">
      <w:lvlJc w:val="left"/>
      <w:lvlText w:val="(%1)"/>
      <w:numFmt w:val="lowerLetter"/>
      <w:start w:val="1"/>
    </w:lvl>
  </w:abstractNum>
  <w:abstractNum w:abstractNumId="332">
    <w:nsid w:val="71DCE0FD"/>
    <w:multiLevelType w:val="hybridMultilevel"/>
    <w:lvl w:ilvl="0">
      <w:lvlJc w:val="left"/>
      <w:lvlText w:val="•"/>
      <w:numFmt w:val="bullet"/>
      <w:start w:val="1"/>
    </w:lvl>
  </w:abstractNum>
  <w:abstractNum w:abstractNumId="333">
    <w:nsid w:val="7906328B"/>
    <w:multiLevelType w:val="hybridMultilevel"/>
    <w:lvl w:ilvl="0">
      <w:lvlJc w:val="left"/>
      <w:lvlText w:val="•"/>
      <w:numFmt w:val="bullet"/>
      <w:start w:val="1"/>
    </w:lvl>
  </w:abstractNum>
  <w:abstractNum w:abstractNumId="334">
    <w:nsid w:val="72BBC16"/>
    <w:multiLevelType w:val="hybridMultilevel"/>
    <w:lvl w:ilvl="0">
      <w:lvlJc w:val="left"/>
      <w:lvlText w:val="•"/>
      <w:numFmt w:val="bullet"/>
      <w:start w:val="1"/>
    </w:lvl>
  </w:abstractNum>
  <w:abstractNum w:abstractNumId="335">
    <w:nsid w:val="766D98C2"/>
    <w:multiLevelType w:val="hybridMultilevel"/>
    <w:lvl w:ilvl="0">
      <w:lvlJc w:val="left"/>
      <w:lvlText w:val="•"/>
      <w:numFmt w:val="bullet"/>
      <w:start w:val="1"/>
    </w:lvl>
  </w:abstractNum>
  <w:abstractNum w:abstractNumId="336">
    <w:nsid w:val="3C09D4A1"/>
    <w:multiLevelType w:val="hybridMultilevel"/>
    <w:lvl w:ilvl="0">
      <w:lvlJc w:val="left"/>
      <w:lvlText w:val="%1."/>
      <w:numFmt w:val="decimal"/>
      <w:start w:val="1"/>
    </w:lvl>
  </w:abstractNum>
  <w:abstractNum w:abstractNumId="337">
    <w:nsid w:val="20E45CA4"/>
    <w:multiLevelType w:val="hybridMultilevel"/>
    <w:lvl w:ilvl="0">
      <w:lvlJc w:val="left"/>
      <w:lvlText w:val="(%1)"/>
      <w:numFmt w:val="lowerRoman"/>
      <w:start w:val="1"/>
    </w:lvl>
  </w:abstractNum>
  <w:abstractNum w:abstractNumId="338">
    <w:nsid w:val="4B232EE3"/>
    <w:multiLevelType w:val="hybridMultilevel"/>
    <w:lvl w:ilvl="0">
      <w:lvlJc w:val="left"/>
      <w:lvlText w:val="•"/>
      <w:numFmt w:val="bullet"/>
      <w:start w:val="1"/>
    </w:lvl>
  </w:abstractNum>
  <w:abstractNum w:abstractNumId="339">
    <w:nsid w:val="159C74CF"/>
    <w:multiLevelType w:val="hybridMultilevel"/>
    <w:lvl w:ilvl="0">
      <w:lvlJc w:val="left"/>
      <w:lvlText w:val="•"/>
      <w:numFmt w:val="bullet"/>
      <w:start w:val="1"/>
    </w:lvl>
  </w:abstractNum>
  <w:abstractNum w:abstractNumId="340">
    <w:nsid w:val="4AD3AFD2"/>
    <w:multiLevelType w:val="hybridMultilevel"/>
    <w:lvl w:ilvl="0">
      <w:lvlJc w:val="left"/>
      <w:lvlText w:val="•"/>
      <w:numFmt w:val="bullet"/>
      <w:start w:val="1"/>
    </w:lvl>
  </w:abstractNum>
  <w:abstractNum w:abstractNumId="341">
    <w:nsid w:val="3CF93092"/>
    <w:multiLevelType w:val="hybridMultilevel"/>
    <w:lvl w:ilvl="0">
      <w:lvlJc w:val="left"/>
      <w:lvlText w:val="(%1)"/>
      <w:numFmt w:val="decimal"/>
      <w:start w:val="1"/>
    </w:lvl>
  </w:abstractNum>
  <w:abstractNum w:abstractNumId="342">
    <w:nsid w:val="6863E8D2"/>
    <w:multiLevelType w:val="hybridMultilevel"/>
    <w:lvl w:ilvl="0">
      <w:lvlJc w:val="left"/>
      <w:lvlText w:val="(%1)"/>
      <w:numFmt w:val="decimal"/>
      <w:start w:val="5"/>
    </w:lvl>
  </w:abstractNum>
  <w:abstractNum w:abstractNumId="343">
    <w:nsid w:val="76896198"/>
    <w:multiLevelType w:val="hybridMultilevel"/>
    <w:lvl w:ilvl="0">
      <w:lvlJc w:val="left"/>
      <w:lvlText w:val="(%1)"/>
      <w:numFmt w:val="decimal"/>
      <w:start w:val="4"/>
    </w:lvl>
  </w:abstractNum>
  <w:abstractNum w:abstractNumId="344">
    <w:nsid w:val="4365174B"/>
    <w:multiLevelType w:val="hybridMultilevel"/>
    <w:lvl w:ilvl="0">
      <w:lvlJc w:val="left"/>
      <w:lvlText w:val="(%1)"/>
      <w:numFmt w:val="decimal"/>
      <w:start w:val="4"/>
    </w:lvl>
  </w:abstractNum>
  <w:abstractNum w:abstractNumId="345">
    <w:nsid w:val="4A872C35"/>
    <w:multiLevelType w:val="hybridMultilevel"/>
    <w:lvl w:ilvl="0">
      <w:lvlJc w:val="left"/>
      <w:lvlText w:val="(%1)"/>
      <w:numFmt w:val="decimal"/>
      <w:start w:val="4"/>
    </w:lvl>
  </w:abstractNum>
  <w:abstractNum w:abstractNumId="346">
    <w:nsid w:val="5D5CE761"/>
    <w:multiLevelType w:val="hybridMultilevel"/>
    <w:lvl w:ilvl="0">
      <w:lvlJc w:val="left"/>
      <w:lvlText w:val="(%1)"/>
      <w:numFmt w:val="lowerLetter"/>
      <w:start w:val="25"/>
    </w:lvl>
  </w:abstractNum>
  <w:abstractNum w:abstractNumId="347">
    <w:nsid w:val="1CD484D5"/>
    <w:multiLevelType w:val="hybridMultilevel"/>
    <w:lvl w:ilvl="0">
      <w:lvlJc w:val="left"/>
      <w:lvlText w:val="(%1)"/>
      <w:numFmt w:val="decimal"/>
      <w:start w:val="1"/>
    </w:lvl>
  </w:abstractNum>
  <w:abstractNum w:abstractNumId="348">
    <w:nsid w:val="21D06255"/>
    <w:multiLevelType w:val="hybridMultilevel"/>
    <w:lvl w:ilvl="0">
      <w:lvlJc w:val="left"/>
      <w:lvlText w:val="(%1)"/>
      <w:numFmt w:val="decimal"/>
      <w:start w:val="3"/>
    </w:lvl>
  </w:abstractNum>
  <w:abstractNum w:abstractNumId="349">
    <w:nsid w:val="51194ED1"/>
    <w:multiLevelType w:val="hybridMultilevel"/>
    <w:lvl w:ilvl="0">
      <w:lvlJc w:val="left"/>
      <w:lvlText w:val="(%1)"/>
      <w:numFmt w:val="decimal"/>
      <w:start w:val="5"/>
    </w:lvl>
  </w:abstractNum>
  <w:abstractNum w:abstractNumId="350">
    <w:nsid w:val="44E2ED6C"/>
    <w:multiLevelType w:val="hybridMultilevel"/>
    <w:lvl w:ilvl="0">
      <w:lvlJc w:val="left"/>
      <w:lvlText w:val="(%1)"/>
      <w:numFmt w:val="decimal"/>
      <w:start w:val="5"/>
    </w:lvl>
    <w:lvl w:ilvl="1">
      <w:lvlJc w:val="left"/>
      <w:lvlText w:val="•"/>
      <w:numFmt w:val="bullet"/>
      <w:start w:val="1"/>
    </w:lvl>
  </w:abstractNum>
  <w:abstractNum w:abstractNumId="351">
    <w:nsid w:val="2219B33"/>
    <w:multiLevelType w:val="hybridMultilevel"/>
    <w:lvl w:ilvl="0">
      <w:lvlJc w:val="left"/>
      <w:lvlText w:val="(%1)"/>
      <w:numFmt w:val="decimal"/>
      <w:start w:val="2"/>
    </w:lvl>
  </w:abstractNum>
  <w:abstractNum w:abstractNumId="352">
    <w:nsid w:val="773BFBDD"/>
    <w:multiLevelType w:val="hybridMultilevel"/>
    <w:lvl w:ilvl="0">
      <w:lvlJc w:val="left"/>
      <w:lvlText w:val="(%1)"/>
      <w:numFmt w:val="decimal"/>
      <w:start w:val="1"/>
    </w:lvl>
  </w:abstractNum>
  <w:abstractNum w:abstractNumId="353">
    <w:nsid w:val="2C7C62C2"/>
    <w:multiLevelType w:val="hybridMultilevel"/>
    <w:lvl w:ilvl="0">
      <w:lvlJc w:val="left"/>
      <w:lvlText w:val="(%1)"/>
      <w:numFmt w:val="decimal"/>
      <w:start w:val="1"/>
    </w:lvl>
  </w:abstractNum>
  <w:abstractNum w:abstractNumId="354">
    <w:nsid w:val="1A54D7BC"/>
    <w:multiLevelType w:val="hybridMultilevel"/>
    <w:lvl w:ilvl="0">
      <w:lvlJc w:val="left"/>
      <w:lvlText w:val="(%1)"/>
      <w:numFmt w:val="decimal"/>
      <w:start w:val="1"/>
    </w:lvl>
  </w:abstractNum>
  <w:abstractNum w:abstractNumId="355">
    <w:nsid w:val="42E57EF7"/>
    <w:multiLevelType w:val="hybridMultilevel"/>
    <w:lvl w:ilvl="0">
      <w:lvlJc w:val="left"/>
      <w:lvlText w:val="(%1)"/>
      <w:numFmt w:val="decimal"/>
      <w:start w:val="1"/>
    </w:lvl>
  </w:abstractNum>
  <w:abstractNum w:abstractNumId="356">
    <w:nsid w:val="33537CED"/>
    <w:multiLevelType w:val="hybridMultilevel"/>
    <w:lvl w:ilvl="0">
      <w:lvlJc w:val="left"/>
      <w:lvlText w:val="•"/>
      <w:numFmt w:val="bullet"/>
      <w:start w:val="1"/>
    </w:lvl>
  </w:abstractNum>
  <w:abstractNum w:abstractNumId="357">
    <w:nsid w:val="27514ADE"/>
    <w:multiLevelType w:val="hybridMultilevel"/>
    <w:lvl w:ilvl="0">
      <w:lvlJc w:val="left"/>
      <w:lvlText w:val="•"/>
      <w:numFmt w:val="bullet"/>
      <w:start w:val="1"/>
    </w:lvl>
  </w:abstractNum>
  <w:abstractNum w:abstractNumId="358">
    <w:nsid w:val="57071613"/>
    <w:multiLevelType w:val="hybridMultilevel"/>
    <w:lvl w:ilvl="0">
      <w:lvlJc w:val="left"/>
      <w:lvlText w:val="•"/>
      <w:numFmt w:val="bullet"/>
      <w:start w:val="1"/>
    </w:lvl>
  </w:abstractNum>
  <w:abstractNum w:abstractNumId="359">
    <w:nsid w:val="5293BFEF"/>
    <w:multiLevelType w:val="hybridMultilevel"/>
    <w:lvl w:ilvl="0">
      <w:lvlJc w:val="left"/>
      <w:lvlText w:val="•"/>
      <w:numFmt w:val="bullet"/>
      <w:start w:val="1"/>
    </w:lvl>
  </w:abstractNum>
  <w:abstractNum w:abstractNumId="360">
    <w:nsid w:val="38BF53E5"/>
    <w:multiLevelType w:val="hybridMultilevel"/>
    <w:lvl w:ilvl="0">
      <w:lvlJc w:val="left"/>
      <w:lvlText w:val="•"/>
      <w:numFmt w:val="bullet"/>
      <w:start w:val="1"/>
    </w:lvl>
  </w:abstractNum>
  <w:abstractNum w:abstractNumId="361">
    <w:nsid w:val="226F5320"/>
    <w:multiLevelType w:val="hybridMultilevel"/>
    <w:lvl w:ilvl="0">
      <w:lvlJc w:val="left"/>
      <w:lvlText w:val="(%1)"/>
      <w:numFmt w:val="lowerRoman"/>
      <w:start w:val="2"/>
    </w:lvl>
  </w:abstractNum>
  <w:abstractNum w:abstractNumId="362">
    <w:nsid w:val="5A0201C7"/>
    <w:multiLevelType w:val="hybridMultilevel"/>
    <w:lvl w:ilvl="0">
      <w:lvlJc w:val="left"/>
      <w:lvlText w:val="(%1)"/>
      <w:numFmt w:val="lowerRoman"/>
      <w:start w:val="4"/>
    </w:lvl>
  </w:abstractNum>
  <w:abstractNum w:abstractNumId="363">
    <w:nsid w:val="2A9C34E2"/>
    <w:multiLevelType w:val="hybridMultilevel"/>
    <w:lvl w:ilvl="0">
      <w:lvlJc w:val="left"/>
      <w:lvlText w:val="•"/>
      <w:numFmt w:val="bullet"/>
      <w:start w:val="1"/>
    </w:lvl>
  </w:abstractNum>
  <w:abstractNum w:abstractNumId="364">
    <w:nsid w:val="1B7585AB"/>
    <w:multiLevelType w:val="hybridMultilevel"/>
    <w:lvl w:ilvl="0">
      <w:lvlJc w:val="left"/>
      <w:lvlText w:val="•"/>
      <w:numFmt w:val="bullet"/>
      <w:start w:val="1"/>
    </w:lvl>
  </w:abstractNum>
  <w:abstractNum w:abstractNumId="365">
    <w:nsid w:val="612DBDDD"/>
    <w:multiLevelType w:val="hybridMultilevel"/>
    <w:lvl w:ilvl="0">
      <w:lvlJc w:val="left"/>
      <w:lvlText w:val="•"/>
      <w:numFmt w:val="bullet"/>
      <w:start w:val="1"/>
    </w:lvl>
  </w:abstractNum>
  <w:abstractNum w:abstractNumId="366">
    <w:nsid w:val="2109CDA4"/>
    <w:multiLevelType w:val="hybridMultilevel"/>
    <w:lvl w:ilvl="0">
      <w:lvlJc w:val="left"/>
      <w:lvlText w:val="(%1)"/>
      <w:numFmt w:val="lowerRoman"/>
      <w:start w:val="1"/>
    </w:lvl>
  </w:abstractNum>
  <w:abstractNum w:abstractNumId="367">
    <w:nsid w:val="577F5A4D"/>
    <w:multiLevelType w:val="hybridMultilevel"/>
    <w:lvl w:ilvl="0">
      <w:lvlJc w:val="left"/>
      <w:lvlText w:val="•"/>
      <w:numFmt w:val="bullet"/>
      <w:start w:val="1"/>
    </w:lvl>
  </w:abstractNum>
  <w:abstractNum w:abstractNumId="368">
    <w:nsid w:val="2121A81"/>
    <w:multiLevelType w:val="hybridMultilevel"/>
    <w:lvl w:ilvl="0">
      <w:lvlJc w:val="left"/>
      <w:lvlText w:val="•"/>
      <w:numFmt w:val="bullet"/>
      <w:start w:val="1"/>
    </w:lvl>
  </w:abstractNum>
  <w:abstractNum w:abstractNumId="369">
    <w:nsid w:val="6C2CFC88"/>
    <w:multiLevelType w:val="hybridMultilevel"/>
    <w:lvl w:ilvl="0">
      <w:lvlJc w:val="left"/>
      <w:lvlText w:val="(%1)"/>
      <w:numFmt w:val="upperLetter"/>
      <w:start w:val="4"/>
    </w:lvl>
    <w:lvl w:ilvl="1">
      <w:lvlJc w:val="left"/>
      <w:lvlText w:val="•"/>
      <w:numFmt w:val="bullet"/>
      <w:start w:val="1"/>
    </w:lvl>
  </w:abstractNum>
  <w:abstractNum w:abstractNumId="370">
    <w:nsid w:val="6D1BCF1C"/>
    <w:multiLevelType w:val="hybridMultilevel"/>
    <w:lvl w:ilvl="0">
      <w:lvlJc w:val="left"/>
      <w:lvlText w:val="(%1)"/>
      <w:numFmt w:val="decimal"/>
      <w:start w:val="1"/>
    </w:lvl>
  </w:abstractNum>
  <w:abstractNum w:abstractNumId="371">
    <w:nsid w:val="4CE5CA53"/>
    <w:multiLevelType w:val="hybridMultilevel"/>
    <w:lvl w:ilvl="0">
      <w:lvlJc w:val="left"/>
      <w:lvlText w:val="*"/>
      <w:numFmt w:val="bullet"/>
      <w:start w:val="1"/>
    </w:lvl>
  </w:abstractNum>
  <w:abstractNum w:abstractNumId="372">
    <w:nsid w:val="29262D1A"/>
    <w:multiLevelType w:val="hybridMultilevel"/>
    <w:lvl w:ilvl="0">
      <w:lvlJc w:val="left"/>
      <w:lvlText w:val="(%1)"/>
      <w:numFmt w:val="decimal"/>
      <w:start w:val="1"/>
    </w:lvl>
  </w:abstractNum>
  <w:abstractNum w:abstractNumId="373">
    <w:nsid w:val="557FB7EE"/>
    <w:multiLevelType w:val="hybridMultilevel"/>
    <w:lvl w:ilvl="0">
      <w:lvlJc w:val="left"/>
      <w:lvlText w:val="•"/>
      <w:numFmt w:val="bullet"/>
      <w:start w:val="1"/>
    </w:lvl>
  </w:abstractNum>
  <w:abstractNum w:abstractNumId="374">
    <w:nsid w:val="436F2BEB"/>
    <w:multiLevelType w:val="hybridMultilevel"/>
    <w:lvl w:ilvl="0">
      <w:lvlJc w:val="left"/>
      <w:lvlText w:val="•"/>
      <w:numFmt w:val="bullet"/>
      <w:start w:val="1"/>
    </w:lvl>
  </w:abstractNum>
  <w:abstractNum w:abstractNumId="375">
    <w:nsid w:val="6C8B4466"/>
    <w:multiLevelType w:val="hybridMultilevel"/>
    <w:lvl w:ilvl="0">
      <w:lvlJc w:val="left"/>
      <w:lvlText w:val="•"/>
      <w:numFmt w:val="bullet"/>
      <w:start w:val="1"/>
    </w:lvl>
  </w:abstractNum>
  <w:abstractNum w:abstractNumId="376">
    <w:nsid w:val="2006E424"/>
    <w:multiLevelType w:val="hybridMultilevel"/>
    <w:lvl w:ilvl="0">
      <w:lvlJc w:val="left"/>
      <w:lvlText w:val="(%1)"/>
      <w:numFmt w:val="decimal"/>
      <w:start w:val="1"/>
    </w:lvl>
  </w:abstractNum>
  <w:abstractNum w:abstractNumId="377">
    <w:nsid w:val="20CC134C"/>
    <w:multiLevelType w:val="hybridMultilevel"/>
    <w:lvl w:ilvl="0">
      <w:lvlJc w:val="left"/>
      <w:lvlText w:val="(%1)"/>
      <w:numFmt w:val="lowerRoman"/>
      <w:start w:val="4"/>
    </w:lvl>
  </w:abstractNum>
  <w:abstractNum w:abstractNumId="378">
    <w:nsid w:val="95FC93B"/>
    <w:multiLevelType w:val="hybridMultilevel"/>
    <w:lvl w:ilvl="0">
      <w:lvlJc w:val="left"/>
      <w:lvlText w:val="(%1)"/>
      <w:numFmt w:val="lowerLetter"/>
      <w:start w:val="1"/>
    </w:lvl>
  </w:abstractNum>
  <w:abstractNum w:abstractNumId="379">
    <w:nsid w:val="41D74679"/>
    <w:multiLevelType w:val="hybridMultilevel"/>
    <w:lvl w:ilvl="0">
      <w:lvlJc w:val="left"/>
      <w:lvlText w:val="(%1)"/>
      <w:numFmt w:val="lowerLetter"/>
      <w:start w:val="1"/>
    </w:lvl>
  </w:abstractNum>
  <w:abstractNum w:abstractNumId="380">
    <w:nsid w:val="71E5621E"/>
    <w:multiLevelType w:val="hybridMultilevel"/>
    <w:lvl w:ilvl="0">
      <w:lvlJc w:val="left"/>
      <w:lvlText w:val="(%1)"/>
      <w:numFmt w:val="lowerLetter"/>
      <w:start w:val="1"/>
    </w:lvl>
  </w:abstractNum>
  <w:abstractNum w:abstractNumId="381">
    <w:nsid w:val="4E42B6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2022-02-12T01:15:49Z</dcterms:created>
  <dcterms:modified xsi:type="dcterms:W3CDTF">2022-02-12T01:15:49Z</dcterms:modified>
</cp:coreProperties>
</file>